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E7" w:rsidRPr="001F29E3" w:rsidRDefault="00AD4AE7" w:rsidP="00A92094">
      <w:pPr>
        <w:jc w:val="left"/>
        <w:rPr>
          <w:rFonts w:cs="Arial"/>
        </w:rPr>
      </w:pPr>
      <w:bookmarkStart w:id="0" w:name="Start"/>
      <w:r w:rsidRPr="00123E40">
        <w:rPr>
          <w:color w:val="1F497D" w:themeColor="text2"/>
          <w:sz w:val="46"/>
        </w:rPr>
        <w:t xml:space="preserve">Victorian Training Market Report </w:t>
      </w:r>
      <w:bookmarkEnd w:id="0"/>
      <w:r w:rsidR="00692C68" w:rsidRPr="00123E40">
        <w:rPr>
          <w:color w:val="1F497D" w:themeColor="text2"/>
          <w:sz w:val="46"/>
        </w:rPr>
        <w:br/>
        <w:t>2013</w:t>
      </w:r>
    </w:p>
    <w:p w:rsidR="00AD4AE7" w:rsidRPr="001F29E3" w:rsidRDefault="00AD4AE7" w:rsidP="00DA3526">
      <w:pPr>
        <w:rPr>
          <w:rFonts w:cs="Arial"/>
        </w:rPr>
      </w:pPr>
    </w:p>
    <w:p w:rsidR="00AD4AE7" w:rsidRPr="001F29E3" w:rsidRDefault="00AD4AE7" w:rsidP="00DA3526">
      <w:pPr>
        <w:rPr>
          <w:rFonts w:cs="Arial"/>
        </w:rPr>
      </w:pPr>
    </w:p>
    <w:p w:rsidR="00A92094" w:rsidRDefault="00861BA9" w:rsidP="00A92094">
      <w:pPr>
        <w:pStyle w:val="Header"/>
      </w:pPr>
      <w:r w:rsidRPr="001F29E3">
        <w:rPr>
          <w:rFonts w:cs="Arial"/>
          <w:noProof/>
          <w:lang w:eastAsia="en-AU"/>
        </w:rPr>
        <mc:AlternateContent>
          <mc:Choice Requires="wpg">
            <w:drawing>
              <wp:anchor distT="0" distB="0" distL="114300" distR="114300" simplePos="0" relativeHeight="251975680" behindDoc="1" locked="1" layoutInCell="1" allowOverlap="1" wp14:anchorId="71D6796C" wp14:editId="13A35E6A">
                <wp:simplePos x="0" y="0"/>
                <wp:positionH relativeFrom="page">
                  <wp:posOffset>717550</wp:posOffset>
                </wp:positionH>
                <wp:positionV relativeFrom="page">
                  <wp:posOffset>360045</wp:posOffset>
                </wp:positionV>
                <wp:extent cx="2329180" cy="422275"/>
                <wp:effectExtent l="0" t="0" r="0" b="0"/>
                <wp:wrapNone/>
                <wp:docPr id="3098"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3099" name="Freeform 1961"/>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0" name="Freeform 1962"/>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56.5pt;margin-top:28.35pt;width:183.4pt;height:33.25pt;z-index:-25134080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">
                <o:lock v:ext="edit" aspectratio="t"/>
                <v:shape id="Freeform 1961"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Y5cMA&#10;AADdAAAADwAAAGRycy9kb3ducmV2LnhtbESPQYvCMBSE78L+h/AW9qaprohWoyyCoF7E6rLXR/Ns&#10;yzYvpUk1/nsjCB6HmfmGWayCqcWVWldZVjAcJCCIc6srLhScT5v+FITzyBpry6TgTg5Wy4/eAlNt&#10;b3yka+YLESHsUlRQet+kUrq8JINuYBvi6F1sa9BH2RZSt3iLcFPLUZJMpMGK40KJDa1Lyv+zzijo&#10;DsM93cfh0IQs3/12xMep+1Pq6zP8zEF4Cv4dfrW3WsF3MpvB80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VY5cMAAADdAAAADwAAAAAAAAAAAAAAAACYAgAAZHJzL2Rv&#10;d25yZXYueG1sUEsFBgAAAAAEAAQA9QAAAIg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1962"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5XccMA&#10;AADdAAAADwAAAGRycy9kb3ducmV2LnhtbERPz2vCMBS+D/wfwhO8DJtqYZTOKCJsCDvI2jE8vjVv&#10;bVnzEpKo3X9vDoMdP77fm91kRnElHwbLClZZDoK4tXrgTsFH87IsQYSIrHG0TAp+KcBuO3vYYKXt&#10;jd/pWsdOpBAOFSroY3SVlKHtyWDIrCNO3Lf1BmOCvpPa4y2Fm1Gu8/xJGhw4NfTo6NBT+1NfjALd&#10;FF+vrTuX2h3828l80t7yo1KL+bR/BhFpiv/iP/dRKyhWedqf3qQn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5XccMAAADdAAAADwAAAAAAAAAAAAAAAACYAgAAZHJzL2Rv&#10;d25yZXYueG1sUEsFBgAAAAAEAAQA9QAAAIg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r w:rsidR="00A92094">
        <w:rPr>
          <w:noProof/>
          <w:lang w:eastAsia="en-AU"/>
        </w:rPr>
        <w:drawing>
          <wp:anchor distT="0" distB="0" distL="114300" distR="114300" simplePos="0" relativeHeight="251982848" behindDoc="1" locked="1" layoutInCell="1" allowOverlap="1" wp14:anchorId="09D8450E" wp14:editId="48DDDE9C">
            <wp:simplePos x="0" y="0"/>
            <wp:positionH relativeFrom="page">
              <wp:posOffset>4737100</wp:posOffset>
            </wp:positionH>
            <wp:positionV relativeFrom="page">
              <wp:posOffset>8639810</wp:posOffset>
            </wp:positionV>
            <wp:extent cx="2303780" cy="2138680"/>
            <wp:effectExtent l="76200" t="95250" r="77470" b="90170"/>
            <wp:wrapNone/>
            <wp:docPr id="1998" name="Layout 3 Image 9" descr="dark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9" descr="dark blue"/>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46000">
                      <a:off x="0" y="0"/>
                      <a:ext cx="2303780"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83872" behindDoc="1" locked="1" layoutInCell="1" allowOverlap="1" wp14:anchorId="02B1ED2E" wp14:editId="7EE49D67">
            <wp:simplePos x="0" y="0"/>
            <wp:positionH relativeFrom="page">
              <wp:posOffset>2310765</wp:posOffset>
            </wp:positionH>
            <wp:positionV relativeFrom="page">
              <wp:posOffset>8729980</wp:posOffset>
            </wp:positionV>
            <wp:extent cx="2311400" cy="2005330"/>
            <wp:effectExtent l="38100" t="57150" r="50800" b="52070"/>
            <wp:wrapNone/>
            <wp:docPr id="1997" name="Layout 3 Image 8" descr="std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8" descr="std blue"/>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26000">
                      <a:off x="0" y="0"/>
                      <a:ext cx="2311400" cy="200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77728" behindDoc="1" locked="1" layoutInCell="1" allowOverlap="1" wp14:anchorId="23777241" wp14:editId="3866FF5B">
            <wp:simplePos x="0" y="0"/>
            <wp:positionH relativeFrom="page">
              <wp:posOffset>-10795</wp:posOffset>
            </wp:positionH>
            <wp:positionV relativeFrom="page">
              <wp:posOffset>8672195</wp:posOffset>
            </wp:positionV>
            <wp:extent cx="2279015" cy="2030095"/>
            <wp:effectExtent l="0" t="0" r="6985" b="8255"/>
            <wp:wrapNone/>
            <wp:docPr id="1995" name="Layout 3 Image 7" descr="light bl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7" descr="light blu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9015" cy="203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85920" behindDoc="1" locked="1" layoutInCell="1" allowOverlap="1" wp14:anchorId="625F146F" wp14:editId="749FC003">
            <wp:simplePos x="0" y="0"/>
            <wp:positionH relativeFrom="page">
              <wp:posOffset>4758690</wp:posOffset>
            </wp:positionH>
            <wp:positionV relativeFrom="page">
              <wp:posOffset>6306820</wp:posOffset>
            </wp:positionV>
            <wp:extent cx="2303780" cy="2303780"/>
            <wp:effectExtent l="57150" t="57150" r="58420" b="58420"/>
            <wp:wrapNone/>
            <wp:docPr id="1994" name="Layout 3 Image 6" descr="light bl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6" descr="light blu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8000">
                      <a:off x="0" y="0"/>
                      <a:ext cx="230378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84896" behindDoc="1" locked="1" layoutInCell="1" allowOverlap="1" wp14:anchorId="2F961D31" wp14:editId="2CEA9C12">
            <wp:simplePos x="0" y="0"/>
            <wp:positionH relativeFrom="page">
              <wp:posOffset>2429510</wp:posOffset>
            </wp:positionH>
            <wp:positionV relativeFrom="page">
              <wp:posOffset>6396990</wp:posOffset>
            </wp:positionV>
            <wp:extent cx="2303780" cy="2303780"/>
            <wp:effectExtent l="114300" t="114300" r="115570" b="115570"/>
            <wp:wrapNone/>
            <wp:docPr id="1993" name="Layout 3 Image 5" descr="dark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5" descr="dark blue"/>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48000">
                      <a:off x="0" y="0"/>
                      <a:ext cx="230378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78752" behindDoc="1" locked="1" layoutInCell="1" allowOverlap="1" wp14:anchorId="3F722C04" wp14:editId="1A0F6840">
            <wp:simplePos x="0" y="0"/>
            <wp:positionH relativeFrom="page">
              <wp:posOffset>13970</wp:posOffset>
            </wp:positionH>
            <wp:positionV relativeFrom="page">
              <wp:posOffset>6299835</wp:posOffset>
            </wp:positionV>
            <wp:extent cx="2303780" cy="2303780"/>
            <wp:effectExtent l="76200" t="76200" r="77470" b="77470"/>
            <wp:wrapNone/>
            <wp:docPr id="1992" name="Layout 3 Image 4" descr="light bl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4" descr="light blu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92000">
                      <a:off x="0" y="0"/>
                      <a:ext cx="230378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81824" behindDoc="1" locked="1" layoutInCell="1" allowOverlap="1" wp14:anchorId="5C1F2E13" wp14:editId="33376C0A">
            <wp:simplePos x="0" y="0"/>
            <wp:positionH relativeFrom="page">
              <wp:posOffset>4773295</wp:posOffset>
            </wp:positionH>
            <wp:positionV relativeFrom="page">
              <wp:posOffset>3156585</wp:posOffset>
            </wp:positionV>
            <wp:extent cx="2303780" cy="2303780"/>
            <wp:effectExtent l="152400" t="152400" r="153670" b="153670"/>
            <wp:wrapNone/>
            <wp:docPr id="1991" name="Layout 3 Image 3" descr="darkest blu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3" descr="darkest blue"/>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432000">
                      <a:off x="0" y="0"/>
                      <a:ext cx="230378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80800" behindDoc="1" locked="1" layoutInCell="1" allowOverlap="1" wp14:anchorId="70388D01" wp14:editId="4486433E">
            <wp:simplePos x="0" y="0"/>
            <wp:positionH relativeFrom="page">
              <wp:posOffset>2375535</wp:posOffset>
            </wp:positionH>
            <wp:positionV relativeFrom="page">
              <wp:posOffset>3884295</wp:posOffset>
            </wp:positionV>
            <wp:extent cx="2311400" cy="2311400"/>
            <wp:effectExtent l="247650" t="247650" r="241300" b="241300"/>
            <wp:wrapNone/>
            <wp:docPr id="1990" name="Layout 3 Image 2" descr="light bl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2" descr="light blu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798000">
                      <a:off x="0" y="0"/>
                      <a:ext cx="2311400"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4">
        <w:rPr>
          <w:noProof/>
          <w:lang w:eastAsia="en-AU"/>
        </w:rPr>
        <w:drawing>
          <wp:anchor distT="0" distB="0" distL="114300" distR="114300" simplePos="0" relativeHeight="251979776" behindDoc="1" locked="1" layoutInCell="1" allowOverlap="1" wp14:anchorId="6DCE804E" wp14:editId="261D27EC">
            <wp:simplePos x="0" y="0"/>
            <wp:positionH relativeFrom="page">
              <wp:posOffset>35560</wp:posOffset>
            </wp:positionH>
            <wp:positionV relativeFrom="page">
              <wp:posOffset>3895090</wp:posOffset>
            </wp:positionV>
            <wp:extent cx="2311400" cy="2311400"/>
            <wp:effectExtent l="95250" t="95250" r="107950" b="107950"/>
            <wp:wrapNone/>
            <wp:docPr id="1989" name="Layout 3 Image 1" descr="blue m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3 Image 1" descr="blue main"/>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94000">
                      <a:off x="0" y="0"/>
                      <a:ext cx="231140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7392" w:rsidRPr="001F29E3" w:rsidRDefault="00861BA9" w:rsidP="00F87392">
      <w:pPr>
        <w:pStyle w:val="Header"/>
        <w:rPr>
          <w:rFonts w:cs="Arial"/>
        </w:rPr>
      </w:pPr>
      <w:r w:rsidRPr="001F29E3">
        <w:rPr>
          <w:rFonts w:cs="Arial"/>
          <w:noProof/>
          <w:lang w:eastAsia="en-AU"/>
        </w:rPr>
        <mc:AlternateContent>
          <mc:Choice Requires="wps">
            <w:drawing>
              <wp:anchor distT="0" distB="0" distL="114300" distR="114300" simplePos="0" relativeHeight="251974656" behindDoc="1" locked="1" layoutInCell="1" allowOverlap="1" wp14:anchorId="44CE4383" wp14:editId="3800D7C0">
                <wp:simplePos x="0" y="0"/>
                <wp:positionH relativeFrom="page">
                  <wp:posOffset>0</wp:posOffset>
                </wp:positionH>
                <wp:positionV relativeFrom="page">
                  <wp:posOffset>0</wp:posOffset>
                </wp:positionV>
                <wp:extent cx="7560310" cy="10692130"/>
                <wp:effectExtent l="0" t="0" r="2540" b="0"/>
                <wp:wrapNone/>
                <wp:docPr id="2" name="Ma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310" cy="10692130"/>
                        </a:xfrm>
                        <a:custGeom>
                          <a:avLst/>
                          <a:gdLst>
                            <a:gd name="T0" fmla="*/ 0 w 40176"/>
                            <a:gd name="T1" fmla="*/ 0 h 56820"/>
                            <a:gd name="T2" fmla="*/ 0 w 40176"/>
                            <a:gd name="T3" fmla="*/ 18940 h 56820"/>
                            <a:gd name="T4" fmla="*/ 18748 w 40176"/>
                            <a:gd name="T5" fmla="*/ 18940 h 56820"/>
                            <a:gd name="T6" fmla="*/ 25126 w 40176"/>
                            <a:gd name="T7" fmla="*/ 18522 h 56820"/>
                            <a:gd name="T8" fmla="*/ 25509 w 40176"/>
                            <a:gd name="T9" fmla="*/ 25441 h 56820"/>
                            <a:gd name="T10" fmla="*/ 25509 w 40176"/>
                            <a:gd name="T11" fmla="*/ 31675 h 56820"/>
                            <a:gd name="T12" fmla="*/ 31615 w 40176"/>
                            <a:gd name="T13" fmla="*/ 31675 h 56820"/>
                            <a:gd name="T14" fmla="*/ 31615 w 40176"/>
                            <a:gd name="T15" fmla="*/ 37292 h 56820"/>
                            <a:gd name="T16" fmla="*/ 35119 w 40176"/>
                            <a:gd name="T17" fmla="*/ 37292 h 56820"/>
                            <a:gd name="T18" fmla="*/ 31856 w 40176"/>
                            <a:gd name="T19" fmla="*/ 37119 h 56820"/>
                            <a:gd name="T20" fmla="*/ 32175 w 40176"/>
                            <a:gd name="T21" fmla="*/ 31006 h 56820"/>
                            <a:gd name="T22" fmla="*/ 38291 w 40176"/>
                            <a:gd name="T23" fmla="*/ 31327 h 56820"/>
                            <a:gd name="T24" fmla="*/ 37977 w 40176"/>
                            <a:gd name="T25" fmla="*/ 37292 h 56820"/>
                            <a:gd name="T26" fmla="*/ 38263 w 40176"/>
                            <a:gd name="T27" fmla="*/ 37292 h 56820"/>
                            <a:gd name="T28" fmla="*/ 38263 w 40176"/>
                            <a:gd name="T29" fmla="*/ 56820 h 56820"/>
                            <a:gd name="T30" fmla="*/ 40176 w 40176"/>
                            <a:gd name="T31" fmla="*/ 56820 h 56820"/>
                            <a:gd name="T32" fmla="*/ 40176 w 40176"/>
                            <a:gd name="T33" fmla="*/ 0 h 56820"/>
                            <a:gd name="T34" fmla="*/ 0 w 40176"/>
                            <a:gd name="T35" fmla="*/ 0 h 56820"/>
                            <a:gd name="T36" fmla="*/ 25837 w 40176"/>
                            <a:gd name="T37" fmla="*/ 31623 h 56820"/>
                            <a:gd name="T38" fmla="*/ 25622 w 40176"/>
                            <a:gd name="T39" fmla="*/ 25505 h 56820"/>
                            <a:gd name="T40" fmla="*/ 31741 w 40176"/>
                            <a:gd name="T41" fmla="*/ 25292 h 56820"/>
                            <a:gd name="T42" fmla="*/ 31956 w 40176"/>
                            <a:gd name="T43" fmla="*/ 31410 h 56820"/>
                            <a:gd name="T44" fmla="*/ 25837 w 40176"/>
                            <a:gd name="T45" fmla="*/ 31623 h 56820"/>
                            <a:gd name="T46" fmla="*/ 38267 w 40176"/>
                            <a:gd name="T47" fmla="*/ 30999 h 56820"/>
                            <a:gd name="T48" fmla="*/ 32149 w 40176"/>
                            <a:gd name="T49" fmla="*/ 30786 h 56820"/>
                            <a:gd name="T50" fmla="*/ 32364 w 40176"/>
                            <a:gd name="T51" fmla="*/ 24668 h 56820"/>
                            <a:gd name="T52" fmla="*/ 38482 w 40176"/>
                            <a:gd name="T53" fmla="*/ 24881 h 56820"/>
                            <a:gd name="T54" fmla="*/ 38267 w 40176"/>
                            <a:gd name="T55" fmla="*/ 30999 h 56820"/>
                            <a:gd name="T56" fmla="*/ 33108 w 40176"/>
                            <a:gd name="T57" fmla="*/ 24484 h 56820"/>
                            <a:gd name="T58" fmla="*/ 32045 w 40176"/>
                            <a:gd name="T59" fmla="*/ 18453 h 56820"/>
                            <a:gd name="T60" fmla="*/ 38074 w 40176"/>
                            <a:gd name="T61" fmla="*/ 17390 h 56820"/>
                            <a:gd name="T62" fmla="*/ 39137 w 40176"/>
                            <a:gd name="T63" fmla="*/ 23421 h 56820"/>
                            <a:gd name="T64" fmla="*/ 33108 w 40176"/>
                            <a:gd name="T65" fmla="*/ 24484 h 56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176" h="56820">
                              <a:moveTo>
                                <a:pt x="0" y="0"/>
                              </a:moveTo>
                              <a:lnTo>
                                <a:pt x="0" y="18940"/>
                              </a:lnTo>
                              <a:lnTo>
                                <a:pt x="18748" y="18940"/>
                              </a:lnTo>
                              <a:lnTo>
                                <a:pt x="25126" y="18522"/>
                              </a:lnTo>
                              <a:lnTo>
                                <a:pt x="25509" y="25441"/>
                              </a:lnTo>
                              <a:lnTo>
                                <a:pt x="25509" y="31675"/>
                              </a:lnTo>
                              <a:lnTo>
                                <a:pt x="31615" y="31675"/>
                              </a:lnTo>
                              <a:lnTo>
                                <a:pt x="31615" y="37292"/>
                              </a:lnTo>
                              <a:lnTo>
                                <a:pt x="35119" y="37292"/>
                              </a:lnTo>
                              <a:lnTo>
                                <a:pt x="31856" y="37119"/>
                              </a:lnTo>
                              <a:lnTo>
                                <a:pt x="32175" y="31006"/>
                              </a:lnTo>
                              <a:lnTo>
                                <a:pt x="38291" y="31327"/>
                              </a:lnTo>
                              <a:lnTo>
                                <a:pt x="37977" y="37292"/>
                              </a:lnTo>
                              <a:lnTo>
                                <a:pt x="38263" y="37292"/>
                              </a:lnTo>
                              <a:lnTo>
                                <a:pt x="38263" y="56820"/>
                              </a:lnTo>
                              <a:lnTo>
                                <a:pt x="40176" y="56820"/>
                              </a:lnTo>
                              <a:lnTo>
                                <a:pt x="40176" y="0"/>
                              </a:lnTo>
                              <a:lnTo>
                                <a:pt x="0" y="0"/>
                              </a:lnTo>
                              <a:close/>
                              <a:moveTo>
                                <a:pt x="25837" y="31623"/>
                              </a:moveTo>
                              <a:lnTo>
                                <a:pt x="25622" y="25505"/>
                              </a:lnTo>
                              <a:lnTo>
                                <a:pt x="31741" y="25292"/>
                              </a:lnTo>
                              <a:lnTo>
                                <a:pt x="31956" y="31410"/>
                              </a:lnTo>
                              <a:lnTo>
                                <a:pt x="25837" y="31623"/>
                              </a:lnTo>
                              <a:close/>
                              <a:moveTo>
                                <a:pt x="38267" y="30999"/>
                              </a:moveTo>
                              <a:lnTo>
                                <a:pt x="32149" y="30786"/>
                              </a:lnTo>
                              <a:lnTo>
                                <a:pt x="32364" y="24668"/>
                              </a:lnTo>
                              <a:lnTo>
                                <a:pt x="38482" y="24881"/>
                              </a:lnTo>
                              <a:lnTo>
                                <a:pt x="38267" y="30999"/>
                              </a:lnTo>
                              <a:close/>
                              <a:moveTo>
                                <a:pt x="33108" y="24484"/>
                              </a:moveTo>
                              <a:lnTo>
                                <a:pt x="32045" y="18453"/>
                              </a:lnTo>
                              <a:lnTo>
                                <a:pt x="38074" y="17390"/>
                              </a:lnTo>
                              <a:lnTo>
                                <a:pt x="39137" y="23421"/>
                              </a:lnTo>
                              <a:lnTo>
                                <a:pt x="33108" y="24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sk" o:spid="_x0000_s1026" style="position:absolute;margin-left:0;margin-top:0;width:595.3pt;height:841.9pt;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" path="m,l,18940r18748,l25126,18522r383,6919l25509,31675r6106,l31615,37292r3504,l31856,37119r319,-6113l38291,31327r-314,5965l38263,37292r,19528l40176,56820,40176,,,xm25837,31623r-215,-6118l31741,25292r215,6118l25837,31623xm38267,30999r-6118,-213l32364,24668r6118,213l38267,30999xm33108,24484l32045,18453r6029,-1063l39137,23421r-6029,1063xe" stroked="f">
                <v:path arrowok="t" o:connecttype="custom" o:connectlocs="0,0;0,3564043;3527994,3564043;4728205,3485386;4800277,4787372;4800277,5960458;5949303,5960458;5949303,7017439;6608685,7017439;5994654,6984885;6054684,5834569;7205591,5894973;7146503,7017439;7200322,7017439;7200322,10692130;7560310,10692130;7560310,0;0,0;4862000,5950673;4821542,4799415;5973014,4759334;6013472,5910591;4862000,5950673;7201075,5833251;6049791,5793170;6090250,4641912;7241533,4681994;7201075,5833251;6230255,4607288;6030220,3472402;7164756,3272371;7364791,4407258;6230255,4607288" o:connectangles="0,0,0,0,0,0,0,0,0,0,0,0,0,0,0,0,0,0,0,0,0,0,0,0,0,0,0,0,0,0,0,0,0"/>
                <o:lock v:ext="edit" aspectratio="t" verticies="t"/>
                <w10:wrap anchorx="page" anchory="page"/>
                <w10:anchorlock/>
              </v:shape>
            </w:pict>
          </mc:Fallback>
        </mc:AlternateContent>
      </w:r>
    </w:p>
    <w:p w:rsidR="0097609C" w:rsidRPr="001F29E3" w:rsidRDefault="0097609C" w:rsidP="00DA3526">
      <w:pPr>
        <w:rPr>
          <w:rFonts w:cs="Arial"/>
        </w:rPr>
      </w:pPr>
    </w:p>
    <w:p w:rsidR="0097609C" w:rsidRPr="00FD41DF" w:rsidRDefault="0097609C" w:rsidP="00DA3526">
      <w:pPr>
        <w:rPr>
          <w:rFonts w:cs="Arial"/>
        </w:rPr>
      </w:pPr>
    </w:p>
    <w:p w:rsidR="0097609C" w:rsidRPr="001F29E3" w:rsidRDefault="0097609C" w:rsidP="00DA3526">
      <w:pPr>
        <w:rPr>
          <w:rFonts w:cs="Arial"/>
        </w:rPr>
        <w:sectPr w:rsidR="0097609C" w:rsidRPr="001F29E3" w:rsidSect="002D6A3A">
          <w:headerReference w:type="even" r:id="rId15"/>
          <w:headerReference w:type="default" r:id="rId16"/>
          <w:footerReference w:type="even" r:id="rId17"/>
          <w:footerReference w:type="default" r:id="rId18"/>
          <w:headerReference w:type="first" r:id="rId19"/>
          <w:footerReference w:type="first" r:id="rId20"/>
          <w:pgSz w:w="11907" w:h="16840" w:code="9"/>
          <w:pgMar w:top="471" w:right="346" w:bottom="12106" w:left="7938" w:header="136" w:footer="709" w:gutter="0"/>
          <w:cols w:space="708"/>
          <w:titlePg/>
          <w:docGrid w:linePitch="360"/>
        </w:sect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rPr>
          <w:rFonts w:cs="Arial"/>
        </w:rPr>
      </w:pPr>
    </w:p>
    <w:p w:rsidR="00AD4AE7" w:rsidRPr="001F29E3" w:rsidRDefault="00AD4AE7" w:rsidP="00DA3526">
      <w:pPr>
        <w:pStyle w:val="CopyrightDetailsBold"/>
        <w:jc w:val="left"/>
        <w:rPr>
          <w:rFonts w:cs="Arial"/>
        </w:rPr>
      </w:pPr>
      <w:r w:rsidRPr="001F29E3">
        <w:rPr>
          <w:rFonts w:cs="Arial"/>
        </w:rPr>
        <w:t>Prepared by Department of Education and</w:t>
      </w:r>
      <w:r w:rsidRPr="001F29E3">
        <w:rPr>
          <w:rFonts w:cs="Arial"/>
        </w:rPr>
        <w:br/>
        <w:t>Early Childhood Development</w:t>
      </w:r>
    </w:p>
    <w:p w:rsidR="00AD4AE7" w:rsidRPr="001F29E3" w:rsidRDefault="00AD4AE7" w:rsidP="00DA3526">
      <w:pPr>
        <w:pStyle w:val="CopyrightDetails"/>
        <w:jc w:val="left"/>
        <w:rPr>
          <w:rFonts w:cs="Arial"/>
        </w:rPr>
      </w:pPr>
      <w:r w:rsidRPr="001F29E3">
        <w:rPr>
          <w:rFonts w:cs="Arial"/>
        </w:rPr>
        <w:t>Melbourne</w:t>
      </w:r>
      <w:r w:rsidRPr="001F29E3">
        <w:rPr>
          <w:rFonts w:cs="Arial"/>
        </w:rPr>
        <w:br/>
      </w:r>
      <w:r w:rsidR="004A4BF5">
        <w:rPr>
          <w:rFonts w:cs="Arial"/>
        </w:rPr>
        <w:t>June</w:t>
      </w:r>
      <w:r w:rsidR="00814926">
        <w:rPr>
          <w:rFonts w:cs="Arial"/>
        </w:rPr>
        <w:t xml:space="preserve"> </w:t>
      </w:r>
      <w:r w:rsidRPr="005C0406">
        <w:rPr>
          <w:rFonts w:cs="Arial"/>
        </w:rPr>
        <w:t>201</w:t>
      </w:r>
      <w:r w:rsidR="00814926">
        <w:rPr>
          <w:rFonts w:cs="Arial"/>
        </w:rPr>
        <w:t>4</w:t>
      </w:r>
    </w:p>
    <w:p w:rsidR="00AD4AE7" w:rsidRPr="001F29E3" w:rsidRDefault="00AD4AE7" w:rsidP="00DA3526">
      <w:pPr>
        <w:pStyle w:val="CopyrightDetails"/>
        <w:jc w:val="left"/>
        <w:rPr>
          <w:rFonts w:cs="Arial"/>
        </w:rPr>
      </w:pPr>
    </w:p>
    <w:p w:rsidR="00AD4AE7" w:rsidRPr="001F29E3" w:rsidRDefault="00AD4AE7" w:rsidP="00DA3526">
      <w:pPr>
        <w:pStyle w:val="CopyrightDetails"/>
        <w:jc w:val="left"/>
        <w:rPr>
          <w:rFonts w:cs="Arial"/>
        </w:rPr>
      </w:pPr>
      <w:r w:rsidRPr="001F29E3">
        <w:rPr>
          <w:rFonts w:cs="Arial"/>
        </w:rPr>
        <w:t>©State of Victoria (Department of Education</w:t>
      </w:r>
      <w:r w:rsidRPr="001F29E3">
        <w:rPr>
          <w:rFonts w:cs="Arial"/>
        </w:rPr>
        <w:br/>
        <w:t>and Early Childhood Development) 201</w:t>
      </w:r>
      <w:r w:rsidR="00464995">
        <w:rPr>
          <w:rFonts w:cs="Arial"/>
        </w:rPr>
        <w:t>4</w:t>
      </w:r>
    </w:p>
    <w:p w:rsidR="00AD4AE7" w:rsidRPr="001F29E3" w:rsidRDefault="00AD4AE7" w:rsidP="00DA3526">
      <w:pPr>
        <w:pStyle w:val="CopyrightDetails"/>
        <w:jc w:val="left"/>
        <w:rPr>
          <w:rFonts w:cs="Arial"/>
        </w:rPr>
      </w:pPr>
    </w:p>
    <w:p w:rsidR="00AD4AE7" w:rsidRPr="001F29E3" w:rsidRDefault="00AD4AE7" w:rsidP="00DA3526">
      <w:pPr>
        <w:pStyle w:val="CopyrightDetails"/>
        <w:jc w:val="left"/>
        <w:rPr>
          <w:rFonts w:cs="Arial"/>
        </w:rPr>
      </w:pPr>
      <w:r w:rsidRPr="001F29E3">
        <w:rPr>
          <w:rFonts w:cs="Arial"/>
        </w:rPr>
        <w:t>The copyright in this document is owned by the State of Victoria (Department of Education and Early Childhood Development), or in the case of some materials, by third parties (third party materials). No part may be reproduced by any process except in accordance with the provisions of the Copyright Act 1968, the National Education Access Licence for Schools (NEALS) (see below) or with permission.</w:t>
      </w:r>
    </w:p>
    <w:p w:rsidR="00AD4AE7" w:rsidRPr="001F29E3" w:rsidRDefault="00AD4AE7" w:rsidP="00DA3526">
      <w:pPr>
        <w:pStyle w:val="CopyrightDetails"/>
        <w:jc w:val="left"/>
        <w:rPr>
          <w:rFonts w:cs="Arial"/>
        </w:rPr>
      </w:pPr>
    </w:p>
    <w:p w:rsidR="00AD4AE7" w:rsidRPr="001F29E3" w:rsidRDefault="00AD4AE7" w:rsidP="00DA3526">
      <w:pPr>
        <w:pStyle w:val="CopyrightDetails-Logo"/>
        <w:jc w:val="left"/>
        <w:rPr>
          <w:rFonts w:cs="Arial"/>
        </w:rPr>
      </w:pPr>
    </w:p>
    <w:p w:rsidR="00AD4AE7" w:rsidRPr="001F29E3" w:rsidRDefault="00AD4AE7" w:rsidP="00DA3526">
      <w:pPr>
        <w:pStyle w:val="CopyrightDetails"/>
        <w:jc w:val="left"/>
        <w:rPr>
          <w:rFonts w:cs="Arial"/>
        </w:rPr>
      </w:pPr>
    </w:p>
    <w:p w:rsidR="00AD4AE7" w:rsidRPr="001F29E3" w:rsidRDefault="00AD4AE7" w:rsidP="00DA3526">
      <w:pPr>
        <w:pStyle w:val="CopyrightDetails"/>
        <w:jc w:val="left"/>
        <w:rPr>
          <w:rFonts w:cs="Arial"/>
        </w:rPr>
      </w:pPr>
      <w:r w:rsidRPr="001F29E3">
        <w:rPr>
          <w:rFonts w:cs="Arial"/>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rsidR="00AD4AE7" w:rsidRPr="001F29E3" w:rsidRDefault="00AD4AE7" w:rsidP="00DA3526">
      <w:pPr>
        <w:pStyle w:val="CopyrightDetails"/>
        <w:jc w:val="left"/>
        <w:rPr>
          <w:rFonts w:cs="Arial"/>
        </w:rPr>
      </w:pPr>
    </w:p>
    <w:p w:rsidR="00F87392" w:rsidRPr="001F29E3" w:rsidRDefault="00AD4AE7" w:rsidP="00DA3526">
      <w:pPr>
        <w:pStyle w:val="CopyrightDetails"/>
        <w:jc w:val="left"/>
        <w:rPr>
          <w:rFonts w:cs="Arial"/>
        </w:rPr>
      </w:pPr>
      <w:r w:rsidRPr="001F29E3">
        <w:rPr>
          <w:rFonts w:cs="Arial"/>
        </w:rPr>
        <w:t>Authorised by the Department of Education</w:t>
      </w:r>
      <w:r w:rsidRPr="001F29E3">
        <w:rPr>
          <w:rFonts w:cs="Arial"/>
        </w:rPr>
        <w:br/>
        <w:t>and Early Childhood Development</w:t>
      </w:r>
      <w:r w:rsidR="001A1AD1" w:rsidRPr="001F29E3">
        <w:rPr>
          <w:rFonts w:cs="Arial"/>
        </w:rPr>
        <w:t xml:space="preserve">, </w:t>
      </w:r>
      <w:r w:rsidRPr="001F29E3">
        <w:rPr>
          <w:rFonts w:cs="Arial"/>
        </w:rPr>
        <w:br/>
        <w:t>2 Treasury Place, East Melbourne, Victoria, 300</w:t>
      </w:r>
      <w:r w:rsidR="00CA03C0" w:rsidRPr="001F29E3">
        <w:rPr>
          <w:rFonts w:cs="Arial"/>
        </w:rPr>
        <w:t>2</w:t>
      </w:r>
    </w:p>
    <w:p w:rsidR="00AD4AE7" w:rsidRDefault="00AD4AE7" w:rsidP="00DA3526">
      <w:pPr>
        <w:rPr>
          <w:rFonts w:cs="Arial"/>
        </w:rPr>
      </w:pPr>
    </w:p>
    <w:p w:rsidR="00EE6D19" w:rsidRDefault="00EE6D19" w:rsidP="00DA3526">
      <w:pPr>
        <w:rPr>
          <w:rFonts w:cs="Arial"/>
        </w:rPr>
      </w:pPr>
      <w:r>
        <w:rPr>
          <w:rFonts w:cs="Arial"/>
        </w:rPr>
        <w:t>This document is also available on the internet at</w:t>
      </w:r>
    </w:p>
    <w:p w:rsidR="00EE6D19" w:rsidRPr="001F29E3" w:rsidRDefault="00EE6D19" w:rsidP="00DA3526">
      <w:pPr>
        <w:rPr>
          <w:rFonts w:cs="Arial"/>
        </w:rPr>
        <w:sectPr w:rsidR="00EE6D19" w:rsidRPr="001F29E3" w:rsidSect="002D6A3A">
          <w:headerReference w:type="even" r:id="rId21"/>
          <w:headerReference w:type="default" r:id="rId22"/>
          <w:footerReference w:type="even" r:id="rId23"/>
          <w:footerReference w:type="default" r:id="rId24"/>
          <w:headerReference w:type="first" r:id="rId25"/>
          <w:footerReference w:type="first" r:id="rId26"/>
          <w:pgSz w:w="11907" w:h="16840" w:code="9"/>
          <w:pgMar w:top="907" w:right="4536" w:bottom="1009" w:left="1707" w:header="420" w:footer="216" w:gutter="0"/>
          <w:cols w:space="708"/>
          <w:docGrid w:linePitch="360"/>
        </w:sectPr>
      </w:pPr>
      <w:r w:rsidRPr="00EE6D19">
        <w:rPr>
          <w:rFonts w:cs="Arial"/>
        </w:rPr>
        <w:t>http://www.education.vic.gov.au/training/providers/market/Pages/reports.aspx</w:t>
      </w:r>
    </w:p>
    <w:p w:rsidR="00B4686E" w:rsidRPr="002F5669" w:rsidRDefault="00B4686E">
      <w:pPr>
        <w:pStyle w:val="TOC1"/>
        <w:rPr>
          <w:rFonts w:ascii="Arial" w:hAnsi="Arial"/>
          <w:b w:val="0"/>
          <w:bCs w:val="0"/>
          <w:caps w:val="0"/>
          <w:noProof w:val="0"/>
          <w:color w:val="365F91" w:themeColor="accent1" w:themeShade="BF"/>
          <w:spacing w:val="-12"/>
          <w:sz w:val="46"/>
          <w:szCs w:val="46"/>
        </w:rPr>
      </w:pPr>
      <w:r w:rsidRPr="002F5669">
        <w:rPr>
          <w:rFonts w:ascii="Arial" w:hAnsi="Arial"/>
          <w:b w:val="0"/>
          <w:bCs w:val="0"/>
          <w:caps w:val="0"/>
          <w:noProof w:val="0"/>
          <w:color w:val="365F91" w:themeColor="accent1" w:themeShade="BF"/>
          <w:spacing w:val="-12"/>
          <w:sz w:val="46"/>
          <w:szCs w:val="46"/>
        </w:rPr>
        <w:t>Contents</w:t>
      </w:r>
    </w:p>
    <w:p w:rsidR="00C15A15" w:rsidRDefault="00C15A15" w:rsidP="00C15A15"/>
    <w:p w:rsidR="004E0101" w:rsidRDefault="004E0101" w:rsidP="00C15A15"/>
    <w:p w:rsidR="004E0101" w:rsidRPr="00C15A15" w:rsidRDefault="004E0101" w:rsidP="00C15A15"/>
    <w:p w:rsidR="000D420A" w:rsidRPr="00DA36B8" w:rsidRDefault="0020796B" w:rsidP="00DA36B8">
      <w:pPr>
        <w:pStyle w:val="TOC2"/>
        <w:tabs>
          <w:tab w:val="left" w:pos="8505"/>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color w:val="000000" w:themeColor="text1"/>
          <w:sz w:val="22"/>
          <w:szCs w:val="22"/>
        </w:rPr>
        <w:fldChar w:fldCharType="begin"/>
      </w:r>
      <w:r w:rsidRPr="00DA36B8">
        <w:rPr>
          <w:rFonts w:ascii="Arial" w:hAnsi="Arial" w:cs="Arial"/>
          <w:color w:val="000000" w:themeColor="text1"/>
          <w:sz w:val="22"/>
          <w:szCs w:val="22"/>
        </w:rPr>
        <w:instrText xml:space="preserve"> TOC \o "1-2" </w:instrText>
      </w:r>
      <w:r w:rsidRPr="00DA36B8">
        <w:rPr>
          <w:rFonts w:ascii="Arial" w:hAnsi="Arial" w:cs="Arial"/>
          <w:color w:val="000000" w:themeColor="text1"/>
          <w:sz w:val="22"/>
          <w:szCs w:val="22"/>
        </w:rPr>
        <w:fldChar w:fldCharType="separate"/>
      </w:r>
    </w:p>
    <w:p w:rsidR="000D420A" w:rsidRPr="00DA36B8" w:rsidRDefault="000D420A" w:rsidP="00DA36B8">
      <w:pPr>
        <w:pStyle w:val="TOC1"/>
        <w:tabs>
          <w:tab w:val="clear" w:pos="6698"/>
          <w:tab w:val="right" w:pos="8789"/>
        </w:tabs>
        <w:spacing w:beforeLines="60" w:before="144" w:afterLines="60" w:after="144"/>
        <w:rPr>
          <w:rFonts w:ascii="Arial" w:eastAsiaTheme="minorEastAsia" w:hAnsi="Arial"/>
          <w:b w:val="0"/>
          <w:bCs w:val="0"/>
          <w:caps w:val="0"/>
          <w:color w:val="000000" w:themeColor="text1"/>
          <w:sz w:val="22"/>
          <w:szCs w:val="22"/>
          <w:lang w:eastAsia="en-AU"/>
        </w:rPr>
      </w:pPr>
      <w:r w:rsidRPr="00DA36B8">
        <w:rPr>
          <w:rFonts w:ascii="Arial" w:hAnsi="Arial"/>
          <w:color w:val="000000" w:themeColor="text1"/>
          <w:sz w:val="22"/>
          <w:szCs w:val="22"/>
        </w:rPr>
        <w:t>Executive Summary</w:t>
      </w:r>
      <w:r w:rsidRPr="00DA36B8">
        <w:rPr>
          <w:rFonts w:ascii="Arial" w:hAnsi="Arial"/>
          <w:color w:val="000000" w:themeColor="text1"/>
          <w:sz w:val="22"/>
          <w:szCs w:val="22"/>
        </w:rPr>
        <w:tab/>
      </w:r>
      <w:r w:rsidRPr="00DA36B8">
        <w:rPr>
          <w:rFonts w:ascii="Arial" w:hAnsi="Arial"/>
          <w:color w:val="000000" w:themeColor="text1"/>
          <w:sz w:val="22"/>
          <w:szCs w:val="22"/>
        </w:rPr>
        <w:fldChar w:fldCharType="begin"/>
      </w:r>
      <w:r w:rsidRPr="00DA36B8">
        <w:rPr>
          <w:rFonts w:ascii="Arial" w:hAnsi="Arial"/>
          <w:color w:val="000000" w:themeColor="text1"/>
          <w:sz w:val="22"/>
          <w:szCs w:val="22"/>
        </w:rPr>
        <w:instrText xml:space="preserve"> PAGEREF _Toc388340438 \h </w:instrText>
      </w:r>
      <w:r w:rsidRPr="00DA36B8">
        <w:rPr>
          <w:rFonts w:ascii="Arial" w:hAnsi="Arial"/>
          <w:color w:val="000000" w:themeColor="text1"/>
          <w:sz w:val="22"/>
          <w:szCs w:val="22"/>
        </w:rPr>
      </w:r>
      <w:r w:rsidRPr="00DA36B8">
        <w:rPr>
          <w:rFonts w:ascii="Arial" w:hAnsi="Arial"/>
          <w:color w:val="000000" w:themeColor="text1"/>
          <w:sz w:val="22"/>
          <w:szCs w:val="22"/>
        </w:rPr>
        <w:fldChar w:fldCharType="separate"/>
      </w:r>
      <w:r w:rsidR="00667D45">
        <w:rPr>
          <w:rFonts w:ascii="Arial" w:hAnsi="Arial"/>
          <w:color w:val="000000" w:themeColor="text1"/>
          <w:sz w:val="22"/>
          <w:szCs w:val="22"/>
        </w:rPr>
        <w:t>7</w:t>
      </w:r>
      <w:r w:rsidRPr="00DA36B8">
        <w:rPr>
          <w:rFonts w:ascii="Arial" w:hAnsi="Arial"/>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Notes about the data</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_Toc388340439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9</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Reporting scope</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_Toc388340440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9</w:t>
      </w:r>
      <w:r w:rsidRPr="00DA36B8">
        <w:rPr>
          <w:rFonts w:ascii="Arial" w:hAnsi="Arial" w:cs="Arial"/>
          <w:noProof/>
          <w:color w:val="000000" w:themeColor="text1"/>
          <w:sz w:val="22"/>
          <w:szCs w:val="22"/>
        </w:rPr>
        <w:fldChar w:fldCharType="end"/>
      </w:r>
    </w:p>
    <w:p w:rsidR="000D420A" w:rsidRPr="00DA36B8" w:rsidRDefault="000D420A" w:rsidP="00DA36B8">
      <w:pPr>
        <w:pStyle w:val="TOC1"/>
        <w:tabs>
          <w:tab w:val="clear" w:pos="6698"/>
          <w:tab w:val="right" w:pos="8789"/>
        </w:tabs>
        <w:spacing w:beforeLines="60" w:before="144" w:afterLines="60" w:after="144"/>
        <w:rPr>
          <w:rFonts w:ascii="Arial" w:eastAsiaTheme="minorEastAsia" w:hAnsi="Arial"/>
          <w:b w:val="0"/>
          <w:bCs w:val="0"/>
          <w:caps w:val="0"/>
          <w:color w:val="000000" w:themeColor="text1"/>
          <w:sz w:val="22"/>
          <w:szCs w:val="22"/>
          <w:lang w:eastAsia="en-AU"/>
        </w:rPr>
      </w:pPr>
      <w:r w:rsidRPr="00DA36B8">
        <w:rPr>
          <w:rFonts w:ascii="Arial" w:hAnsi="Arial"/>
          <w:color w:val="000000" w:themeColor="text1"/>
          <w:sz w:val="22"/>
          <w:szCs w:val="22"/>
        </w:rPr>
        <w:t>Vocational Training Summary</w:t>
      </w:r>
      <w:r w:rsidRPr="00DA36B8">
        <w:rPr>
          <w:rFonts w:ascii="Arial" w:hAnsi="Arial"/>
          <w:color w:val="000000" w:themeColor="text1"/>
          <w:sz w:val="22"/>
          <w:szCs w:val="22"/>
        </w:rPr>
        <w:tab/>
      </w:r>
      <w:r w:rsidRPr="00DA36B8">
        <w:rPr>
          <w:rFonts w:ascii="Arial" w:hAnsi="Arial"/>
          <w:color w:val="000000" w:themeColor="text1"/>
          <w:sz w:val="22"/>
          <w:szCs w:val="22"/>
        </w:rPr>
        <w:fldChar w:fldCharType="begin"/>
      </w:r>
      <w:r w:rsidRPr="00DA36B8">
        <w:rPr>
          <w:rFonts w:ascii="Arial" w:hAnsi="Arial"/>
          <w:color w:val="000000" w:themeColor="text1"/>
          <w:sz w:val="22"/>
          <w:szCs w:val="22"/>
        </w:rPr>
        <w:instrText xml:space="preserve"> PAGEREF _Toc388340441 \h </w:instrText>
      </w:r>
      <w:r w:rsidRPr="00DA36B8">
        <w:rPr>
          <w:rFonts w:ascii="Arial" w:hAnsi="Arial"/>
          <w:color w:val="000000" w:themeColor="text1"/>
          <w:sz w:val="22"/>
          <w:szCs w:val="22"/>
        </w:rPr>
      </w:r>
      <w:r w:rsidRPr="00DA36B8">
        <w:rPr>
          <w:rFonts w:ascii="Arial" w:hAnsi="Arial"/>
          <w:color w:val="000000" w:themeColor="text1"/>
          <w:sz w:val="22"/>
          <w:szCs w:val="22"/>
        </w:rPr>
        <w:fldChar w:fldCharType="separate"/>
      </w:r>
      <w:r w:rsidR="00667D45">
        <w:rPr>
          <w:rFonts w:ascii="Arial" w:hAnsi="Arial"/>
          <w:color w:val="000000" w:themeColor="text1"/>
          <w:sz w:val="22"/>
          <w:szCs w:val="22"/>
        </w:rPr>
        <w:t>11</w:t>
      </w:r>
      <w:r w:rsidRPr="00DA36B8">
        <w:rPr>
          <w:rFonts w:ascii="Arial" w:hAnsi="Arial"/>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Vocational Training by Funding Type</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_Toc388340442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11</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Qualification Levels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_Toc388340443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14</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Vocational Training Completions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_Toc388340444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18</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Age Profile</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_Toc388340445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21</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Gender Profile</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_Toc388340446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23</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Government Subsidised Activity and Participation by Regions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_Toc388340447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24</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Government Subsidised Delivery by Provider Type</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_Toc388340448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30</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Learn Local Performance</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_Toc388340449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34</w:t>
      </w:r>
      <w:r w:rsidRPr="00DA36B8">
        <w:rPr>
          <w:rFonts w:ascii="Arial" w:hAnsi="Arial" w:cs="Arial"/>
          <w:noProof/>
          <w:color w:val="000000" w:themeColor="text1"/>
          <w:sz w:val="22"/>
          <w:szCs w:val="22"/>
        </w:rPr>
        <w:fldChar w:fldCharType="end"/>
      </w:r>
    </w:p>
    <w:p w:rsidR="000D420A" w:rsidRPr="00DA36B8" w:rsidRDefault="000D420A" w:rsidP="00DA36B8">
      <w:pPr>
        <w:pStyle w:val="TOC1"/>
        <w:tabs>
          <w:tab w:val="clear" w:pos="6698"/>
          <w:tab w:val="right" w:pos="8789"/>
        </w:tabs>
        <w:spacing w:beforeLines="60" w:before="144" w:afterLines="60" w:after="144"/>
        <w:rPr>
          <w:rFonts w:ascii="Arial" w:eastAsiaTheme="minorEastAsia" w:hAnsi="Arial"/>
          <w:b w:val="0"/>
          <w:bCs w:val="0"/>
          <w:caps w:val="0"/>
          <w:color w:val="000000" w:themeColor="text1"/>
          <w:sz w:val="22"/>
          <w:szCs w:val="22"/>
          <w:lang w:eastAsia="en-AU"/>
        </w:rPr>
      </w:pPr>
      <w:r w:rsidRPr="00DA36B8">
        <w:rPr>
          <w:rFonts w:ascii="Arial" w:hAnsi="Arial"/>
          <w:color w:val="000000" w:themeColor="text1"/>
          <w:sz w:val="22"/>
          <w:szCs w:val="22"/>
        </w:rPr>
        <w:t>Learners Facing Barriers to Participation</w:t>
      </w:r>
      <w:r w:rsidRPr="00DA36B8">
        <w:rPr>
          <w:rFonts w:ascii="Arial" w:hAnsi="Arial"/>
          <w:color w:val="000000" w:themeColor="text1"/>
          <w:sz w:val="22"/>
          <w:szCs w:val="22"/>
        </w:rPr>
        <w:tab/>
      </w:r>
      <w:r w:rsidRPr="00DA36B8">
        <w:rPr>
          <w:rFonts w:ascii="Arial" w:hAnsi="Arial"/>
          <w:color w:val="000000" w:themeColor="text1"/>
          <w:sz w:val="22"/>
          <w:szCs w:val="22"/>
        </w:rPr>
        <w:fldChar w:fldCharType="begin"/>
      </w:r>
      <w:r w:rsidRPr="00DA36B8">
        <w:rPr>
          <w:rFonts w:ascii="Arial" w:hAnsi="Arial"/>
          <w:color w:val="000000" w:themeColor="text1"/>
          <w:sz w:val="22"/>
          <w:szCs w:val="22"/>
        </w:rPr>
        <w:instrText xml:space="preserve"> PAGEREF _Toc388340450 \h </w:instrText>
      </w:r>
      <w:r w:rsidRPr="00DA36B8">
        <w:rPr>
          <w:rFonts w:ascii="Arial" w:hAnsi="Arial"/>
          <w:color w:val="000000" w:themeColor="text1"/>
          <w:sz w:val="22"/>
          <w:szCs w:val="22"/>
        </w:rPr>
      </w:r>
      <w:r w:rsidRPr="00DA36B8">
        <w:rPr>
          <w:rFonts w:ascii="Arial" w:hAnsi="Arial"/>
          <w:color w:val="000000" w:themeColor="text1"/>
          <w:sz w:val="22"/>
          <w:szCs w:val="22"/>
        </w:rPr>
        <w:fldChar w:fldCharType="separate"/>
      </w:r>
      <w:r w:rsidR="00667D45">
        <w:rPr>
          <w:rFonts w:ascii="Arial" w:hAnsi="Arial"/>
          <w:color w:val="000000" w:themeColor="text1"/>
          <w:sz w:val="22"/>
          <w:szCs w:val="22"/>
        </w:rPr>
        <w:t>41</w:t>
      </w:r>
      <w:r w:rsidRPr="00DA36B8">
        <w:rPr>
          <w:rFonts w:ascii="Arial" w:hAnsi="Arial"/>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Vocational Training Delivery to Learner Cohorts Facing Barriers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_Toc388340451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41</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Indigenous Students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_Toc388340452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43</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Students with a Disability</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_Toc388340453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44</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Students with a Culturally and Linguistically Diverse (CALD) Background</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_Toc388340454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45</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Unemployed Students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_Toc388340455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46</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Young People (Aged 15 to 19) without Year 12 or Equivalent and Not at School</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_Toc388340456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47</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Students with Low Prior Qualifications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_Toc388340457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48</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Foundation Level Training</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_Toc388340458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49</w:t>
      </w:r>
      <w:r w:rsidRPr="00DA36B8">
        <w:rPr>
          <w:rFonts w:ascii="Arial" w:hAnsi="Arial" w:cs="Arial"/>
          <w:noProof/>
          <w:color w:val="000000" w:themeColor="text1"/>
          <w:sz w:val="22"/>
          <w:szCs w:val="22"/>
        </w:rPr>
        <w:fldChar w:fldCharType="end"/>
      </w:r>
    </w:p>
    <w:p w:rsidR="000D420A" w:rsidRPr="00DA36B8" w:rsidRDefault="000D420A" w:rsidP="00DA36B8">
      <w:pPr>
        <w:pStyle w:val="TOC1"/>
        <w:tabs>
          <w:tab w:val="clear" w:pos="6698"/>
          <w:tab w:val="right" w:pos="8789"/>
        </w:tabs>
        <w:spacing w:beforeLines="60" w:before="144" w:afterLines="60" w:after="144"/>
        <w:rPr>
          <w:rFonts w:ascii="Arial" w:eastAsiaTheme="minorEastAsia" w:hAnsi="Arial"/>
          <w:b w:val="0"/>
          <w:bCs w:val="0"/>
          <w:caps w:val="0"/>
          <w:color w:val="000000" w:themeColor="text1"/>
          <w:sz w:val="22"/>
          <w:szCs w:val="22"/>
          <w:lang w:eastAsia="en-AU"/>
        </w:rPr>
      </w:pPr>
      <w:r w:rsidRPr="00DA36B8">
        <w:rPr>
          <w:rFonts w:ascii="Arial" w:hAnsi="Arial"/>
          <w:color w:val="000000" w:themeColor="text1"/>
          <w:sz w:val="22"/>
          <w:szCs w:val="22"/>
        </w:rPr>
        <w:t>Alignment of Training to Industry Skills Needs</w:t>
      </w:r>
      <w:r w:rsidRPr="00DA36B8">
        <w:rPr>
          <w:rFonts w:ascii="Arial" w:hAnsi="Arial"/>
          <w:color w:val="000000" w:themeColor="text1"/>
          <w:sz w:val="22"/>
          <w:szCs w:val="22"/>
        </w:rPr>
        <w:tab/>
      </w:r>
      <w:r w:rsidRPr="00DA36B8">
        <w:rPr>
          <w:rFonts w:ascii="Arial" w:hAnsi="Arial"/>
          <w:color w:val="000000" w:themeColor="text1"/>
          <w:sz w:val="22"/>
          <w:szCs w:val="22"/>
        </w:rPr>
        <w:fldChar w:fldCharType="begin"/>
      </w:r>
      <w:r w:rsidRPr="00DA36B8">
        <w:rPr>
          <w:rFonts w:ascii="Arial" w:hAnsi="Arial"/>
          <w:color w:val="000000" w:themeColor="text1"/>
          <w:sz w:val="22"/>
          <w:szCs w:val="22"/>
        </w:rPr>
        <w:instrText xml:space="preserve"> PAGEREF _Toc388340459 \h </w:instrText>
      </w:r>
      <w:r w:rsidRPr="00DA36B8">
        <w:rPr>
          <w:rFonts w:ascii="Arial" w:hAnsi="Arial"/>
          <w:color w:val="000000" w:themeColor="text1"/>
          <w:sz w:val="22"/>
          <w:szCs w:val="22"/>
        </w:rPr>
      </w:r>
      <w:r w:rsidRPr="00DA36B8">
        <w:rPr>
          <w:rFonts w:ascii="Arial" w:hAnsi="Arial"/>
          <w:color w:val="000000" w:themeColor="text1"/>
          <w:sz w:val="22"/>
          <w:szCs w:val="22"/>
        </w:rPr>
        <w:fldChar w:fldCharType="separate"/>
      </w:r>
      <w:r w:rsidR="00667D45">
        <w:rPr>
          <w:rFonts w:ascii="Arial" w:hAnsi="Arial"/>
          <w:color w:val="000000" w:themeColor="text1"/>
          <w:sz w:val="22"/>
          <w:szCs w:val="22"/>
        </w:rPr>
        <w:t>51</w:t>
      </w:r>
      <w:r w:rsidRPr="00DA36B8">
        <w:rPr>
          <w:rFonts w:ascii="Arial" w:hAnsi="Arial"/>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Enrolments by Industry and Occupation</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_Toc388340460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52</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Apprentices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_Toc388340461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57</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Trainees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_Toc388340462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61</w:t>
      </w:r>
      <w:r w:rsidRPr="00DA36B8">
        <w:rPr>
          <w:rFonts w:ascii="Arial" w:hAnsi="Arial" w:cs="Arial"/>
          <w:noProof/>
          <w:color w:val="000000" w:themeColor="text1"/>
          <w:sz w:val="22"/>
          <w:szCs w:val="22"/>
        </w:rPr>
        <w:fldChar w:fldCharType="end"/>
      </w:r>
    </w:p>
    <w:p w:rsidR="000D420A" w:rsidRPr="00DA36B8" w:rsidRDefault="000D420A" w:rsidP="00DA36B8">
      <w:pPr>
        <w:pStyle w:val="TOC2"/>
        <w:tabs>
          <w:tab w:val="right" w:pos="8789"/>
          <w:tab w:val="right" w:pos="9062"/>
        </w:tabs>
        <w:spacing w:beforeLines="60" w:before="144" w:afterLines="60" w:after="144"/>
        <w:rPr>
          <w:rFonts w:ascii="Arial" w:eastAsiaTheme="minorEastAsia" w:hAnsi="Arial" w:cs="Arial"/>
          <w:b w:val="0"/>
          <w:bCs w:val="0"/>
          <w:noProof/>
          <w:color w:val="000000" w:themeColor="text1"/>
          <w:sz w:val="22"/>
          <w:szCs w:val="22"/>
          <w:lang w:eastAsia="en-AU"/>
        </w:rPr>
      </w:pPr>
      <w:r w:rsidRPr="00DA36B8">
        <w:rPr>
          <w:rFonts w:ascii="Arial" w:hAnsi="Arial" w:cs="Arial"/>
          <w:noProof/>
          <w:color w:val="000000" w:themeColor="text1"/>
          <w:sz w:val="22"/>
          <w:szCs w:val="22"/>
        </w:rPr>
        <w:t>Training in Specialised and In-Shortage Related Occupations</w:t>
      </w:r>
      <w:r w:rsidRPr="00DA36B8">
        <w:rPr>
          <w:rFonts w:ascii="Arial" w:hAnsi="Arial" w:cs="Arial"/>
          <w:noProof/>
          <w:color w:val="000000" w:themeColor="text1"/>
          <w:sz w:val="22"/>
          <w:szCs w:val="22"/>
        </w:rPr>
        <w:tab/>
      </w:r>
      <w:r w:rsidRPr="00DA36B8">
        <w:rPr>
          <w:rFonts w:ascii="Arial" w:hAnsi="Arial" w:cs="Arial"/>
          <w:noProof/>
          <w:color w:val="000000" w:themeColor="text1"/>
          <w:sz w:val="22"/>
          <w:szCs w:val="22"/>
        </w:rPr>
        <w:fldChar w:fldCharType="begin"/>
      </w:r>
      <w:r w:rsidRPr="00DA36B8">
        <w:rPr>
          <w:rFonts w:ascii="Arial" w:hAnsi="Arial" w:cs="Arial"/>
          <w:noProof/>
          <w:color w:val="000000" w:themeColor="text1"/>
          <w:sz w:val="22"/>
          <w:szCs w:val="22"/>
        </w:rPr>
        <w:instrText xml:space="preserve"> PAGEREF _Toc388340463 \h </w:instrText>
      </w:r>
      <w:r w:rsidRPr="00DA36B8">
        <w:rPr>
          <w:rFonts w:ascii="Arial" w:hAnsi="Arial" w:cs="Arial"/>
          <w:noProof/>
          <w:color w:val="000000" w:themeColor="text1"/>
          <w:sz w:val="22"/>
          <w:szCs w:val="22"/>
        </w:rPr>
      </w:r>
      <w:r w:rsidRPr="00DA36B8">
        <w:rPr>
          <w:rFonts w:ascii="Arial" w:hAnsi="Arial" w:cs="Arial"/>
          <w:noProof/>
          <w:color w:val="000000" w:themeColor="text1"/>
          <w:sz w:val="22"/>
          <w:szCs w:val="22"/>
        </w:rPr>
        <w:fldChar w:fldCharType="separate"/>
      </w:r>
      <w:r w:rsidR="00667D45">
        <w:rPr>
          <w:rFonts w:ascii="Arial" w:hAnsi="Arial" w:cs="Arial"/>
          <w:noProof/>
          <w:color w:val="000000" w:themeColor="text1"/>
          <w:sz w:val="22"/>
          <w:szCs w:val="22"/>
        </w:rPr>
        <w:t>65</w:t>
      </w:r>
      <w:r w:rsidRPr="00DA36B8">
        <w:rPr>
          <w:rFonts w:ascii="Arial" w:hAnsi="Arial" w:cs="Arial"/>
          <w:noProof/>
          <w:color w:val="000000" w:themeColor="text1"/>
          <w:sz w:val="22"/>
          <w:szCs w:val="22"/>
        </w:rPr>
        <w:fldChar w:fldCharType="end"/>
      </w:r>
    </w:p>
    <w:p w:rsidR="00D15283" w:rsidRDefault="0020796B" w:rsidP="00DA36B8">
      <w:pPr>
        <w:tabs>
          <w:tab w:val="right" w:pos="6663"/>
          <w:tab w:val="left" w:pos="8222"/>
          <w:tab w:val="left" w:pos="8364"/>
          <w:tab w:val="right" w:pos="8647"/>
        </w:tabs>
        <w:spacing w:beforeLines="60" w:before="144" w:afterLines="60" w:after="144" w:line="240" w:lineRule="auto"/>
      </w:pPr>
      <w:r w:rsidRPr="00DA36B8">
        <w:rPr>
          <w:rFonts w:cs="Arial"/>
          <w:b/>
          <w:bCs/>
          <w:caps/>
          <w:color w:val="000000" w:themeColor="text1"/>
          <w:sz w:val="22"/>
          <w:szCs w:val="22"/>
        </w:rPr>
        <w:fldChar w:fldCharType="end"/>
      </w:r>
      <w:r w:rsidR="000C300D">
        <w:rPr>
          <w:rFonts w:cs="Arial"/>
          <w:b/>
          <w:bCs/>
          <w:caps/>
          <w:sz w:val="16"/>
          <w:szCs w:val="16"/>
        </w:rPr>
        <w:br w:type="page"/>
      </w:r>
      <w:bookmarkStart w:id="1" w:name="_Toc319069085"/>
      <w:bookmarkStart w:id="2" w:name="_Ref350270560"/>
      <w:bookmarkStart w:id="3" w:name="_Ref350270581"/>
      <w:bookmarkStart w:id="4" w:name="_Ref350271358"/>
      <w:bookmarkStart w:id="5" w:name="_Ref350271377"/>
      <w:bookmarkStart w:id="6" w:name="_Toc313801732"/>
      <w:bookmarkStart w:id="7" w:name="_Toc314810780"/>
      <w:bookmarkStart w:id="8" w:name="_Toc315061190"/>
      <w:bookmarkStart w:id="9" w:name="_Toc315064345"/>
      <w:bookmarkStart w:id="10" w:name="_Toc315064952"/>
      <w:bookmarkStart w:id="11" w:name="_Toc315424662"/>
      <w:bookmarkStart w:id="12" w:name="_Toc315680736"/>
      <w:bookmarkStart w:id="13" w:name="_Toc315683686"/>
      <w:bookmarkStart w:id="14" w:name="_Toc316050550"/>
      <w:bookmarkStart w:id="15" w:name="_Toc316050840"/>
      <w:bookmarkStart w:id="16" w:name="_Toc316051380"/>
      <w:bookmarkStart w:id="17" w:name="_Toc316054622"/>
      <w:bookmarkStart w:id="18" w:name="_Toc316054743"/>
      <w:bookmarkStart w:id="19" w:name="_Toc316534692"/>
      <w:bookmarkStart w:id="20" w:name="_Toc316629494"/>
      <w:bookmarkStart w:id="21" w:name="_Toc316629584"/>
      <w:bookmarkStart w:id="22" w:name="_Toc317173938"/>
      <w:bookmarkStart w:id="23" w:name="_Toc317174087"/>
    </w:p>
    <w:p w:rsidR="00534D85" w:rsidRDefault="00534D85">
      <w:pPr>
        <w:spacing w:after="0" w:line="240" w:lineRule="auto"/>
        <w:jc w:val="left"/>
        <w:rPr>
          <w:rFonts w:cs="Arial"/>
          <w:bCs/>
          <w:iCs/>
          <w:color w:val="365F91" w:themeColor="accent1" w:themeShade="BF"/>
          <w:sz w:val="28"/>
          <w:szCs w:val="28"/>
        </w:rPr>
      </w:pPr>
      <w:bookmarkStart w:id="24" w:name="_Toc386088272"/>
      <w:bookmarkStart w:id="25" w:name="_Toc387130427"/>
      <w:r>
        <w:br w:type="page"/>
      </w:r>
    </w:p>
    <w:p w:rsidR="00DA268F" w:rsidRPr="00B4288F" w:rsidRDefault="00DA268F" w:rsidP="00DA268F">
      <w:pPr>
        <w:pStyle w:val="Heading2"/>
      </w:pPr>
      <w:bookmarkStart w:id="26" w:name="_Toc388017420"/>
      <w:bookmarkStart w:id="27" w:name="_Toc388340437"/>
      <w:r w:rsidRPr="00B4288F">
        <w:t>Victorian Training Market Reports</w:t>
      </w:r>
      <w:bookmarkEnd w:id="24"/>
      <w:bookmarkEnd w:id="25"/>
      <w:bookmarkEnd w:id="26"/>
      <w:bookmarkEnd w:id="27"/>
    </w:p>
    <w:p w:rsidR="00DA268F" w:rsidRDefault="00DA268F" w:rsidP="00DA268F">
      <w:pPr>
        <w:pStyle w:val="Heading3"/>
        <w:rPr>
          <w:b w:val="0"/>
          <w:bCs w:val="0"/>
          <w:color w:val="auto"/>
          <w:szCs w:val="24"/>
        </w:rPr>
      </w:pPr>
    </w:p>
    <w:p w:rsidR="00DA268F" w:rsidRDefault="00DA268F" w:rsidP="00DA268F">
      <w:pPr>
        <w:pStyle w:val="Heading3"/>
        <w:rPr>
          <w:b w:val="0"/>
          <w:bCs w:val="0"/>
          <w:color w:val="auto"/>
          <w:szCs w:val="24"/>
        </w:rPr>
      </w:pPr>
      <w:r w:rsidRPr="00B4288F">
        <w:rPr>
          <w:b w:val="0"/>
          <w:bCs w:val="0"/>
          <w:color w:val="auto"/>
          <w:szCs w:val="24"/>
        </w:rPr>
        <w:t xml:space="preserve">This Victorian Training Market Report for 2013 is the latest in an on-going series of reports produced by the Department of Education and Early Childhood Development (DEECD). The aim of the report is to provide a summary of Victorian Vocational Education and Training (VET) market performance and responsiveness to industry needs. The full year report includes data reported by training providers </w:t>
      </w:r>
      <w:r w:rsidR="00B23BE8">
        <w:rPr>
          <w:b w:val="0"/>
          <w:bCs w:val="0"/>
          <w:color w:val="auto"/>
          <w:szCs w:val="24"/>
        </w:rPr>
        <w:t>for the full year</w:t>
      </w:r>
      <w:r w:rsidRPr="00B4288F">
        <w:rPr>
          <w:b w:val="0"/>
          <w:bCs w:val="0"/>
          <w:color w:val="auto"/>
          <w:szCs w:val="24"/>
        </w:rPr>
        <w:t xml:space="preserve"> 2013 and provides an overview based on a snapshot of training activity data as at the end of December 2013.</w:t>
      </w:r>
    </w:p>
    <w:p w:rsidR="00DA268F" w:rsidRDefault="00DA268F" w:rsidP="00DA268F">
      <w:r w:rsidRPr="00B4288F">
        <w:t xml:space="preserve">This </w:t>
      </w:r>
      <w:r>
        <w:t>Report</w:t>
      </w:r>
      <w:r w:rsidRPr="00B4288F">
        <w:t xml:space="preserve"> complements a broader set of reports on 2013 training activity to be released </w:t>
      </w:r>
      <w:r>
        <w:t>separately</w:t>
      </w:r>
      <w:r w:rsidRPr="00B4288F">
        <w:t xml:space="preserve"> as part of the 2013 Victorian Training Market Report; </w:t>
      </w:r>
      <w:r>
        <w:t>the additional reports will</w:t>
      </w:r>
      <w:r w:rsidRPr="00B4288F">
        <w:t xml:space="preserve"> include analysis of trends by industry and region.</w:t>
      </w:r>
    </w:p>
    <w:p w:rsidR="00E748B9" w:rsidRDefault="00E748B9" w:rsidP="00DA268F">
      <w:r>
        <w:t xml:space="preserve">These reports and other information products </w:t>
      </w:r>
      <w:r w:rsidR="0073027A">
        <w:t xml:space="preserve">produced by </w:t>
      </w:r>
      <w:r w:rsidR="008042CC">
        <w:t>th</w:t>
      </w:r>
      <w:r w:rsidR="0073027A">
        <w:t>e</w:t>
      </w:r>
      <w:r w:rsidR="008042CC">
        <w:t xml:space="preserve"> Department </w:t>
      </w:r>
      <w:r>
        <w:t>help inform students, employers, industry and other key stakeholders on the Victorian vocational training system.</w:t>
      </w:r>
      <w:r w:rsidR="00C25D22">
        <w:t xml:space="preserve"> </w:t>
      </w:r>
      <w:r w:rsidR="00B6102D">
        <w:t xml:space="preserve">These </w:t>
      </w:r>
      <w:r w:rsidR="00270AFC">
        <w:t xml:space="preserve">reports </w:t>
      </w:r>
      <w:r w:rsidR="00B6102D">
        <w:t>have been</w:t>
      </w:r>
      <w:r w:rsidR="00C25015">
        <w:t xml:space="preserve"> regularly </w:t>
      </w:r>
      <w:r w:rsidR="00B6102D">
        <w:t>enhanced and refined in response to stakeholder feedback.</w:t>
      </w:r>
      <w:r>
        <w:t xml:space="preserve"> Starting from 2014 a number of developments will be </w:t>
      </w:r>
      <w:r w:rsidR="0056332F">
        <w:t>implemented</w:t>
      </w:r>
      <w:r>
        <w:t xml:space="preserve"> to expand the scope of analysis and data available:</w:t>
      </w:r>
    </w:p>
    <w:p w:rsidR="00E748B9" w:rsidRDefault="008042CC" w:rsidP="00E748B9">
      <w:pPr>
        <w:pStyle w:val="ListBullet"/>
        <w:numPr>
          <w:ilvl w:val="0"/>
          <w:numId w:val="31"/>
        </w:numPr>
        <w:ind w:right="113"/>
        <w:jc w:val="left"/>
        <w:rPr>
          <w:rFonts w:cs="Arial"/>
        </w:rPr>
      </w:pPr>
      <w:r w:rsidRPr="00534D85">
        <w:rPr>
          <w:rFonts w:cs="Arial"/>
          <w:b/>
        </w:rPr>
        <w:t>An o</w:t>
      </w:r>
      <w:r w:rsidR="00E748B9" w:rsidRPr="00534D85">
        <w:rPr>
          <w:rFonts w:cs="Arial"/>
          <w:b/>
        </w:rPr>
        <w:t>n line data portal</w:t>
      </w:r>
      <w:r w:rsidR="00E748B9" w:rsidRPr="00E748B9">
        <w:rPr>
          <w:rFonts w:cs="Arial"/>
        </w:rPr>
        <w:t xml:space="preserve"> available in the second half of 2014. The portal will be available through t</w:t>
      </w:r>
      <w:r w:rsidR="00E748B9">
        <w:rPr>
          <w:rFonts w:cs="Arial"/>
        </w:rPr>
        <w:t>he</w:t>
      </w:r>
      <w:r w:rsidR="00E748B9" w:rsidRPr="00E748B9">
        <w:rPr>
          <w:rFonts w:cs="Arial"/>
        </w:rPr>
        <w:t xml:space="preserve"> Department’s public web site and offer up to date reporting on training activity and progressively support interactive</w:t>
      </w:r>
      <w:r>
        <w:rPr>
          <w:rFonts w:cs="Arial"/>
        </w:rPr>
        <w:t xml:space="preserve"> exploration of </w:t>
      </w:r>
      <w:r w:rsidR="0056332F">
        <w:rPr>
          <w:rFonts w:cs="Arial"/>
        </w:rPr>
        <w:t>training</w:t>
      </w:r>
      <w:r>
        <w:rPr>
          <w:rFonts w:cs="Arial"/>
        </w:rPr>
        <w:t xml:space="preserve"> data through </w:t>
      </w:r>
      <w:r w:rsidR="0056332F">
        <w:rPr>
          <w:rFonts w:cs="Arial"/>
        </w:rPr>
        <w:t xml:space="preserve">“point and click” </w:t>
      </w:r>
      <w:r>
        <w:rPr>
          <w:rFonts w:cs="Arial"/>
        </w:rPr>
        <w:t>charts and maps</w:t>
      </w:r>
      <w:r w:rsidR="00435EB6">
        <w:rPr>
          <w:rFonts w:cs="Arial"/>
        </w:rPr>
        <w:t>.</w:t>
      </w:r>
    </w:p>
    <w:p w:rsidR="008073A1" w:rsidRDefault="00E748B9" w:rsidP="00E748B9">
      <w:pPr>
        <w:pStyle w:val="ListBullet"/>
        <w:numPr>
          <w:ilvl w:val="0"/>
          <w:numId w:val="31"/>
        </w:numPr>
        <w:ind w:right="113"/>
        <w:jc w:val="left"/>
        <w:rPr>
          <w:rFonts w:cs="Arial"/>
        </w:rPr>
      </w:pPr>
      <w:r>
        <w:rPr>
          <w:rFonts w:cs="Arial"/>
        </w:rPr>
        <w:t xml:space="preserve">A half year </w:t>
      </w:r>
      <w:r w:rsidR="00534D85" w:rsidRPr="00534D85">
        <w:rPr>
          <w:rFonts w:cs="Arial"/>
          <w:b/>
        </w:rPr>
        <w:t>Victorian Training Market Report</w:t>
      </w:r>
      <w:r w:rsidR="00534D85">
        <w:rPr>
          <w:rFonts w:cs="Arial"/>
        </w:rPr>
        <w:t xml:space="preserve"> </w:t>
      </w:r>
      <w:r>
        <w:rPr>
          <w:rFonts w:cs="Arial"/>
        </w:rPr>
        <w:t xml:space="preserve">that will expand on the usual set of indicators reported and include greater depth </w:t>
      </w:r>
      <w:r w:rsidR="008042CC">
        <w:rPr>
          <w:rFonts w:cs="Arial"/>
        </w:rPr>
        <w:t xml:space="preserve">of analysis on </w:t>
      </w:r>
      <w:r w:rsidR="0056332F">
        <w:rPr>
          <w:rFonts w:cs="Arial"/>
        </w:rPr>
        <w:t xml:space="preserve">vocational </w:t>
      </w:r>
      <w:r w:rsidR="008042CC">
        <w:rPr>
          <w:rFonts w:cs="Arial"/>
        </w:rPr>
        <w:t xml:space="preserve">training activity, such as an analysis of </w:t>
      </w:r>
      <w:r w:rsidR="00D51B31">
        <w:rPr>
          <w:rFonts w:cs="Arial"/>
        </w:rPr>
        <w:t>students pathways and outcomes</w:t>
      </w:r>
      <w:r w:rsidR="008042CC">
        <w:rPr>
          <w:rFonts w:cs="Arial"/>
        </w:rPr>
        <w:t>.</w:t>
      </w:r>
      <w:r w:rsidR="004A4BF5">
        <w:rPr>
          <w:rFonts w:cs="Arial"/>
        </w:rPr>
        <w:t xml:space="preserve"> </w:t>
      </w:r>
      <w:r w:rsidR="00023C92">
        <w:rPr>
          <w:rFonts w:cs="Arial"/>
        </w:rPr>
        <w:t>The half year report will build upon the previous quarterly Reports</w:t>
      </w:r>
      <w:r w:rsidR="00A53648">
        <w:rPr>
          <w:rFonts w:cs="Arial"/>
        </w:rPr>
        <w:t>,</w:t>
      </w:r>
      <w:r w:rsidR="00B6102D">
        <w:rPr>
          <w:rFonts w:cs="Arial"/>
        </w:rPr>
        <w:t xml:space="preserve"> </w:t>
      </w:r>
      <w:r w:rsidR="00137239">
        <w:rPr>
          <w:rFonts w:cs="Arial"/>
        </w:rPr>
        <w:t>responding to</w:t>
      </w:r>
      <w:r w:rsidR="00023C92">
        <w:rPr>
          <w:rFonts w:cs="Arial"/>
        </w:rPr>
        <w:t xml:space="preserve"> </w:t>
      </w:r>
      <w:r w:rsidR="00270AFC">
        <w:rPr>
          <w:rFonts w:cs="Arial"/>
        </w:rPr>
        <w:t>stakeholder</w:t>
      </w:r>
      <w:r w:rsidR="00A53648">
        <w:rPr>
          <w:rFonts w:cs="Arial"/>
        </w:rPr>
        <w:t xml:space="preserve"> </w:t>
      </w:r>
      <w:r w:rsidR="004A4BF5">
        <w:rPr>
          <w:rFonts w:cs="Arial"/>
        </w:rPr>
        <w:t>requests</w:t>
      </w:r>
      <w:r w:rsidR="008073A1">
        <w:rPr>
          <w:rFonts w:cs="Arial"/>
        </w:rPr>
        <w:t xml:space="preserve"> fo</w:t>
      </w:r>
      <w:r w:rsidR="006C1B1A">
        <w:rPr>
          <w:rFonts w:cs="Arial"/>
        </w:rPr>
        <w:t>r greater depth of analysis</w:t>
      </w:r>
      <w:r w:rsidR="00137239">
        <w:rPr>
          <w:rFonts w:cs="Arial"/>
        </w:rPr>
        <w:t xml:space="preserve"> which was not possible in the </w:t>
      </w:r>
      <w:r w:rsidR="006C1B1A">
        <w:rPr>
          <w:rFonts w:cs="Arial"/>
        </w:rPr>
        <w:t xml:space="preserve">quarterly </w:t>
      </w:r>
      <w:r w:rsidR="000E6F8E">
        <w:rPr>
          <w:rFonts w:cs="Arial"/>
        </w:rPr>
        <w:t>Reports</w:t>
      </w:r>
      <w:r w:rsidR="006C1B1A">
        <w:rPr>
          <w:rFonts w:cs="Arial"/>
        </w:rPr>
        <w:t>.</w:t>
      </w:r>
    </w:p>
    <w:p w:rsidR="004206F8" w:rsidRDefault="004206F8" w:rsidP="00E748B9">
      <w:pPr>
        <w:pStyle w:val="ListBullet"/>
        <w:numPr>
          <w:ilvl w:val="0"/>
          <w:numId w:val="31"/>
        </w:numPr>
        <w:ind w:right="113"/>
        <w:jc w:val="left"/>
        <w:rPr>
          <w:rFonts w:cs="Arial"/>
        </w:rPr>
      </w:pPr>
      <w:r w:rsidRPr="00534D85">
        <w:rPr>
          <w:rFonts w:cs="Arial"/>
          <w:b/>
        </w:rPr>
        <w:t>E-marketplace</w:t>
      </w:r>
      <w:r>
        <w:rPr>
          <w:rFonts w:cs="Arial"/>
        </w:rPr>
        <w:t xml:space="preserve"> which will facilitate connections between employers and training providers</w:t>
      </w:r>
      <w:r w:rsidR="005325F0">
        <w:rPr>
          <w:rFonts w:cs="Arial"/>
        </w:rPr>
        <w:t>. Employers will be able to anonymously post their training requirements and training providers will be able to provide responses online.</w:t>
      </w:r>
      <w:r w:rsidR="00A53648">
        <w:rPr>
          <w:rFonts w:cs="Arial"/>
        </w:rPr>
        <w:t xml:space="preserve"> The E-marketplace will be available in the third quarter of 2014.</w:t>
      </w:r>
    </w:p>
    <w:p w:rsidR="00D15283" w:rsidRDefault="00435EB6" w:rsidP="000C300D">
      <w:pPr>
        <w:pStyle w:val="Heading3"/>
        <w:rPr>
          <w:rFonts w:cs="Times New Roman"/>
          <w:b w:val="0"/>
          <w:bCs w:val="0"/>
          <w:color w:val="auto"/>
          <w:szCs w:val="24"/>
        </w:rPr>
      </w:pPr>
      <w:r w:rsidRPr="00435EB6">
        <w:rPr>
          <w:rFonts w:cs="Times New Roman"/>
          <w:b w:val="0"/>
          <w:bCs w:val="0"/>
          <w:color w:val="auto"/>
          <w:szCs w:val="24"/>
        </w:rPr>
        <w:t>Victoria is recognised as a leader nationally on making data and information easily accessible to stakeholders</w:t>
      </w:r>
      <w:r w:rsidR="004206F8">
        <w:rPr>
          <w:rFonts w:cs="Times New Roman"/>
          <w:b w:val="0"/>
          <w:bCs w:val="0"/>
          <w:color w:val="auto"/>
          <w:szCs w:val="24"/>
        </w:rPr>
        <w:t xml:space="preserve"> to support their engagement and participation in the Victorian vocational training system</w:t>
      </w:r>
      <w:r w:rsidRPr="00435EB6">
        <w:rPr>
          <w:rFonts w:cs="Times New Roman"/>
          <w:b w:val="0"/>
          <w:bCs w:val="0"/>
          <w:color w:val="auto"/>
          <w:szCs w:val="24"/>
        </w:rPr>
        <w:t>.</w:t>
      </w:r>
      <w:r>
        <w:rPr>
          <w:rFonts w:cs="Times New Roman"/>
          <w:b w:val="0"/>
          <w:bCs w:val="0"/>
          <w:color w:val="auto"/>
          <w:szCs w:val="24"/>
        </w:rPr>
        <w:t xml:space="preserve"> Already available data and information products available through </w:t>
      </w:r>
      <w:hyperlink r:id="rId27" w:history="1">
        <w:r w:rsidRPr="00FA3568">
          <w:rPr>
            <w:rStyle w:val="Hyperlink"/>
            <w:b w:val="0"/>
            <w:bCs w:val="0"/>
            <w:szCs w:val="24"/>
          </w:rPr>
          <w:t>www.education.vic.gov.au</w:t>
        </w:r>
      </w:hyperlink>
      <w:r>
        <w:rPr>
          <w:rFonts w:cs="Times New Roman"/>
          <w:b w:val="0"/>
          <w:bCs w:val="0"/>
          <w:color w:val="auto"/>
          <w:szCs w:val="24"/>
        </w:rPr>
        <w:t xml:space="preserve"> include:</w:t>
      </w:r>
    </w:p>
    <w:p w:rsidR="00435EB6" w:rsidRDefault="00435EB6" w:rsidP="00435EB6">
      <w:pPr>
        <w:pStyle w:val="ListBullet"/>
        <w:numPr>
          <w:ilvl w:val="0"/>
          <w:numId w:val="31"/>
        </w:numPr>
        <w:ind w:right="113"/>
        <w:jc w:val="left"/>
        <w:rPr>
          <w:rFonts w:cs="Arial"/>
        </w:rPr>
      </w:pPr>
      <w:r w:rsidRPr="00435EB6">
        <w:rPr>
          <w:rFonts w:cs="Arial"/>
          <w:b/>
        </w:rPr>
        <w:t>Regional Report</w:t>
      </w:r>
      <w:r w:rsidR="00B6102D">
        <w:rPr>
          <w:rFonts w:cs="Arial"/>
          <w:b/>
        </w:rPr>
        <w:t>s</w:t>
      </w:r>
      <w:r>
        <w:rPr>
          <w:rFonts w:cs="Arial"/>
        </w:rPr>
        <w:t xml:space="preserve"> that examine</w:t>
      </w:r>
      <w:r w:rsidR="00E54136">
        <w:rPr>
          <w:rFonts w:cs="Arial"/>
        </w:rPr>
        <w:t>s</w:t>
      </w:r>
      <w:r>
        <w:rPr>
          <w:rFonts w:cs="Arial"/>
        </w:rPr>
        <w:t xml:space="preserve"> training delivery in each of Victoria’s regions in the context of the local population, economy and workforce, building a picture of the relationship between local training system and regional skills needs, training market performance and </w:t>
      </w:r>
      <w:r w:rsidR="0056332F">
        <w:rPr>
          <w:rFonts w:cs="Arial"/>
        </w:rPr>
        <w:t>responsiveness</w:t>
      </w:r>
      <w:r>
        <w:rPr>
          <w:rFonts w:cs="Arial"/>
        </w:rPr>
        <w:t>.</w:t>
      </w:r>
    </w:p>
    <w:p w:rsidR="00435EB6" w:rsidRDefault="0056332F" w:rsidP="00435EB6">
      <w:pPr>
        <w:pStyle w:val="ListBullet"/>
        <w:numPr>
          <w:ilvl w:val="0"/>
          <w:numId w:val="31"/>
        </w:numPr>
        <w:ind w:right="113"/>
        <w:jc w:val="left"/>
        <w:rPr>
          <w:rFonts w:cs="Arial"/>
        </w:rPr>
      </w:pPr>
      <w:r w:rsidRPr="0056332F">
        <w:rPr>
          <w:rFonts w:cs="Arial"/>
          <w:b/>
        </w:rPr>
        <w:t>Industry Report</w:t>
      </w:r>
      <w:r w:rsidR="00B6102D">
        <w:rPr>
          <w:rFonts w:cs="Arial"/>
          <w:b/>
        </w:rPr>
        <w:t>s</w:t>
      </w:r>
      <w:r>
        <w:rPr>
          <w:rFonts w:cs="Arial"/>
        </w:rPr>
        <w:t xml:space="preserve"> that </w:t>
      </w:r>
      <w:r w:rsidR="00B016CB">
        <w:rPr>
          <w:rFonts w:cs="Arial"/>
        </w:rPr>
        <w:t>combines industry intelligence and economic analysis with training activity data to build a more complete picture of the relationship between industry skills needs, employment opportunities and skills training.</w:t>
      </w:r>
    </w:p>
    <w:p w:rsidR="00B016CB" w:rsidRDefault="00D51B31" w:rsidP="00435EB6">
      <w:pPr>
        <w:pStyle w:val="ListBullet"/>
        <w:numPr>
          <w:ilvl w:val="0"/>
          <w:numId w:val="31"/>
        </w:numPr>
        <w:ind w:right="113"/>
        <w:jc w:val="left"/>
        <w:rPr>
          <w:rFonts w:cs="Arial"/>
        </w:rPr>
      </w:pPr>
      <w:r>
        <w:rPr>
          <w:rFonts w:cs="Arial"/>
          <w:b/>
        </w:rPr>
        <w:t xml:space="preserve">Rate your training </w:t>
      </w:r>
      <w:r>
        <w:rPr>
          <w:rFonts w:cs="Arial"/>
        </w:rPr>
        <w:t>a new ratings tool where employers can rate the quality and performance of a training provider they have used, and where employers can review and compare the ratings of other employers.</w:t>
      </w:r>
    </w:p>
    <w:p w:rsidR="00D51B31" w:rsidRDefault="00D51B31" w:rsidP="00435EB6">
      <w:pPr>
        <w:pStyle w:val="ListBullet"/>
        <w:numPr>
          <w:ilvl w:val="0"/>
          <w:numId w:val="31"/>
        </w:numPr>
        <w:ind w:right="113"/>
        <w:jc w:val="left"/>
        <w:rPr>
          <w:rFonts w:cs="Arial"/>
        </w:rPr>
      </w:pPr>
      <w:r>
        <w:rPr>
          <w:rFonts w:cs="Arial"/>
          <w:b/>
        </w:rPr>
        <w:t xml:space="preserve">Industry blog </w:t>
      </w:r>
      <w:r>
        <w:rPr>
          <w:rFonts w:cs="Arial"/>
        </w:rPr>
        <w:t>to provide up to date news and alerts on developments for people interested in skills and training issues in Victoria, the blog features a range of topics relevant to stakeholders and information on recent industry events.</w:t>
      </w:r>
    </w:p>
    <w:p w:rsidR="00D51B31" w:rsidRDefault="00E54136" w:rsidP="00435EB6">
      <w:pPr>
        <w:pStyle w:val="ListBullet"/>
        <w:numPr>
          <w:ilvl w:val="0"/>
          <w:numId w:val="31"/>
        </w:numPr>
        <w:ind w:right="113"/>
        <w:jc w:val="left"/>
        <w:rPr>
          <w:rFonts w:cs="Arial"/>
        </w:rPr>
      </w:pPr>
      <w:r>
        <w:rPr>
          <w:rFonts w:cs="Arial"/>
          <w:b/>
        </w:rPr>
        <w:t xml:space="preserve">Industry Participation Model (IPM) Portfolio Industry Reports </w:t>
      </w:r>
      <w:r w:rsidR="00576C4A">
        <w:rPr>
          <w:rFonts w:cs="Arial"/>
        </w:rPr>
        <w:t>describe training and economic activity and developments related to Victorian key industry sectors. Highlighted are both the challenges faced in attracting the right skills and the opportunities businesses, training providers and government have to address these.</w:t>
      </w:r>
      <w:r w:rsidR="004206F8">
        <w:rPr>
          <w:rFonts w:cs="Arial"/>
        </w:rPr>
        <w:t xml:space="preserve"> </w:t>
      </w:r>
    </w:p>
    <w:p w:rsidR="004206F8" w:rsidRDefault="004206F8" w:rsidP="00435EB6">
      <w:pPr>
        <w:pStyle w:val="ListBullet"/>
        <w:numPr>
          <w:ilvl w:val="0"/>
          <w:numId w:val="31"/>
        </w:numPr>
        <w:ind w:right="113"/>
        <w:jc w:val="left"/>
        <w:rPr>
          <w:rFonts w:cs="Arial"/>
        </w:rPr>
      </w:pPr>
      <w:r>
        <w:rPr>
          <w:rFonts w:cs="Arial"/>
          <w:b/>
        </w:rPr>
        <w:t>Industry skills update – e- Alerts</w:t>
      </w:r>
      <w:r w:rsidR="005325F0">
        <w:rPr>
          <w:rFonts w:cs="Arial"/>
          <w:b/>
        </w:rPr>
        <w:t xml:space="preserve"> </w:t>
      </w:r>
      <w:r w:rsidR="005325F0">
        <w:rPr>
          <w:rFonts w:cs="Arial"/>
        </w:rPr>
        <w:t>are provided regularly to subscribers and feature the latest news about the Industry Participation Model activities, market facilitation and related government initiatives; reports and training performance information.</w:t>
      </w:r>
    </w:p>
    <w:p w:rsidR="005325F0" w:rsidRPr="00435EB6" w:rsidRDefault="005325F0" w:rsidP="00435EB6">
      <w:pPr>
        <w:pStyle w:val="ListBullet"/>
        <w:numPr>
          <w:ilvl w:val="0"/>
          <w:numId w:val="31"/>
        </w:numPr>
        <w:ind w:right="113"/>
        <w:jc w:val="left"/>
        <w:rPr>
          <w:rFonts w:cs="Arial"/>
        </w:rPr>
      </w:pPr>
      <w:r>
        <w:rPr>
          <w:rFonts w:cs="Arial"/>
          <w:b/>
        </w:rPr>
        <w:t xml:space="preserve">Victorian Skills Gateway </w:t>
      </w:r>
      <w:r w:rsidR="00B6102D">
        <w:rPr>
          <w:rFonts w:cs="Arial"/>
        </w:rPr>
        <w:t xml:space="preserve">– a </w:t>
      </w:r>
      <w:r>
        <w:rPr>
          <w:rFonts w:cs="Arial"/>
        </w:rPr>
        <w:t xml:space="preserve">one stop shop </w:t>
      </w:r>
      <w:r w:rsidR="00534D85">
        <w:rPr>
          <w:rFonts w:cs="Arial"/>
        </w:rPr>
        <w:t xml:space="preserve">of Victorian vocational education and training information </w:t>
      </w:r>
      <w:r w:rsidR="00B6102D">
        <w:rPr>
          <w:rFonts w:cs="Arial"/>
        </w:rPr>
        <w:t xml:space="preserve">that </w:t>
      </w:r>
      <w:r w:rsidR="00534D85">
        <w:rPr>
          <w:rFonts w:cs="Arial"/>
        </w:rPr>
        <w:t>help</w:t>
      </w:r>
      <w:r w:rsidR="00B6102D">
        <w:rPr>
          <w:rFonts w:cs="Arial"/>
        </w:rPr>
        <w:t>s</w:t>
      </w:r>
      <w:r w:rsidR="00534D85">
        <w:rPr>
          <w:rFonts w:cs="Arial"/>
        </w:rPr>
        <w:t xml:space="preserve"> students find the best training option that meets their needs. Searches can be performed on occupations, courses, training providers and by location. </w:t>
      </w:r>
    </w:p>
    <w:p w:rsidR="00D15283" w:rsidRDefault="00D15283" w:rsidP="000C300D">
      <w:pPr>
        <w:pStyle w:val="Heading3"/>
      </w:pPr>
    </w:p>
    <w:p w:rsidR="00D15283" w:rsidRDefault="00D15283" w:rsidP="000C300D">
      <w:pPr>
        <w:pStyle w:val="Heading3"/>
      </w:pPr>
    </w:p>
    <w:p w:rsidR="00D15283" w:rsidRDefault="00D15283" w:rsidP="000C300D">
      <w:pPr>
        <w:pStyle w:val="Heading3"/>
      </w:pPr>
    </w:p>
    <w:p w:rsidR="00AE063E" w:rsidRDefault="000C300D">
      <w:pPr>
        <w:spacing w:after="0" w:line="240" w:lineRule="auto"/>
        <w:jc w:val="left"/>
        <w:rPr>
          <w:rFonts w:cs="Arial"/>
          <w:color w:val="76923C" w:themeColor="accent3" w:themeShade="BF"/>
          <w:spacing w:val="-12"/>
          <w:sz w:val="46"/>
          <w:szCs w:val="46"/>
        </w:rPr>
      </w:pPr>
      <w:r>
        <w:rPr>
          <w:rFonts w:cs="Arial"/>
        </w:rPr>
        <w:br w:type="page"/>
      </w:r>
    </w:p>
    <w:p w:rsidR="00534D85" w:rsidRDefault="00534D85">
      <w:pPr>
        <w:spacing w:after="0" w:line="240" w:lineRule="auto"/>
        <w:jc w:val="left"/>
        <w:rPr>
          <w:rFonts w:cs="Arial"/>
          <w:color w:val="1F497D" w:themeColor="text2"/>
          <w:spacing w:val="-12"/>
          <w:sz w:val="46"/>
          <w:szCs w:val="46"/>
        </w:rPr>
      </w:pPr>
      <w:r>
        <w:rPr>
          <w:rFonts w:cs="Arial"/>
          <w:color w:val="1F497D" w:themeColor="text2"/>
        </w:rPr>
        <w:br w:type="page"/>
      </w:r>
    </w:p>
    <w:p w:rsidR="00351166" w:rsidRPr="00814926" w:rsidRDefault="00351166" w:rsidP="00A9260A">
      <w:pPr>
        <w:pStyle w:val="Heading1"/>
        <w:rPr>
          <w:rFonts w:cs="Arial"/>
          <w:color w:val="1F497D" w:themeColor="text2"/>
        </w:rPr>
      </w:pPr>
      <w:bookmarkStart w:id="28" w:name="_Toc388340438"/>
      <w:r w:rsidRPr="00814926">
        <w:rPr>
          <w:rFonts w:cs="Arial"/>
          <w:color w:val="1F497D" w:themeColor="text2"/>
        </w:rPr>
        <w:t>Executive Summary</w:t>
      </w:r>
      <w:bookmarkEnd w:id="1"/>
      <w:bookmarkEnd w:id="2"/>
      <w:bookmarkEnd w:id="3"/>
      <w:bookmarkEnd w:id="4"/>
      <w:bookmarkEnd w:id="5"/>
      <w:bookmarkEnd w:id="28"/>
    </w:p>
    <w:p w:rsidR="00351166" w:rsidRPr="001F29E3" w:rsidRDefault="00351166" w:rsidP="00351166">
      <w:pPr>
        <w:pStyle w:val="BodyText"/>
      </w:pPr>
    </w:p>
    <w:p w:rsidR="00EC6C77" w:rsidRDefault="00EC6C77" w:rsidP="00EC6C77">
      <w:pPr>
        <w:rPr>
          <w:rFonts w:cs="Arial"/>
        </w:rPr>
      </w:pPr>
    </w:p>
    <w:p w:rsidR="00FF201F" w:rsidRPr="006C6521" w:rsidRDefault="00FF201F" w:rsidP="00FF201F">
      <w:pPr>
        <w:spacing w:after="120"/>
        <w:rPr>
          <w:rFonts w:cs="Arial"/>
        </w:rPr>
      </w:pPr>
      <w:bookmarkStart w:id="29" w:name="_Ref338067046"/>
      <w:bookmarkStart w:id="30" w:name="_Toc349899123"/>
      <w:bookmarkStart w:id="31" w:name="_Ref350270707"/>
      <w:bookmarkStart w:id="32" w:name="_Ref350271386"/>
      <w:r w:rsidRPr="006C6521">
        <w:rPr>
          <w:rFonts w:cs="Arial"/>
        </w:rPr>
        <w:t>Victoria’s training system is building the skills of the current and future Victorian workforce. The system is highly responsive, meeting the needs of both students and employers, and government investment is supporting large numbers of students who are increasingly choosing to study in areas of most demand in the labour market.</w:t>
      </w:r>
    </w:p>
    <w:p w:rsidR="00FF201F" w:rsidRPr="006C6521" w:rsidRDefault="00FF201F" w:rsidP="00FF201F">
      <w:pPr>
        <w:pStyle w:val="ListBullet"/>
        <w:numPr>
          <w:ilvl w:val="0"/>
          <w:numId w:val="26"/>
        </w:numPr>
        <w:ind w:right="113"/>
        <w:rPr>
          <w:rFonts w:cs="Arial"/>
        </w:rPr>
      </w:pPr>
      <w:r w:rsidRPr="006C6521">
        <w:rPr>
          <w:rFonts w:cs="Arial"/>
        </w:rPr>
        <w:t xml:space="preserve">Government subsidies supported the training of 484,300 students in 2013, over </w:t>
      </w:r>
      <w:r w:rsidR="004A4BF5">
        <w:rPr>
          <w:rFonts w:cs="Arial"/>
        </w:rPr>
        <w:t>43</w:t>
      </w:r>
      <w:r w:rsidRPr="006C6521">
        <w:rPr>
          <w:rFonts w:cs="Arial"/>
        </w:rPr>
        <w:t xml:space="preserve"> per cent more than in 20</w:t>
      </w:r>
      <w:r w:rsidR="004A4BF5">
        <w:rPr>
          <w:rFonts w:cs="Arial"/>
        </w:rPr>
        <w:t>10</w:t>
      </w:r>
      <w:r w:rsidRPr="006C6521">
        <w:rPr>
          <w:rFonts w:cs="Arial"/>
        </w:rPr>
        <w:t xml:space="preserve">. In 2013 these students were enrolled in 645,000 courses. </w:t>
      </w:r>
    </w:p>
    <w:p w:rsidR="00FF201F" w:rsidRPr="006C6521" w:rsidRDefault="00FF201F" w:rsidP="00FF201F">
      <w:pPr>
        <w:pStyle w:val="ListBullet"/>
        <w:numPr>
          <w:ilvl w:val="0"/>
          <w:numId w:val="26"/>
        </w:numPr>
        <w:ind w:right="113"/>
        <w:rPr>
          <w:rFonts w:cs="Arial"/>
        </w:rPr>
      </w:pPr>
      <w:r w:rsidRPr="006C6521">
        <w:rPr>
          <w:rFonts w:cs="Arial"/>
        </w:rPr>
        <w:t>There were 116,900 TAFE domestic fee for service enrolments in 2013, higher than 20</w:t>
      </w:r>
      <w:r w:rsidR="004A4BF5">
        <w:rPr>
          <w:rFonts w:cs="Arial"/>
        </w:rPr>
        <w:t>10</w:t>
      </w:r>
      <w:r w:rsidRPr="006C6521">
        <w:rPr>
          <w:rFonts w:cs="Arial"/>
        </w:rPr>
        <w:t xml:space="preserve"> by more than </w:t>
      </w:r>
      <w:r w:rsidR="004A4BF5">
        <w:rPr>
          <w:rFonts w:cs="Arial"/>
        </w:rPr>
        <w:t>13</w:t>
      </w:r>
      <w:r w:rsidRPr="006C6521">
        <w:rPr>
          <w:rFonts w:cs="Arial"/>
        </w:rPr>
        <w:t xml:space="preserve"> per cent.</w:t>
      </w:r>
    </w:p>
    <w:p w:rsidR="00FF201F" w:rsidRPr="00452AAC" w:rsidRDefault="00FF201F" w:rsidP="00FF201F">
      <w:pPr>
        <w:pStyle w:val="ListBullet"/>
        <w:numPr>
          <w:ilvl w:val="0"/>
          <w:numId w:val="26"/>
        </w:numPr>
        <w:ind w:right="113"/>
        <w:rPr>
          <w:rFonts w:cs="Arial"/>
        </w:rPr>
      </w:pPr>
      <w:r w:rsidRPr="00452AAC">
        <w:rPr>
          <w:rFonts w:cs="Arial"/>
        </w:rPr>
        <w:t>The number of completions of qualifications (including government subsidised and TAFE fee for service) was 220,200 in 2013, higher than 20</w:t>
      </w:r>
      <w:r w:rsidR="00452AAC" w:rsidRPr="00452AAC">
        <w:rPr>
          <w:rFonts w:cs="Arial"/>
        </w:rPr>
        <w:t>10</w:t>
      </w:r>
      <w:r w:rsidRPr="00452AAC">
        <w:rPr>
          <w:rFonts w:cs="Arial"/>
        </w:rPr>
        <w:t xml:space="preserve"> by </w:t>
      </w:r>
      <w:r w:rsidR="00452AAC" w:rsidRPr="00452AAC">
        <w:rPr>
          <w:rFonts w:cs="Arial"/>
        </w:rPr>
        <w:t>44</w:t>
      </w:r>
      <w:r w:rsidRPr="00452AAC">
        <w:rPr>
          <w:rFonts w:cs="Arial"/>
        </w:rPr>
        <w:t xml:space="preserve"> per cent. </w:t>
      </w:r>
    </w:p>
    <w:p w:rsidR="00FF201F" w:rsidRPr="006C6521" w:rsidRDefault="00FF201F" w:rsidP="00FF201F">
      <w:pPr>
        <w:spacing w:after="120"/>
        <w:rPr>
          <w:rFonts w:cs="Arial"/>
        </w:rPr>
      </w:pPr>
      <w:r w:rsidRPr="009F6905">
        <w:rPr>
          <w:rFonts w:cs="Arial"/>
        </w:rPr>
        <w:t>Access to training in regional Victoria has increased, with enrolments up by almost 30 per cent, from 10</w:t>
      </w:r>
      <w:r w:rsidR="009F6905" w:rsidRPr="009F6905">
        <w:rPr>
          <w:rFonts w:cs="Arial"/>
        </w:rPr>
        <w:t>6,900</w:t>
      </w:r>
      <w:r w:rsidRPr="009F6905">
        <w:rPr>
          <w:rFonts w:cs="Arial"/>
        </w:rPr>
        <w:t xml:space="preserve"> in 20</w:t>
      </w:r>
      <w:r w:rsidR="009F6905" w:rsidRPr="009F6905">
        <w:rPr>
          <w:rFonts w:cs="Arial"/>
        </w:rPr>
        <w:t>10</w:t>
      </w:r>
      <w:r w:rsidRPr="009F6905">
        <w:rPr>
          <w:rFonts w:cs="Arial"/>
        </w:rPr>
        <w:t xml:space="preserve"> to over 130,000 in 2013.</w:t>
      </w:r>
      <w:r w:rsidRPr="006C6521">
        <w:rPr>
          <w:rFonts w:cs="Arial"/>
        </w:rPr>
        <w:t xml:space="preserve">  </w:t>
      </w:r>
    </w:p>
    <w:p w:rsidR="00FF201F" w:rsidRPr="008F5DCE" w:rsidRDefault="00FF201F" w:rsidP="00FF201F">
      <w:pPr>
        <w:pStyle w:val="ListBullet"/>
        <w:numPr>
          <w:ilvl w:val="0"/>
          <w:numId w:val="26"/>
        </w:numPr>
        <w:ind w:right="113"/>
        <w:rPr>
          <w:rFonts w:cs="Arial"/>
        </w:rPr>
      </w:pPr>
      <w:r w:rsidRPr="008F5DCE">
        <w:rPr>
          <w:rFonts w:cs="Arial"/>
        </w:rPr>
        <w:t>Delivery of government subsidised training in the nine geographic reporting regions shows growth in all regions between 201</w:t>
      </w:r>
      <w:r w:rsidR="008F5DCE" w:rsidRPr="008F5DCE">
        <w:rPr>
          <w:rFonts w:cs="Arial"/>
        </w:rPr>
        <w:t xml:space="preserve">0 and 2013 except </w:t>
      </w:r>
      <w:r w:rsidRPr="008F5DCE">
        <w:rPr>
          <w:rFonts w:cs="Arial"/>
        </w:rPr>
        <w:t xml:space="preserve">Gippsland. </w:t>
      </w:r>
    </w:p>
    <w:p w:rsidR="00FF201F" w:rsidRPr="008F5DCE" w:rsidRDefault="00FF201F" w:rsidP="00FF201F">
      <w:pPr>
        <w:pStyle w:val="ListBullet"/>
        <w:numPr>
          <w:ilvl w:val="0"/>
          <w:numId w:val="26"/>
        </w:numPr>
        <w:ind w:right="113"/>
        <w:rPr>
          <w:rFonts w:cs="Arial"/>
        </w:rPr>
      </w:pPr>
      <w:r w:rsidRPr="008F5DCE">
        <w:rPr>
          <w:rFonts w:cs="Arial"/>
        </w:rPr>
        <w:t>When looking at enrolments based on where a student lives, rather than where they study, Gippsland is the only regional area where student number</w:t>
      </w:r>
      <w:r w:rsidR="008F5DCE" w:rsidRPr="008F5DCE">
        <w:rPr>
          <w:rFonts w:cs="Arial"/>
        </w:rPr>
        <w:t>s were lower in 2013 than 2010 but by only 2 per cent.</w:t>
      </w:r>
    </w:p>
    <w:p w:rsidR="00FF201F" w:rsidRPr="008F5DCE" w:rsidRDefault="00FF201F" w:rsidP="00FF201F">
      <w:pPr>
        <w:pStyle w:val="ListBullet"/>
        <w:numPr>
          <w:ilvl w:val="0"/>
          <w:numId w:val="26"/>
        </w:numPr>
        <w:ind w:right="113"/>
        <w:rPr>
          <w:rFonts w:cs="Arial"/>
        </w:rPr>
      </w:pPr>
      <w:r w:rsidRPr="008F5DCE">
        <w:rPr>
          <w:rFonts w:cs="Arial"/>
        </w:rPr>
        <w:t xml:space="preserve">The estimated participation rate of vocational education and training students shows that in 2013 the Barwon South </w:t>
      </w:r>
      <w:r w:rsidR="0033535B" w:rsidRPr="008F5DCE">
        <w:rPr>
          <w:rFonts w:cs="Arial"/>
        </w:rPr>
        <w:t xml:space="preserve">West and Hume </w:t>
      </w:r>
      <w:r w:rsidRPr="008F5DCE">
        <w:rPr>
          <w:rFonts w:cs="Arial"/>
        </w:rPr>
        <w:t>region</w:t>
      </w:r>
      <w:r w:rsidR="0033535B" w:rsidRPr="008F5DCE">
        <w:rPr>
          <w:rFonts w:cs="Arial"/>
        </w:rPr>
        <w:t>s</w:t>
      </w:r>
      <w:r w:rsidRPr="008F5DCE">
        <w:rPr>
          <w:rFonts w:cs="Arial"/>
        </w:rPr>
        <w:t xml:space="preserve"> had the highest participation rate (15 per cent), closely followed by the </w:t>
      </w:r>
      <w:r w:rsidR="0033535B" w:rsidRPr="008F5DCE">
        <w:rPr>
          <w:rFonts w:cs="Arial"/>
        </w:rPr>
        <w:t>Western Metropolitan Melbourne</w:t>
      </w:r>
      <w:r w:rsidRPr="008F5DCE">
        <w:rPr>
          <w:rFonts w:cs="Arial"/>
        </w:rPr>
        <w:t xml:space="preserve"> region at 14 per cent. The lowest participation rate in government subsidised training was the Eastern metropolitan area at 9 per cent. </w:t>
      </w:r>
    </w:p>
    <w:p w:rsidR="00FF201F" w:rsidRPr="006C6521" w:rsidRDefault="00FF201F" w:rsidP="00FF201F">
      <w:pPr>
        <w:spacing w:after="120"/>
        <w:rPr>
          <w:rFonts w:cs="Arial"/>
        </w:rPr>
      </w:pPr>
      <w:r w:rsidRPr="006C6521">
        <w:rPr>
          <w:rFonts w:cs="Arial"/>
        </w:rPr>
        <w:t xml:space="preserve">Victoria’s economy is experiencing the highest rate of structural change across </w:t>
      </w:r>
      <w:r w:rsidR="00A53648">
        <w:rPr>
          <w:rFonts w:cs="Arial"/>
        </w:rPr>
        <w:t>in</w:t>
      </w:r>
      <w:r w:rsidRPr="006C6521">
        <w:rPr>
          <w:rFonts w:cs="Arial"/>
        </w:rPr>
        <w:t xml:space="preserve"> country. </w:t>
      </w:r>
      <w:r w:rsidR="0056612D">
        <w:rPr>
          <w:rFonts w:cs="Arial"/>
        </w:rPr>
        <w:t>Training is a key mechanism to assist industry and workers in industr</w:t>
      </w:r>
      <w:r w:rsidR="005D0377">
        <w:rPr>
          <w:rFonts w:cs="Arial"/>
        </w:rPr>
        <w:t>ies experiencing such changes. T</w:t>
      </w:r>
      <w:r w:rsidRPr="006C6521">
        <w:rPr>
          <w:rFonts w:cs="Arial"/>
        </w:rPr>
        <w:t xml:space="preserve">he Victorian skills system </w:t>
      </w:r>
      <w:r w:rsidR="0073027A">
        <w:rPr>
          <w:rFonts w:cs="Arial"/>
        </w:rPr>
        <w:t>in responding to industry needs</w:t>
      </w:r>
      <w:r w:rsidRPr="006C6521">
        <w:rPr>
          <w:rFonts w:cs="Arial"/>
        </w:rPr>
        <w:t>, with more enrolments in areas of training relevant to the needs of employers</w:t>
      </w:r>
      <w:r w:rsidR="0073027A">
        <w:rPr>
          <w:rFonts w:cs="Arial"/>
        </w:rPr>
        <w:t xml:space="preserve"> which is more likely to result in positive employment outcomes for students</w:t>
      </w:r>
      <w:r w:rsidRPr="006C6521">
        <w:rPr>
          <w:rFonts w:cs="Arial"/>
        </w:rPr>
        <w:t xml:space="preserve">.  </w:t>
      </w:r>
    </w:p>
    <w:p w:rsidR="00FF201F" w:rsidRPr="005D4704" w:rsidRDefault="00FF201F" w:rsidP="00FF201F">
      <w:pPr>
        <w:pStyle w:val="ListBullet"/>
        <w:numPr>
          <w:ilvl w:val="0"/>
          <w:numId w:val="26"/>
        </w:numPr>
        <w:ind w:right="113"/>
        <w:rPr>
          <w:rFonts w:cs="Arial"/>
        </w:rPr>
      </w:pPr>
      <w:r w:rsidRPr="005D4704">
        <w:rPr>
          <w:rFonts w:cs="Arial"/>
        </w:rPr>
        <w:t>Between 20</w:t>
      </w:r>
      <w:r w:rsidR="005D4704" w:rsidRPr="005D4704">
        <w:rPr>
          <w:rFonts w:cs="Arial"/>
        </w:rPr>
        <w:t>10</w:t>
      </w:r>
      <w:r w:rsidRPr="005D4704">
        <w:rPr>
          <w:rFonts w:cs="Arial"/>
        </w:rPr>
        <w:t xml:space="preserve"> and 2013 training enrolments in specialised or skill shortage occupations </w:t>
      </w:r>
      <w:r w:rsidR="005D4704" w:rsidRPr="005D4704">
        <w:rPr>
          <w:rFonts w:cs="Arial"/>
        </w:rPr>
        <w:t>increased by 59 per cent</w:t>
      </w:r>
      <w:r w:rsidRPr="005D4704">
        <w:rPr>
          <w:rFonts w:cs="Arial"/>
        </w:rPr>
        <w:t>, and now represent 4</w:t>
      </w:r>
      <w:r w:rsidR="00453928" w:rsidRPr="005D4704">
        <w:rPr>
          <w:rFonts w:cs="Arial"/>
        </w:rPr>
        <w:t>1</w:t>
      </w:r>
      <w:r w:rsidRPr="005D4704">
        <w:rPr>
          <w:rFonts w:cs="Arial"/>
        </w:rPr>
        <w:t xml:space="preserve"> per cent of all enrolments.</w:t>
      </w:r>
      <w:r w:rsidR="00CC022A" w:rsidRPr="005D4704">
        <w:rPr>
          <w:rStyle w:val="FootnoteReference"/>
        </w:rPr>
        <w:footnoteReference w:id="1"/>
      </w:r>
      <w:r w:rsidRPr="005D4704">
        <w:rPr>
          <w:rFonts w:cs="Arial"/>
        </w:rPr>
        <w:t xml:space="preserve">  </w:t>
      </w:r>
    </w:p>
    <w:p w:rsidR="00FF201F" w:rsidRPr="006C6521" w:rsidRDefault="00FF201F" w:rsidP="00FF201F">
      <w:pPr>
        <w:pStyle w:val="ListBullet"/>
        <w:numPr>
          <w:ilvl w:val="0"/>
          <w:numId w:val="26"/>
        </w:numPr>
        <w:ind w:right="113"/>
        <w:rPr>
          <w:rFonts w:cs="Arial"/>
        </w:rPr>
      </w:pPr>
      <w:r w:rsidRPr="006C6521">
        <w:rPr>
          <w:rFonts w:cs="Arial"/>
        </w:rPr>
        <w:t xml:space="preserve">The top five enrolling specialised or in shortage occupations in 2013 were child carers (30,100 enrolments), aged and disabled carers (20,400), truck drivers (14,600), welfare support workers (11,600) and motor mechanics (8,400). </w:t>
      </w:r>
    </w:p>
    <w:p w:rsidR="00FF201F" w:rsidRPr="006C6521" w:rsidRDefault="00FF201F" w:rsidP="00FF201F">
      <w:pPr>
        <w:pStyle w:val="ListBullet"/>
        <w:numPr>
          <w:ilvl w:val="0"/>
          <w:numId w:val="26"/>
        </w:numPr>
        <w:ind w:right="113"/>
        <w:rPr>
          <w:rFonts w:cs="Arial"/>
        </w:rPr>
      </w:pPr>
      <w:r w:rsidRPr="006C6521">
        <w:rPr>
          <w:rFonts w:cs="Arial"/>
        </w:rPr>
        <w:t xml:space="preserve">60 per cent of enrolments were delivered in the six highest employing Victorian industry sectors, which account for 59 per cent of all Victorian jobs. </w:t>
      </w:r>
    </w:p>
    <w:p w:rsidR="00FF201F" w:rsidRPr="006C6521" w:rsidRDefault="00FF201F" w:rsidP="00FF201F">
      <w:pPr>
        <w:spacing w:after="120"/>
        <w:rPr>
          <w:rFonts w:cs="Arial"/>
        </w:rPr>
      </w:pPr>
      <w:r w:rsidRPr="006C6521">
        <w:rPr>
          <w:rFonts w:cs="Arial"/>
        </w:rPr>
        <w:t>As Victoria transitions to a higher skilled, knowledge-based economy, demand for training has increased. Victoria’s flexible training system is opening up more pathways to fu</w:t>
      </w:r>
      <w:r w:rsidR="0056612D">
        <w:rPr>
          <w:rFonts w:cs="Arial"/>
        </w:rPr>
        <w:t xml:space="preserve">rther learning and employment. </w:t>
      </w:r>
    </w:p>
    <w:p w:rsidR="00FF201F" w:rsidRPr="00B659AC" w:rsidRDefault="00FF201F" w:rsidP="00FF201F">
      <w:pPr>
        <w:pStyle w:val="ListBullet"/>
        <w:numPr>
          <w:ilvl w:val="0"/>
          <w:numId w:val="26"/>
        </w:numPr>
        <w:ind w:right="113"/>
        <w:rPr>
          <w:rFonts w:cs="Arial"/>
        </w:rPr>
      </w:pPr>
      <w:r w:rsidRPr="00B659AC">
        <w:rPr>
          <w:rFonts w:cs="Arial"/>
        </w:rPr>
        <w:t>The proportion of students who were unemployed, not in the labour force or employed in lower skilled and declining occupations rose from 3</w:t>
      </w:r>
      <w:r w:rsidR="00B659AC" w:rsidRPr="00B659AC">
        <w:rPr>
          <w:rFonts w:cs="Arial"/>
        </w:rPr>
        <w:t>6</w:t>
      </w:r>
      <w:r w:rsidRPr="00B659AC">
        <w:rPr>
          <w:rFonts w:cs="Arial"/>
        </w:rPr>
        <w:t xml:space="preserve"> per cent of all students in 20</w:t>
      </w:r>
      <w:r w:rsidR="00B659AC" w:rsidRPr="00B659AC">
        <w:rPr>
          <w:rFonts w:cs="Arial"/>
        </w:rPr>
        <w:t>10</w:t>
      </w:r>
      <w:r w:rsidRPr="00B659AC">
        <w:rPr>
          <w:rFonts w:cs="Arial"/>
        </w:rPr>
        <w:t xml:space="preserve"> to 47 per cent in 2013.  </w:t>
      </w:r>
    </w:p>
    <w:p w:rsidR="00FF201F" w:rsidRPr="006C6521" w:rsidRDefault="00FF201F" w:rsidP="00FF201F">
      <w:pPr>
        <w:pStyle w:val="ListBullet"/>
        <w:numPr>
          <w:ilvl w:val="0"/>
          <w:numId w:val="26"/>
        </w:numPr>
        <w:ind w:right="113"/>
        <w:rPr>
          <w:rFonts w:cs="Arial"/>
        </w:rPr>
      </w:pPr>
      <w:r w:rsidRPr="006C6521">
        <w:rPr>
          <w:rFonts w:cs="Arial"/>
        </w:rPr>
        <w:t>Participation by Indigenous students and students with a disability has also gr</w:t>
      </w:r>
      <w:r w:rsidR="00354A56">
        <w:rPr>
          <w:rFonts w:cs="Arial"/>
        </w:rPr>
        <w:t>own between 2010 and 2013 – by 30</w:t>
      </w:r>
      <w:r w:rsidRPr="006C6521">
        <w:rPr>
          <w:rFonts w:cs="Arial"/>
        </w:rPr>
        <w:t xml:space="preserve"> per cent and </w:t>
      </w:r>
      <w:r w:rsidR="00354A56">
        <w:rPr>
          <w:rFonts w:cs="Arial"/>
        </w:rPr>
        <w:t>51</w:t>
      </w:r>
      <w:r w:rsidRPr="006C6521">
        <w:rPr>
          <w:rFonts w:cs="Arial"/>
        </w:rPr>
        <w:t xml:space="preserve"> per cent respectively. </w:t>
      </w:r>
    </w:p>
    <w:p w:rsidR="0073027A" w:rsidRDefault="0073027A">
      <w:pPr>
        <w:spacing w:after="0" w:line="240" w:lineRule="auto"/>
        <w:jc w:val="left"/>
        <w:rPr>
          <w:rFonts w:cs="Arial"/>
        </w:rPr>
      </w:pPr>
      <w:r>
        <w:rPr>
          <w:rFonts w:cs="Arial"/>
        </w:rPr>
        <w:br w:type="page"/>
      </w:r>
    </w:p>
    <w:p w:rsidR="00FF201F" w:rsidRPr="006C6521" w:rsidRDefault="00FF201F" w:rsidP="00FF201F">
      <w:pPr>
        <w:spacing w:after="120"/>
        <w:rPr>
          <w:rFonts w:cs="Arial"/>
        </w:rPr>
      </w:pPr>
      <w:r w:rsidRPr="006C6521">
        <w:rPr>
          <w:rFonts w:cs="Arial"/>
        </w:rPr>
        <w:t xml:space="preserve">Victoria’s training providers continue to be valued by businesses and learners, delivering traditional trades training together with cross-industry and foundation skills. </w:t>
      </w:r>
    </w:p>
    <w:p w:rsidR="00FF201F" w:rsidRPr="006C6521" w:rsidRDefault="00FF201F" w:rsidP="00FF201F">
      <w:pPr>
        <w:pStyle w:val="ListBullet"/>
        <w:numPr>
          <w:ilvl w:val="0"/>
          <w:numId w:val="26"/>
        </w:numPr>
        <w:ind w:right="113"/>
        <w:rPr>
          <w:rFonts w:cs="Arial"/>
        </w:rPr>
      </w:pPr>
      <w:r w:rsidRPr="006C6521">
        <w:rPr>
          <w:rFonts w:cs="Arial"/>
        </w:rPr>
        <w:t>Almost half of all TAFE enrolments were in Certificate III-IV and the top three industry areas of enrolment were construction, health care and social assistance and manufacturing.</w:t>
      </w:r>
    </w:p>
    <w:p w:rsidR="00FF201F" w:rsidRPr="006C6521" w:rsidRDefault="00FF201F" w:rsidP="00FF201F">
      <w:pPr>
        <w:pStyle w:val="ListBullet"/>
        <w:numPr>
          <w:ilvl w:val="0"/>
          <w:numId w:val="26"/>
        </w:numPr>
        <w:ind w:right="113"/>
        <w:rPr>
          <w:rFonts w:cs="Arial"/>
        </w:rPr>
      </w:pPr>
      <w:r w:rsidRPr="006C6521">
        <w:rPr>
          <w:rFonts w:cs="Arial"/>
        </w:rPr>
        <w:t>Nearly 70 per cent of all private Registered Training Organisation enrolments were in Certificate III-IV and the top three industry areas of enrolment were health care and social assistance, transport, postal and warehousing and manufacturing.</w:t>
      </w:r>
    </w:p>
    <w:p w:rsidR="00FF201F" w:rsidRPr="006C6521" w:rsidRDefault="00FF201F" w:rsidP="00FF201F">
      <w:pPr>
        <w:pStyle w:val="ListBullet"/>
        <w:numPr>
          <w:ilvl w:val="0"/>
          <w:numId w:val="26"/>
        </w:numPr>
        <w:ind w:right="113"/>
        <w:rPr>
          <w:rFonts w:cs="Arial"/>
        </w:rPr>
      </w:pPr>
      <w:r w:rsidRPr="006C6521">
        <w:rPr>
          <w:rFonts w:cs="Arial"/>
        </w:rPr>
        <w:t>In the Learn Local sector, over 40 per cent of enrolments were module only enrolments and the top three industry areas were health care and social assistance, accommodation and food services and education and training.</w:t>
      </w:r>
    </w:p>
    <w:p w:rsidR="00FF201F" w:rsidRPr="0082367D" w:rsidRDefault="00FF201F" w:rsidP="00FF201F">
      <w:pPr>
        <w:spacing w:after="120"/>
        <w:rPr>
          <w:rFonts w:cs="Arial"/>
          <w:szCs w:val="19"/>
        </w:rPr>
      </w:pPr>
      <w:r w:rsidRPr="006C6521">
        <w:rPr>
          <w:rFonts w:cs="Arial"/>
        </w:rPr>
        <w:t>In 2013, the number of government subsidised enrolments by private Registered Training Organisations was 48 per cent of all delivery, TAFEs delivered 40 per cent of training and the Learn Local sector 11 per cent.</w:t>
      </w:r>
    </w:p>
    <w:p w:rsidR="00C550AF" w:rsidRDefault="00C550AF">
      <w:pPr>
        <w:spacing w:after="0" w:line="240" w:lineRule="auto"/>
        <w:jc w:val="left"/>
        <w:rPr>
          <w:rFonts w:cs="Arial"/>
          <w:bCs/>
          <w:iCs/>
          <w:color w:val="365F91" w:themeColor="accent1" w:themeShade="BF"/>
          <w:sz w:val="28"/>
          <w:szCs w:val="28"/>
        </w:rPr>
      </w:pPr>
      <w:r>
        <w:br w:type="page"/>
      </w:r>
    </w:p>
    <w:p w:rsidR="0027062C" w:rsidRPr="001F29E3" w:rsidRDefault="00AD136B" w:rsidP="007B3AB1">
      <w:pPr>
        <w:pStyle w:val="Heading2"/>
      </w:pPr>
      <w:bookmarkStart w:id="33" w:name="_Toc38834043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9"/>
      <w:bookmarkEnd w:id="30"/>
      <w:bookmarkEnd w:id="31"/>
      <w:bookmarkEnd w:id="32"/>
      <w:r w:rsidRPr="007B3AB1">
        <w:t>Notes about the data</w:t>
      </w:r>
      <w:bookmarkEnd w:id="33"/>
    </w:p>
    <w:p w:rsidR="00AD136B" w:rsidRDefault="00AD136B" w:rsidP="00351166">
      <w:pPr>
        <w:rPr>
          <w:rFonts w:cs="Arial"/>
        </w:rPr>
      </w:pPr>
    </w:p>
    <w:p w:rsidR="00351166" w:rsidRPr="001F29E3" w:rsidRDefault="00AD136B" w:rsidP="00351166">
      <w:pPr>
        <w:rPr>
          <w:rFonts w:cs="Arial"/>
        </w:rPr>
      </w:pPr>
      <w:r>
        <w:rPr>
          <w:rFonts w:cs="Arial"/>
        </w:rPr>
        <w:t>Th</w:t>
      </w:r>
      <w:r w:rsidR="001C124F">
        <w:rPr>
          <w:rFonts w:cs="Arial"/>
        </w:rPr>
        <w:t>is</w:t>
      </w:r>
      <w:r>
        <w:rPr>
          <w:rFonts w:cs="Arial"/>
        </w:rPr>
        <w:t xml:space="preserve"> Report includes key metrics, such as </w:t>
      </w:r>
      <w:r w:rsidR="00351166" w:rsidRPr="001F29E3">
        <w:rPr>
          <w:rFonts w:cs="Arial"/>
        </w:rPr>
        <w:t>t</w:t>
      </w:r>
      <w:r>
        <w:rPr>
          <w:rFonts w:cs="Arial"/>
        </w:rPr>
        <w:t>r</w:t>
      </w:r>
      <w:r w:rsidR="00351166" w:rsidRPr="001F29E3">
        <w:rPr>
          <w:rFonts w:cs="Arial"/>
        </w:rPr>
        <w:t>aining delivery by funding source, qualification level</w:t>
      </w:r>
      <w:r w:rsidR="00556A33">
        <w:rPr>
          <w:rFonts w:cs="Arial"/>
        </w:rPr>
        <w:t>, course completion</w:t>
      </w:r>
      <w:r w:rsidR="00B91AF9">
        <w:rPr>
          <w:rFonts w:cs="Arial"/>
        </w:rPr>
        <w:t>,</w:t>
      </w:r>
      <w:r w:rsidR="00351166" w:rsidRPr="001F29E3">
        <w:rPr>
          <w:rFonts w:cs="Arial"/>
        </w:rPr>
        <w:t xml:space="preserve"> </w:t>
      </w:r>
      <w:r w:rsidR="00126689">
        <w:rPr>
          <w:rFonts w:cs="Arial"/>
        </w:rPr>
        <w:t>age of learners</w:t>
      </w:r>
      <w:r w:rsidR="00351166" w:rsidRPr="001F29E3">
        <w:rPr>
          <w:rFonts w:cs="Arial"/>
        </w:rPr>
        <w:t>, learners</w:t>
      </w:r>
      <w:r w:rsidR="00B91AF9">
        <w:rPr>
          <w:rFonts w:cs="Arial"/>
        </w:rPr>
        <w:t xml:space="preserve"> facing barriers to participation</w:t>
      </w:r>
      <w:r w:rsidR="00351166" w:rsidRPr="001F29E3">
        <w:rPr>
          <w:rFonts w:cs="Arial"/>
        </w:rPr>
        <w:t xml:space="preserve"> and region</w:t>
      </w:r>
      <w:r w:rsidR="00126689">
        <w:rPr>
          <w:rFonts w:cs="Arial"/>
        </w:rPr>
        <w:t>al activity</w:t>
      </w:r>
      <w:r w:rsidR="00556A33">
        <w:rPr>
          <w:rFonts w:cs="Arial"/>
        </w:rPr>
        <w:t xml:space="preserve">. An analysis of alignment to industry needs </w:t>
      </w:r>
      <w:r w:rsidR="00556A33" w:rsidRPr="001F29E3">
        <w:rPr>
          <w:rFonts w:cs="Arial"/>
        </w:rPr>
        <w:t>is</w:t>
      </w:r>
      <w:r w:rsidR="00351166" w:rsidRPr="001F29E3">
        <w:rPr>
          <w:rFonts w:cs="Arial"/>
        </w:rPr>
        <w:t xml:space="preserve"> also provided.</w:t>
      </w:r>
    </w:p>
    <w:p w:rsidR="00351166" w:rsidRPr="005721E0" w:rsidRDefault="00351166" w:rsidP="00497C8C">
      <w:r w:rsidRPr="001F29E3">
        <w:t xml:space="preserve">The main source of </w:t>
      </w:r>
      <w:r w:rsidR="00221A72" w:rsidRPr="001F29E3">
        <w:t>v</w:t>
      </w:r>
      <w:r w:rsidR="004F0806" w:rsidRPr="001F29E3">
        <w:t xml:space="preserve">ocational </w:t>
      </w:r>
      <w:r w:rsidR="00221A72" w:rsidRPr="001F29E3">
        <w:t>t</w:t>
      </w:r>
      <w:r w:rsidR="004F0806" w:rsidRPr="001F29E3">
        <w:t>raining</w:t>
      </w:r>
      <w:r w:rsidR="00B03850" w:rsidRPr="001F29E3">
        <w:t xml:space="preserve"> </w:t>
      </w:r>
      <w:r w:rsidRPr="001F29E3">
        <w:t>statistics in this publication is the training activity database referred to as S</w:t>
      </w:r>
      <w:r w:rsidR="00530325">
        <w:t xml:space="preserve">kills </w:t>
      </w:r>
      <w:r w:rsidRPr="001F29E3">
        <w:t>V</w:t>
      </w:r>
      <w:r w:rsidR="00530325">
        <w:t xml:space="preserve">ictoria </w:t>
      </w:r>
      <w:r w:rsidRPr="001F29E3">
        <w:t>T</w:t>
      </w:r>
      <w:r w:rsidR="00530325">
        <w:t xml:space="preserve">raining </w:t>
      </w:r>
      <w:r w:rsidRPr="001F29E3">
        <w:t>S</w:t>
      </w:r>
      <w:r w:rsidR="00530325">
        <w:t>ystem (SVTS)</w:t>
      </w:r>
      <w:r w:rsidRPr="001F29E3">
        <w:t xml:space="preserve">. </w:t>
      </w:r>
      <w:r w:rsidR="001B53F4">
        <w:t xml:space="preserve">Data included in the report are </w:t>
      </w:r>
      <w:r w:rsidR="001B53F4" w:rsidRPr="006C60FB">
        <w:t xml:space="preserve">a snapshot in time and based on data as reported to Higher Education and Skills Group (HESG) in the Department by training providers. </w:t>
      </w:r>
      <w:r w:rsidRPr="001F29E3">
        <w:t xml:space="preserve">For TAFE </w:t>
      </w:r>
      <w:r w:rsidR="00927DE0" w:rsidRPr="001F29E3">
        <w:t>I</w:t>
      </w:r>
      <w:r w:rsidRPr="001F29E3">
        <w:t xml:space="preserve">nstitutes, there is an additional regulatory requirement that </w:t>
      </w:r>
      <w:r w:rsidRPr="005721E0">
        <w:t xml:space="preserve">they also submit their </w:t>
      </w:r>
      <w:r w:rsidR="001B2568" w:rsidRPr="005721E0">
        <w:t>f</w:t>
      </w:r>
      <w:r w:rsidR="00362E51" w:rsidRPr="005721E0">
        <w:t xml:space="preserve">ee for </w:t>
      </w:r>
      <w:r w:rsidR="001B2568" w:rsidRPr="005721E0">
        <w:t>s</w:t>
      </w:r>
      <w:r w:rsidR="00362E51" w:rsidRPr="005721E0">
        <w:t>ervice</w:t>
      </w:r>
      <w:r w:rsidRPr="005721E0">
        <w:t xml:space="preserve"> </w:t>
      </w:r>
      <w:r w:rsidR="001B53F4">
        <w:t xml:space="preserve">activity </w:t>
      </w:r>
      <w:r w:rsidRPr="005721E0">
        <w:t>data.</w:t>
      </w:r>
    </w:p>
    <w:p w:rsidR="000866DB" w:rsidRPr="00530325" w:rsidRDefault="005721E0" w:rsidP="00497C8C">
      <w:pPr>
        <w:rPr>
          <w:rFonts w:cs="Arial"/>
        </w:rPr>
      </w:pPr>
      <w:r w:rsidRPr="00530325">
        <w:t xml:space="preserve">Full </w:t>
      </w:r>
      <w:r w:rsidR="000866DB" w:rsidRPr="00530325">
        <w:t xml:space="preserve">year </w:t>
      </w:r>
      <w:r w:rsidR="000B6438" w:rsidRPr="00530325">
        <w:t>data</w:t>
      </w:r>
      <w:r w:rsidR="000866DB" w:rsidRPr="00530325">
        <w:t xml:space="preserve"> </w:t>
      </w:r>
      <w:r w:rsidR="00497C8C" w:rsidRPr="00530325">
        <w:t xml:space="preserve">between </w:t>
      </w:r>
      <w:r w:rsidR="000866DB" w:rsidRPr="00530325">
        <w:t xml:space="preserve">2008 </w:t>
      </w:r>
      <w:r w:rsidR="00497C8C" w:rsidRPr="00530325">
        <w:t xml:space="preserve">and </w:t>
      </w:r>
      <w:r w:rsidR="000866DB" w:rsidRPr="00530325">
        <w:t>201</w:t>
      </w:r>
      <w:r w:rsidR="00556A33">
        <w:t>3</w:t>
      </w:r>
      <w:r w:rsidR="000866DB" w:rsidRPr="00530325">
        <w:t xml:space="preserve"> are included to show longer term trends.</w:t>
      </w:r>
      <w:r w:rsidR="00556A33">
        <w:t xml:space="preserve"> Generally percentage changes include the change from 2008, 2011, 2012 to 2013. However, key tables include information on each percentage change, </w:t>
      </w:r>
      <w:r w:rsidR="006A63EE">
        <w:t>i.e.</w:t>
      </w:r>
      <w:r w:rsidR="00556A33">
        <w:t xml:space="preserve"> 2008 to 2013, 2009 to 2013 and so forth.</w:t>
      </w:r>
    </w:p>
    <w:p w:rsidR="00336495" w:rsidRDefault="005F166A" w:rsidP="00336495">
      <w:pPr>
        <w:rPr>
          <w:highlight w:val="cyan"/>
        </w:rPr>
      </w:pPr>
      <w:r w:rsidRPr="001F29E3">
        <w:t xml:space="preserve">The </w:t>
      </w:r>
      <w:r w:rsidR="008C3A1C" w:rsidRPr="001F29E3">
        <w:t xml:space="preserve">2013 </w:t>
      </w:r>
      <w:r w:rsidRPr="001F29E3">
        <w:t xml:space="preserve">data </w:t>
      </w:r>
      <w:r w:rsidR="00D118DC">
        <w:t xml:space="preserve">were </w:t>
      </w:r>
      <w:r w:rsidR="00351166" w:rsidRPr="001F29E3">
        <w:t xml:space="preserve">extracted from SVTS as at </w:t>
      </w:r>
      <w:r w:rsidR="00556A33">
        <w:t xml:space="preserve">22 February </w:t>
      </w:r>
      <w:r w:rsidR="00351166" w:rsidRPr="001F29E3">
        <w:t>2013.</w:t>
      </w:r>
      <w:r w:rsidR="002C240D" w:rsidRPr="001F29E3">
        <w:t xml:space="preserve"> </w:t>
      </w:r>
      <w:r w:rsidR="006C60FB" w:rsidRPr="00336495">
        <w:t xml:space="preserve">Annual data included in this report may differ from data released by the </w:t>
      </w:r>
      <w:r w:rsidR="00E377FE" w:rsidRPr="001F29E3">
        <w:t>National Centre for Vocational Education and Research (NCVER)</w:t>
      </w:r>
      <w:r w:rsidR="006C60FB" w:rsidRPr="00336495">
        <w:t xml:space="preserve"> due to use of different </w:t>
      </w:r>
      <w:r w:rsidR="00556A33">
        <w:t>business</w:t>
      </w:r>
      <w:r w:rsidR="006C60FB" w:rsidRPr="00336495">
        <w:t xml:space="preserve"> rules</w:t>
      </w:r>
      <w:r w:rsidR="00E377FE">
        <w:t xml:space="preserve"> </w:t>
      </w:r>
      <w:r w:rsidR="00556A33">
        <w:t xml:space="preserve">to ensure national consistency for reporting purposes </w:t>
      </w:r>
      <w:r w:rsidR="00E377FE">
        <w:t xml:space="preserve">and </w:t>
      </w:r>
      <w:r w:rsidR="00556A33">
        <w:t xml:space="preserve">that </w:t>
      </w:r>
      <w:r w:rsidR="00E377FE">
        <w:t xml:space="preserve">data </w:t>
      </w:r>
      <w:r w:rsidR="00556A33">
        <w:t>may be</w:t>
      </w:r>
      <w:r w:rsidR="00E377FE" w:rsidRPr="001F29E3">
        <w:t xml:space="preserve"> revised slightly prior to submission to</w:t>
      </w:r>
      <w:r w:rsidR="00E377FE" w:rsidRPr="00E377FE">
        <w:t xml:space="preserve"> </w:t>
      </w:r>
      <w:r w:rsidR="00E377FE" w:rsidRPr="00336495">
        <w:t>NCVER</w:t>
      </w:r>
      <w:r w:rsidR="00556A33">
        <w:t xml:space="preserve"> and by the NCVER itself</w:t>
      </w:r>
      <w:r w:rsidR="00E377FE" w:rsidRPr="001F29E3">
        <w:t>.</w:t>
      </w:r>
    </w:p>
    <w:p w:rsidR="00336495" w:rsidRPr="001F29E3" w:rsidRDefault="00336495" w:rsidP="00336495">
      <w:r w:rsidRPr="00336495">
        <w:t>Annual data included in this report may differ to those in previous publications as the DEECD is continuously updating classifications to improve data quality and consistency across years.</w:t>
      </w:r>
      <w:r w:rsidR="00BC596A">
        <w:t xml:space="preserve"> For example t</w:t>
      </w:r>
      <w:r w:rsidR="00BC596A" w:rsidRPr="00BC596A">
        <w:t xml:space="preserve">he apportionment of enrolments between the apprentice/trainee categories </w:t>
      </w:r>
      <w:r w:rsidR="00BC596A">
        <w:t xml:space="preserve">is marginally different to what was reported previously, this is a </w:t>
      </w:r>
      <w:r w:rsidR="00BC596A" w:rsidRPr="00BC596A">
        <w:t>result of a correction to the classification of some courses.</w:t>
      </w:r>
      <w:r w:rsidR="001B53F4" w:rsidRPr="001B53F4">
        <w:t xml:space="preserve"> </w:t>
      </w:r>
      <w:r w:rsidR="001B53F4">
        <w:t xml:space="preserve">From time to time changes to reporting and data standards may lead to minor revisions to data previously reported. The data </w:t>
      </w:r>
      <w:r w:rsidR="006529D4">
        <w:t xml:space="preserve">reported in this report </w:t>
      </w:r>
      <w:r w:rsidR="001B53F4">
        <w:t>was extracted on 22 February 2014; some minor changes</w:t>
      </w:r>
      <w:r w:rsidR="00426ABA">
        <w:t xml:space="preserve"> </w:t>
      </w:r>
      <w:r w:rsidR="0056797E">
        <w:t xml:space="preserve">occurred to the full year 2013 data following this date and are not reflected in this report. For example following this date </w:t>
      </w:r>
      <w:r w:rsidR="00426ABA">
        <w:t>about 700 government subsidised enrolments were recoded from pre-accredited to accredited</w:t>
      </w:r>
      <w:r w:rsidR="00EC6C77">
        <w:t xml:space="preserve"> to correct an earlier data quality issue</w:t>
      </w:r>
      <w:r w:rsidR="00426ABA">
        <w:t>.</w:t>
      </w:r>
    </w:p>
    <w:p w:rsidR="00464995" w:rsidRDefault="000530F2" w:rsidP="00497C8C">
      <w:r>
        <w:t>Data</w:t>
      </w:r>
      <w:r w:rsidR="00083B2E">
        <w:t xml:space="preserve"> shown in the tables are rounded to the nearest 100 when the </w:t>
      </w:r>
      <w:r>
        <w:t xml:space="preserve">figures are </w:t>
      </w:r>
      <w:r w:rsidR="00083B2E">
        <w:t>greater than 1,000</w:t>
      </w:r>
      <w:r>
        <w:t>;</w:t>
      </w:r>
      <w:r w:rsidR="00083B2E">
        <w:t xml:space="preserve"> to the nearest 50 when </w:t>
      </w:r>
      <w:r w:rsidR="007F0A64">
        <w:t>they are</w:t>
      </w:r>
      <w:r w:rsidR="00083B2E">
        <w:t xml:space="preserve"> between 100 and 1,000</w:t>
      </w:r>
      <w:r>
        <w:t>;</w:t>
      </w:r>
      <w:r w:rsidR="00083B2E">
        <w:t xml:space="preserve"> and to the nearest 10 when </w:t>
      </w:r>
      <w:r w:rsidR="007F0A64">
        <w:t>they are</w:t>
      </w:r>
      <w:r w:rsidR="00083B2E">
        <w:t xml:space="preserve"> less than 100.</w:t>
      </w:r>
      <w:r w:rsidR="007F0A64">
        <w:t xml:space="preserve"> The percentage change</w:t>
      </w:r>
      <w:r w:rsidR="009C6A30">
        <w:t>s</w:t>
      </w:r>
      <w:r w:rsidR="007A1ED3">
        <w:t>, e.g. between 2008 and 2013,</w:t>
      </w:r>
      <w:r w:rsidR="007F0A64">
        <w:t xml:space="preserve"> </w:t>
      </w:r>
      <w:r w:rsidR="009C6A30">
        <w:t>are</w:t>
      </w:r>
      <w:r w:rsidR="007F0A64">
        <w:t xml:space="preserve"> calculat</w:t>
      </w:r>
      <w:r>
        <w:t xml:space="preserve">ed based on the </w:t>
      </w:r>
      <w:r w:rsidR="00FD4F31">
        <w:t>unrounded</w:t>
      </w:r>
      <w:r>
        <w:t xml:space="preserve"> data</w:t>
      </w:r>
      <w:r w:rsidR="007F0A64">
        <w:t>.</w:t>
      </w:r>
    </w:p>
    <w:p w:rsidR="0056797E" w:rsidRPr="0056797E" w:rsidRDefault="0056797E" w:rsidP="0056797E">
      <w:bookmarkStart w:id="34" w:name="_Toc348117718"/>
      <w:bookmarkStart w:id="35" w:name="_Toc348439964"/>
      <w:bookmarkStart w:id="36" w:name="_Toc348440163"/>
      <w:bookmarkStart w:id="37" w:name="_Toc349184175"/>
      <w:bookmarkStart w:id="38" w:name="_Toc349184324"/>
      <w:bookmarkStart w:id="39" w:name="_Toc349184514"/>
      <w:r w:rsidRPr="0056797E">
        <w:t>For the purposes of this report the term Learn Local is used interchangeably with Adult and Community Education (ACE). However it should be noted that only Learn Local organisations report through to the ACFE Board, ACE organisations are self-identified and are not required to report through to the Board. In 2013 there were a very small number of Learn Local organisations that self-identified to SVTS as Private RTOs and therefore are not included in the count of Learn Local organisations for the purpose of this report.</w:t>
      </w:r>
    </w:p>
    <w:p w:rsidR="00351166" w:rsidRPr="001F29E3" w:rsidRDefault="00351166" w:rsidP="00A9260A">
      <w:pPr>
        <w:pStyle w:val="Heading2"/>
      </w:pPr>
      <w:bookmarkStart w:id="40" w:name="_Toc388340440"/>
      <w:r w:rsidRPr="001F29E3">
        <w:t>Reporting scope</w:t>
      </w:r>
      <w:bookmarkEnd w:id="34"/>
      <w:bookmarkEnd w:id="35"/>
      <w:bookmarkEnd w:id="36"/>
      <w:bookmarkEnd w:id="37"/>
      <w:bookmarkEnd w:id="38"/>
      <w:bookmarkEnd w:id="39"/>
      <w:bookmarkEnd w:id="40"/>
    </w:p>
    <w:p w:rsidR="00351166" w:rsidRPr="001F29E3" w:rsidRDefault="00351166" w:rsidP="00497C8C">
      <w:r w:rsidRPr="001F29E3">
        <w:t>This report include</w:t>
      </w:r>
      <w:r w:rsidR="00416B67" w:rsidRPr="001F29E3">
        <w:t>s</w:t>
      </w:r>
      <w:r w:rsidRPr="001F29E3">
        <w:t xml:space="preserve"> government subsidised activities in all sectors at all qualification levels, and domestic fee</w:t>
      </w:r>
      <w:r w:rsidR="001B2568" w:rsidRPr="001F29E3">
        <w:t xml:space="preserve"> </w:t>
      </w:r>
      <w:r w:rsidRPr="001F29E3">
        <w:t>for</w:t>
      </w:r>
      <w:r w:rsidR="001B2568" w:rsidRPr="001F29E3">
        <w:t xml:space="preserve"> </w:t>
      </w:r>
      <w:r w:rsidRPr="001F29E3">
        <w:t>service activities in the TAFE sector at Australian Qualification Framework (</w:t>
      </w:r>
      <w:r w:rsidR="00CC0C50" w:rsidRPr="001F29E3">
        <w:t>Certificate</w:t>
      </w:r>
      <w:r w:rsidRPr="001F29E3">
        <w:t xml:space="preserve"> I and above).</w:t>
      </w:r>
    </w:p>
    <w:p w:rsidR="00351166" w:rsidRPr="001F29E3" w:rsidRDefault="00362E51" w:rsidP="00497C8C">
      <w:r w:rsidRPr="001F29E3">
        <w:t xml:space="preserve">Fee for </w:t>
      </w:r>
      <w:r w:rsidR="001B2568" w:rsidRPr="001F29E3">
        <w:t>s</w:t>
      </w:r>
      <w:r w:rsidRPr="001F29E3">
        <w:t>ervice</w:t>
      </w:r>
      <w:r w:rsidR="00351166" w:rsidRPr="001F29E3">
        <w:t xml:space="preserve"> activities below </w:t>
      </w:r>
      <w:r w:rsidR="00CC0C50" w:rsidRPr="001F29E3">
        <w:t>Certificate</w:t>
      </w:r>
      <w:r w:rsidR="00351166" w:rsidRPr="001F29E3">
        <w:t xml:space="preserve"> I in the </w:t>
      </w:r>
      <w:r w:rsidR="00B3005F" w:rsidRPr="001F29E3">
        <w:t xml:space="preserve">domestic </w:t>
      </w:r>
      <w:r w:rsidR="00351166" w:rsidRPr="001F29E3">
        <w:t>TAFE sector are not included</w:t>
      </w:r>
      <w:r w:rsidR="00D70D05" w:rsidRPr="001F29E3">
        <w:t>, such as short courses</w:t>
      </w:r>
      <w:r w:rsidR="00351166" w:rsidRPr="001F29E3">
        <w:t xml:space="preserve">. </w:t>
      </w:r>
      <w:r w:rsidRPr="001F29E3">
        <w:t xml:space="preserve">Fee for </w:t>
      </w:r>
      <w:r w:rsidR="001B2568" w:rsidRPr="001F29E3">
        <w:t>s</w:t>
      </w:r>
      <w:r w:rsidRPr="001F29E3">
        <w:t>ervice</w:t>
      </w:r>
      <w:r w:rsidR="00351166" w:rsidRPr="001F29E3">
        <w:t xml:space="preserve"> activities that took place in the </w:t>
      </w:r>
      <w:r w:rsidR="001B2568" w:rsidRPr="001F29E3">
        <w:t>p</w:t>
      </w:r>
      <w:r w:rsidR="00351166" w:rsidRPr="001F29E3">
        <w:t>rivate RTO and Adult Community Education sectors are also outside the scope.</w:t>
      </w:r>
      <w:r w:rsidR="00B3005F" w:rsidRPr="001F29E3">
        <w:t xml:space="preserve"> </w:t>
      </w:r>
    </w:p>
    <w:p w:rsidR="00C91269" w:rsidRDefault="000866DB" w:rsidP="0082367D">
      <w:pPr>
        <w:rPr>
          <w:color w:val="76923C" w:themeColor="accent3" w:themeShade="BF"/>
          <w:spacing w:val="-12"/>
          <w:sz w:val="46"/>
          <w:szCs w:val="46"/>
        </w:rPr>
      </w:pPr>
      <w:r w:rsidRPr="001F29E3">
        <w:t xml:space="preserve">Since </w:t>
      </w:r>
      <w:r w:rsidR="00471FC1" w:rsidRPr="001F29E3">
        <w:t xml:space="preserve">2012, the scope of reporting of government subsidised training changed. ZC - Corrections delivery contracted directly with TAFE </w:t>
      </w:r>
      <w:r w:rsidR="00927DE0" w:rsidRPr="001F29E3">
        <w:t>I</w:t>
      </w:r>
      <w:r w:rsidR="00471FC1" w:rsidRPr="001F29E3">
        <w:t xml:space="preserve">nstitutes and ZP - Corrections funding through private prisons </w:t>
      </w:r>
      <w:r w:rsidRPr="001F29E3">
        <w:t xml:space="preserve">have been </w:t>
      </w:r>
      <w:r w:rsidR="00471FC1" w:rsidRPr="001F29E3">
        <w:t xml:space="preserve">allocated to </w:t>
      </w:r>
      <w:r w:rsidR="001B2568" w:rsidRPr="001F29E3">
        <w:t>f</w:t>
      </w:r>
      <w:r w:rsidR="00362E51" w:rsidRPr="001F29E3">
        <w:t xml:space="preserve">ee for </w:t>
      </w:r>
      <w:r w:rsidR="001B2568" w:rsidRPr="001F29E3">
        <w:t>s</w:t>
      </w:r>
      <w:r w:rsidR="00362E51" w:rsidRPr="001F29E3">
        <w:t>ervice</w:t>
      </w:r>
      <w:r w:rsidR="00471FC1" w:rsidRPr="001F29E3">
        <w:t xml:space="preserve"> funding. Prior to 2012, these funded enrolments were allocated to government subsidised training.</w:t>
      </w:r>
      <w:bookmarkStart w:id="41" w:name="_Toc316542830"/>
      <w:bookmarkStart w:id="42" w:name="_Toc316629591"/>
      <w:bookmarkStart w:id="43" w:name="_Toc317173953"/>
      <w:bookmarkStart w:id="44" w:name="_Toc317174102"/>
      <w:bookmarkStart w:id="45" w:name="_Toc322454241"/>
      <w:bookmarkStart w:id="46" w:name="_Toc317173960"/>
      <w:bookmarkStart w:id="47" w:name="_Toc317174109"/>
      <w:r w:rsidR="00C91269">
        <w:br w:type="page"/>
      </w:r>
    </w:p>
    <w:p w:rsidR="00270AFC" w:rsidRDefault="00270AFC">
      <w:pPr>
        <w:spacing w:after="0" w:line="240" w:lineRule="auto"/>
        <w:jc w:val="left"/>
        <w:rPr>
          <w:color w:val="365F91" w:themeColor="accent1" w:themeShade="BF"/>
          <w:spacing w:val="-12"/>
          <w:sz w:val="46"/>
          <w:szCs w:val="46"/>
        </w:rPr>
      </w:pPr>
      <w:bookmarkStart w:id="48" w:name="_Toc388340441"/>
      <w:r>
        <w:br w:type="page"/>
      </w:r>
    </w:p>
    <w:p w:rsidR="00B377BB" w:rsidRDefault="00B377BB" w:rsidP="00B377BB">
      <w:pPr>
        <w:pStyle w:val="Heading1"/>
      </w:pPr>
      <w:r>
        <w:t>Vocational Training Summary</w:t>
      </w:r>
      <w:bookmarkEnd w:id="48"/>
    </w:p>
    <w:p w:rsidR="00EB0A1A" w:rsidRPr="001F29E3" w:rsidRDefault="0055106F" w:rsidP="00BB1E91">
      <w:pPr>
        <w:pStyle w:val="Heading2"/>
      </w:pPr>
      <w:bookmarkStart w:id="49" w:name="_Toc388340442"/>
      <w:r w:rsidRPr="001F29E3">
        <w:t>Vocational Training</w:t>
      </w:r>
      <w:r w:rsidR="00E32275" w:rsidRPr="001F29E3">
        <w:t xml:space="preserve"> by</w:t>
      </w:r>
      <w:r w:rsidRPr="001F29E3" w:rsidDel="00B03850">
        <w:t xml:space="preserve"> </w:t>
      </w:r>
      <w:r w:rsidR="00EB0A1A" w:rsidRPr="001F29E3">
        <w:t>Funding</w:t>
      </w:r>
      <w:r w:rsidR="00E32275" w:rsidRPr="001F29E3">
        <w:t xml:space="preserve"> Type</w:t>
      </w:r>
      <w:bookmarkEnd w:id="49"/>
    </w:p>
    <w:p w:rsidR="00B377BB" w:rsidRDefault="00B377BB" w:rsidP="007D276C"/>
    <w:p w:rsidR="00F72324" w:rsidRDefault="005E4EE6" w:rsidP="00D17AF1">
      <w:r w:rsidRPr="001F29E3">
        <w:t xml:space="preserve">This section provides an overview of training activity measured in terms of </w:t>
      </w:r>
      <w:r w:rsidR="00D37D95">
        <w:t xml:space="preserve">course </w:t>
      </w:r>
      <w:r w:rsidRPr="001F29E3">
        <w:t>enrolments, student contact hours and student numbers.</w:t>
      </w:r>
      <w:r w:rsidR="00F72324" w:rsidRPr="001F29E3">
        <w:t xml:space="preserve"> </w:t>
      </w:r>
    </w:p>
    <w:p w:rsidR="00757289" w:rsidRPr="001F29E3" w:rsidRDefault="00757289" w:rsidP="00F72324">
      <w:pPr>
        <w:rPr>
          <w:rFonts w:cs="Arial"/>
        </w:rPr>
      </w:pPr>
    </w:p>
    <w:tbl>
      <w:tblPr>
        <w:tblW w:w="4999"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left w:w="0" w:type="dxa"/>
          <w:right w:w="0" w:type="dxa"/>
        </w:tblCellMar>
        <w:tblLook w:val="01E0" w:firstRow="1" w:lastRow="1" w:firstColumn="1" w:lastColumn="1" w:noHBand="0" w:noVBand="0"/>
      </w:tblPr>
      <w:tblGrid>
        <w:gridCol w:w="9086"/>
      </w:tblGrid>
      <w:tr w:rsidR="00757289" w:rsidRPr="001F29E3" w:rsidTr="00DA268F">
        <w:trPr>
          <w:trHeight w:val="1782"/>
        </w:trPr>
        <w:tc>
          <w:tcPr>
            <w:tcW w:w="5000" w:type="pct"/>
          </w:tcPr>
          <w:p w:rsidR="00757289" w:rsidRPr="00581A9A" w:rsidRDefault="00757289" w:rsidP="00757289">
            <w:pPr>
              <w:pStyle w:val="Heading3"/>
            </w:pPr>
            <w:r w:rsidRPr="00581A9A">
              <w:t>Key Points</w:t>
            </w:r>
          </w:p>
          <w:p w:rsidR="00757289" w:rsidRPr="00581A9A" w:rsidRDefault="00F2141D" w:rsidP="00757289">
            <w:pPr>
              <w:pStyle w:val="ListBullet"/>
              <w:numPr>
                <w:ilvl w:val="0"/>
                <w:numId w:val="0"/>
              </w:numPr>
              <w:ind w:right="113"/>
              <w:rPr>
                <w:rFonts w:cs="Arial"/>
              </w:rPr>
            </w:pPr>
            <w:r>
              <w:rPr>
                <w:rFonts w:cs="Arial"/>
              </w:rPr>
              <w:t xml:space="preserve">The </w:t>
            </w:r>
            <w:r w:rsidR="00757289" w:rsidRPr="00581A9A">
              <w:rPr>
                <w:rFonts w:cs="Arial"/>
              </w:rPr>
              <w:t>2013 data show</w:t>
            </w:r>
            <w:r w:rsidR="004E497D" w:rsidRPr="00581A9A">
              <w:rPr>
                <w:rFonts w:cs="Arial"/>
              </w:rPr>
              <w:t>s</w:t>
            </w:r>
            <w:r w:rsidR="00757289" w:rsidRPr="00581A9A">
              <w:rPr>
                <w:rFonts w:cs="Arial"/>
              </w:rPr>
              <w:t xml:space="preserve"> that: </w:t>
            </w:r>
          </w:p>
          <w:p w:rsidR="00757289" w:rsidRPr="00581A9A" w:rsidRDefault="00C40CAA" w:rsidP="00DA268F">
            <w:pPr>
              <w:pStyle w:val="ListBullet"/>
              <w:numPr>
                <w:ilvl w:val="0"/>
                <w:numId w:val="31"/>
              </w:numPr>
              <w:ind w:right="113"/>
              <w:jc w:val="left"/>
              <w:rPr>
                <w:rFonts w:cs="Arial"/>
              </w:rPr>
            </w:pPr>
            <w:r w:rsidRPr="00581A9A">
              <w:rPr>
                <w:rFonts w:cs="Arial"/>
              </w:rPr>
              <w:t>There</w:t>
            </w:r>
            <w:r w:rsidR="00757289" w:rsidRPr="00581A9A">
              <w:rPr>
                <w:rFonts w:cs="Arial"/>
              </w:rPr>
              <w:t xml:space="preserve"> were </w:t>
            </w:r>
            <w:r w:rsidR="00F2141D">
              <w:rPr>
                <w:rFonts w:cs="Arial"/>
              </w:rPr>
              <w:t>645,000</w:t>
            </w:r>
            <w:r w:rsidR="00757289" w:rsidRPr="00581A9A">
              <w:rPr>
                <w:rFonts w:cs="Arial"/>
              </w:rPr>
              <w:t xml:space="preserve"> government subsidised course enrolments, </w:t>
            </w:r>
            <w:r w:rsidR="00F2141D">
              <w:rPr>
                <w:rFonts w:cs="Arial"/>
              </w:rPr>
              <w:t>183.1</w:t>
            </w:r>
            <w:r w:rsidR="00757289" w:rsidRPr="00581A9A">
              <w:rPr>
                <w:rFonts w:cs="Arial"/>
              </w:rPr>
              <w:t xml:space="preserve"> million government subsidised student contact hours and </w:t>
            </w:r>
            <w:r w:rsidR="00F2141D">
              <w:rPr>
                <w:rFonts w:cs="Arial"/>
              </w:rPr>
              <w:t>484,300</w:t>
            </w:r>
            <w:r w:rsidR="00757289" w:rsidRPr="00581A9A">
              <w:rPr>
                <w:rFonts w:cs="Arial"/>
              </w:rPr>
              <w:t xml:space="preserve"> government subsidised students. </w:t>
            </w:r>
          </w:p>
          <w:p w:rsidR="00757289" w:rsidRPr="004E0FA0" w:rsidRDefault="00757289" w:rsidP="00DA268F">
            <w:pPr>
              <w:pStyle w:val="ListBullet"/>
              <w:numPr>
                <w:ilvl w:val="0"/>
                <w:numId w:val="31"/>
              </w:numPr>
              <w:ind w:right="113"/>
              <w:jc w:val="left"/>
              <w:rPr>
                <w:rFonts w:cs="Arial"/>
              </w:rPr>
            </w:pPr>
            <w:r w:rsidRPr="00581A9A">
              <w:rPr>
                <w:rFonts w:cs="Arial"/>
              </w:rPr>
              <w:t xml:space="preserve">TAFE domestic fee for service activity </w:t>
            </w:r>
            <w:r w:rsidR="00C40CAA" w:rsidRPr="00581A9A">
              <w:rPr>
                <w:rFonts w:cs="Arial"/>
              </w:rPr>
              <w:t xml:space="preserve">at Australian Qualification Framework (AQF) </w:t>
            </w:r>
            <w:r w:rsidR="007E5EAF">
              <w:rPr>
                <w:rFonts w:cs="Arial"/>
              </w:rPr>
              <w:t>Certificate</w:t>
            </w:r>
            <w:r w:rsidR="00C40CAA" w:rsidRPr="00581A9A">
              <w:rPr>
                <w:rFonts w:cs="Arial"/>
              </w:rPr>
              <w:t xml:space="preserve"> 1 and above recorded </w:t>
            </w:r>
            <w:r w:rsidR="00F2141D">
              <w:rPr>
                <w:rFonts w:cs="Arial"/>
              </w:rPr>
              <w:t>116,900</w:t>
            </w:r>
            <w:r w:rsidRPr="00581A9A">
              <w:rPr>
                <w:rFonts w:cs="Arial"/>
              </w:rPr>
              <w:t xml:space="preserve"> enrolmen</w:t>
            </w:r>
            <w:r w:rsidRPr="001B53F4">
              <w:rPr>
                <w:rFonts w:cs="Arial"/>
              </w:rPr>
              <w:t xml:space="preserve">ts, </w:t>
            </w:r>
            <w:r w:rsidR="001B53F4" w:rsidRPr="001B53F4">
              <w:rPr>
                <w:rFonts w:cs="Arial"/>
              </w:rPr>
              <w:t>19.8</w:t>
            </w:r>
            <w:r w:rsidRPr="001B53F4">
              <w:rPr>
                <w:rFonts w:cs="Arial"/>
              </w:rPr>
              <w:t xml:space="preserve"> million student contact hours and </w:t>
            </w:r>
            <w:r w:rsidR="001B53F4" w:rsidRPr="001B53F4">
              <w:rPr>
                <w:rFonts w:cs="Arial"/>
              </w:rPr>
              <w:t>96,700</w:t>
            </w:r>
            <w:r w:rsidRPr="001B53F4">
              <w:rPr>
                <w:rFonts w:cs="Arial"/>
              </w:rPr>
              <w:t xml:space="preserve"> students.</w:t>
            </w:r>
          </w:p>
        </w:tc>
      </w:tr>
    </w:tbl>
    <w:p w:rsidR="00A903CB" w:rsidRDefault="00A903CB" w:rsidP="00A903CB"/>
    <w:p w:rsidR="00006E72" w:rsidRPr="00006E72" w:rsidRDefault="005E4EE6" w:rsidP="00006E72">
      <w:pPr>
        <w:pStyle w:val="Caption"/>
        <w:spacing w:after="0"/>
        <w:rPr>
          <w:color w:val="365F91" w:themeColor="accent1" w:themeShade="BF"/>
        </w:rPr>
      </w:pPr>
      <w:r w:rsidRPr="00006E72">
        <w:rPr>
          <w:color w:val="365F91" w:themeColor="accent1" w:themeShade="BF"/>
        </w:rPr>
        <w:t>Table 1.</w:t>
      </w:r>
      <w:r w:rsidR="00A47AB4" w:rsidRPr="00006E72">
        <w:rPr>
          <w:color w:val="365F91" w:themeColor="accent1" w:themeShade="BF"/>
        </w:rPr>
        <w:fldChar w:fldCharType="begin"/>
      </w:r>
      <w:r w:rsidR="00A47AB4" w:rsidRPr="00006E72">
        <w:rPr>
          <w:color w:val="365F91" w:themeColor="accent1" w:themeShade="BF"/>
        </w:rPr>
        <w:instrText xml:space="preserve"> SEQ Table \* ARABIC \s 1 </w:instrText>
      </w:r>
      <w:r w:rsidR="00A47AB4" w:rsidRPr="00006E72">
        <w:rPr>
          <w:color w:val="365F91" w:themeColor="accent1" w:themeShade="BF"/>
        </w:rPr>
        <w:fldChar w:fldCharType="separate"/>
      </w:r>
      <w:r w:rsidR="00667D45">
        <w:rPr>
          <w:noProof/>
          <w:color w:val="365F91" w:themeColor="accent1" w:themeShade="BF"/>
        </w:rPr>
        <w:t>1</w:t>
      </w:r>
      <w:r w:rsidR="00A47AB4" w:rsidRPr="00006E72">
        <w:rPr>
          <w:noProof/>
          <w:color w:val="365F91" w:themeColor="accent1" w:themeShade="BF"/>
        </w:rPr>
        <w:fldChar w:fldCharType="end"/>
      </w:r>
      <w:r w:rsidR="00C45AD9" w:rsidRPr="00006E72">
        <w:rPr>
          <w:noProof/>
          <w:color w:val="365F91" w:themeColor="accent1" w:themeShade="BF"/>
        </w:rPr>
        <w:t>.1</w:t>
      </w:r>
      <w:r w:rsidRPr="00006E72">
        <w:rPr>
          <w:color w:val="365F91" w:themeColor="accent1" w:themeShade="BF"/>
        </w:rPr>
        <w:t xml:space="preserve">: </w:t>
      </w:r>
      <w:r w:rsidR="0025400C" w:rsidRPr="00006E72">
        <w:rPr>
          <w:color w:val="365F91" w:themeColor="accent1" w:themeShade="BF"/>
        </w:rPr>
        <w:t>Enrolments in v</w:t>
      </w:r>
      <w:r w:rsidR="0055106F" w:rsidRPr="00006E72">
        <w:rPr>
          <w:color w:val="365F91" w:themeColor="accent1" w:themeShade="BF"/>
        </w:rPr>
        <w:t xml:space="preserve">ocational </w:t>
      </w:r>
      <w:r w:rsidR="00221A72" w:rsidRPr="00006E72">
        <w:rPr>
          <w:color w:val="365F91" w:themeColor="accent1" w:themeShade="BF"/>
        </w:rPr>
        <w:t>t</w:t>
      </w:r>
      <w:r w:rsidR="0055106F" w:rsidRPr="00006E72">
        <w:rPr>
          <w:color w:val="365F91" w:themeColor="accent1" w:themeShade="BF"/>
        </w:rPr>
        <w:t>raining</w:t>
      </w:r>
      <w:r w:rsidR="00006E72">
        <w:rPr>
          <w:color w:val="365F91" w:themeColor="accent1" w:themeShade="BF"/>
        </w:rPr>
        <w:t xml:space="preserve"> by funding type, 2008–2013</w:t>
      </w:r>
    </w:p>
    <w:tbl>
      <w:tblPr>
        <w:tblW w:w="9067" w:type="dxa"/>
        <w:tblInd w:w="11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405"/>
        <w:gridCol w:w="1110"/>
        <w:gridCol w:w="1110"/>
        <w:gridCol w:w="1111"/>
        <w:gridCol w:w="1110"/>
        <w:gridCol w:w="1110"/>
        <w:gridCol w:w="1111"/>
      </w:tblGrid>
      <w:tr w:rsidR="00006E72" w:rsidRPr="00006E72" w:rsidTr="00DF45D9">
        <w:trPr>
          <w:trHeight w:val="405"/>
        </w:trPr>
        <w:tc>
          <w:tcPr>
            <w:tcW w:w="2405" w:type="dxa"/>
            <w:shd w:val="clear" w:color="auto" w:fill="365F91" w:themeFill="accent1" w:themeFillShade="BF"/>
            <w:noWrap/>
            <w:vAlign w:val="center"/>
            <w:hideMark/>
          </w:tcPr>
          <w:p w:rsidR="00006E72" w:rsidRPr="00006E72" w:rsidRDefault="00006E72" w:rsidP="00006E72">
            <w:pPr>
              <w:spacing w:after="0" w:line="240" w:lineRule="auto"/>
              <w:ind w:firstLineChars="100" w:firstLine="181"/>
              <w:jc w:val="left"/>
              <w:rPr>
                <w:rFonts w:cs="Arial"/>
                <w:b/>
                <w:bCs/>
                <w:color w:val="FFFFFF"/>
                <w:sz w:val="18"/>
                <w:szCs w:val="18"/>
                <w:lang w:eastAsia="en-AU"/>
              </w:rPr>
            </w:pPr>
            <w:r w:rsidRPr="00006E72">
              <w:rPr>
                <w:rFonts w:cs="Arial"/>
                <w:b/>
                <w:bCs/>
                <w:color w:val="FFFFFF"/>
                <w:sz w:val="18"/>
                <w:szCs w:val="18"/>
                <w:lang w:eastAsia="en-AU"/>
              </w:rPr>
              <w:t> </w:t>
            </w:r>
          </w:p>
        </w:tc>
        <w:tc>
          <w:tcPr>
            <w:tcW w:w="1110" w:type="dxa"/>
            <w:shd w:val="clear" w:color="auto" w:fill="365F91" w:themeFill="accent1" w:themeFillShade="BF"/>
            <w:vAlign w:val="center"/>
            <w:hideMark/>
          </w:tcPr>
          <w:p w:rsidR="00006E72" w:rsidRPr="00006E72" w:rsidRDefault="00006E72" w:rsidP="00006E72">
            <w:pPr>
              <w:spacing w:after="0" w:line="240" w:lineRule="auto"/>
              <w:ind w:firstLineChars="100" w:firstLine="181"/>
              <w:jc w:val="center"/>
              <w:rPr>
                <w:rFonts w:cs="Arial"/>
                <w:b/>
                <w:bCs/>
                <w:color w:val="FFFFFF"/>
                <w:sz w:val="18"/>
                <w:szCs w:val="18"/>
                <w:lang w:eastAsia="en-AU"/>
              </w:rPr>
            </w:pPr>
            <w:r w:rsidRPr="00006E72">
              <w:rPr>
                <w:rFonts w:cs="Arial"/>
                <w:b/>
                <w:bCs/>
                <w:color w:val="FFFFFF"/>
                <w:sz w:val="18"/>
                <w:szCs w:val="18"/>
                <w:lang w:eastAsia="en-AU"/>
              </w:rPr>
              <w:t>2008</w:t>
            </w:r>
          </w:p>
        </w:tc>
        <w:tc>
          <w:tcPr>
            <w:tcW w:w="1110" w:type="dxa"/>
            <w:shd w:val="clear" w:color="auto" w:fill="365F91" w:themeFill="accent1" w:themeFillShade="BF"/>
            <w:vAlign w:val="center"/>
            <w:hideMark/>
          </w:tcPr>
          <w:p w:rsidR="00006E72" w:rsidRPr="00006E72" w:rsidRDefault="00006E72" w:rsidP="00006E72">
            <w:pPr>
              <w:spacing w:after="0" w:line="240" w:lineRule="auto"/>
              <w:ind w:firstLineChars="100" w:firstLine="181"/>
              <w:jc w:val="center"/>
              <w:rPr>
                <w:rFonts w:cs="Arial"/>
                <w:b/>
                <w:bCs/>
                <w:color w:val="FFFFFF"/>
                <w:sz w:val="18"/>
                <w:szCs w:val="18"/>
                <w:lang w:eastAsia="en-AU"/>
              </w:rPr>
            </w:pPr>
            <w:r w:rsidRPr="00006E72">
              <w:rPr>
                <w:rFonts w:cs="Arial"/>
                <w:b/>
                <w:bCs/>
                <w:color w:val="FFFFFF"/>
                <w:sz w:val="18"/>
                <w:szCs w:val="18"/>
                <w:lang w:eastAsia="en-AU"/>
              </w:rPr>
              <w:t>2009</w:t>
            </w:r>
          </w:p>
        </w:tc>
        <w:tc>
          <w:tcPr>
            <w:tcW w:w="1111" w:type="dxa"/>
            <w:shd w:val="clear" w:color="auto" w:fill="365F91" w:themeFill="accent1" w:themeFillShade="BF"/>
            <w:vAlign w:val="center"/>
            <w:hideMark/>
          </w:tcPr>
          <w:p w:rsidR="00006E72" w:rsidRPr="00006E72" w:rsidRDefault="00006E72" w:rsidP="00006E72">
            <w:pPr>
              <w:spacing w:after="0" w:line="240" w:lineRule="auto"/>
              <w:ind w:firstLineChars="100" w:firstLine="181"/>
              <w:jc w:val="center"/>
              <w:rPr>
                <w:rFonts w:cs="Arial"/>
                <w:b/>
                <w:bCs/>
                <w:color w:val="FFFFFF"/>
                <w:sz w:val="18"/>
                <w:szCs w:val="18"/>
                <w:lang w:eastAsia="en-AU"/>
              </w:rPr>
            </w:pPr>
            <w:r w:rsidRPr="00006E72">
              <w:rPr>
                <w:rFonts w:cs="Arial"/>
                <w:b/>
                <w:bCs/>
                <w:color w:val="FFFFFF"/>
                <w:sz w:val="18"/>
                <w:szCs w:val="18"/>
                <w:lang w:eastAsia="en-AU"/>
              </w:rPr>
              <w:t>2010</w:t>
            </w:r>
          </w:p>
        </w:tc>
        <w:tc>
          <w:tcPr>
            <w:tcW w:w="1110" w:type="dxa"/>
            <w:shd w:val="clear" w:color="auto" w:fill="365F91" w:themeFill="accent1" w:themeFillShade="BF"/>
            <w:vAlign w:val="center"/>
            <w:hideMark/>
          </w:tcPr>
          <w:p w:rsidR="00006E72" w:rsidRPr="00006E72" w:rsidRDefault="00006E72" w:rsidP="00006E72">
            <w:pPr>
              <w:spacing w:after="0" w:line="240" w:lineRule="auto"/>
              <w:ind w:firstLineChars="100" w:firstLine="181"/>
              <w:jc w:val="center"/>
              <w:rPr>
                <w:rFonts w:cs="Arial"/>
                <w:b/>
                <w:bCs/>
                <w:color w:val="FFFFFF"/>
                <w:sz w:val="18"/>
                <w:szCs w:val="18"/>
                <w:lang w:eastAsia="en-AU"/>
              </w:rPr>
            </w:pPr>
            <w:r w:rsidRPr="00006E72">
              <w:rPr>
                <w:rFonts w:cs="Arial"/>
                <w:b/>
                <w:bCs/>
                <w:color w:val="FFFFFF"/>
                <w:sz w:val="18"/>
                <w:szCs w:val="18"/>
                <w:lang w:eastAsia="en-AU"/>
              </w:rPr>
              <w:t>2011</w:t>
            </w:r>
          </w:p>
        </w:tc>
        <w:tc>
          <w:tcPr>
            <w:tcW w:w="1110" w:type="dxa"/>
            <w:shd w:val="clear" w:color="auto" w:fill="365F91" w:themeFill="accent1" w:themeFillShade="BF"/>
            <w:vAlign w:val="center"/>
            <w:hideMark/>
          </w:tcPr>
          <w:p w:rsidR="00006E72" w:rsidRPr="00006E72" w:rsidRDefault="00006E72" w:rsidP="00006E72">
            <w:pPr>
              <w:spacing w:after="0" w:line="240" w:lineRule="auto"/>
              <w:ind w:firstLineChars="100" w:firstLine="181"/>
              <w:jc w:val="center"/>
              <w:rPr>
                <w:rFonts w:cs="Arial"/>
                <w:b/>
                <w:bCs/>
                <w:color w:val="FFFFFF"/>
                <w:sz w:val="18"/>
                <w:szCs w:val="18"/>
                <w:lang w:eastAsia="en-AU"/>
              </w:rPr>
            </w:pPr>
            <w:r w:rsidRPr="00006E72">
              <w:rPr>
                <w:rFonts w:cs="Arial"/>
                <w:b/>
                <w:bCs/>
                <w:color w:val="FFFFFF"/>
                <w:sz w:val="18"/>
                <w:szCs w:val="18"/>
                <w:lang w:eastAsia="en-AU"/>
              </w:rPr>
              <w:t>2012</w:t>
            </w:r>
          </w:p>
        </w:tc>
        <w:tc>
          <w:tcPr>
            <w:tcW w:w="1111" w:type="dxa"/>
            <w:shd w:val="clear" w:color="auto" w:fill="365F91" w:themeFill="accent1" w:themeFillShade="BF"/>
            <w:vAlign w:val="center"/>
            <w:hideMark/>
          </w:tcPr>
          <w:p w:rsidR="00006E72" w:rsidRPr="00006E72" w:rsidRDefault="00006E72" w:rsidP="00006E72">
            <w:pPr>
              <w:spacing w:after="0" w:line="240" w:lineRule="auto"/>
              <w:ind w:firstLineChars="100" w:firstLine="181"/>
              <w:jc w:val="center"/>
              <w:rPr>
                <w:rFonts w:cs="Arial"/>
                <w:b/>
                <w:bCs/>
                <w:color w:val="FFFFFF"/>
                <w:sz w:val="18"/>
                <w:szCs w:val="18"/>
                <w:lang w:eastAsia="en-AU"/>
              </w:rPr>
            </w:pPr>
            <w:r w:rsidRPr="00006E72">
              <w:rPr>
                <w:rFonts w:cs="Arial"/>
                <w:b/>
                <w:bCs/>
                <w:color w:val="FFFFFF"/>
                <w:sz w:val="18"/>
                <w:szCs w:val="18"/>
                <w:lang w:eastAsia="en-AU"/>
              </w:rPr>
              <w:t>2013</w:t>
            </w:r>
          </w:p>
        </w:tc>
      </w:tr>
      <w:tr w:rsidR="00006E72" w:rsidRPr="00006E72" w:rsidTr="00AC07A0">
        <w:trPr>
          <w:trHeight w:val="342"/>
        </w:trPr>
        <w:tc>
          <w:tcPr>
            <w:tcW w:w="2405" w:type="dxa"/>
            <w:shd w:val="clear" w:color="000000" w:fill="FFFFFF"/>
            <w:noWrap/>
            <w:vAlign w:val="center"/>
            <w:hideMark/>
          </w:tcPr>
          <w:p w:rsidR="00006E72" w:rsidRPr="00006E72" w:rsidRDefault="00006E72" w:rsidP="00AC07A0">
            <w:pPr>
              <w:spacing w:after="0" w:line="240" w:lineRule="auto"/>
              <w:jc w:val="left"/>
              <w:rPr>
                <w:rFonts w:cs="Arial"/>
                <w:color w:val="366092"/>
                <w:sz w:val="18"/>
                <w:szCs w:val="18"/>
                <w:lang w:eastAsia="en-AU"/>
              </w:rPr>
            </w:pPr>
            <w:r w:rsidRPr="00006E72">
              <w:rPr>
                <w:rFonts w:cs="Arial"/>
                <w:color w:val="366092"/>
                <w:sz w:val="18"/>
                <w:szCs w:val="18"/>
                <w:lang w:eastAsia="en-AU"/>
              </w:rPr>
              <w:t>Government subsidised</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381,300 </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376,800 </w:t>
            </w:r>
          </w:p>
        </w:tc>
        <w:tc>
          <w:tcPr>
            <w:tcW w:w="1111"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426,900 </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548,700 </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670,400 </w:t>
            </w:r>
          </w:p>
        </w:tc>
        <w:tc>
          <w:tcPr>
            <w:tcW w:w="1111"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645,000 </w:t>
            </w:r>
          </w:p>
        </w:tc>
      </w:tr>
      <w:tr w:rsidR="00006E72" w:rsidRPr="00006E72" w:rsidTr="00DF45D9">
        <w:trPr>
          <w:trHeight w:val="342"/>
        </w:trPr>
        <w:tc>
          <w:tcPr>
            <w:tcW w:w="2405" w:type="dxa"/>
            <w:shd w:val="clear" w:color="000000" w:fill="FFFFFF"/>
            <w:noWrap/>
            <w:vAlign w:val="bottom"/>
            <w:hideMark/>
          </w:tcPr>
          <w:p w:rsidR="00006E72" w:rsidRPr="00006E72" w:rsidRDefault="00006E72" w:rsidP="00006E72">
            <w:pPr>
              <w:spacing w:after="0" w:line="240" w:lineRule="auto"/>
              <w:jc w:val="left"/>
              <w:rPr>
                <w:rFonts w:cs="Arial"/>
                <w:color w:val="366092"/>
                <w:sz w:val="18"/>
                <w:szCs w:val="18"/>
                <w:lang w:eastAsia="en-AU"/>
              </w:rPr>
            </w:pPr>
            <w:r w:rsidRPr="00006E72">
              <w:rPr>
                <w:rFonts w:cs="Arial"/>
                <w:color w:val="366092"/>
                <w:sz w:val="18"/>
                <w:szCs w:val="18"/>
                <w:lang w:eastAsia="en-AU"/>
              </w:rPr>
              <w:t>TAFE domestic fee for service</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89,400 </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100,800 </w:t>
            </w:r>
          </w:p>
        </w:tc>
        <w:tc>
          <w:tcPr>
            <w:tcW w:w="1111"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103,700 </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102,200 </w:t>
            </w:r>
          </w:p>
        </w:tc>
        <w:tc>
          <w:tcPr>
            <w:tcW w:w="1110"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124,900 </w:t>
            </w:r>
          </w:p>
        </w:tc>
        <w:tc>
          <w:tcPr>
            <w:tcW w:w="1111" w:type="dxa"/>
            <w:shd w:val="clear" w:color="auto" w:fill="auto"/>
            <w:noWrap/>
            <w:vAlign w:val="bottom"/>
            <w:hideMark/>
          </w:tcPr>
          <w:p w:rsidR="00006E72" w:rsidRPr="00006E72" w:rsidRDefault="00006E72" w:rsidP="00006E72">
            <w:pPr>
              <w:spacing w:after="0" w:line="240" w:lineRule="auto"/>
              <w:jc w:val="right"/>
              <w:rPr>
                <w:rFonts w:cs="Arial"/>
                <w:sz w:val="18"/>
                <w:szCs w:val="18"/>
                <w:lang w:eastAsia="en-AU"/>
              </w:rPr>
            </w:pPr>
            <w:r w:rsidRPr="00006E72">
              <w:rPr>
                <w:rFonts w:cs="Arial"/>
                <w:sz w:val="18"/>
                <w:szCs w:val="18"/>
                <w:lang w:eastAsia="en-AU"/>
              </w:rPr>
              <w:t xml:space="preserve">        116,900 </w:t>
            </w:r>
          </w:p>
        </w:tc>
      </w:tr>
      <w:tr w:rsidR="00006E72" w:rsidRPr="00006E72" w:rsidTr="00DF45D9">
        <w:trPr>
          <w:trHeight w:val="342"/>
        </w:trPr>
        <w:tc>
          <w:tcPr>
            <w:tcW w:w="2405" w:type="dxa"/>
            <w:shd w:val="clear" w:color="auto" w:fill="365F91" w:themeFill="accent1" w:themeFillShade="BF"/>
            <w:noWrap/>
            <w:vAlign w:val="bottom"/>
            <w:hideMark/>
          </w:tcPr>
          <w:p w:rsidR="00006E72" w:rsidRPr="00006E72" w:rsidRDefault="00006E72" w:rsidP="00006E72">
            <w:pPr>
              <w:spacing w:after="0" w:line="240" w:lineRule="auto"/>
              <w:jc w:val="left"/>
              <w:rPr>
                <w:rFonts w:cs="Arial"/>
                <w:b/>
                <w:bCs/>
                <w:color w:val="FFFFFF"/>
                <w:sz w:val="18"/>
                <w:szCs w:val="18"/>
                <w:lang w:eastAsia="en-AU"/>
              </w:rPr>
            </w:pPr>
            <w:r w:rsidRPr="00006E72">
              <w:rPr>
                <w:rFonts w:cs="Arial"/>
                <w:b/>
                <w:bCs/>
                <w:color w:val="FFFFFF"/>
                <w:sz w:val="18"/>
                <w:szCs w:val="18"/>
                <w:lang w:eastAsia="en-AU"/>
              </w:rPr>
              <w:t>Total</w:t>
            </w:r>
          </w:p>
        </w:tc>
        <w:tc>
          <w:tcPr>
            <w:tcW w:w="1110" w:type="dxa"/>
            <w:shd w:val="clear" w:color="auto" w:fill="365F91" w:themeFill="accent1" w:themeFillShade="BF"/>
            <w:noWrap/>
            <w:vAlign w:val="bottom"/>
            <w:hideMark/>
          </w:tcPr>
          <w:p w:rsidR="00006E72" w:rsidRPr="00006E72" w:rsidRDefault="00006E72" w:rsidP="00006E72">
            <w:pPr>
              <w:spacing w:after="0" w:line="240" w:lineRule="auto"/>
              <w:jc w:val="right"/>
              <w:rPr>
                <w:rFonts w:cs="Arial"/>
                <w:b/>
                <w:bCs/>
                <w:color w:val="FFFFFF"/>
                <w:sz w:val="18"/>
                <w:szCs w:val="18"/>
                <w:lang w:eastAsia="en-AU"/>
              </w:rPr>
            </w:pPr>
            <w:r w:rsidRPr="00006E72">
              <w:rPr>
                <w:rFonts w:cs="Arial"/>
                <w:b/>
                <w:bCs/>
                <w:color w:val="FFFFFF"/>
                <w:sz w:val="18"/>
                <w:szCs w:val="18"/>
                <w:lang w:eastAsia="en-AU"/>
              </w:rPr>
              <w:t xml:space="preserve">        470,700 </w:t>
            </w:r>
          </w:p>
        </w:tc>
        <w:tc>
          <w:tcPr>
            <w:tcW w:w="1110" w:type="dxa"/>
            <w:shd w:val="clear" w:color="auto" w:fill="365F91" w:themeFill="accent1" w:themeFillShade="BF"/>
            <w:noWrap/>
            <w:vAlign w:val="bottom"/>
            <w:hideMark/>
          </w:tcPr>
          <w:p w:rsidR="00006E72" w:rsidRPr="00006E72" w:rsidRDefault="00006E72" w:rsidP="00006E72">
            <w:pPr>
              <w:spacing w:after="0" w:line="240" w:lineRule="auto"/>
              <w:jc w:val="right"/>
              <w:rPr>
                <w:rFonts w:cs="Arial"/>
                <w:b/>
                <w:bCs/>
                <w:color w:val="FFFFFF"/>
                <w:sz w:val="18"/>
                <w:szCs w:val="18"/>
                <w:lang w:eastAsia="en-AU"/>
              </w:rPr>
            </w:pPr>
            <w:r w:rsidRPr="00006E72">
              <w:rPr>
                <w:rFonts w:cs="Arial"/>
                <w:b/>
                <w:bCs/>
                <w:color w:val="FFFFFF"/>
                <w:sz w:val="18"/>
                <w:szCs w:val="18"/>
                <w:lang w:eastAsia="en-AU"/>
              </w:rPr>
              <w:t xml:space="preserve">        477,600 </w:t>
            </w:r>
          </w:p>
        </w:tc>
        <w:tc>
          <w:tcPr>
            <w:tcW w:w="1111" w:type="dxa"/>
            <w:shd w:val="clear" w:color="auto" w:fill="365F91" w:themeFill="accent1" w:themeFillShade="BF"/>
            <w:noWrap/>
            <w:vAlign w:val="bottom"/>
            <w:hideMark/>
          </w:tcPr>
          <w:p w:rsidR="00006E72" w:rsidRPr="00006E72" w:rsidRDefault="00006E72" w:rsidP="00006E72">
            <w:pPr>
              <w:spacing w:after="0" w:line="240" w:lineRule="auto"/>
              <w:jc w:val="right"/>
              <w:rPr>
                <w:rFonts w:cs="Arial"/>
                <w:b/>
                <w:bCs/>
                <w:color w:val="FFFFFF"/>
                <w:sz w:val="18"/>
                <w:szCs w:val="18"/>
                <w:lang w:eastAsia="en-AU"/>
              </w:rPr>
            </w:pPr>
            <w:r w:rsidRPr="00006E72">
              <w:rPr>
                <w:rFonts w:cs="Arial"/>
                <w:b/>
                <w:bCs/>
                <w:color w:val="FFFFFF"/>
                <w:sz w:val="18"/>
                <w:szCs w:val="18"/>
                <w:lang w:eastAsia="en-AU"/>
              </w:rPr>
              <w:t xml:space="preserve">        530,600 </w:t>
            </w:r>
          </w:p>
        </w:tc>
        <w:tc>
          <w:tcPr>
            <w:tcW w:w="1110" w:type="dxa"/>
            <w:shd w:val="clear" w:color="auto" w:fill="365F91" w:themeFill="accent1" w:themeFillShade="BF"/>
            <w:noWrap/>
            <w:vAlign w:val="bottom"/>
            <w:hideMark/>
          </w:tcPr>
          <w:p w:rsidR="00006E72" w:rsidRPr="00006E72" w:rsidRDefault="00006E72" w:rsidP="00006E72">
            <w:pPr>
              <w:spacing w:after="0" w:line="240" w:lineRule="auto"/>
              <w:jc w:val="right"/>
              <w:rPr>
                <w:rFonts w:cs="Arial"/>
                <w:b/>
                <w:bCs/>
                <w:color w:val="FFFFFF"/>
                <w:sz w:val="18"/>
                <w:szCs w:val="18"/>
                <w:lang w:eastAsia="en-AU"/>
              </w:rPr>
            </w:pPr>
            <w:r w:rsidRPr="00006E72">
              <w:rPr>
                <w:rFonts w:cs="Arial"/>
                <w:b/>
                <w:bCs/>
                <w:color w:val="FFFFFF"/>
                <w:sz w:val="18"/>
                <w:szCs w:val="18"/>
                <w:lang w:eastAsia="en-AU"/>
              </w:rPr>
              <w:t xml:space="preserve">        650,900 </w:t>
            </w:r>
          </w:p>
        </w:tc>
        <w:tc>
          <w:tcPr>
            <w:tcW w:w="1110" w:type="dxa"/>
            <w:shd w:val="clear" w:color="auto" w:fill="365F91" w:themeFill="accent1" w:themeFillShade="BF"/>
            <w:noWrap/>
            <w:vAlign w:val="bottom"/>
            <w:hideMark/>
          </w:tcPr>
          <w:p w:rsidR="00006E72" w:rsidRPr="00006E72" w:rsidRDefault="00006E72" w:rsidP="00006E72">
            <w:pPr>
              <w:spacing w:after="0" w:line="240" w:lineRule="auto"/>
              <w:jc w:val="right"/>
              <w:rPr>
                <w:rFonts w:cs="Arial"/>
                <w:b/>
                <w:bCs/>
                <w:color w:val="FFFFFF"/>
                <w:sz w:val="18"/>
                <w:szCs w:val="18"/>
                <w:lang w:eastAsia="en-AU"/>
              </w:rPr>
            </w:pPr>
            <w:r w:rsidRPr="00006E72">
              <w:rPr>
                <w:rFonts w:cs="Arial"/>
                <w:b/>
                <w:bCs/>
                <w:color w:val="FFFFFF"/>
                <w:sz w:val="18"/>
                <w:szCs w:val="18"/>
                <w:lang w:eastAsia="en-AU"/>
              </w:rPr>
              <w:t xml:space="preserve">        795,300 </w:t>
            </w:r>
          </w:p>
        </w:tc>
        <w:tc>
          <w:tcPr>
            <w:tcW w:w="1111" w:type="dxa"/>
            <w:shd w:val="clear" w:color="auto" w:fill="365F91" w:themeFill="accent1" w:themeFillShade="BF"/>
            <w:noWrap/>
            <w:vAlign w:val="bottom"/>
            <w:hideMark/>
          </w:tcPr>
          <w:p w:rsidR="00006E72" w:rsidRPr="00006E72" w:rsidRDefault="00006E72" w:rsidP="00006E72">
            <w:pPr>
              <w:spacing w:after="0" w:line="240" w:lineRule="auto"/>
              <w:jc w:val="right"/>
              <w:rPr>
                <w:rFonts w:cs="Arial"/>
                <w:b/>
                <w:bCs/>
                <w:color w:val="FFFFFF"/>
                <w:sz w:val="18"/>
                <w:szCs w:val="18"/>
                <w:lang w:eastAsia="en-AU"/>
              </w:rPr>
            </w:pPr>
            <w:r w:rsidRPr="00006E72">
              <w:rPr>
                <w:rFonts w:cs="Arial"/>
                <w:b/>
                <w:bCs/>
                <w:color w:val="FFFFFF"/>
                <w:sz w:val="18"/>
                <w:szCs w:val="18"/>
                <w:lang w:eastAsia="en-AU"/>
              </w:rPr>
              <w:t xml:space="preserve">        761,900 </w:t>
            </w:r>
          </w:p>
        </w:tc>
      </w:tr>
    </w:tbl>
    <w:p w:rsidR="00DB72B4" w:rsidRPr="001F29E3" w:rsidRDefault="008F0BCF" w:rsidP="00DB72B4">
      <w:pPr>
        <w:spacing w:after="0" w:line="240" w:lineRule="auto"/>
        <w:rPr>
          <w:rFonts w:cs="Arial"/>
          <w:sz w:val="16"/>
          <w:szCs w:val="16"/>
        </w:rPr>
      </w:pPr>
      <w:r>
        <w:rPr>
          <w:rFonts w:cs="Arial"/>
          <w:sz w:val="16"/>
          <w:szCs w:val="16"/>
        </w:rPr>
        <w:t xml:space="preserve">* </w:t>
      </w:r>
      <w:r w:rsidR="00DB72B4" w:rsidRPr="001F29E3">
        <w:rPr>
          <w:rFonts w:cs="Arial"/>
          <w:sz w:val="16"/>
          <w:szCs w:val="16"/>
        </w:rPr>
        <w:t>Fee for Service figures are TAFE on-shore domestic AQF</w:t>
      </w:r>
      <w:r w:rsidR="00891A33">
        <w:rPr>
          <w:rFonts w:cs="Arial"/>
          <w:sz w:val="16"/>
          <w:szCs w:val="16"/>
        </w:rPr>
        <w:t xml:space="preserve"> Level </w:t>
      </w:r>
      <w:r w:rsidR="00DB72B4" w:rsidRPr="001F29E3">
        <w:rPr>
          <w:rFonts w:cs="Arial"/>
          <w:sz w:val="16"/>
          <w:szCs w:val="16"/>
        </w:rPr>
        <w:t>1</w:t>
      </w:r>
      <w:r w:rsidR="00891A33">
        <w:rPr>
          <w:rFonts w:cs="Arial"/>
          <w:sz w:val="16"/>
          <w:szCs w:val="16"/>
        </w:rPr>
        <w:t xml:space="preserve"> and above</w:t>
      </w:r>
      <w:r w:rsidR="00DB72B4" w:rsidRPr="001F29E3">
        <w:rPr>
          <w:rFonts w:cs="Arial"/>
          <w:sz w:val="16"/>
          <w:szCs w:val="16"/>
        </w:rPr>
        <w:t>.</w:t>
      </w:r>
    </w:p>
    <w:p w:rsidR="00494F1F" w:rsidRDefault="00494F1F" w:rsidP="00064D9F">
      <w:pPr>
        <w:pStyle w:val="Caption"/>
        <w:rPr>
          <w:rFonts w:cs="Arial"/>
        </w:rPr>
      </w:pPr>
    </w:p>
    <w:p w:rsidR="00064D9F" w:rsidRDefault="00064D9F" w:rsidP="00CB5563">
      <w:pPr>
        <w:pStyle w:val="Caption"/>
        <w:spacing w:after="0"/>
        <w:rPr>
          <w:color w:val="365F91" w:themeColor="accent1" w:themeShade="BF"/>
        </w:rPr>
      </w:pPr>
      <w:r w:rsidRPr="002C79B5">
        <w:rPr>
          <w:rFonts w:cs="Arial"/>
          <w:color w:val="365F91" w:themeColor="accent1" w:themeShade="BF"/>
        </w:rPr>
        <w:t>Table 1.</w:t>
      </w:r>
      <w:r w:rsidR="00C45AD9" w:rsidRPr="002C79B5">
        <w:rPr>
          <w:rFonts w:cs="Arial"/>
          <w:color w:val="365F91" w:themeColor="accent1" w:themeShade="BF"/>
        </w:rPr>
        <w:t>1.</w:t>
      </w:r>
      <w:r w:rsidRPr="002C79B5">
        <w:rPr>
          <w:rFonts w:cs="Arial"/>
          <w:color w:val="365F91" w:themeColor="accent1" w:themeShade="BF"/>
        </w:rPr>
        <w:fldChar w:fldCharType="begin"/>
      </w:r>
      <w:r w:rsidRPr="002C79B5">
        <w:rPr>
          <w:rFonts w:cs="Arial"/>
          <w:color w:val="365F91" w:themeColor="accent1" w:themeShade="BF"/>
        </w:rPr>
        <w:instrText xml:space="preserve"> SEQ Table \* ARABIC \s 1 </w:instrText>
      </w:r>
      <w:r w:rsidRPr="002C79B5">
        <w:rPr>
          <w:rFonts w:cs="Arial"/>
          <w:color w:val="365F91" w:themeColor="accent1" w:themeShade="BF"/>
        </w:rPr>
        <w:fldChar w:fldCharType="separate"/>
      </w:r>
      <w:r w:rsidR="00667D45">
        <w:rPr>
          <w:rFonts w:cs="Arial"/>
          <w:noProof/>
          <w:color w:val="365F91" w:themeColor="accent1" w:themeShade="BF"/>
        </w:rPr>
        <w:t>2</w:t>
      </w:r>
      <w:r w:rsidRPr="002C79B5">
        <w:rPr>
          <w:rFonts w:cs="Arial"/>
          <w:noProof/>
          <w:color w:val="365F91" w:themeColor="accent1" w:themeShade="BF"/>
        </w:rPr>
        <w:fldChar w:fldCharType="end"/>
      </w:r>
      <w:r w:rsidRPr="002C79B5">
        <w:rPr>
          <w:rFonts w:cs="Arial"/>
          <w:color w:val="365F91" w:themeColor="accent1" w:themeShade="BF"/>
        </w:rPr>
        <w:t xml:space="preserve">: </w:t>
      </w:r>
      <w:r w:rsidR="004A10D1">
        <w:rPr>
          <w:rFonts w:cs="Arial"/>
          <w:color w:val="365F91" w:themeColor="accent1" w:themeShade="BF"/>
        </w:rPr>
        <w:t>Change in e</w:t>
      </w:r>
      <w:r w:rsidR="0025400C" w:rsidRPr="002C79B5">
        <w:rPr>
          <w:color w:val="365F91" w:themeColor="accent1" w:themeShade="BF"/>
        </w:rPr>
        <w:t>nrolments in vocational training by funding type</w:t>
      </w:r>
    </w:p>
    <w:tbl>
      <w:tblPr>
        <w:tblW w:w="8100" w:type="dxa"/>
        <w:tblInd w:w="108" w:type="dxa"/>
        <w:tblLook w:val="04A0" w:firstRow="1" w:lastRow="0" w:firstColumn="1" w:lastColumn="0" w:noHBand="0" w:noVBand="1"/>
      </w:tblPr>
      <w:tblGrid>
        <w:gridCol w:w="2500"/>
        <w:gridCol w:w="1120"/>
        <w:gridCol w:w="1120"/>
        <w:gridCol w:w="1120"/>
        <w:gridCol w:w="1120"/>
        <w:gridCol w:w="1120"/>
      </w:tblGrid>
      <w:tr w:rsidR="005152C5" w:rsidRPr="005152C5" w:rsidTr="008820DC">
        <w:trPr>
          <w:trHeight w:val="762"/>
        </w:trPr>
        <w:tc>
          <w:tcPr>
            <w:tcW w:w="2500" w:type="dxa"/>
            <w:tcBorders>
              <w:top w:val="single" w:sz="4" w:space="0" w:color="366092"/>
              <w:left w:val="single" w:sz="4" w:space="0" w:color="366092"/>
              <w:bottom w:val="single" w:sz="4" w:space="0" w:color="366092"/>
              <w:right w:val="single" w:sz="4" w:space="0" w:color="366092"/>
            </w:tcBorders>
            <w:shd w:val="clear" w:color="auto" w:fill="365F91" w:themeFill="accent1" w:themeFillShade="BF"/>
            <w:noWrap/>
            <w:vAlign w:val="center"/>
            <w:hideMark/>
          </w:tcPr>
          <w:p w:rsidR="005152C5" w:rsidRPr="005152C5" w:rsidRDefault="005152C5" w:rsidP="005152C5">
            <w:pPr>
              <w:spacing w:after="0" w:line="240" w:lineRule="auto"/>
              <w:ind w:firstLineChars="100" w:firstLine="181"/>
              <w:jc w:val="left"/>
              <w:rPr>
                <w:rFonts w:cs="Arial"/>
                <w:b/>
                <w:bCs/>
                <w:color w:val="FFFFFF"/>
                <w:sz w:val="18"/>
                <w:szCs w:val="18"/>
                <w:lang w:eastAsia="en-AU"/>
              </w:rPr>
            </w:pPr>
            <w:r w:rsidRPr="005152C5">
              <w:rPr>
                <w:rFonts w:cs="Arial"/>
                <w:b/>
                <w:bCs/>
                <w:color w:val="FFFFFF"/>
                <w:sz w:val="18"/>
                <w:szCs w:val="18"/>
                <w:lang w:eastAsia="en-AU"/>
              </w:rPr>
              <w:t> </w:t>
            </w:r>
          </w:p>
        </w:tc>
        <w:tc>
          <w:tcPr>
            <w:tcW w:w="1120"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 change</w:t>
            </w:r>
            <w:r w:rsidRPr="005152C5">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 change</w:t>
            </w:r>
            <w:r w:rsidRPr="005152C5">
              <w:rPr>
                <w:rFonts w:cs="Arial"/>
                <w:b/>
                <w:bCs/>
                <w:color w:val="FFFFFF"/>
                <w:sz w:val="18"/>
                <w:szCs w:val="18"/>
                <w:lang w:eastAsia="en-AU"/>
              </w:rPr>
              <w:br/>
              <w:t>2009-2013</w:t>
            </w:r>
          </w:p>
        </w:tc>
        <w:tc>
          <w:tcPr>
            <w:tcW w:w="1120"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 change</w:t>
            </w:r>
            <w:r w:rsidRPr="005152C5">
              <w:rPr>
                <w:rFonts w:cs="Arial"/>
                <w:b/>
                <w:bCs/>
                <w:color w:val="FFFFFF"/>
                <w:sz w:val="18"/>
                <w:szCs w:val="18"/>
                <w:lang w:eastAsia="en-AU"/>
              </w:rPr>
              <w:br/>
              <w:t>2010-2013</w:t>
            </w:r>
          </w:p>
        </w:tc>
        <w:tc>
          <w:tcPr>
            <w:tcW w:w="1120"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 change</w:t>
            </w:r>
            <w:r w:rsidRPr="005152C5">
              <w:rPr>
                <w:rFonts w:cs="Arial"/>
                <w:b/>
                <w:bCs/>
                <w:color w:val="FFFFFF"/>
                <w:sz w:val="18"/>
                <w:szCs w:val="18"/>
                <w:lang w:eastAsia="en-AU"/>
              </w:rPr>
              <w:br/>
              <w:t>2011-2013</w:t>
            </w:r>
          </w:p>
        </w:tc>
        <w:tc>
          <w:tcPr>
            <w:tcW w:w="1120"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 change</w:t>
            </w:r>
            <w:r w:rsidRPr="005152C5">
              <w:rPr>
                <w:rFonts w:cs="Arial"/>
                <w:b/>
                <w:bCs/>
                <w:color w:val="FFFFFF"/>
                <w:sz w:val="18"/>
                <w:szCs w:val="18"/>
                <w:lang w:eastAsia="en-AU"/>
              </w:rPr>
              <w:br/>
              <w:t>2012-2013</w:t>
            </w:r>
          </w:p>
        </w:tc>
      </w:tr>
      <w:tr w:rsidR="005152C5" w:rsidRPr="005152C5" w:rsidTr="00AC07A0">
        <w:trPr>
          <w:trHeight w:val="342"/>
        </w:trPr>
        <w:tc>
          <w:tcPr>
            <w:tcW w:w="2500" w:type="dxa"/>
            <w:tcBorders>
              <w:top w:val="nil"/>
              <w:left w:val="single" w:sz="4" w:space="0" w:color="366092"/>
              <w:bottom w:val="single" w:sz="4" w:space="0" w:color="366092"/>
              <w:right w:val="single" w:sz="4" w:space="0" w:color="366092"/>
            </w:tcBorders>
            <w:shd w:val="clear" w:color="000000" w:fill="FFFFFF"/>
            <w:noWrap/>
            <w:vAlign w:val="center"/>
            <w:hideMark/>
          </w:tcPr>
          <w:p w:rsidR="005152C5" w:rsidRPr="005152C5" w:rsidRDefault="005152C5" w:rsidP="00AC07A0">
            <w:pPr>
              <w:spacing w:after="0" w:line="240" w:lineRule="auto"/>
              <w:jc w:val="left"/>
              <w:rPr>
                <w:rFonts w:cs="Arial"/>
                <w:color w:val="366092"/>
                <w:sz w:val="18"/>
                <w:szCs w:val="18"/>
                <w:lang w:eastAsia="en-AU"/>
              </w:rPr>
            </w:pPr>
            <w:r w:rsidRPr="005152C5">
              <w:rPr>
                <w:rFonts w:cs="Arial"/>
                <w:color w:val="366092"/>
                <w:sz w:val="18"/>
                <w:szCs w:val="18"/>
                <w:lang w:eastAsia="en-AU"/>
              </w:rPr>
              <w:t>Government subsidised</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69%</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71%</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51%</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18%</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-4%</w:t>
            </w:r>
          </w:p>
        </w:tc>
      </w:tr>
      <w:tr w:rsidR="005152C5" w:rsidRPr="005152C5" w:rsidTr="008820DC">
        <w:trPr>
          <w:trHeight w:val="342"/>
        </w:trPr>
        <w:tc>
          <w:tcPr>
            <w:tcW w:w="2500" w:type="dxa"/>
            <w:tcBorders>
              <w:top w:val="nil"/>
              <w:left w:val="single" w:sz="4" w:space="0" w:color="366092"/>
              <w:bottom w:val="single" w:sz="4" w:space="0" w:color="366092"/>
              <w:right w:val="single" w:sz="4" w:space="0" w:color="366092"/>
            </w:tcBorders>
            <w:shd w:val="clear" w:color="000000" w:fill="FFFFFF"/>
            <w:noWrap/>
            <w:vAlign w:val="bottom"/>
            <w:hideMark/>
          </w:tcPr>
          <w:p w:rsidR="005152C5" w:rsidRPr="005152C5" w:rsidRDefault="005152C5" w:rsidP="005152C5">
            <w:pPr>
              <w:spacing w:after="0" w:line="240" w:lineRule="auto"/>
              <w:jc w:val="left"/>
              <w:rPr>
                <w:rFonts w:cs="Arial"/>
                <w:color w:val="366092"/>
                <w:sz w:val="18"/>
                <w:szCs w:val="18"/>
                <w:lang w:eastAsia="en-AU"/>
              </w:rPr>
            </w:pPr>
            <w:r w:rsidRPr="005152C5">
              <w:rPr>
                <w:rFonts w:cs="Arial"/>
                <w:color w:val="366092"/>
                <w:sz w:val="18"/>
                <w:szCs w:val="18"/>
                <w:lang w:eastAsia="en-AU"/>
              </w:rPr>
              <w:t>TAFE domestic fee for service*</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31%</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16%</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13%</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14%</w:t>
            </w:r>
          </w:p>
        </w:tc>
        <w:tc>
          <w:tcPr>
            <w:tcW w:w="1120" w:type="dxa"/>
            <w:tcBorders>
              <w:top w:val="nil"/>
              <w:left w:val="nil"/>
              <w:bottom w:val="single" w:sz="4" w:space="0" w:color="366092"/>
              <w:right w:val="single" w:sz="4" w:space="0" w:color="366092"/>
            </w:tcBorders>
            <w:shd w:val="clear" w:color="auto" w:fill="auto"/>
            <w:noWrap/>
            <w:vAlign w:val="center"/>
            <w:hideMark/>
          </w:tcPr>
          <w:p w:rsidR="005152C5" w:rsidRPr="005152C5" w:rsidRDefault="005152C5" w:rsidP="005152C5">
            <w:pPr>
              <w:spacing w:after="0" w:line="240" w:lineRule="auto"/>
              <w:jc w:val="right"/>
              <w:rPr>
                <w:rFonts w:cs="Arial"/>
                <w:sz w:val="18"/>
                <w:szCs w:val="18"/>
                <w:lang w:eastAsia="en-AU"/>
              </w:rPr>
            </w:pPr>
            <w:r w:rsidRPr="005152C5">
              <w:rPr>
                <w:rFonts w:cs="Arial"/>
                <w:sz w:val="18"/>
                <w:szCs w:val="18"/>
                <w:lang w:eastAsia="en-AU"/>
              </w:rPr>
              <w:t>-6%</w:t>
            </w:r>
          </w:p>
        </w:tc>
      </w:tr>
      <w:tr w:rsidR="005152C5" w:rsidRPr="005152C5" w:rsidTr="008820DC">
        <w:trPr>
          <w:trHeight w:val="342"/>
        </w:trPr>
        <w:tc>
          <w:tcPr>
            <w:tcW w:w="2500" w:type="dxa"/>
            <w:tcBorders>
              <w:top w:val="nil"/>
              <w:left w:val="single" w:sz="4" w:space="0" w:color="366092"/>
              <w:bottom w:val="single" w:sz="4" w:space="0" w:color="366092"/>
              <w:right w:val="single" w:sz="4" w:space="0" w:color="366092"/>
            </w:tcBorders>
            <w:shd w:val="clear" w:color="auto" w:fill="365F91" w:themeFill="accent1" w:themeFillShade="BF"/>
            <w:noWrap/>
            <w:vAlign w:val="bottom"/>
            <w:hideMark/>
          </w:tcPr>
          <w:p w:rsidR="005152C5" w:rsidRPr="005152C5" w:rsidRDefault="005152C5" w:rsidP="005152C5">
            <w:pPr>
              <w:spacing w:after="0" w:line="240" w:lineRule="auto"/>
              <w:jc w:val="left"/>
              <w:rPr>
                <w:rFonts w:cs="Arial"/>
                <w:b/>
                <w:bCs/>
                <w:color w:val="FFFFFF"/>
                <w:sz w:val="18"/>
                <w:szCs w:val="18"/>
                <w:lang w:eastAsia="en-AU"/>
              </w:rPr>
            </w:pPr>
            <w:r w:rsidRPr="005152C5">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auto" w:fill="365F91" w:themeFill="accent1" w:themeFillShade="BF"/>
            <w:noWrap/>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62%</w:t>
            </w:r>
          </w:p>
        </w:tc>
        <w:tc>
          <w:tcPr>
            <w:tcW w:w="1120" w:type="dxa"/>
            <w:tcBorders>
              <w:top w:val="nil"/>
              <w:left w:val="nil"/>
              <w:bottom w:val="single" w:sz="4" w:space="0" w:color="366092"/>
              <w:right w:val="single" w:sz="4" w:space="0" w:color="366092"/>
            </w:tcBorders>
            <w:shd w:val="clear" w:color="auto" w:fill="365F91" w:themeFill="accent1" w:themeFillShade="BF"/>
            <w:noWrap/>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60%</w:t>
            </w:r>
          </w:p>
        </w:tc>
        <w:tc>
          <w:tcPr>
            <w:tcW w:w="1120" w:type="dxa"/>
            <w:tcBorders>
              <w:top w:val="nil"/>
              <w:left w:val="nil"/>
              <w:bottom w:val="single" w:sz="4" w:space="0" w:color="366092"/>
              <w:right w:val="single" w:sz="4" w:space="0" w:color="366092"/>
            </w:tcBorders>
            <w:shd w:val="clear" w:color="auto" w:fill="365F91" w:themeFill="accent1" w:themeFillShade="BF"/>
            <w:noWrap/>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-4%</w:t>
            </w:r>
          </w:p>
        </w:tc>
        <w:tc>
          <w:tcPr>
            <w:tcW w:w="1120" w:type="dxa"/>
            <w:tcBorders>
              <w:top w:val="nil"/>
              <w:left w:val="nil"/>
              <w:bottom w:val="single" w:sz="4" w:space="0" w:color="366092"/>
              <w:right w:val="single" w:sz="4" w:space="0" w:color="366092"/>
            </w:tcBorders>
            <w:shd w:val="clear" w:color="auto" w:fill="365F91" w:themeFill="accent1" w:themeFillShade="BF"/>
            <w:noWrap/>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17%</w:t>
            </w:r>
          </w:p>
        </w:tc>
        <w:tc>
          <w:tcPr>
            <w:tcW w:w="1120" w:type="dxa"/>
            <w:tcBorders>
              <w:top w:val="nil"/>
              <w:left w:val="nil"/>
              <w:bottom w:val="single" w:sz="4" w:space="0" w:color="366092"/>
              <w:right w:val="single" w:sz="4" w:space="0" w:color="366092"/>
            </w:tcBorders>
            <w:shd w:val="clear" w:color="auto" w:fill="365F91" w:themeFill="accent1" w:themeFillShade="BF"/>
            <w:noWrap/>
            <w:vAlign w:val="center"/>
            <w:hideMark/>
          </w:tcPr>
          <w:p w:rsidR="005152C5" w:rsidRPr="005152C5" w:rsidRDefault="005152C5" w:rsidP="005152C5">
            <w:pPr>
              <w:spacing w:after="0" w:line="240" w:lineRule="auto"/>
              <w:jc w:val="right"/>
              <w:rPr>
                <w:rFonts w:cs="Arial"/>
                <w:b/>
                <w:bCs/>
                <w:color w:val="FFFFFF"/>
                <w:sz w:val="18"/>
                <w:szCs w:val="18"/>
                <w:lang w:eastAsia="en-AU"/>
              </w:rPr>
            </w:pPr>
            <w:r w:rsidRPr="005152C5">
              <w:rPr>
                <w:rFonts w:cs="Arial"/>
                <w:b/>
                <w:bCs/>
                <w:color w:val="FFFFFF"/>
                <w:sz w:val="18"/>
                <w:szCs w:val="18"/>
                <w:lang w:eastAsia="en-AU"/>
              </w:rPr>
              <w:t>-4%</w:t>
            </w:r>
          </w:p>
        </w:tc>
      </w:tr>
    </w:tbl>
    <w:p w:rsidR="00494F1F" w:rsidRPr="00AE3D9A" w:rsidRDefault="008F0BCF" w:rsidP="00494F1F">
      <w:pPr>
        <w:spacing w:after="0" w:line="240" w:lineRule="auto"/>
        <w:rPr>
          <w:rFonts w:cs="Arial"/>
          <w:sz w:val="16"/>
          <w:szCs w:val="16"/>
        </w:rPr>
      </w:pPr>
      <w:r w:rsidRPr="00AE3D9A">
        <w:rPr>
          <w:rFonts w:cs="Arial"/>
          <w:sz w:val="16"/>
          <w:szCs w:val="16"/>
        </w:rPr>
        <w:t>*</w:t>
      </w:r>
      <w:r w:rsidR="00494F1F" w:rsidRPr="00AE3D9A">
        <w:rPr>
          <w:rFonts w:cs="Arial"/>
          <w:sz w:val="16"/>
          <w:szCs w:val="16"/>
        </w:rPr>
        <w:t>Fee for Service figures are TAFE on-shore domestic AQF Level 1 and above.</w:t>
      </w:r>
    </w:p>
    <w:p w:rsidR="0069078C" w:rsidRDefault="0069078C">
      <w:pPr>
        <w:spacing w:after="0" w:line="240" w:lineRule="auto"/>
        <w:jc w:val="left"/>
        <w:rPr>
          <w:rFonts w:cs="Arial"/>
          <w:b/>
          <w:bCs/>
          <w:color w:val="76923C" w:themeColor="accent3" w:themeShade="BF"/>
          <w:sz w:val="18"/>
          <w:szCs w:val="16"/>
        </w:rPr>
      </w:pPr>
    </w:p>
    <w:p w:rsidR="00BA7D97" w:rsidRPr="000E6CEE" w:rsidRDefault="00584D28" w:rsidP="00A9260A">
      <w:pPr>
        <w:pStyle w:val="Caption"/>
        <w:rPr>
          <w:rFonts w:cs="Arial"/>
          <w:color w:val="365F91" w:themeColor="accent1" w:themeShade="BF"/>
        </w:rPr>
      </w:pPr>
      <w:r w:rsidRPr="000E6CEE">
        <w:rPr>
          <w:rFonts w:cs="Arial"/>
          <w:color w:val="365F91" w:themeColor="accent1" w:themeShade="BF"/>
        </w:rPr>
        <w:t>Figure 1.</w:t>
      </w:r>
      <w:r w:rsidR="00963271" w:rsidRPr="000E6CEE">
        <w:rPr>
          <w:rFonts w:cs="Arial"/>
          <w:color w:val="365F91" w:themeColor="accent1" w:themeShade="BF"/>
        </w:rPr>
        <w:fldChar w:fldCharType="begin"/>
      </w:r>
      <w:r w:rsidR="00963271" w:rsidRPr="000E6CEE">
        <w:rPr>
          <w:rFonts w:cs="Arial"/>
          <w:color w:val="365F91" w:themeColor="accent1" w:themeShade="BF"/>
        </w:rPr>
        <w:instrText xml:space="preserve"> SEQ Graph \* ARABIC \s 1 </w:instrText>
      </w:r>
      <w:r w:rsidR="00963271" w:rsidRPr="000E6CEE">
        <w:rPr>
          <w:rFonts w:cs="Arial"/>
          <w:color w:val="365F91" w:themeColor="accent1" w:themeShade="BF"/>
        </w:rPr>
        <w:fldChar w:fldCharType="separate"/>
      </w:r>
      <w:r w:rsidR="00667D45">
        <w:rPr>
          <w:rFonts w:cs="Arial"/>
          <w:noProof/>
          <w:color w:val="365F91" w:themeColor="accent1" w:themeShade="BF"/>
        </w:rPr>
        <w:t>1</w:t>
      </w:r>
      <w:r w:rsidR="00963271" w:rsidRPr="000E6CEE">
        <w:rPr>
          <w:rFonts w:cs="Arial"/>
          <w:noProof/>
          <w:color w:val="365F91" w:themeColor="accent1" w:themeShade="BF"/>
        </w:rPr>
        <w:fldChar w:fldCharType="end"/>
      </w:r>
      <w:r w:rsidRPr="000E6CEE">
        <w:rPr>
          <w:rFonts w:cs="Arial"/>
          <w:color w:val="365F91" w:themeColor="accent1" w:themeShade="BF"/>
        </w:rPr>
        <w:t xml:space="preserve">: </w:t>
      </w:r>
      <w:r w:rsidR="0025400C" w:rsidRPr="000E6CEE">
        <w:rPr>
          <w:color w:val="365F91" w:themeColor="accent1" w:themeShade="BF"/>
        </w:rPr>
        <w:t>Enrolments in vocational training by funding type</w:t>
      </w:r>
      <w:r w:rsidRPr="000E6CEE">
        <w:rPr>
          <w:rFonts w:cs="Arial"/>
          <w:color w:val="365F91" w:themeColor="accent1" w:themeShade="BF"/>
        </w:rPr>
        <w:t>, 2008–201</w:t>
      </w:r>
      <w:r w:rsidR="00171CC7" w:rsidRPr="000E6CEE">
        <w:rPr>
          <w:rFonts w:cs="Arial"/>
          <w:color w:val="365F91" w:themeColor="accent1" w:themeShade="BF"/>
        </w:rPr>
        <w:t>3</w:t>
      </w:r>
    </w:p>
    <w:p w:rsidR="000D0334" w:rsidRDefault="00CF0A04" w:rsidP="000D0334">
      <w:r>
        <w:rPr>
          <w:noProof/>
          <w:lang w:eastAsia="en-AU"/>
        </w:rPr>
        <w:drawing>
          <wp:inline distT="0" distB="0" distL="0" distR="0" wp14:anchorId="7E0D3F7B" wp14:editId="7DA8CC33">
            <wp:extent cx="5382645" cy="2896819"/>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3106" cy="2897067"/>
                    </a:xfrm>
                    <a:prstGeom prst="rect">
                      <a:avLst/>
                    </a:prstGeom>
                    <a:noFill/>
                  </pic:spPr>
                </pic:pic>
              </a:graphicData>
            </a:graphic>
          </wp:inline>
        </w:drawing>
      </w:r>
    </w:p>
    <w:p w:rsidR="005E4EE6" w:rsidRDefault="005E4EE6" w:rsidP="00CB5563">
      <w:pPr>
        <w:pStyle w:val="Caption"/>
        <w:spacing w:after="0"/>
        <w:rPr>
          <w:rFonts w:cs="Arial"/>
          <w:color w:val="365F91" w:themeColor="accent1" w:themeShade="BF"/>
        </w:rPr>
      </w:pPr>
      <w:r w:rsidRPr="000E6CEE">
        <w:rPr>
          <w:rFonts w:cs="Arial"/>
          <w:color w:val="365F91" w:themeColor="accent1" w:themeShade="BF"/>
        </w:rPr>
        <w:t>Table 1.</w:t>
      </w:r>
      <w:r w:rsidR="00164517" w:rsidRPr="000E6CEE">
        <w:rPr>
          <w:rFonts w:cs="Arial"/>
          <w:color w:val="365F91" w:themeColor="accent1" w:themeShade="BF"/>
        </w:rPr>
        <w:t>2.1</w:t>
      </w:r>
      <w:r w:rsidRPr="000E6CEE">
        <w:rPr>
          <w:rFonts w:cs="Arial"/>
          <w:color w:val="365F91" w:themeColor="accent1" w:themeShade="BF"/>
        </w:rPr>
        <w:t xml:space="preserve">: </w:t>
      </w:r>
      <w:r w:rsidR="009B6E7F" w:rsidRPr="000E6CEE">
        <w:rPr>
          <w:rFonts w:cs="Arial"/>
          <w:color w:val="365F91" w:themeColor="accent1" w:themeShade="BF"/>
        </w:rPr>
        <w:t>S</w:t>
      </w:r>
      <w:r w:rsidRPr="000E6CEE">
        <w:rPr>
          <w:rFonts w:cs="Arial"/>
          <w:color w:val="365F91" w:themeColor="accent1" w:themeShade="BF"/>
        </w:rPr>
        <w:t>tudent contact hours</w:t>
      </w:r>
      <w:r w:rsidR="002E0440" w:rsidRPr="000E6CEE">
        <w:rPr>
          <w:rStyle w:val="FootnoteReference"/>
          <w:rFonts w:cs="Arial"/>
          <w:color w:val="365F91" w:themeColor="accent1" w:themeShade="BF"/>
        </w:rPr>
        <w:footnoteReference w:id="2"/>
      </w:r>
      <w:r w:rsidRPr="000E6CEE">
        <w:rPr>
          <w:rFonts w:cs="Arial"/>
          <w:color w:val="365F91" w:themeColor="accent1" w:themeShade="BF"/>
        </w:rPr>
        <w:t xml:space="preserve"> (millions)</w:t>
      </w:r>
      <w:r w:rsidR="009B6E7F" w:rsidRPr="000E6CEE">
        <w:rPr>
          <w:rFonts w:cs="Arial"/>
          <w:color w:val="365F91" w:themeColor="accent1" w:themeShade="BF"/>
        </w:rPr>
        <w:t xml:space="preserve"> by funding type</w:t>
      </w:r>
      <w:r w:rsidRPr="000E6CEE">
        <w:rPr>
          <w:rFonts w:cs="Arial"/>
          <w:color w:val="365F91" w:themeColor="accent1" w:themeShade="BF"/>
        </w:rPr>
        <w:t>, 2008–201</w:t>
      </w:r>
      <w:r w:rsidR="00DF45D9">
        <w:rPr>
          <w:rFonts w:cs="Arial"/>
          <w:color w:val="365F91" w:themeColor="accent1" w:themeShade="BF"/>
        </w:rPr>
        <w:t>3</w:t>
      </w:r>
    </w:p>
    <w:tbl>
      <w:tblPr>
        <w:tblW w:w="9219" w:type="dxa"/>
        <w:tblInd w:w="109" w:type="dxa"/>
        <w:tblLook w:val="04A0" w:firstRow="1" w:lastRow="0" w:firstColumn="1" w:lastColumn="0" w:noHBand="0" w:noVBand="1"/>
      </w:tblPr>
      <w:tblGrid>
        <w:gridCol w:w="2499"/>
        <w:gridCol w:w="1120"/>
        <w:gridCol w:w="1120"/>
        <w:gridCol w:w="1120"/>
        <w:gridCol w:w="1120"/>
        <w:gridCol w:w="1120"/>
        <w:gridCol w:w="1120"/>
      </w:tblGrid>
      <w:tr w:rsidR="000E6CEE" w:rsidRPr="000E6CEE" w:rsidTr="000E6CEE">
        <w:trPr>
          <w:trHeight w:val="762"/>
        </w:trPr>
        <w:tc>
          <w:tcPr>
            <w:tcW w:w="2499"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0E6CEE" w:rsidRPr="000E6CEE" w:rsidRDefault="000E6CEE" w:rsidP="000E6CEE">
            <w:pPr>
              <w:spacing w:after="0" w:line="240" w:lineRule="auto"/>
              <w:ind w:firstLineChars="100" w:firstLine="201"/>
              <w:jc w:val="left"/>
              <w:rPr>
                <w:rFonts w:cs="Arial"/>
                <w:b/>
                <w:bCs/>
                <w:color w:val="FFFFFF"/>
                <w:sz w:val="20"/>
                <w:szCs w:val="20"/>
                <w:lang w:eastAsia="en-AU"/>
              </w:rPr>
            </w:pPr>
            <w:r w:rsidRPr="000E6CEE">
              <w:rPr>
                <w:rFonts w:cs="Arial"/>
                <w:b/>
                <w:bCs/>
                <w:color w:val="FFFFFF"/>
                <w:sz w:val="20"/>
                <w:szCs w:val="20"/>
                <w:lang w:eastAsia="en-AU"/>
              </w:rPr>
              <w:t>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E6CEE" w:rsidRPr="000E6CEE" w:rsidRDefault="000E6CEE" w:rsidP="000E6CEE">
            <w:pPr>
              <w:spacing w:after="0" w:line="240" w:lineRule="auto"/>
              <w:ind w:firstLineChars="100" w:firstLine="181"/>
              <w:jc w:val="right"/>
              <w:rPr>
                <w:rFonts w:cs="Arial"/>
                <w:b/>
                <w:bCs/>
                <w:color w:val="FFFFFF"/>
                <w:sz w:val="18"/>
                <w:szCs w:val="18"/>
                <w:lang w:eastAsia="en-AU"/>
              </w:rPr>
            </w:pPr>
            <w:r w:rsidRPr="000E6CEE">
              <w:rPr>
                <w:rFonts w:cs="Arial"/>
                <w:b/>
                <w:bCs/>
                <w:color w:val="FFFFFF"/>
                <w:sz w:val="18"/>
                <w:szCs w:val="18"/>
                <w:lang w:eastAsia="en-AU"/>
              </w:rPr>
              <w:t>2008</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E6CEE" w:rsidRPr="000E6CEE" w:rsidRDefault="000E6CEE" w:rsidP="000E6CEE">
            <w:pPr>
              <w:spacing w:after="0" w:line="240" w:lineRule="auto"/>
              <w:ind w:firstLineChars="100" w:firstLine="181"/>
              <w:jc w:val="right"/>
              <w:rPr>
                <w:rFonts w:cs="Arial"/>
                <w:b/>
                <w:bCs/>
                <w:color w:val="FFFFFF"/>
                <w:sz w:val="18"/>
                <w:szCs w:val="18"/>
                <w:lang w:eastAsia="en-AU"/>
              </w:rPr>
            </w:pPr>
            <w:r w:rsidRPr="000E6CEE">
              <w:rPr>
                <w:rFonts w:cs="Arial"/>
                <w:b/>
                <w:bCs/>
                <w:color w:val="FFFFFF"/>
                <w:sz w:val="18"/>
                <w:szCs w:val="18"/>
                <w:lang w:eastAsia="en-AU"/>
              </w:rPr>
              <w:t>2009</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E6CEE" w:rsidRPr="000E6CEE" w:rsidRDefault="000E6CEE" w:rsidP="000E6CEE">
            <w:pPr>
              <w:spacing w:after="0" w:line="240" w:lineRule="auto"/>
              <w:ind w:firstLineChars="100" w:firstLine="181"/>
              <w:jc w:val="right"/>
              <w:rPr>
                <w:rFonts w:cs="Arial"/>
                <w:b/>
                <w:bCs/>
                <w:color w:val="FFFFFF"/>
                <w:sz w:val="18"/>
                <w:szCs w:val="18"/>
                <w:lang w:eastAsia="en-AU"/>
              </w:rPr>
            </w:pPr>
            <w:r w:rsidRPr="000E6CEE">
              <w:rPr>
                <w:rFonts w:cs="Arial"/>
                <w:b/>
                <w:bCs/>
                <w:color w:val="FFFFFF"/>
                <w:sz w:val="18"/>
                <w:szCs w:val="18"/>
                <w:lang w:eastAsia="en-AU"/>
              </w:rPr>
              <w:t>2010</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E6CEE" w:rsidRPr="000E6CEE" w:rsidRDefault="000E6CEE" w:rsidP="000E6CEE">
            <w:pPr>
              <w:spacing w:after="0" w:line="240" w:lineRule="auto"/>
              <w:ind w:firstLineChars="100" w:firstLine="181"/>
              <w:jc w:val="right"/>
              <w:rPr>
                <w:rFonts w:cs="Arial"/>
                <w:b/>
                <w:bCs/>
                <w:color w:val="FFFFFF"/>
                <w:sz w:val="18"/>
                <w:szCs w:val="18"/>
                <w:lang w:eastAsia="en-AU"/>
              </w:rPr>
            </w:pPr>
            <w:r w:rsidRPr="000E6CEE">
              <w:rPr>
                <w:rFonts w:cs="Arial"/>
                <w:b/>
                <w:bCs/>
                <w:color w:val="FFFFFF"/>
                <w:sz w:val="18"/>
                <w:szCs w:val="18"/>
                <w:lang w:eastAsia="en-AU"/>
              </w:rPr>
              <w:t>2011</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E6CEE" w:rsidRPr="000E6CEE" w:rsidRDefault="000E6CEE" w:rsidP="000E6CEE">
            <w:pPr>
              <w:spacing w:after="0" w:line="240" w:lineRule="auto"/>
              <w:ind w:firstLineChars="100" w:firstLine="181"/>
              <w:jc w:val="right"/>
              <w:rPr>
                <w:rFonts w:cs="Arial"/>
                <w:b/>
                <w:bCs/>
                <w:color w:val="FFFFFF"/>
                <w:sz w:val="18"/>
                <w:szCs w:val="18"/>
                <w:lang w:eastAsia="en-AU"/>
              </w:rPr>
            </w:pPr>
            <w:r w:rsidRPr="000E6CEE">
              <w:rPr>
                <w:rFonts w:cs="Arial"/>
                <w:b/>
                <w:bCs/>
                <w:color w:val="FFFFFF"/>
                <w:sz w:val="18"/>
                <w:szCs w:val="18"/>
                <w:lang w:eastAsia="en-AU"/>
              </w:rPr>
              <w:t>2012</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E6CEE" w:rsidRPr="000E6CEE" w:rsidRDefault="000E6CEE" w:rsidP="000E6CEE">
            <w:pPr>
              <w:spacing w:after="0" w:line="240" w:lineRule="auto"/>
              <w:ind w:firstLineChars="100" w:firstLine="181"/>
              <w:jc w:val="right"/>
              <w:rPr>
                <w:rFonts w:cs="Arial"/>
                <w:b/>
                <w:bCs/>
                <w:color w:val="FFFFFF"/>
                <w:sz w:val="18"/>
                <w:szCs w:val="18"/>
                <w:lang w:eastAsia="en-AU"/>
              </w:rPr>
            </w:pPr>
            <w:r w:rsidRPr="000E6CEE">
              <w:rPr>
                <w:rFonts w:cs="Arial"/>
                <w:b/>
                <w:bCs/>
                <w:color w:val="FFFFFF"/>
                <w:sz w:val="18"/>
                <w:szCs w:val="18"/>
                <w:lang w:eastAsia="en-AU"/>
              </w:rPr>
              <w:t>2013</w:t>
            </w:r>
          </w:p>
        </w:tc>
      </w:tr>
      <w:tr w:rsidR="000E6CEE" w:rsidRPr="000E6CEE" w:rsidTr="00AC07A0">
        <w:trPr>
          <w:trHeight w:val="342"/>
        </w:trPr>
        <w:tc>
          <w:tcPr>
            <w:tcW w:w="2499" w:type="dxa"/>
            <w:tcBorders>
              <w:top w:val="nil"/>
              <w:left w:val="single" w:sz="4" w:space="0" w:color="366092"/>
              <w:bottom w:val="single" w:sz="4" w:space="0" w:color="366092"/>
              <w:right w:val="single" w:sz="4" w:space="0" w:color="366092"/>
            </w:tcBorders>
            <w:shd w:val="clear" w:color="000000" w:fill="FFFFFF"/>
            <w:noWrap/>
            <w:vAlign w:val="center"/>
            <w:hideMark/>
          </w:tcPr>
          <w:p w:rsidR="000E6CEE" w:rsidRPr="000E6CEE" w:rsidRDefault="000E6CEE" w:rsidP="00AC07A0">
            <w:pPr>
              <w:spacing w:after="0" w:line="240" w:lineRule="auto"/>
              <w:jc w:val="left"/>
              <w:rPr>
                <w:rFonts w:cs="Arial"/>
                <w:color w:val="366092"/>
                <w:sz w:val="18"/>
                <w:szCs w:val="18"/>
                <w:lang w:eastAsia="en-AU"/>
              </w:rPr>
            </w:pPr>
            <w:r w:rsidRPr="000E6CEE">
              <w:rPr>
                <w:rFonts w:cs="Arial"/>
                <w:color w:val="366092"/>
                <w:sz w:val="18"/>
                <w:szCs w:val="18"/>
                <w:lang w:eastAsia="en-AU"/>
              </w:rPr>
              <w:t>Government subsidised</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87.4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95.6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112.4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146.9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188.8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183.1 </w:t>
            </w:r>
          </w:p>
        </w:tc>
      </w:tr>
      <w:tr w:rsidR="000E6CEE" w:rsidRPr="000E6CEE" w:rsidTr="000E6CEE">
        <w:trPr>
          <w:trHeight w:val="342"/>
        </w:trPr>
        <w:tc>
          <w:tcPr>
            <w:tcW w:w="2499" w:type="dxa"/>
            <w:tcBorders>
              <w:top w:val="nil"/>
              <w:left w:val="single" w:sz="4" w:space="0" w:color="366092"/>
              <w:bottom w:val="single" w:sz="4" w:space="0" w:color="366092"/>
              <w:right w:val="single" w:sz="4" w:space="0" w:color="366092"/>
            </w:tcBorders>
            <w:shd w:val="clear" w:color="000000" w:fill="FFFFFF"/>
            <w:noWrap/>
            <w:vAlign w:val="bottom"/>
            <w:hideMark/>
          </w:tcPr>
          <w:p w:rsidR="000E6CEE" w:rsidRPr="000E6CEE" w:rsidRDefault="000E6CEE" w:rsidP="000E6CEE">
            <w:pPr>
              <w:spacing w:after="0" w:line="240" w:lineRule="auto"/>
              <w:jc w:val="left"/>
              <w:rPr>
                <w:rFonts w:cs="Arial"/>
                <w:color w:val="366092"/>
                <w:sz w:val="18"/>
                <w:szCs w:val="18"/>
                <w:lang w:eastAsia="en-AU"/>
              </w:rPr>
            </w:pPr>
            <w:r w:rsidRPr="000E6CEE">
              <w:rPr>
                <w:rFonts w:cs="Arial"/>
                <w:color w:val="366092"/>
                <w:sz w:val="18"/>
                <w:szCs w:val="18"/>
                <w:lang w:eastAsia="en-AU"/>
              </w:rPr>
              <w:t>TAFE domestic fee for service*</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17.1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20.4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19.4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18.5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21.9 </w:t>
            </w:r>
          </w:p>
        </w:tc>
        <w:tc>
          <w:tcPr>
            <w:tcW w:w="1120" w:type="dxa"/>
            <w:tcBorders>
              <w:top w:val="nil"/>
              <w:left w:val="nil"/>
              <w:bottom w:val="single" w:sz="4" w:space="0" w:color="366092"/>
              <w:right w:val="single" w:sz="4" w:space="0" w:color="366092"/>
            </w:tcBorders>
            <w:shd w:val="clear" w:color="auto" w:fill="auto"/>
            <w:noWrap/>
            <w:vAlign w:val="center"/>
            <w:hideMark/>
          </w:tcPr>
          <w:p w:rsidR="000E6CEE" w:rsidRPr="000E6CEE" w:rsidRDefault="000E6CEE" w:rsidP="000E6CEE">
            <w:pPr>
              <w:spacing w:after="0" w:line="240" w:lineRule="auto"/>
              <w:jc w:val="right"/>
              <w:rPr>
                <w:rFonts w:cs="Arial"/>
                <w:sz w:val="18"/>
                <w:szCs w:val="18"/>
                <w:lang w:eastAsia="en-AU"/>
              </w:rPr>
            </w:pPr>
            <w:r w:rsidRPr="000E6CEE">
              <w:rPr>
                <w:rFonts w:cs="Arial"/>
                <w:sz w:val="18"/>
                <w:szCs w:val="18"/>
                <w:lang w:eastAsia="en-AU"/>
              </w:rPr>
              <w:t xml:space="preserve">19.8 </w:t>
            </w:r>
          </w:p>
        </w:tc>
      </w:tr>
      <w:tr w:rsidR="000E6CEE" w:rsidRPr="000E6CEE" w:rsidTr="000E6CEE">
        <w:trPr>
          <w:trHeight w:val="342"/>
        </w:trPr>
        <w:tc>
          <w:tcPr>
            <w:tcW w:w="2499" w:type="dxa"/>
            <w:tcBorders>
              <w:top w:val="nil"/>
              <w:left w:val="single" w:sz="4" w:space="0" w:color="366092"/>
              <w:bottom w:val="single" w:sz="4" w:space="0" w:color="366092"/>
              <w:right w:val="single" w:sz="4" w:space="0" w:color="366092"/>
            </w:tcBorders>
            <w:shd w:val="clear" w:color="000000" w:fill="366092"/>
            <w:noWrap/>
            <w:vAlign w:val="bottom"/>
            <w:hideMark/>
          </w:tcPr>
          <w:p w:rsidR="000E6CEE" w:rsidRPr="000E6CEE" w:rsidRDefault="000E6CEE" w:rsidP="000E6CEE">
            <w:pPr>
              <w:spacing w:after="0" w:line="240" w:lineRule="auto"/>
              <w:jc w:val="left"/>
              <w:rPr>
                <w:rFonts w:cs="Arial"/>
                <w:b/>
                <w:bCs/>
                <w:color w:val="FFFFFF"/>
                <w:sz w:val="18"/>
                <w:szCs w:val="18"/>
                <w:lang w:eastAsia="en-AU"/>
              </w:rPr>
            </w:pPr>
            <w:r w:rsidRPr="000E6CEE">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0E6CEE" w:rsidRPr="000E6CEE" w:rsidRDefault="000E6CEE" w:rsidP="000E6CEE">
            <w:pPr>
              <w:spacing w:after="0" w:line="240" w:lineRule="auto"/>
              <w:jc w:val="right"/>
              <w:rPr>
                <w:rFonts w:cs="Arial"/>
                <w:b/>
                <w:bCs/>
                <w:color w:val="FFFFFF"/>
                <w:sz w:val="18"/>
                <w:szCs w:val="18"/>
                <w:lang w:eastAsia="en-AU"/>
              </w:rPr>
            </w:pPr>
            <w:r w:rsidRPr="000E6CEE">
              <w:rPr>
                <w:rFonts w:cs="Arial"/>
                <w:b/>
                <w:bCs/>
                <w:color w:val="FFFFFF"/>
                <w:sz w:val="18"/>
                <w:szCs w:val="18"/>
                <w:lang w:eastAsia="en-AU"/>
              </w:rPr>
              <w:t xml:space="preserve">104.5 </w:t>
            </w:r>
          </w:p>
        </w:tc>
        <w:tc>
          <w:tcPr>
            <w:tcW w:w="1120" w:type="dxa"/>
            <w:tcBorders>
              <w:top w:val="nil"/>
              <w:left w:val="nil"/>
              <w:bottom w:val="single" w:sz="4" w:space="0" w:color="366092"/>
              <w:right w:val="single" w:sz="4" w:space="0" w:color="366092"/>
            </w:tcBorders>
            <w:shd w:val="clear" w:color="000000" w:fill="366092"/>
            <w:noWrap/>
            <w:vAlign w:val="center"/>
            <w:hideMark/>
          </w:tcPr>
          <w:p w:rsidR="000E6CEE" w:rsidRPr="000E6CEE" w:rsidRDefault="000E6CEE" w:rsidP="000E6CEE">
            <w:pPr>
              <w:spacing w:after="0" w:line="240" w:lineRule="auto"/>
              <w:jc w:val="right"/>
              <w:rPr>
                <w:rFonts w:cs="Arial"/>
                <w:b/>
                <w:bCs/>
                <w:color w:val="FFFFFF"/>
                <w:sz w:val="18"/>
                <w:szCs w:val="18"/>
                <w:lang w:eastAsia="en-AU"/>
              </w:rPr>
            </w:pPr>
            <w:r w:rsidRPr="000E6CEE">
              <w:rPr>
                <w:rFonts w:cs="Arial"/>
                <w:b/>
                <w:bCs/>
                <w:color w:val="FFFFFF"/>
                <w:sz w:val="18"/>
                <w:szCs w:val="18"/>
                <w:lang w:eastAsia="en-AU"/>
              </w:rPr>
              <w:t xml:space="preserve">116.0 </w:t>
            </w:r>
          </w:p>
        </w:tc>
        <w:tc>
          <w:tcPr>
            <w:tcW w:w="1120" w:type="dxa"/>
            <w:tcBorders>
              <w:top w:val="nil"/>
              <w:left w:val="nil"/>
              <w:bottom w:val="single" w:sz="4" w:space="0" w:color="366092"/>
              <w:right w:val="single" w:sz="4" w:space="0" w:color="366092"/>
            </w:tcBorders>
            <w:shd w:val="clear" w:color="000000" w:fill="366092"/>
            <w:noWrap/>
            <w:vAlign w:val="center"/>
            <w:hideMark/>
          </w:tcPr>
          <w:p w:rsidR="000E6CEE" w:rsidRPr="000E6CEE" w:rsidRDefault="000E6CEE" w:rsidP="000E6CEE">
            <w:pPr>
              <w:spacing w:after="0" w:line="240" w:lineRule="auto"/>
              <w:jc w:val="right"/>
              <w:rPr>
                <w:rFonts w:cs="Arial"/>
                <w:b/>
                <w:bCs/>
                <w:color w:val="FFFFFF"/>
                <w:sz w:val="18"/>
                <w:szCs w:val="18"/>
                <w:lang w:eastAsia="en-AU"/>
              </w:rPr>
            </w:pPr>
            <w:r w:rsidRPr="000E6CEE">
              <w:rPr>
                <w:rFonts w:cs="Arial"/>
                <w:b/>
                <w:bCs/>
                <w:color w:val="FFFFFF"/>
                <w:sz w:val="18"/>
                <w:szCs w:val="18"/>
                <w:lang w:eastAsia="en-AU"/>
              </w:rPr>
              <w:t xml:space="preserve">131.8 </w:t>
            </w:r>
          </w:p>
        </w:tc>
        <w:tc>
          <w:tcPr>
            <w:tcW w:w="1120" w:type="dxa"/>
            <w:tcBorders>
              <w:top w:val="nil"/>
              <w:left w:val="nil"/>
              <w:bottom w:val="single" w:sz="4" w:space="0" w:color="366092"/>
              <w:right w:val="single" w:sz="4" w:space="0" w:color="366092"/>
            </w:tcBorders>
            <w:shd w:val="clear" w:color="000000" w:fill="366092"/>
            <w:noWrap/>
            <w:vAlign w:val="center"/>
            <w:hideMark/>
          </w:tcPr>
          <w:p w:rsidR="000E6CEE" w:rsidRPr="000E6CEE" w:rsidRDefault="000E6CEE" w:rsidP="000E6CEE">
            <w:pPr>
              <w:spacing w:after="0" w:line="240" w:lineRule="auto"/>
              <w:jc w:val="right"/>
              <w:rPr>
                <w:rFonts w:cs="Arial"/>
                <w:b/>
                <w:bCs/>
                <w:color w:val="FFFFFF"/>
                <w:sz w:val="18"/>
                <w:szCs w:val="18"/>
                <w:lang w:eastAsia="en-AU"/>
              </w:rPr>
            </w:pPr>
            <w:r w:rsidRPr="000E6CEE">
              <w:rPr>
                <w:rFonts w:cs="Arial"/>
                <w:b/>
                <w:bCs/>
                <w:color w:val="FFFFFF"/>
                <w:sz w:val="18"/>
                <w:szCs w:val="18"/>
                <w:lang w:eastAsia="en-AU"/>
              </w:rPr>
              <w:t xml:space="preserve">165.5 </w:t>
            </w:r>
          </w:p>
        </w:tc>
        <w:tc>
          <w:tcPr>
            <w:tcW w:w="1120" w:type="dxa"/>
            <w:tcBorders>
              <w:top w:val="nil"/>
              <w:left w:val="nil"/>
              <w:bottom w:val="single" w:sz="4" w:space="0" w:color="366092"/>
              <w:right w:val="single" w:sz="4" w:space="0" w:color="366092"/>
            </w:tcBorders>
            <w:shd w:val="clear" w:color="000000" w:fill="366092"/>
            <w:noWrap/>
            <w:vAlign w:val="center"/>
            <w:hideMark/>
          </w:tcPr>
          <w:p w:rsidR="000E6CEE" w:rsidRPr="000E6CEE" w:rsidRDefault="000E6CEE" w:rsidP="000E6CEE">
            <w:pPr>
              <w:spacing w:after="0" w:line="240" w:lineRule="auto"/>
              <w:jc w:val="right"/>
              <w:rPr>
                <w:rFonts w:cs="Arial"/>
                <w:b/>
                <w:bCs/>
                <w:color w:val="FFFFFF"/>
                <w:sz w:val="18"/>
                <w:szCs w:val="18"/>
                <w:lang w:eastAsia="en-AU"/>
              </w:rPr>
            </w:pPr>
            <w:r w:rsidRPr="000E6CEE">
              <w:rPr>
                <w:rFonts w:cs="Arial"/>
                <w:b/>
                <w:bCs/>
                <w:color w:val="FFFFFF"/>
                <w:sz w:val="18"/>
                <w:szCs w:val="18"/>
                <w:lang w:eastAsia="en-AU"/>
              </w:rPr>
              <w:t xml:space="preserve">210.7 </w:t>
            </w:r>
          </w:p>
        </w:tc>
        <w:tc>
          <w:tcPr>
            <w:tcW w:w="1120" w:type="dxa"/>
            <w:tcBorders>
              <w:top w:val="nil"/>
              <w:left w:val="nil"/>
              <w:bottom w:val="single" w:sz="4" w:space="0" w:color="366092"/>
              <w:right w:val="single" w:sz="4" w:space="0" w:color="366092"/>
            </w:tcBorders>
            <w:shd w:val="clear" w:color="000000" w:fill="366092"/>
            <w:noWrap/>
            <w:vAlign w:val="center"/>
            <w:hideMark/>
          </w:tcPr>
          <w:p w:rsidR="000E6CEE" w:rsidRPr="000E6CEE" w:rsidRDefault="000E6CEE" w:rsidP="000E6CEE">
            <w:pPr>
              <w:spacing w:after="0" w:line="240" w:lineRule="auto"/>
              <w:jc w:val="right"/>
              <w:rPr>
                <w:rFonts w:cs="Arial"/>
                <w:b/>
                <w:bCs/>
                <w:color w:val="FFFFFF"/>
                <w:sz w:val="18"/>
                <w:szCs w:val="18"/>
                <w:lang w:eastAsia="en-AU"/>
              </w:rPr>
            </w:pPr>
            <w:r w:rsidRPr="000E6CEE">
              <w:rPr>
                <w:rFonts w:cs="Arial"/>
                <w:b/>
                <w:bCs/>
                <w:color w:val="FFFFFF"/>
                <w:sz w:val="18"/>
                <w:szCs w:val="18"/>
                <w:lang w:eastAsia="en-AU"/>
              </w:rPr>
              <w:t xml:space="preserve">202.9 </w:t>
            </w:r>
          </w:p>
        </w:tc>
      </w:tr>
    </w:tbl>
    <w:p w:rsidR="00891A33" w:rsidRPr="00AE3D9A" w:rsidRDefault="008F0BCF" w:rsidP="00891A33">
      <w:pPr>
        <w:spacing w:after="0" w:line="240" w:lineRule="auto"/>
        <w:rPr>
          <w:rFonts w:cs="Arial"/>
          <w:sz w:val="16"/>
          <w:szCs w:val="16"/>
        </w:rPr>
      </w:pPr>
      <w:r w:rsidRPr="00AE3D9A">
        <w:rPr>
          <w:rFonts w:cs="Arial"/>
          <w:sz w:val="16"/>
          <w:szCs w:val="16"/>
        </w:rPr>
        <w:t>*</w:t>
      </w:r>
      <w:r w:rsidR="00891A33" w:rsidRPr="00AE3D9A">
        <w:rPr>
          <w:rFonts w:cs="Arial"/>
          <w:sz w:val="16"/>
          <w:szCs w:val="16"/>
        </w:rPr>
        <w:t>Fee for Service figures are TAFE on-shore domestic AQF Level 1 and above.</w:t>
      </w:r>
    </w:p>
    <w:p w:rsidR="009B6E7F" w:rsidRDefault="009B6E7F" w:rsidP="005E4EE6">
      <w:pPr>
        <w:rPr>
          <w:rFonts w:cs="Arial"/>
        </w:rPr>
      </w:pPr>
    </w:p>
    <w:p w:rsidR="00164517" w:rsidRDefault="00164517" w:rsidP="00CB5563">
      <w:pPr>
        <w:pStyle w:val="Caption"/>
        <w:spacing w:after="0"/>
        <w:rPr>
          <w:rFonts w:cs="Arial"/>
          <w:color w:val="365F91" w:themeColor="accent1" w:themeShade="BF"/>
        </w:rPr>
      </w:pPr>
      <w:r w:rsidRPr="000E6CEE">
        <w:rPr>
          <w:rFonts w:cs="Arial"/>
          <w:color w:val="365F91" w:themeColor="accent1" w:themeShade="BF"/>
        </w:rPr>
        <w:t xml:space="preserve">Table 1.2.2: </w:t>
      </w:r>
      <w:r w:rsidR="00CF0A04">
        <w:rPr>
          <w:rFonts w:cs="Arial"/>
          <w:color w:val="365F91" w:themeColor="accent1" w:themeShade="BF"/>
        </w:rPr>
        <w:t>Change in s</w:t>
      </w:r>
      <w:r w:rsidRPr="000E6CEE">
        <w:rPr>
          <w:rFonts w:cs="Arial"/>
          <w:color w:val="365F91" w:themeColor="accent1" w:themeShade="BF"/>
        </w:rPr>
        <w:t>tudent contact hours (millions) by funding type</w:t>
      </w:r>
    </w:p>
    <w:tbl>
      <w:tblPr>
        <w:tblW w:w="8100" w:type="dxa"/>
        <w:tblInd w:w="108" w:type="dxa"/>
        <w:tblLook w:val="04A0" w:firstRow="1" w:lastRow="0" w:firstColumn="1" w:lastColumn="0" w:noHBand="0" w:noVBand="1"/>
      </w:tblPr>
      <w:tblGrid>
        <w:gridCol w:w="2500"/>
        <w:gridCol w:w="1120"/>
        <w:gridCol w:w="1120"/>
        <w:gridCol w:w="1120"/>
        <w:gridCol w:w="1120"/>
        <w:gridCol w:w="1120"/>
      </w:tblGrid>
      <w:tr w:rsidR="001C239D" w:rsidRPr="001C239D" w:rsidTr="001558F6">
        <w:trPr>
          <w:trHeight w:val="762"/>
        </w:trPr>
        <w:tc>
          <w:tcPr>
            <w:tcW w:w="2500" w:type="dxa"/>
            <w:shd w:val="clear" w:color="000000" w:fill="366092"/>
            <w:noWrap/>
            <w:vAlign w:val="center"/>
            <w:hideMark/>
          </w:tcPr>
          <w:p w:rsidR="001C239D" w:rsidRPr="001C239D" w:rsidRDefault="001C239D" w:rsidP="001C239D">
            <w:pPr>
              <w:spacing w:after="0" w:line="240" w:lineRule="auto"/>
              <w:ind w:firstLineChars="100" w:firstLine="201"/>
              <w:jc w:val="left"/>
              <w:rPr>
                <w:rFonts w:cs="Arial"/>
                <w:b/>
                <w:bCs/>
                <w:color w:val="FFFFFF"/>
                <w:sz w:val="20"/>
                <w:szCs w:val="20"/>
                <w:lang w:eastAsia="en-AU"/>
              </w:rPr>
            </w:pPr>
            <w:r w:rsidRPr="001C239D">
              <w:rPr>
                <w:rFonts w:cs="Arial"/>
                <w:b/>
                <w:bCs/>
                <w:color w:val="FFFFFF"/>
                <w:sz w:val="20"/>
                <w:szCs w:val="20"/>
                <w:lang w:eastAsia="en-AU"/>
              </w:rPr>
              <w:t> </w:t>
            </w:r>
          </w:p>
        </w:tc>
        <w:tc>
          <w:tcPr>
            <w:tcW w:w="1120" w:type="dxa"/>
            <w:shd w:val="clear" w:color="000000" w:fill="366092"/>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 change</w:t>
            </w:r>
            <w:r w:rsidRPr="001C239D">
              <w:rPr>
                <w:rFonts w:cs="Arial"/>
                <w:b/>
                <w:bCs/>
                <w:color w:val="FFFFFF"/>
                <w:sz w:val="18"/>
                <w:szCs w:val="18"/>
                <w:lang w:eastAsia="en-AU"/>
              </w:rPr>
              <w:br/>
              <w:t>2008-2013</w:t>
            </w:r>
          </w:p>
        </w:tc>
        <w:tc>
          <w:tcPr>
            <w:tcW w:w="1120" w:type="dxa"/>
            <w:shd w:val="clear" w:color="000000" w:fill="366092"/>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 change</w:t>
            </w:r>
            <w:r w:rsidRPr="001C239D">
              <w:rPr>
                <w:rFonts w:cs="Arial"/>
                <w:b/>
                <w:bCs/>
                <w:color w:val="FFFFFF"/>
                <w:sz w:val="18"/>
                <w:szCs w:val="18"/>
                <w:lang w:eastAsia="en-AU"/>
              </w:rPr>
              <w:br/>
              <w:t>2009-2013</w:t>
            </w:r>
          </w:p>
        </w:tc>
        <w:tc>
          <w:tcPr>
            <w:tcW w:w="1120" w:type="dxa"/>
            <w:shd w:val="clear" w:color="000000" w:fill="366092"/>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 change</w:t>
            </w:r>
            <w:r w:rsidRPr="001C239D">
              <w:rPr>
                <w:rFonts w:cs="Arial"/>
                <w:b/>
                <w:bCs/>
                <w:color w:val="FFFFFF"/>
                <w:sz w:val="18"/>
                <w:szCs w:val="18"/>
                <w:lang w:eastAsia="en-AU"/>
              </w:rPr>
              <w:br/>
              <w:t>2010-2013</w:t>
            </w:r>
          </w:p>
        </w:tc>
        <w:tc>
          <w:tcPr>
            <w:tcW w:w="1120" w:type="dxa"/>
            <w:shd w:val="clear" w:color="000000" w:fill="366092"/>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 change</w:t>
            </w:r>
            <w:r w:rsidRPr="001C239D">
              <w:rPr>
                <w:rFonts w:cs="Arial"/>
                <w:b/>
                <w:bCs/>
                <w:color w:val="FFFFFF"/>
                <w:sz w:val="18"/>
                <w:szCs w:val="18"/>
                <w:lang w:eastAsia="en-AU"/>
              </w:rPr>
              <w:br/>
              <w:t>2011-2013</w:t>
            </w:r>
          </w:p>
        </w:tc>
        <w:tc>
          <w:tcPr>
            <w:tcW w:w="1120" w:type="dxa"/>
            <w:tcBorders>
              <w:right w:val="nil"/>
            </w:tcBorders>
            <w:shd w:val="clear" w:color="000000" w:fill="366092"/>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 change</w:t>
            </w:r>
            <w:r w:rsidRPr="001C239D">
              <w:rPr>
                <w:rFonts w:cs="Arial"/>
                <w:b/>
                <w:bCs/>
                <w:color w:val="FFFFFF"/>
                <w:sz w:val="18"/>
                <w:szCs w:val="18"/>
                <w:lang w:eastAsia="en-AU"/>
              </w:rPr>
              <w:br/>
              <w:t>2012-2013</w:t>
            </w:r>
          </w:p>
        </w:tc>
      </w:tr>
      <w:tr w:rsidR="001C239D" w:rsidRPr="001C239D" w:rsidTr="00AC07A0">
        <w:trPr>
          <w:trHeight w:val="342"/>
        </w:trPr>
        <w:tc>
          <w:tcPr>
            <w:tcW w:w="2500" w:type="dxa"/>
            <w:tcBorders>
              <w:left w:val="single" w:sz="4" w:space="0" w:color="366092"/>
              <w:bottom w:val="single" w:sz="4" w:space="0" w:color="366092"/>
              <w:right w:val="single" w:sz="4" w:space="0" w:color="366092"/>
            </w:tcBorders>
            <w:shd w:val="clear" w:color="000000" w:fill="FFFFFF"/>
            <w:noWrap/>
            <w:vAlign w:val="center"/>
            <w:hideMark/>
          </w:tcPr>
          <w:p w:rsidR="001C239D" w:rsidRPr="001C239D" w:rsidRDefault="001C239D" w:rsidP="00AC07A0">
            <w:pPr>
              <w:spacing w:after="0" w:line="240" w:lineRule="auto"/>
              <w:jc w:val="left"/>
              <w:rPr>
                <w:rFonts w:cs="Arial"/>
                <w:color w:val="366092"/>
                <w:sz w:val="18"/>
                <w:szCs w:val="18"/>
                <w:lang w:eastAsia="en-AU"/>
              </w:rPr>
            </w:pPr>
            <w:r w:rsidRPr="001C239D">
              <w:rPr>
                <w:rFonts w:cs="Arial"/>
                <w:color w:val="366092"/>
                <w:sz w:val="18"/>
                <w:szCs w:val="18"/>
                <w:lang w:eastAsia="en-AU"/>
              </w:rPr>
              <w:t>Government subsidised</w:t>
            </w:r>
          </w:p>
        </w:tc>
        <w:tc>
          <w:tcPr>
            <w:tcW w:w="1120" w:type="dxa"/>
            <w:tcBorders>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110%</w:t>
            </w:r>
          </w:p>
        </w:tc>
        <w:tc>
          <w:tcPr>
            <w:tcW w:w="1120" w:type="dxa"/>
            <w:tcBorders>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92%</w:t>
            </w:r>
          </w:p>
        </w:tc>
        <w:tc>
          <w:tcPr>
            <w:tcW w:w="1120" w:type="dxa"/>
            <w:tcBorders>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63%</w:t>
            </w:r>
          </w:p>
        </w:tc>
        <w:tc>
          <w:tcPr>
            <w:tcW w:w="1120" w:type="dxa"/>
            <w:tcBorders>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25%</w:t>
            </w:r>
          </w:p>
        </w:tc>
        <w:tc>
          <w:tcPr>
            <w:tcW w:w="1120" w:type="dxa"/>
            <w:tcBorders>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-3%</w:t>
            </w:r>
          </w:p>
        </w:tc>
      </w:tr>
      <w:tr w:rsidR="001C239D" w:rsidRPr="001C239D" w:rsidTr="001C239D">
        <w:trPr>
          <w:trHeight w:val="342"/>
        </w:trPr>
        <w:tc>
          <w:tcPr>
            <w:tcW w:w="2500" w:type="dxa"/>
            <w:tcBorders>
              <w:top w:val="nil"/>
              <w:left w:val="single" w:sz="4" w:space="0" w:color="366092"/>
              <w:bottom w:val="single" w:sz="4" w:space="0" w:color="366092"/>
              <w:right w:val="single" w:sz="4" w:space="0" w:color="366092"/>
            </w:tcBorders>
            <w:shd w:val="clear" w:color="000000" w:fill="FFFFFF"/>
            <w:noWrap/>
            <w:vAlign w:val="bottom"/>
            <w:hideMark/>
          </w:tcPr>
          <w:p w:rsidR="001C239D" w:rsidRPr="001C239D" w:rsidRDefault="001C239D" w:rsidP="001C239D">
            <w:pPr>
              <w:spacing w:after="0" w:line="240" w:lineRule="auto"/>
              <w:jc w:val="left"/>
              <w:rPr>
                <w:rFonts w:cs="Arial"/>
                <w:color w:val="366092"/>
                <w:sz w:val="18"/>
                <w:szCs w:val="18"/>
                <w:lang w:eastAsia="en-AU"/>
              </w:rPr>
            </w:pPr>
            <w:r w:rsidRPr="001C239D">
              <w:rPr>
                <w:rFonts w:cs="Arial"/>
                <w:color w:val="366092"/>
                <w:sz w:val="18"/>
                <w:szCs w:val="18"/>
                <w:lang w:eastAsia="en-AU"/>
              </w:rPr>
              <w:t>TAFE domestic fee for service*</w:t>
            </w:r>
          </w:p>
        </w:tc>
        <w:tc>
          <w:tcPr>
            <w:tcW w:w="1120" w:type="dxa"/>
            <w:tcBorders>
              <w:top w:val="nil"/>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16%</w:t>
            </w:r>
          </w:p>
        </w:tc>
        <w:tc>
          <w:tcPr>
            <w:tcW w:w="1120" w:type="dxa"/>
            <w:tcBorders>
              <w:top w:val="nil"/>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-3%</w:t>
            </w:r>
          </w:p>
        </w:tc>
        <w:tc>
          <w:tcPr>
            <w:tcW w:w="1120" w:type="dxa"/>
            <w:tcBorders>
              <w:top w:val="nil"/>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2%</w:t>
            </w:r>
          </w:p>
        </w:tc>
        <w:tc>
          <w:tcPr>
            <w:tcW w:w="1120" w:type="dxa"/>
            <w:tcBorders>
              <w:top w:val="nil"/>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7%</w:t>
            </w:r>
          </w:p>
        </w:tc>
        <w:tc>
          <w:tcPr>
            <w:tcW w:w="1120" w:type="dxa"/>
            <w:tcBorders>
              <w:top w:val="nil"/>
              <w:left w:val="nil"/>
              <w:bottom w:val="single" w:sz="4" w:space="0" w:color="366092"/>
              <w:right w:val="single" w:sz="4" w:space="0" w:color="366092"/>
            </w:tcBorders>
            <w:shd w:val="clear" w:color="auto" w:fill="auto"/>
            <w:noWrap/>
            <w:vAlign w:val="center"/>
            <w:hideMark/>
          </w:tcPr>
          <w:p w:rsidR="001C239D" w:rsidRPr="001C239D" w:rsidRDefault="001C239D" w:rsidP="001C239D">
            <w:pPr>
              <w:spacing w:after="0" w:line="240" w:lineRule="auto"/>
              <w:jc w:val="right"/>
              <w:rPr>
                <w:rFonts w:cs="Arial"/>
                <w:sz w:val="18"/>
                <w:szCs w:val="18"/>
                <w:lang w:eastAsia="en-AU"/>
              </w:rPr>
            </w:pPr>
            <w:r w:rsidRPr="001C239D">
              <w:rPr>
                <w:rFonts w:cs="Arial"/>
                <w:sz w:val="18"/>
                <w:szCs w:val="18"/>
                <w:lang w:eastAsia="en-AU"/>
              </w:rPr>
              <w:t>-9%</w:t>
            </w:r>
          </w:p>
        </w:tc>
      </w:tr>
      <w:tr w:rsidR="001C239D" w:rsidRPr="001C239D" w:rsidTr="001C239D">
        <w:trPr>
          <w:trHeight w:val="342"/>
        </w:trPr>
        <w:tc>
          <w:tcPr>
            <w:tcW w:w="2500" w:type="dxa"/>
            <w:tcBorders>
              <w:top w:val="nil"/>
              <w:left w:val="single" w:sz="4" w:space="0" w:color="366092"/>
              <w:bottom w:val="single" w:sz="4" w:space="0" w:color="366092"/>
              <w:right w:val="single" w:sz="4" w:space="0" w:color="366092"/>
            </w:tcBorders>
            <w:shd w:val="clear" w:color="000000" w:fill="366092"/>
            <w:noWrap/>
            <w:vAlign w:val="bottom"/>
            <w:hideMark/>
          </w:tcPr>
          <w:p w:rsidR="001C239D" w:rsidRPr="001C239D" w:rsidRDefault="001C239D" w:rsidP="001C239D">
            <w:pPr>
              <w:spacing w:after="0" w:line="240" w:lineRule="auto"/>
              <w:jc w:val="left"/>
              <w:rPr>
                <w:rFonts w:cs="Arial"/>
                <w:b/>
                <w:bCs/>
                <w:color w:val="FFFFFF"/>
                <w:sz w:val="18"/>
                <w:szCs w:val="18"/>
                <w:lang w:eastAsia="en-AU"/>
              </w:rPr>
            </w:pPr>
            <w:r w:rsidRPr="001C239D">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94%</w:t>
            </w:r>
          </w:p>
        </w:tc>
        <w:tc>
          <w:tcPr>
            <w:tcW w:w="1120" w:type="dxa"/>
            <w:tcBorders>
              <w:top w:val="nil"/>
              <w:left w:val="nil"/>
              <w:bottom w:val="single" w:sz="4" w:space="0" w:color="366092"/>
              <w:right w:val="single" w:sz="4" w:space="0" w:color="366092"/>
            </w:tcBorders>
            <w:shd w:val="clear" w:color="000000" w:fill="366092"/>
            <w:noWrap/>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75%</w:t>
            </w:r>
          </w:p>
        </w:tc>
        <w:tc>
          <w:tcPr>
            <w:tcW w:w="1120" w:type="dxa"/>
            <w:tcBorders>
              <w:top w:val="nil"/>
              <w:left w:val="nil"/>
              <w:bottom w:val="single" w:sz="4" w:space="0" w:color="366092"/>
              <w:right w:val="single" w:sz="4" w:space="0" w:color="366092"/>
            </w:tcBorders>
            <w:shd w:val="clear" w:color="000000" w:fill="366092"/>
            <w:noWrap/>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54%</w:t>
            </w:r>
          </w:p>
        </w:tc>
        <w:tc>
          <w:tcPr>
            <w:tcW w:w="1120" w:type="dxa"/>
            <w:tcBorders>
              <w:top w:val="nil"/>
              <w:left w:val="nil"/>
              <w:bottom w:val="single" w:sz="4" w:space="0" w:color="366092"/>
              <w:right w:val="single" w:sz="4" w:space="0" w:color="366092"/>
            </w:tcBorders>
            <w:shd w:val="clear" w:color="000000" w:fill="366092"/>
            <w:noWrap/>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23%</w:t>
            </w:r>
          </w:p>
        </w:tc>
        <w:tc>
          <w:tcPr>
            <w:tcW w:w="1120" w:type="dxa"/>
            <w:tcBorders>
              <w:top w:val="nil"/>
              <w:left w:val="nil"/>
              <w:bottom w:val="single" w:sz="4" w:space="0" w:color="366092"/>
              <w:right w:val="single" w:sz="4" w:space="0" w:color="366092"/>
            </w:tcBorders>
            <w:shd w:val="clear" w:color="000000" w:fill="366092"/>
            <w:noWrap/>
            <w:vAlign w:val="center"/>
            <w:hideMark/>
          </w:tcPr>
          <w:p w:rsidR="001C239D" w:rsidRPr="001C239D" w:rsidRDefault="001C239D" w:rsidP="001C239D">
            <w:pPr>
              <w:spacing w:after="0" w:line="240" w:lineRule="auto"/>
              <w:jc w:val="right"/>
              <w:rPr>
                <w:rFonts w:cs="Arial"/>
                <w:b/>
                <w:bCs/>
                <w:color w:val="FFFFFF"/>
                <w:sz w:val="18"/>
                <w:szCs w:val="18"/>
                <w:lang w:eastAsia="en-AU"/>
              </w:rPr>
            </w:pPr>
            <w:r w:rsidRPr="001C239D">
              <w:rPr>
                <w:rFonts w:cs="Arial"/>
                <w:b/>
                <w:bCs/>
                <w:color w:val="FFFFFF"/>
                <w:sz w:val="18"/>
                <w:szCs w:val="18"/>
                <w:lang w:eastAsia="en-AU"/>
              </w:rPr>
              <w:t>-4%</w:t>
            </w:r>
          </w:p>
        </w:tc>
      </w:tr>
    </w:tbl>
    <w:p w:rsidR="00164517" w:rsidRPr="00AE3D9A" w:rsidRDefault="008F0BCF" w:rsidP="00164517">
      <w:pPr>
        <w:spacing w:after="0" w:line="240" w:lineRule="auto"/>
        <w:rPr>
          <w:rFonts w:cs="Arial"/>
          <w:sz w:val="16"/>
          <w:szCs w:val="16"/>
        </w:rPr>
      </w:pPr>
      <w:r w:rsidRPr="00AE3D9A">
        <w:rPr>
          <w:rFonts w:cs="Arial"/>
          <w:sz w:val="16"/>
          <w:szCs w:val="16"/>
        </w:rPr>
        <w:t>*</w:t>
      </w:r>
      <w:r w:rsidR="00164517" w:rsidRPr="00AE3D9A">
        <w:rPr>
          <w:rFonts w:cs="Arial"/>
          <w:sz w:val="16"/>
          <w:szCs w:val="16"/>
        </w:rPr>
        <w:t>Fee for Service figures are TAFE on-shore domestic AQF Level 1 and above.</w:t>
      </w:r>
    </w:p>
    <w:p w:rsidR="00164517" w:rsidRDefault="00164517" w:rsidP="00A9260A">
      <w:pPr>
        <w:pStyle w:val="Caption"/>
        <w:rPr>
          <w:rFonts w:cs="Arial"/>
        </w:rPr>
      </w:pPr>
    </w:p>
    <w:p w:rsidR="005E4EE6" w:rsidRPr="007B10C9" w:rsidRDefault="009B6E7F" w:rsidP="00736BBD">
      <w:pPr>
        <w:pStyle w:val="Caption"/>
        <w:spacing w:after="0"/>
        <w:rPr>
          <w:color w:val="365F91" w:themeColor="accent1" w:themeShade="BF"/>
        </w:rPr>
      </w:pPr>
      <w:r w:rsidRPr="007B10C9">
        <w:rPr>
          <w:color w:val="365F91" w:themeColor="accent1" w:themeShade="BF"/>
        </w:rPr>
        <w:t>Figure 1.</w:t>
      </w:r>
      <w:r w:rsidR="004A10D1" w:rsidRPr="007B10C9">
        <w:rPr>
          <w:color w:val="365F91" w:themeColor="accent1" w:themeShade="BF"/>
        </w:rPr>
        <w:fldChar w:fldCharType="begin"/>
      </w:r>
      <w:r w:rsidR="004A10D1" w:rsidRPr="007B10C9">
        <w:rPr>
          <w:color w:val="365F91" w:themeColor="accent1" w:themeShade="BF"/>
        </w:rPr>
        <w:instrText xml:space="preserve"> SEQ Graph \* ARABIC \s 1 </w:instrText>
      </w:r>
      <w:r w:rsidR="004A10D1" w:rsidRPr="007B10C9">
        <w:rPr>
          <w:color w:val="365F91" w:themeColor="accent1" w:themeShade="BF"/>
        </w:rPr>
        <w:fldChar w:fldCharType="separate"/>
      </w:r>
      <w:r w:rsidR="00667D45">
        <w:rPr>
          <w:noProof/>
          <w:color w:val="365F91" w:themeColor="accent1" w:themeShade="BF"/>
        </w:rPr>
        <w:t>2</w:t>
      </w:r>
      <w:r w:rsidR="004A10D1" w:rsidRPr="007B10C9">
        <w:rPr>
          <w:noProof/>
          <w:color w:val="365F91" w:themeColor="accent1" w:themeShade="BF"/>
        </w:rPr>
        <w:fldChar w:fldCharType="end"/>
      </w:r>
      <w:r w:rsidRPr="007B10C9">
        <w:rPr>
          <w:color w:val="365F91" w:themeColor="accent1" w:themeShade="BF"/>
        </w:rPr>
        <w:t xml:space="preserve">: </w:t>
      </w:r>
      <w:r w:rsidR="00171CC7" w:rsidRPr="007B10C9">
        <w:rPr>
          <w:color w:val="365F91" w:themeColor="accent1" w:themeShade="BF"/>
        </w:rPr>
        <w:t>s</w:t>
      </w:r>
      <w:r w:rsidRPr="007B10C9">
        <w:rPr>
          <w:color w:val="365F91" w:themeColor="accent1" w:themeShade="BF"/>
        </w:rPr>
        <w:t>tudent contact hours (millions)</w:t>
      </w:r>
      <w:r w:rsidR="00171CC7" w:rsidRPr="007B10C9">
        <w:rPr>
          <w:color w:val="365F91" w:themeColor="accent1" w:themeShade="BF"/>
        </w:rPr>
        <w:t xml:space="preserve"> by funding type</w:t>
      </w:r>
      <w:r w:rsidRPr="007B10C9">
        <w:rPr>
          <w:color w:val="365F91" w:themeColor="accent1" w:themeShade="BF"/>
        </w:rPr>
        <w:t>, 2008–201</w:t>
      </w:r>
      <w:r w:rsidR="00171CC7" w:rsidRPr="007B10C9">
        <w:rPr>
          <w:color w:val="365F91" w:themeColor="accent1" w:themeShade="BF"/>
        </w:rPr>
        <w:t>3</w:t>
      </w:r>
    </w:p>
    <w:p w:rsidR="000D0334" w:rsidRDefault="007B10C9" w:rsidP="000D0334">
      <w:r>
        <w:rPr>
          <w:noProof/>
          <w:lang w:eastAsia="en-AU"/>
        </w:rPr>
        <w:drawing>
          <wp:inline distT="0" distB="0" distL="0" distR="0" wp14:anchorId="26F9E614" wp14:editId="57D58A7D">
            <wp:extent cx="5688330" cy="32981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88330" cy="3298190"/>
                    </a:xfrm>
                    <a:prstGeom prst="rect">
                      <a:avLst/>
                    </a:prstGeom>
                    <a:noFill/>
                  </pic:spPr>
                </pic:pic>
              </a:graphicData>
            </a:graphic>
          </wp:inline>
        </w:drawing>
      </w:r>
    </w:p>
    <w:p w:rsidR="000D0334" w:rsidRPr="000D0334" w:rsidRDefault="000D0334" w:rsidP="000D0334"/>
    <w:p w:rsidR="00D17AF1" w:rsidRDefault="00AD63C3">
      <w:pPr>
        <w:spacing w:after="0" w:line="240" w:lineRule="auto"/>
        <w:jc w:val="left"/>
        <w:rPr>
          <w:rFonts w:cs="Arial"/>
          <w:b/>
          <w:bCs/>
          <w:color w:val="76923C" w:themeColor="accent3" w:themeShade="BF"/>
          <w:sz w:val="18"/>
          <w:szCs w:val="16"/>
        </w:rPr>
      </w:pPr>
      <w:r>
        <w:rPr>
          <w:rFonts w:cs="Arial"/>
        </w:rPr>
        <w:t>The average government subsidised hours per student have continued to increase from about 297 hours per student in 2008 to 378 in 2013. The 2013 result was also higher than the 2011 result at 342 hours per student and the 2012 result at 370 hours per student.</w:t>
      </w:r>
      <w:r w:rsidR="00D17AF1">
        <w:rPr>
          <w:rFonts w:cs="Arial"/>
        </w:rPr>
        <w:br w:type="page"/>
      </w:r>
    </w:p>
    <w:p w:rsidR="005E4EE6" w:rsidRDefault="005E4EE6" w:rsidP="00CB5563">
      <w:pPr>
        <w:pStyle w:val="Caption"/>
        <w:spacing w:after="0"/>
        <w:rPr>
          <w:rFonts w:cs="Arial"/>
          <w:color w:val="365F91" w:themeColor="accent1" w:themeShade="BF"/>
        </w:rPr>
      </w:pPr>
      <w:r w:rsidRPr="007B10C9">
        <w:rPr>
          <w:rFonts w:cs="Arial"/>
          <w:color w:val="365F91" w:themeColor="accent1" w:themeShade="BF"/>
        </w:rPr>
        <w:t>Table 1.</w:t>
      </w:r>
      <w:r w:rsidR="001C1188" w:rsidRPr="007B10C9">
        <w:rPr>
          <w:rFonts w:cs="Arial"/>
          <w:color w:val="365F91" w:themeColor="accent1" w:themeShade="BF"/>
        </w:rPr>
        <w:t>3.1</w:t>
      </w:r>
      <w:r w:rsidRPr="007B10C9">
        <w:rPr>
          <w:rFonts w:cs="Arial"/>
          <w:color w:val="365F91" w:themeColor="accent1" w:themeShade="BF"/>
        </w:rPr>
        <w:t xml:space="preserve">: </w:t>
      </w:r>
      <w:r w:rsidR="00171CC7" w:rsidRPr="007B10C9">
        <w:rPr>
          <w:rFonts w:cs="Arial"/>
          <w:color w:val="365F91" w:themeColor="accent1" w:themeShade="BF"/>
        </w:rPr>
        <w:t>Number of students by funding type, 2008–201</w:t>
      </w:r>
      <w:r w:rsidR="003542A9">
        <w:rPr>
          <w:rFonts w:cs="Arial"/>
          <w:color w:val="365F91" w:themeColor="accent1" w:themeShade="BF"/>
        </w:rPr>
        <w:t>3</w:t>
      </w:r>
    </w:p>
    <w:tbl>
      <w:tblPr>
        <w:tblW w:w="9220" w:type="dxa"/>
        <w:tblInd w:w="108" w:type="dxa"/>
        <w:tblLook w:val="04A0" w:firstRow="1" w:lastRow="0" w:firstColumn="1" w:lastColumn="0" w:noHBand="0" w:noVBand="1"/>
      </w:tblPr>
      <w:tblGrid>
        <w:gridCol w:w="2500"/>
        <w:gridCol w:w="1120"/>
        <w:gridCol w:w="1120"/>
        <w:gridCol w:w="1120"/>
        <w:gridCol w:w="1120"/>
        <w:gridCol w:w="1120"/>
        <w:gridCol w:w="1120"/>
      </w:tblGrid>
      <w:tr w:rsidR="007B10C9" w:rsidRPr="007B10C9" w:rsidTr="007B10C9">
        <w:trPr>
          <w:trHeight w:val="762"/>
        </w:trPr>
        <w:tc>
          <w:tcPr>
            <w:tcW w:w="25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7B10C9" w:rsidRPr="007B10C9" w:rsidRDefault="007B10C9" w:rsidP="007B10C9">
            <w:pPr>
              <w:spacing w:after="0" w:line="240" w:lineRule="auto"/>
              <w:ind w:firstLineChars="100" w:firstLine="181"/>
              <w:jc w:val="left"/>
              <w:rPr>
                <w:rFonts w:cs="Arial"/>
                <w:b/>
                <w:bCs/>
                <w:color w:val="FFFFFF"/>
                <w:sz w:val="18"/>
                <w:szCs w:val="18"/>
                <w:lang w:eastAsia="en-AU"/>
              </w:rPr>
            </w:pPr>
            <w:r w:rsidRPr="007B10C9">
              <w:rPr>
                <w:rFonts w:cs="Arial"/>
                <w:b/>
                <w:bCs/>
                <w:color w:val="FFFFFF"/>
                <w:sz w:val="18"/>
                <w:szCs w:val="18"/>
                <w:lang w:eastAsia="en-AU"/>
              </w:rPr>
              <w:t>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7B10C9" w:rsidRPr="007B10C9" w:rsidRDefault="007B10C9" w:rsidP="007B10C9">
            <w:pPr>
              <w:spacing w:after="0" w:line="240" w:lineRule="auto"/>
              <w:ind w:firstLineChars="100" w:firstLine="181"/>
              <w:jc w:val="right"/>
              <w:rPr>
                <w:rFonts w:cs="Arial"/>
                <w:b/>
                <w:bCs/>
                <w:color w:val="FFFFFF"/>
                <w:sz w:val="18"/>
                <w:szCs w:val="18"/>
                <w:lang w:eastAsia="en-AU"/>
              </w:rPr>
            </w:pPr>
            <w:r w:rsidRPr="007B10C9">
              <w:rPr>
                <w:rFonts w:cs="Arial"/>
                <w:b/>
                <w:bCs/>
                <w:color w:val="FFFFFF"/>
                <w:sz w:val="18"/>
                <w:szCs w:val="18"/>
                <w:lang w:eastAsia="en-AU"/>
              </w:rPr>
              <w:t>2008</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7B10C9" w:rsidRPr="007B10C9" w:rsidRDefault="007B10C9" w:rsidP="007B10C9">
            <w:pPr>
              <w:spacing w:after="0" w:line="240" w:lineRule="auto"/>
              <w:ind w:firstLineChars="100" w:firstLine="181"/>
              <w:jc w:val="right"/>
              <w:rPr>
                <w:rFonts w:cs="Arial"/>
                <w:b/>
                <w:bCs/>
                <w:color w:val="FFFFFF"/>
                <w:sz w:val="18"/>
                <w:szCs w:val="18"/>
                <w:lang w:eastAsia="en-AU"/>
              </w:rPr>
            </w:pPr>
            <w:r w:rsidRPr="007B10C9">
              <w:rPr>
                <w:rFonts w:cs="Arial"/>
                <w:b/>
                <w:bCs/>
                <w:color w:val="FFFFFF"/>
                <w:sz w:val="18"/>
                <w:szCs w:val="18"/>
                <w:lang w:eastAsia="en-AU"/>
              </w:rPr>
              <w:t>2009</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7B10C9" w:rsidRPr="007B10C9" w:rsidRDefault="007B10C9" w:rsidP="007B10C9">
            <w:pPr>
              <w:spacing w:after="0" w:line="240" w:lineRule="auto"/>
              <w:ind w:firstLineChars="100" w:firstLine="181"/>
              <w:jc w:val="right"/>
              <w:rPr>
                <w:rFonts w:cs="Arial"/>
                <w:b/>
                <w:bCs/>
                <w:color w:val="FFFFFF"/>
                <w:sz w:val="18"/>
                <w:szCs w:val="18"/>
                <w:lang w:eastAsia="en-AU"/>
              </w:rPr>
            </w:pPr>
            <w:r w:rsidRPr="007B10C9">
              <w:rPr>
                <w:rFonts w:cs="Arial"/>
                <w:b/>
                <w:bCs/>
                <w:color w:val="FFFFFF"/>
                <w:sz w:val="18"/>
                <w:szCs w:val="18"/>
                <w:lang w:eastAsia="en-AU"/>
              </w:rPr>
              <w:t>2010</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7B10C9" w:rsidRPr="007B10C9" w:rsidRDefault="007B10C9" w:rsidP="007B10C9">
            <w:pPr>
              <w:spacing w:after="0" w:line="240" w:lineRule="auto"/>
              <w:ind w:firstLineChars="100" w:firstLine="181"/>
              <w:jc w:val="right"/>
              <w:rPr>
                <w:rFonts w:cs="Arial"/>
                <w:b/>
                <w:bCs/>
                <w:color w:val="FFFFFF"/>
                <w:sz w:val="18"/>
                <w:szCs w:val="18"/>
                <w:lang w:eastAsia="en-AU"/>
              </w:rPr>
            </w:pPr>
            <w:r w:rsidRPr="007B10C9">
              <w:rPr>
                <w:rFonts w:cs="Arial"/>
                <w:b/>
                <w:bCs/>
                <w:color w:val="FFFFFF"/>
                <w:sz w:val="18"/>
                <w:szCs w:val="18"/>
                <w:lang w:eastAsia="en-AU"/>
              </w:rPr>
              <w:t>2011</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7B10C9" w:rsidRPr="007B10C9" w:rsidRDefault="007B10C9" w:rsidP="007B10C9">
            <w:pPr>
              <w:spacing w:after="0" w:line="240" w:lineRule="auto"/>
              <w:ind w:firstLineChars="100" w:firstLine="181"/>
              <w:jc w:val="right"/>
              <w:rPr>
                <w:rFonts w:cs="Arial"/>
                <w:b/>
                <w:bCs/>
                <w:color w:val="FFFFFF"/>
                <w:sz w:val="18"/>
                <w:szCs w:val="18"/>
                <w:lang w:eastAsia="en-AU"/>
              </w:rPr>
            </w:pPr>
            <w:r w:rsidRPr="007B10C9">
              <w:rPr>
                <w:rFonts w:cs="Arial"/>
                <w:b/>
                <w:bCs/>
                <w:color w:val="FFFFFF"/>
                <w:sz w:val="18"/>
                <w:szCs w:val="18"/>
                <w:lang w:eastAsia="en-AU"/>
              </w:rPr>
              <w:t>2012</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7B10C9" w:rsidRPr="007B10C9" w:rsidRDefault="007B10C9" w:rsidP="007B10C9">
            <w:pPr>
              <w:spacing w:after="0" w:line="240" w:lineRule="auto"/>
              <w:ind w:firstLineChars="100" w:firstLine="181"/>
              <w:jc w:val="right"/>
              <w:rPr>
                <w:rFonts w:cs="Arial"/>
                <w:b/>
                <w:bCs/>
                <w:color w:val="FFFFFF"/>
                <w:sz w:val="18"/>
                <w:szCs w:val="18"/>
                <w:lang w:eastAsia="en-AU"/>
              </w:rPr>
            </w:pPr>
            <w:r w:rsidRPr="007B10C9">
              <w:rPr>
                <w:rFonts w:cs="Arial"/>
                <w:b/>
                <w:bCs/>
                <w:color w:val="FFFFFF"/>
                <w:sz w:val="18"/>
                <w:szCs w:val="18"/>
                <w:lang w:eastAsia="en-AU"/>
              </w:rPr>
              <w:t>2013</w:t>
            </w:r>
          </w:p>
        </w:tc>
      </w:tr>
      <w:tr w:rsidR="007B10C9" w:rsidRPr="007B10C9" w:rsidTr="008D0872">
        <w:trPr>
          <w:trHeight w:val="342"/>
        </w:trPr>
        <w:tc>
          <w:tcPr>
            <w:tcW w:w="2500" w:type="dxa"/>
            <w:tcBorders>
              <w:top w:val="nil"/>
              <w:left w:val="single" w:sz="4" w:space="0" w:color="366092"/>
              <w:bottom w:val="single" w:sz="4" w:space="0" w:color="366092"/>
              <w:right w:val="single" w:sz="4" w:space="0" w:color="366092"/>
            </w:tcBorders>
            <w:shd w:val="clear" w:color="000000" w:fill="FFFFFF"/>
            <w:noWrap/>
            <w:vAlign w:val="center"/>
            <w:hideMark/>
          </w:tcPr>
          <w:p w:rsidR="007B10C9" w:rsidRPr="007B10C9" w:rsidRDefault="007B10C9" w:rsidP="008D0872">
            <w:pPr>
              <w:spacing w:after="0" w:line="240" w:lineRule="auto"/>
              <w:jc w:val="left"/>
              <w:rPr>
                <w:rFonts w:cs="Arial"/>
                <w:color w:val="366092"/>
                <w:sz w:val="18"/>
                <w:szCs w:val="18"/>
                <w:lang w:eastAsia="en-AU"/>
              </w:rPr>
            </w:pPr>
            <w:r w:rsidRPr="007B10C9">
              <w:rPr>
                <w:rFonts w:cs="Arial"/>
                <w:color w:val="366092"/>
                <w:sz w:val="18"/>
                <w:szCs w:val="18"/>
                <w:lang w:eastAsia="en-AU"/>
              </w:rPr>
              <w:t>Government subsidised</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294,700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299,600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339,200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430,300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509,800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484,300 </w:t>
            </w:r>
          </w:p>
        </w:tc>
      </w:tr>
      <w:tr w:rsidR="007B10C9" w:rsidRPr="007B10C9" w:rsidTr="008D0872">
        <w:trPr>
          <w:trHeight w:val="342"/>
        </w:trPr>
        <w:tc>
          <w:tcPr>
            <w:tcW w:w="2500" w:type="dxa"/>
            <w:tcBorders>
              <w:top w:val="nil"/>
              <w:left w:val="single" w:sz="4" w:space="0" w:color="366092"/>
              <w:bottom w:val="single" w:sz="4" w:space="0" w:color="366092"/>
              <w:right w:val="single" w:sz="4" w:space="0" w:color="366092"/>
            </w:tcBorders>
            <w:shd w:val="clear" w:color="000000" w:fill="FFFFFF"/>
            <w:noWrap/>
            <w:vAlign w:val="center"/>
            <w:hideMark/>
          </w:tcPr>
          <w:p w:rsidR="007B10C9" w:rsidRPr="007B10C9" w:rsidRDefault="007B10C9" w:rsidP="008D0872">
            <w:pPr>
              <w:spacing w:after="0" w:line="240" w:lineRule="auto"/>
              <w:jc w:val="left"/>
              <w:rPr>
                <w:rFonts w:cs="Arial"/>
                <w:color w:val="366092"/>
                <w:sz w:val="18"/>
                <w:szCs w:val="18"/>
                <w:lang w:eastAsia="en-AU"/>
              </w:rPr>
            </w:pPr>
            <w:r w:rsidRPr="007B10C9">
              <w:rPr>
                <w:rFonts w:cs="Arial"/>
                <w:color w:val="366092"/>
                <w:sz w:val="18"/>
                <w:szCs w:val="18"/>
                <w:lang w:eastAsia="en-AU"/>
              </w:rPr>
              <w:t>TAFE domestic fee for service*</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80,400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93,100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96,000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94,200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105,200 </w:t>
            </w:r>
          </w:p>
        </w:tc>
        <w:tc>
          <w:tcPr>
            <w:tcW w:w="1120" w:type="dxa"/>
            <w:tcBorders>
              <w:top w:val="nil"/>
              <w:left w:val="nil"/>
              <w:bottom w:val="single" w:sz="4" w:space="0" w:color="366092"/>
              <w:right w:val="single" w:sz="4" w:space="0" w:color="366092"/>
            </w:tcBorders>
            <w:shd w:val="clear" w:color="auto" w:fill="auto"/>
            <w:noWrap/>
            <w:vAlign w:val="center"/>
            <w:hideMark/>
          </w:tcPr>
          <w:p w:rsidR="007B10C9" w:rsidRPr="007B10C9" w:rsidRDefault="007B10C9" w:rsidP="007B10C9">
            <w:pPr>
              <w:spacing w:after="0" w:line="240" w:lineRule="auto"/>
              <w:jc w:val="right"/>
              <w:rPr>
                <w:rFonts w:cs="Arial"/>
                <w:sz w:val="18"/>
                <w:szCs w:val="18"/>
                <w:lang w:eastAsia="en-AU"/>
              </w:rPr>
            </w:pPr>
            <w:r w:rsidRPr="007B10C9">
              <w:rPr>
                <w:rFonts w:cs="Arial"/>
                <w:sz w:val="18"/>
                <w:szCs w:val="18"/>
                <w:lang w:eastAsia="en-AU"/>
              </w:rPr>
              <w:t xml:space="preserve">96,700 </w:t>
            </w:r>
          </w:p>
        </w:tc>
      </w:tr>
      <w:tr w:rsidR="007B10C9" w:rsidRPr="007B10C9" w:rsidTr="007B10C9">
        <w:trPr>
          <w:trHeight w:val="342"/>
        </w:trPr>
        <w:tc>
          <w:tcPr>
            <w:tcW w:w="2500" w:type="dxa"/>
            <w:tcBorders>
              <w:top w:val="nil"/>
              <w:left w:val="single" w:sz="4" w:space="0" w:color="366092"/>
              <w:bottom w:val="nil"/>
              <w:right w:val="nil"/>
            </w:tcBorders>
            <w:shd w:val="clear" w:color="000000" w:fill="366092"/>
            <w:noWrap/>
            <w:vAlign w:val="bottom"/>
            <w:hideMark/>
          </w:tcPr>
          <w:p w:rsidR="007B10C9" w:rsidRPr="007B10C9" w:rsidRDefault="007B10C9" w:rsidP="007B10C9">
            <w:pPr>
              <w:spacing w:after="0" w:line="240" w:lineRule="auto"/>
              <w:jc w:val="left"/>
              <w:rPr>
                <w:rFonts w:cs="Arial"/>
                <w:b/>
                <w:bCs/>
                <w:color w:val="FFFFFF"/>
                <w:sz w:val="18"/>
                <w:szCs w:val="18"/>
                <w:lang w:eastAsia="en-AU"/>
              </w:rPr>
            </w:pPr>
            <w:r w:rsidRPr="007B10C9">
              <w:rPr>
                <w:rFonts w:cs="Arial"/>
                <w:b/>
                <w:bCs/>
                <w:color w:val="FFFFFF"/>
                <w:sz w:val="18"/>
                <w:szCs w:val="18"/>
                <w:lang w:eastAsia="en-AU"/>
              </w:rPr>
              <w:t>Total**</w:t>
            </w:r>
          </w:p>
        </w:tc>
        <w:tc>
          <w:tcPr>
            <w:tcW w:w="1120" w:type="dxa"/>
            <w:tcBorders>
              <w:top w:val="nil"/>
              <w:left w:val="single" w:sz="4" w:space="0" w:color="366092"/>
              <w:bottom w:val="nil"/>
              <w:right w:val="nil"/>
            </w:tcBorders>
            <w:shd w:val="clear" w:color="000000" w:fill="366092"/>
            <w:noWrap/>
            <w:vAlign w:val="center"/>
            <w:hideMark/>
          </w:tcPr>
          <w:p w:rsidR="007B10C9" w:rsidRPr="007B10C9" w:rsidRDefault="007B10C9" w:rsidP="007B10C9">
            <w:pPr>
              <w:spacing w:after="0" w:line="240" w:lineRule="auto"/>
              <w:jc w:val="right"/>
              <w:rPr>
                <w:rFonts w:cs="Arial"/>
                <w:b/>
                <w:bCs/>
                <w:color w:val="FFFFFF"/>
                <w:sz w:val="18"/>
                <w:szCs w:val="18"/>
                <w:lang w:eastAsia="en-AU"/>
              </w:rPr>
            </w:pPr>
            <w:r w:rsidRPr="007B10C9">
              <w:rPr>
                <w:rFonts w:cs="Arial"/>
                <w:b/>
                <w:bCs/>
                <w:color w:val="FFFFFF"/>
                <w:sz w:val="18"/>
                <w:szCs w:val="18"/>
                <w:lang w:eastAsia="en-AU"/>
              </w:rPr>
              <w:t xml:space="preserve">366,700 </w:t>
            </w:r>
          </w:p>
        </w:tc>
        <w:tc>
          <w:tcPr>
            <w:tcW w:w="1120" w:type="dxa"/>
            <w:tcBorders>
              <w:top w:val="nil"/>
              <w:left w:val="single" w:sz="4" w:space="0" w:color="366092"/>
              <w:bottom w:val="nil"/>
              <w:right w:val="nil"/>
            </w:tcBorders>
            <w:shd w:val="clear" w:color="000000" w:fill="366092"/>
            <w:noWrap/>
            <w:vAlign w:val="center"/>
            <w:hideMark/>
          </w:tcPr>
          <w:p w:rsidR="007B10C9" w:rsidRPr="007B10C9" w:rsidRDefault="007B10C9" w:rsidP="007B10C9">
            <w:pPr>
              <w:spacing w:after="0" w:line="240" w:lineRule="auto"/>
              <w:jc w:val="right"/>
              <w:rPr>
                <w:rFonts w:cs="Arial"/>
                <w:b/>
                <w:bCs/>
                <w:color w:val="FFFFFF"/>
                <w:sz w:val="18"/>
                <w:szCs w:val="18"/>
                <w:lang w:eastAsia="en-AU"/>
              </w:rPr>
            </w:pPr>
            <w:r w:rsidRPr="007B10C9">
              <w:rPr>
                <w:rFonts w:cs="Arial"/>
                <w:b/>
                <w:bCs/>
                <w:color w:val="FFFFFF"/>
                <w:sz w:val="18"/>
                <w:szCs w:val="18"/>
                <w:lang w:eastAsia="en-AU"/>
              </w:rPr>
              <w:t xml:space="preserve">381,300 </w:t>
            </w:r>
          </w:p>
        </w:tc>
        <w:tc>
          <w:tcPr>
            <w:tcW w:w="1120" w:type="dxa"/>
            <w:tcBorders>
              <w:top w:val="nil"/>
              <w:left w:val="single" w:sz="4" w:space="0" w:color="366092"/>
              <w:bottom w:val="nil"/>
              <w:right w:val="nil"/>
            </w:tcBorders>
            <w:shd w:val="clear" w:color="000000" w:fill="366092"/>
            <w:noWrap/>
            <w:vAlign w:val="center"/>
            <w:hideMark/>
          </w:tcPr>
          <w:p w:rsidR="007B10C9" w:rsidRPr="007B10C9" w:rsidRDefault="007B10C9" w:rsidP="007B10C9">
            <w:pPr>
              <w:spacing w:after="0" w:line="240" w:lineRule="auto"/>
              <w:jc w:val="right"/>
              <w:rPr>
                <w:rFonts w:cs="Arial"/>
                <w:b/>
                <w:bCs/>
                <w:color w:val="FFFFFF"/>
                <w:sz w:val="18"/>
                <w:szCs w:val="18"/>
                <w:lang w:eastAsia="en-AU"/>
              </w:rPr>
            </w:pPr>
            <w:r w:rsidRPr="007B10C9">
              <w:rPr>
                <w:rFonts w:cs="Arial"/>
                <w:b/>
                <w:bCs/>
                <w:color w:val="FFFFFF"/>
                <w:sz w:val="18"/>
                <w:szCs w:val="18"/>
                <w:lang w:eastAsia="en-AU"/>
              </w:rPr>
              <w:t xml:space="preserve">422,500 </w:t>
            </w:r>
          </w:p>
        </w:tc>
        <w:tc>
          <w:tcPr>
            <w:tcW w:w="1120" w:type="dxa"/>
            <w:tcBorders>
              <w:top w:val="nil"/>
              <w:left w:val="single" w:sz="4" w:space="0" w:color="366092"/>
              <w:bottom w:val="nil"/>
              <w:right w:val="nil"/>
            </w:tcBorders>
            <w:shd w:val="clear" w:color="000000" w:fill="366092"/>
            <w:noWrap/>
            <w:vAlign w:val="center"/>
            <w:hideMark/>
          </w:tcPr>
          <w:p w:rsidR="007B10C9" w:rsidRPr="007B10C9" w:rsidRDefault="007B10C9" w:rsidP="007B10C9">
            <w:pPr>
              <w:spacing w:after="0" w:line="240" w:lineRule="auto"/>
              <w:jc w:val="right"/>
              <w:rPr>
                <w:rFonts w:cs="Arial"/>
                <w:b/>
                <w:bCs/>
                <w:color w:val="FFFFFF"/>
                <w:sz w:val="18"/>
                <w:szCs w:val="18"/>
                <w:lang w:eastAsia="en-AU"/>
              </w:rPr>
            </w:pPr>
            <w:r w:rsidRPr="007B10C9">
              <w:rPr>
                <w:rFonts w:cs="Arial"/>
                <w:b/>
                <w:bCs/>
                <w:color w:val="FFFFFF"/>
                <w:sz w:val="18"/>
                <w:szCs w:val="18"/>
                <w:lang w:eastAsia="en-AU"/>
              </w:rPr>
              <w:t xml:space="preserve">512,900 </w:t>
            </w:r>
          </w:p>
        </w:tc>
        <w:tc>
          <w:tcPr>
            <w:tcW w:w="1120" w:type="dxa"/>
            <w:tcBorders>
              <w:top w:val="nil"/>
              <w:left w:val="single" w:sz="4" w:space="0" w:color="366092"/>
              <w:bottom w:val="nil"/>
              <w:right w:val="nil"/>
            </w:tcBorders>
            <w:shd w:val="clear" w:color="000000" w:fill="366092"/>
            <w:noWrap/>
            <w:vAlign w:val="center"/>
            <w:hideMark/>
          </w:tcPr>
          <w:p w:rsidR="007B10C9" w:rsidRPr="007B10C9" w:rsidRDefault="007B10C9" w:rsidP="007B10C9">
            <w:pPr>
              <w:spacing w:after="0" w:line="240" w:lineRule="auto"/>
              <w:jc w:val="right"/>
              <w:rPr>
                <w:rFonts w:cs="Arial"/>
                <w:b/>
                <w:bCs/>
                <w:color w:val="FFFFFF"/>
                <w:sz w:val="18"/>
                <w:szCs w:val="18"/>
                <w:lang w:eastAsia="en-AU"/>
              </w:rPr>
            </w:pPr>
            <w:r w:rsidRPr="007B10C9">
              <w:rPr>
                <w:rFonts w:cs="Arial"/>
                <w:b/>
                <w:bCs/>
                <w:color w:val="FFFFFF"/>
                <w:sz w:val="18"/>
                <w:szCs w:val="18"/>
                <w:lang w:eastAsia="en-AU"/>
              </w:rPr>
              <w:t xml:space="preserve">603,200 </w:t>
            </w:r>
          </w:p>
        </w:tc>
        <w:tc>
          <w:tcPr>
            <w:tcW w:w="1120" w:type="dxa"/>
            <w:tcBorders>
              <w:top w:val="nil"/>
              <w:left w:val="single" w:sz="4" w:space="0" w:color="366092"/>
              <w:bottom w:val="nil"/>
              <w:right w:val="nil"/>
            </w:tcBorders>
            <w:shd w:val="clear" w:color="000000" w:fill="366092"/>
            <w:noWrap/>
            <w:vAlign w:val="center"/>
            <w:hideMark/>
          </w:tcPr>
          <w:p w:rsidR="007B10C9" w:rsidRPr="007B10C9" w:rsidRDefault="007B10C9" w:rsidP="007B10C9">
            <w:pPr>
              <w:spacing w:after="0" w:line="240" w:lineRule="auto"/>
              <w:jc w:val="right"/>
              <w:rPr>
                <w:rFonts w:cs="Arial"/>
                <w:b/>
                <w:bCs/>
                <w:color w:val="FFFFFF"/>
                <w:sz w:val="18"/>
                <w:szCs w:val="18"/>
                <w:lang w:eastAsia="en-AU"/>
              </w:rPr>
            </w:pPr>
            <w:r w:rsidRPr="007B10C9">
              <w:rPr>
                <w:rFonts w:cs="Arial"/>
                <w:b/>
                <w:bCs/>
                <w:color w:val="FFFFFF"/>
                <w:sz w:val="18"/>
                <w:szCs w:val="18"/>
                <w:lang w:eastAsia="en-AU"/>
              </w:rPr>
              <w:t xml:space="preserve">569,300 </w:t>
            </w:r>
          </w:p>
        </w:tc>
      </w:tr>
    </w:tbl>
    <w:p w:rsidR="00891A33" w:rsidRPr="001F29E3" w:rsidRDefault="00AE3D9A" w:rsidP="00891A33">
      <w:pPr>
        <w:spacing w:after="0" w:line="240" w:lineRule="auto"/>
        <w:rPr>
          <w:rFonts w:cs="Arial"/>
          <w:sz w:val="16"/>
          <w:szCs w:val="16"/>
        </w:rPr>
      </w:pPr>
      <w:r>
        <w:rPr>
          <w:rFonts w:cs="Arial"/>
          <w:sz w:val="16"/>
          <w:szCs w:val="16"/>
        </w:rPr>
        <w:t>*</w:t>
      </w:r>
      <w:r w:rsidR="00891A33" w:rsidRPr="001F29E3">
        <w:rPr>
          <w:rFonts w:cs="Arial"/>
          <w:sz w:val="16"/>
          <w:szCs w:val="16"/>
        </w:rPr>
        <w:t>Fee for Service figures are TAFE on-shore domestic AQF</w:t>
      </w:r>
      <w:r w:rsidR="00891A33">
        <w:rPr>
          <w:rFonts w:cs="Arial"/>
          <w:sz w:val="16"/>
          <w:szCs w:val="16"/>
        </w:rPr>
        <w:t xml:space="preserve"> Level </w:t>
      </w:r>
      <w:r w:rsidR="00891A33" w:rsidRPr="001F29E3">
        <w:rPr>
          <w:rFonts w:cs="Arial"/>
          <w:sz w:val="16"/>
          <w:szCs w:val="16"/>
        </w:rPr>
        <w:t>1</w:t>
      </w:r>
      <w:r w:rsidR="00891A33">
        <w:rPr>
          <w:rFonts w:cs="Arial"/>
          <w:sz w:val="16"/>
          <w:szCs w:val="16"/>
        </w:rPr>
        <w:t xml:space="preserve"> and above</w:t>
      </w:r>
      <w:r w:rsidR="00891A33" w:rsidRPr="001F29E3">
        <w:rPr>
          <w:rFonts w:cs="Arial"/>
          <w:sz w:val="16"/>
          <w:szCs w:val="16"/>
        </w:rPr>
        <w:t>.</w:t>
      </w:r>
    </w:p>
    <w:p w:rsidR="005E4EE6" w:rsidRDefault="005E4EE6" w:rsidP="00DB72B4">
      <w:pPr>
        <w:spacing w:line="240" w:lineRule="auto"/>
        <w:rPr>
          <w:rFonts w:cs="Arial"/>
          <w:sz w:val="16"/>
          <w:szCs w:val="16"/>
        </w:rPr>
      </w:pPr>
      <w:r w:rsidRPr="001F29E3">
        <w:rPr>
          <w:rFonts w:cs="Arial"/>
          <w:sz w:val="16"/>
          <w:szCs w:val="16"/>
        </w:rPr>
        <w:t>*</w:t>
      </w:r>
      <w:r w:rsidR="00AE3D9A">
        <w:rPr>
          <w:rFonts w:cs="Arial"/>
          <w:sz w:val="16"/>
          <w:szCs w:val="16"/>
        </w:rPr>
        <w:t>*</w:t>
      </w:r>
      <w:r w:rsidRPr="001F29E3">
        <w:rPr>
          <w:rFonts w:cs="Arial"/>
          <w:sz w:val="16"/>
          <w:szCs w:val="16"/>
        </w:rPr>
        <w:t xml:space="preserve">TAFE students whose enrolments are made up of </w:t>
      </w:r>
      <w:r w:rsidR="00452EAA" w:rsidRPr="001F29E3">
        <w:rPr>
          <w:rFonts w:cs="Arial"/>
          <w:sz w:val="16"/>
          <w:szCs w:val="16"/>
        </w:rPr>
        <w:t xml:space="preserve">a combination of </w:t>
      </w:r>
      <w:r w:rsidRPr="001F29E3">
        <w:rPr>
          <w:rFonts w:cs="Arial"/>
          <w:sz w:val="16"/>
          <w:szCs w:val="16"/>
        </w:rPr>
        <w:t>government subsidies and self-funding have been counted in both funding categories. The total, however, has eliminated the duplicate</w:t>
      </w:r>
      <w:r w:rsidR="00452EAA" w:rsidRPr="001F29E3">
        <w:rPr>
          <w:rFonts w:cs="Arial"/>
          <w:sz w:val="16"/>
          <w:szCs w:val="16"/>
        </w:rPr>
        <w:t>s</w:t>
      </w:r>
      <w:r w:rsidRPr="001F29E3">
        <w:rPr>
          <w:rFonts w:cs="Arial"/>
          <w:sz w:val="16"/>
          <w:szCs w:val="16"/>
        </w:rPr>
        <w:t>.</w:t>
      </w:r>
    </w:p>
    <w:p w:rsidR="006F5E43" w:rsidRDefault="006F5E43" w:rsidP="00DB72B4">
      <w:pPr>
        <w:spacing w:line="240" w:lineRule="auto"/>
        <w:rPr>
          <w:rFonts w:cs="Arial"/>
          <w:sz w:val="16"/>
          <w:szCs w:val="16"/>
        </w:rPr>
      </w:pPr>
    </w:p>
    <w:p w:rsidR="001C1188" w:rsidRDefault="001C1188" w:rsidP="00CB5563">
      <w:pPr>
        <w:pStyle w:val="Caption"/>
        <w:spacing w:after="0"/>
        <w:rPr>
          <w:rFonts w:cs="Arial"/>
          <w:color w:val="365F91" w:themeColor="accent1" w:themeShade="BF"/>
        </w:rPr>
      </w:pPr>
      <w:r w:rsidRPr="007B10C9">
        <w:rPr>
          <w:rFonts w:cs="Arial"/>
          <w:color w:val="365F91" w:themeColor="accent1" w:themeShade="BF"/>
        </w:rPr>
        <w:t xml:space="preserve">Table 1.3.2: </w:t>
      </w:r>
      <w:r w:rsidR="00A65030">
        <w:rPr>
          <w:rFonts w:cs="Arial"/>
          <w:color w:val="365F91" w:themeColor="accent1" w:themeShade="BF"/>
        </w:rPr>
        <w:t>Change in</w:t>
      </w:r>
      <w:r w:rsidR="00A65030" w:rsidRPr="007B10C9">
        <w:rPr>
          <w:rFonts w:cs="Arial"/>
          <w:color w:val="365F91" w:themeColor="accent1" w:themeShade="BF"/>
        </w:rPr>
        <w:t xml:space="preserve"> </w:t>
      </w:r>
      <w:r w:rsidR="00A65030">
        <w:rPr>
          <w:rFonts w:cs="Arial"/>
          <w:color w:val="365F91" w:themeColor="accent1" w:themeShade="BF"/>
        </w:rPr>
        <w:t>n</w:t>
      </w:r>
      <w:r w:rsidRPr="007B10C9">
        <w:rPr>
          <w:rFonts w:cs="Arial"/>
          <w:color w:val="365F91" w:themeColor="accent1" w:themeShade="BF"/>
        </w:rPr>
        <w:t>umber of students by funding type</w:t>
      </w:r>
    </w:p>
    <w:tbl>
      <w:tblPr>
        <w:tblW w:w="8100" w:type="dxa"/>
        <w:tblInd w:w="108" w:type="dxa"/>
        <w:tblLook w:val="04A0" w:firstRow="1" w:lastRow="0" w:firstColumn="1" w:lastColumn="0" w:noHBand="0" w:noVBand="1"/>
      </w:tblPr>
      <w:tblGrid>
        <w:gridCol w:w="2500"/>
        <w:gridCol w:w="1120"/>
        <w:gridCol w:w="1120"/>
        <w:gridCol w:w="1120"/>
        <w:gridCol w:w="1120"/>
        <w:gridCol w:w="1120"/>
      </w:tblGrid>
      <w:tr w:rsidR="006A669D" w:rsidRPr="006A669D" w:rsidTr="006A669D">
        <w:trPr>
          <w:trHeight w:val="762"/>
        </w:trPr>
        <w:tc>
          <w:tcPr>
            <w:tcW w:w="25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6A669D" w:rsidRPr="006A669D" w:rsidRDefault="006A669D" w:rsidP="006A669D">
            <w:pPr>
              <w:spacing w:after="0" w:line="240" w:lineRule="auto"/>
              <w:ind w:firstLineChars="100" w:firstLine="181"/>
              <w:jc w:val="left"/>
              <w:rPr>
                <w:rFonts w:cs="Arial"/>
                <w:b/>
                <w:bCs/>
                <w:color w:val="FFFFFF"/>
                <w:sz w:val="18"/>
                <w:szCs w:val="18"/>
                <w:lang w:eastAsia="en-AU"/>
              </w:rPr>
            </w:pPr>
            <w:r w:rsidRPr="006A669D">
              <w:rPr>
                <w:rFonts w:cs="Arial"/>
                <w:b/>
                <w:bCs/>
                <w:color w:val="FFFFFF"/>
                <w:sz w:val="18"/>
                <w:szCs w:val="18"/>
                <w:lang w:eastAsia="en-AU"/>
              </w:rPr>
              <w:t> </w:t>
            </w:r>
          </w:p>
        </w:tc>
        <w:tc>
          <w:tcPr>
            <w:tcW w:w="1120" w:type="dxa"/>
            <w:tcBorders>
              <w:top w:val="nil"/>
              <w:left w:val="nil"/>
              <w:bottom w:val="nil"/>
              <w:right w:val="nil"/>
            </w:tcBorders>
            <w:shd w:val="clear" w:color="000000" w:fill="366092"/>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 change</w:t>
            </w:r>
            <w:r w:rsidRPr="006A669D">
              <w:rPr>
                <w:rFonts w:cs="Arial"/>
                <w:b/>
                <w:bCs/>
                <w:color w:val="FFFFFF"/>
                <w:sz w:val="18"/>
                <w:szCs w:val="18"/>
                <w:lang w:eastAsia="en-AU"/>
              </w:rPr>
              <w:br/>
              <w:t>2008-2013</w:t>
            </w:r>
          </w:p>
        </w:tc>
        <w:tc>
          <w:tcPr>
            <w:tcW w:w="1120" w:type="dxa"/>
            <w:tcBorders>
              <w:top w:val="nil"/>
              <w:left w:val="nil"/>
              <w:bottom w:val="nil"/>
              <w:right w:val="nil"/>
            </w:tcBorders>
            <w:shd w:val="clear" w:color="000000" w:fill="366092"/>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 change</w:t>
            </w:r>
            <w:r w:rsidRPr="006A669D">
              <w:rPr>
                <w:rFonts w:cs="Arial"/>
                <w:b/>
                <w:bCs/>
                <w:color w:val="FFFFFF"/>
                <w:sz w:val="18"/>
                <w:szCs w:val="18"/>
                <w:lang w:eastAsia="en-AU"/>
              </w:rPr>
              <w:br/>
              <w:t>2009-2013</w:t>
            </w:r>
          </w:p>
        </w:tc>
        <w:tc>
          <w:tcPr>
            <w:tcW w:w="1120" w:type="dxa"/>
            <w:tcBorders>
              <w:top w:val="nil"/>
              <w:left w:val="nil"/>
              <w:bottom w:val="nil"/>
              <w:right w:val="nil"/>
            </w:tcBorders>
            <w:shd w:val="clear" w:color="000000" w:fill="366092"/>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 change</w:t>
            </w:r>
            <w:r w:rsidRPr="006A669D">
              <w:rPr>
                <w:rFonts w:cs="Arial"/>
                <w:b/>
                <w:bCs/>
                <w:color w:val="FFFFFF"/>
                <w:sz w:val="18"/>
                <w:szCs w:val="18"/>
                <w:lang w:eastAsia="en-AU"/>
              </w:rPr>
              <w:br/>
              <w:t>2010-2013</w:t>
            </w:r>
          </w:p>
        </w:tc>
        <w:tc>
          <w:tcPr>
            <w:tcW w:w="1120" w:type="dxa"/>
            <w:tcBorders>
              <w:top w:val="nil"/>
              <w:left w:val="nil"/>
              <w:bottom w:val="nil"/>
              <w:right w:val="nil"/>
            </w:tcBorders>
            <w:shd w:val="clear" w:color="000000" w:fill="366092"/>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 change</w:t>
            </w:r>
            <w:r w:rsidRPr="006A669D">
              <w:rPr>
                <w:rFonts w:cs="Arial"/>
                <w:b/>
                <w:bCs/>
                <w:color w:val="FFFFFF"/>
                <w:sz w:val="18"/>
                <w:szCs w:val="18"/>
                <w:lang w:eastAsia="en-AU"/>
              </w:rPr>
              <w:br/>
              <w:t>2011-2013</w:t>
            </w:r>
          </w:p>
        </w:tc>
        <w:tc>
          <w:tcPr>
            <w:tcW w:w="1120" w:type="dxa"/>
            <w:tcBorders>
              <w:top w:val="nil"/>
              <w:left w:val="nil"/>
              <w:bottom w:val="nil"/>
              <w:right w:val="nil"/>
            </w:tcBorders>
            <w:shd w:val="clear" w:color="000000" w:fill="366092"/>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 change</w:t>
            </w:r>
            <w:r w:rsidRPr="006A669D">
              <w:rPr>
                <w:rFonts w:cs="Arial"/>
                <w:b/>
                <w:bCs/>
                <w:color w:val="FFFFFF"/>
                <w:sz w:val="18"/>
                <w:szCs w:val="18"/>
                <w:lang w:eastAsia="en-AU"/>
              </w:rPr>
              <w:br/>
              <w:t>2012-2013</w:t>
            </w:r>
          </w:p>
        </w:tc>
      </w:tr>
      <w:tr w:rsidR="006A669D" w:rsidRPr="006A669D" w:rsidTr="008D0872">
        <w:trPr>
          <w:trHeight w:val="342"/>
        </w:trPr>
        <w:tc>
          <w:tcPr>
            <w:tcW w:w="2500" w:type="dxa"/>
            <w:tcBorders>
              <w:top w:val="nil"/>
              <w:left w:val="single" w:sz="4" w:space="0" w:color="366092"/>
              <w:bottom w:val="single" w:sz="4" w:space="0" w:color="366092"/>
              <w:right w:val="single" w:sz="4" w:space="0" w:color="366092"/>
            </w:tcBorders>
            <w:shd w:val="clear" w:color="000000" w:fill="FFFFFF"/>
            <w:noWrap/>
            <w:vAlign w:val="center"/>
            <w:hideMark/>
          </w:tcPr>
          <w:p w:rsidR="006A669D" w:rsidRPr="006A669D" w:rsidRDefault="006A669D" w:rsidP="008D0872">
            <w:pPr>
              <w:spacing w:after="0" w:line="240" w:lineRule="auto"/>
              <w:jc w:val="left"/>
              <w:rPr>
                <w:rFonts w:cs="Arial"/>
                <w:color w:val="366092"/>
                <w:sz w:val="18"/>
                <w:szCs w:val="18"/>
                <w:lang w:eastAsia="en-AU"/>
              </w:rPr>
            </w:pPr>
            <w:r w:rsidRPr="006A669D">
              <w:rPr>
                <w:rFonts w:cs="Arial"/>
                <w:color w:val="366092"/>
                <w:sz w:val="18"/>
                <w:szCs w:val="18"/>
                <w:lang w:eastAsia="en-AU"/>
              </w:rPr>
              <w:t>Government subsidised</w:t>
            </w:r>
          </w:p>
        </w:tc>
        <w:tc>
          <w:tcPr>
            <w:tcW w:w="1120" w:type="dxa"/>
            <w:tcBorders>
              <w:top w:val="single" w:sz="4" w:space="0" w:color="366092"/>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64%</w:t>
            </w:r>
          </w:p>
        </w:tc>
        <w:tc>
          <w:tcPr>
            <w:tcW w:w="1120" w:type="dxa"/>
            <w:tcBorders>
              <w:top w:val="single" w:sz="4" w:space="0" w:color="366092"/>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62%</w:t>
            </w:r>
          </w:p>
        </w:tc>
        <w:tc>
          <w:tcPr>
            <w:tcW w:w="1120" w:type="dxa"/>
            <w:tcBorders>
              <w:top w:val="single" w:sz="4" w:space="0" w:color="366092"/>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43%</w:t>
            </w:r>
          </w:p>
        </w:tc>
        <w:tc>
          <w:tcPr>
            <w:tcW w:w="1120" w:type="dxa"/>
            <w:tcBorders>
              <w:top w:val="single" w:sz="4" w:space="0" w:color="366092"/>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13%</w:t>
            </w:r>
          </w:p>
        </w:tc>
        <w:tc>
          <w:tcPr>
            <w:tcW w:w="1120" w:type="dxa"/>
            <w:tcBorders>
              <w:top w:val="single" w:sz="4" w:space="0" w:color="366092"/>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-5%</w:t>
            </w:r>
          </w:p>
        </w:tc>
      </w:tr>
      <w:tr w:rsidR="006A669D" w:rsidRPr="006A669D" w:rsidTr="008D0872">
        <w:trPr>
          <w:trHeight w:val="342"/>
        </w:trPr>
        <w:tc>
          <w:tcPr>
            <w:tcW w:w="2500" w:type="dxa"/>
            <w:tcBorders>
              <w:top w:val="nil"/>
              <w:left w:val="single" w:sz="4" w:space="0" w:color="366092"/>
              <w:bottom w:val="single" w:sz="4" w:space="0" w:color="366092"/>
              <w:right w:val="single" w:sz="4" w:space="0" w:color="366092"/>
            </w:tcBorders>
            <w:shd w:val="clear" w:color="000000" w:fill="FFFFFF"/>
            <w:noWrap/>
            <w:vAlign w:val="center"/>
            <w:hideMark/>
          </w:tcPr>
          <w:p w:rsidR="006A669D" w:rsidRPr="006A669D" w:rsidRDefault="006A669D" w:rsidP="008D0872">
            <w:pPr>
              <w:spacing w:after="0" w:line="240" w:lineRule="auto"/>
              <w:jc w:val="left"/>
              <w:rPr>
                <w:rFonts w:cs="Arial"/>
                <w:color w:val="366092"/>
                <w:sz w:val="18"/>
                <w:szCs w:val="18"/>
                <w:lang w:eastAsia="en-AU"/>
              </w:rPr>
            </w:pPr>
            <w:r w:rsidRPr="006A669D">
              <w:rPr>
                <w:rFonts w:cs="Arial"/>
                <w:color w:val="366092"/>
                <w:sz w:val="18"/>
                <w:szCs w:val="18"/>
                <w:lang w:eastAsia="en-AU"/>
              </w:rPr>
              <w:t>TAFE domestic fee for service*</w:t>
            </w:r>
          </w:p>
        </w:tc>
        <w:tc>
          <w:tcPr>
            <w:tcW w:w="1120" w:type="dxa"/>
            <w:tcBorders>
              <w:top w:val="nil"/>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20%</w:t>
            </w:r>
          </w:p>
        </w:tc>
        <w:tc>
          <w:tcPr>
            <w:tcW w:w="1120" w:type="dxa"/>
            <w:tcBorders>
              <w:top w:val="nil"/>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4%</w:t>
            </w:r>
          </w:p>
        </w:tc>
        <w:tc>
          <w:tcPr>
            <w:tcW w:w="1120" w:type="dxa"/>
            <w:tcBorders>
              <w:top w:val="nil"/>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1%</w:t>
            </w:r>
          </w:p>
        </w:tc>
        <w:tc>
          <w:tcPr>
            <w:tcW w:w="1120" w:type="dxa"/>
            <w:tcBorders>
              <w:top w:val="nil"/>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3%</w:t>
            </w:r>
          </w:p>
        </w:tc>
        <w:tc>
          <w:tcPr>
            <w:tcW w:w="1120" w:type="dxa"/>
            <w:tcBorders>
              <w:top w:val="nil"/>
              <w:left w:val="nil"/>
              <w:bottom w:val="single" w:sz="4" w:space="0" w:color="366092"/>
              <w:right w:val="single" w:sz="4" w:space="0" w:color="366092"/>
            </w:tcBorders>
            <w:shd w:val="clear" w:color="auto" w:fill="auto"/>
            <w:noWrap/>
            <w:vAlign w:val="center"/>
            <w:hideMark/>
          </w:tcPr>
          <w:p w:rsidR="006A669D" w:rsidRPr="006A669D" w:rsidRDefault="006A669D" w:rsidP="006A669D">
            <w:pPr>
              <w:spacing w:after="0" w:line="240" w:lineRule="auto"/>
              <w:jc w:val="right"/>
              <w:rPr>
                <w:rFonts w:cs="Arial"/>
                <w:sz w:val="18"/>
                <w:szCs w:val="18"/>
                <w:lang w:eastAsia="en-AU"/>
              </w:rPr>
            </w:pPr>
            <w:r w:rsidRPr="006A669D">
              <w:rPr>
                <w:rFonts w:cs="Arial"/>
                <w:sz w:val="18"/>
                <w:szCs w:val="18"/>
                <w:lang w:eastAsia="en-AU"/>
              </w:rPr>
              <w:t>-8%</w:t>
            </w:r>
          </w:p>
        </w:tc>
      </w:tr>
      <w:tr w:rsidR="006A669D" w:rsidRPr="006A669D" w:rsidTr="006A669D">
        <w:trPr>
          <w:trHeight w:val="342"/>
        </w:trPr>
        <w:tc>
          <w:tcPr>
            <w:tcW w:w="2500" w:type="dxa"/>
            <w:tcBorders>
              <w:top w:val="nil"/>
              <w:left w:val="single" w:sz="4" w:space="0" w:color="366092"/>
              <w:bottom w:val="single" w:sz="4" w:space="0" w:color="366092"/>
              <w:right w:val="single" w:sz="4" w:space="0" w:color="366092"/>
            </w:tcBorders>
            <w:shd w:val="clear" w:color="000000" w:fill="366092"/>
            <w:noWrap/>
            <w:vAlign w:val="bottom"/>
            <w:hideMark/>
          </w:tcPr>
          <w:p w:rsidR="006A669D" w:rsidRPr="006A669D" w:rsidRDefault="006A669D" w:rsidP="006A669D">
            <w:pPr>
              <w:spacing w:after="0" w:line="240" w:lineRule="auto"/>
              <w:jc w:val="left"/>
              <w:rPr>
                <w:rFonts w:cs="Arial"/>
                <w:b/>
                <w:bCs/>
                <w:color w:val="FFFFFF"/>
                <w:sz w:val="18"/>
                <w:szCs w:val="18"/>
                <w:lang w:eastAsia="en-AU"/>
              </w:rPr>
            </w:pPr>
            <w:r w:rsidRPr="006A669D">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55%</w:t>
            </w:r>
          </w:p>
        </w:tc>
        <w:tc>
          <w:tcPr>
            <w:tcW w:w="1120" w:type="dxa"/>
            <w:tcBorders>
              <w:top w:val="nil"/>
              <w:left w:val="nil"/>
              <w:bottom w:val="single" w:sz="4" w:space="0" w:color="366092"/>
              <w:right w:val="single" w:sz="4" w:space="0" w:color="366092"/>
            </w:tcBorders>
            <w:shd w:val="clear" w:color="000000" w:fill="366092"/>
            <w:noWrap/>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49%</w:t>
            </w:r>
          </w:p>
        </w:tc>
        <w:tc>
          <w:tcPr>
            <w:tcW w:w="1120" w:type="dxa"/>
            <w:tcBorders>
              <w:top w:val="nil"/>
              <w:left w:val="nil"/>
              <w:bottom w:val="single" w:sz="4" w:space="0" w:color="366092"/>
              <w:right w:val="single" w:sz="4" w:space="0" w:color="366092"/>
            </w:tcBorders>
            <w:shd w:val="clear" w:color="000000" w:fill="366092"/>
            <w:noWrap/>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35%</w:t>
            </w:r>
          </w:p>
        </w:tc>
        <w:tc>
          <w:tcPr>
            <w:tcW w:w="1120" w:type="dxa"/>
            <w:tcBorders>
              <w:top w:val="nil"/>
              <w:left w:val="nil"/>
              <w:bottom w:val="single" w:sz="4" w:space="0" w:color="366092"/>
              <w:right w:val="single" w:sz="4" w:space="0" w:color="366092"/>
            </w:tcBorders>
            <w:shd w:val="clear" w:color="000000" w:fill="366092"/>
            <w:noWrap/>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11%</w:t>
            </w:r>
          </w:p>
        </w:tc>
        <w:tc>
          <w:tcPr>
            <w:tcW w:w="1120" w:type="dxa"/>
            <w:tcBorders>
              <w:top w:val="nil"/>
              <w:left w:val="nil"/>
              <w:bottom w:val="single" w:sz="4" w:space="0" w:color="366092"/>
              <w:right w:val="single" w:sz="4" w:space="0" w:color="366092"/>
            </w:tcBorders>
            <w:shd w:val="clear" w:color="000000" w:fill="366092"/>
            <w:noWrap/>
            <w:vAlign w:val="center"/>
            <w:hideMark/>
          </w:tcPr>
          <w:p w:rsidR="006A669D" w:rsidRPr="006A669D" w:rsidRDefault="006A669D" w:rsidP="006A669D">
            <w:pPr>
              <w:spacing w:after="0" w:line="240" w:lineRule="auto"/>
              <w:jc w:val="right"/>
              <w:rPr>
                <w:rFonts w:cs="Arial"/>
                <w:b/>
                <w:bCs/>
                <w:color w:val="FFFFFF"/>
                <w:sz w:val="18"/>
                <w:szCs w:val="18"/>
                <w:lang w:eastAsia="en-AU"/>
              </w:rPr>
            </w:pPr>
            <w:r w:rsidRPr="006A669D">
              <w:rPr>
                <w:rFonts w:cs="Arial"/>
                <w:b/>
                <w:bCs/>
                <w:color w:val="FFFFFF"/>
                <w:sz w:val="18"/>
                <w:szCs w:val="18"/>
                <w:lang w:eastAsia="en-AU"/>
              </w:rPr>
              <w:t>-6%</w:t>
            </w:r>
          </w:p>
        </w:tc>
      </w:tr>
    </w:tbl>
    <w:p w:rsidR="001C1188" w:rsidRPr="00AE3D9A" w:rsidRDefault="00AE3D9A" w:rsidP="00AE3D9A">
      <w:pPr>
        <w:spacing w:after="0" w:line="240" w:lineRule="auto"/>
        <w:rPr>
          <w:rFonts w:cs="Arial"/>
          <w:sz w:val="16"/>
          <w:szCs w:val="16"/>
        </w:rPr>
      </w:pPr>
      <w:r w:rsidRPr="00AE3D9A">
        <w:rPr>
          <w:rFonts w:cs="Arial"/>
          <w:sz w:val="16"/>
          <w:szCs w:val="16"/>
        </w:rPr>
        <w:t>*</w:t>
      </w:r>
      <w:r w:rsidR="001C1188" w:rsidRPr="00AE3D9A">
        <w:rPr>
          <w:rFonts w:cs="Arial"/>
          <w:sz w:val="16"/>
          <w:szCs w:val="16"/>
        </w:rPr>
        <w:t>Fee for Service figures are TAFE on-shore domestic AQF Level 1 and above.</w:t>
      </w:r>
    </w:p>
    <w:p w:rsidR="001C1188" w:rsidRPr="00AE3D9A" w:rsidRDefault="001C1188" w:rsidP="00AE3D9A">
      <w:pPr>
        <w:spacing w:after="0" w:line="240" w:lineRule="auto"/>
        <w:rPr>
          <w:rFonts w:cs="Arial"/>
          <w:sz w:val="16"/>
          <w:szCs w:val="16"/>
        </w:rPr>
      </w:pPr>
      <w:r w:rsidRPr="00AE3D9A">
        <w:rPr>
          <w:rFonts w:cs="Arial"/>
          <w:sz w:val="16"/>
          <w:szCs w:val="16"/>
        </w:rPr>
        <w:t>*</w:t>
      </w:r>
      <w:r w:rsidR="00AE3D9A" w:rsidRPr="00AE3D9A">
        <w:rPr>
          <w:rFonts w:cs="Arial"/>
          <w:sz w:val="16"/>
          <w:szCs w:val="16"/>
        </w:rPr>
        <w:t>*</w:t>
      </w:r>
      <w:r w:rsidRPr="00AE3D9A">
        <w:rPr>
          <w:rFonts w:cs="Arial"/>
          <w:sz w:val="16"/>
          <w:szCs w:val="16"/>
        </w:rPr>
        <w:t>TAFE students whose enrolments are made up of a combination of government subsidies and self-funding have been counted in both funding categories. The total, however, has eliminated the duplicates.</w:t>
      </w:r>
    </w:p>
    <w:p w:rsidR="005B235C" w:rsidRDefault="005B235C" w:rsidP="005E4EE6">
      <w:pPr>
        <w:rPr>
          <w:rFonts w:cs="Arial"/>
          <w:sz w:val="16"/>
          <w:szCs w:val="16"/>
        </w:rPr>
      </w:pPr>
    </w:p>
    <w:p w:rsidR="00171CC7" w:rsidRPr="007B10C9" w:rsidRDefault="00171CC7" w:rsidP="00A9260A">
      <w:pPr>
        <w:pStyle w:val="Caption"/>
        <w:rPr>
          <w:rFonts w:cs="Arial"/>
          <w:color w:val="365F91" w:themeColor="accent1" w:themeShade="BF"/>
        </w:rPr>
      </w:pPr>
      <w:r w:rsidRPr="007B10C9">
        <w:rPr>
          <w:rFonts w:cs="Arial"/>
          <w:color w:val="365F91" w:themeColor="accent1" w:themeShade="BF"/>
        </w:rPr>
        <w:t>Figure 1.</w:t>
      </w:r>
      <w:r w:rsidR="00963271" w:rsidRPr="007B10C9">
        <w:rPr>
          <w:rFonts w:cs="Arial"/>
          <w:color w:val="365F91" w:themeColor="accent1" w:themeShade="BF"/>
        </w:rPr>
        <w:fldChar w:fldCharType="begin"/>
      </w:r>
      <w:r w:rsidR="00963271" w:rsidRPr="007B10C9">
        <w:rPr>
          <w:rFonts w:cs="Arial"/>
          <w:color w:val="365F91" w:themeColor="accent1" w:themeShade="BF"/>
        </w:rPr>
        <w:instrText xml:space="preserve"> SEQ Graph \* ARABIC \s 1 </w:instrText>
      </w:r>
      <w:r w:rsidR="00963271" w:rsidRPr="007B10C9">
        <w:rPr>
          <w:rFonts w:cs="Arial"/>
          <w:color w:val="365F91" w:themeColor="accent1" w:themeShade="BF"/>
        </w:rPr>
        <w:fldChar w:fldCharType="separate"/>
      </w:r>
      <w:r w:rsidR="00667D45">
        <w:rPr>
          <w:rFonts w:cs="Arial"/>
          <w:noProof/>
          <w:color w:val="365F91" w:themeColor="accent1" w:themeShade="BF"/>
        </w:rPr>
        <w:t>3</w:t>
      </w:r>
      <w:r w:rsidR="00963271" w:rsidRPr="007B10C9">
        <w:rPr>
          <w:rFonts w:cs="Arial"/>
          <w:noProof/>
          <w:color w:val="365F91" w:themeColor="accent1" w:themeShade="BF"/>
        </w:rPr>
        <w:fldChar w:fldCharType="end"/>
      </w:r>
      <w:r w:rsidRPr="007B10C9">
        <w:rPr>
          <w:rFonts w:cs="Arial"/>
          <w:color w:val="365F91" w:themeColor="accent1" w:themeShade="BF"/>
        </w:rPr>
        <w:t>: Number of students by funding type, 2008–2013</w:t>
      </w:r>
    </w:p>
    <w:p w:rsidR="00D93A1F" w:rsidRDefault="007B10C9" w:rsidP="00D93A1F">
      <w:r>
        <w:rPr>
          <w:noProof/>
          <w:lang w:eastAsia="en-AU"/>
        </w:rPr>
        <w:drawing>
          <wp:inline distT="0" distB="0" distL="0" distR="0" wp14:anchorId="6ADD3E64" wp14:editId="7432BBA0">
            <wp:extent cx="5596890" cy="313944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6890" cy="3139440"/>
                    </a:xfrm>
                    <a:prstGeom prst="rect">
                      <a:avLst/>
                    </a:prstGeom>
                    <a:noFill/>
                  </pic:spPr>
                </pic:pic>
              </a:graphicData>
            </a:graphic>
          </wp:inline>
        </w:drawing>
      </w:r>
    </w:p>
    <w:p w:rsidR="00D93A1F" w:rsidRDefault="00D93A1F" w:rsidP="00D93A1F"/>
    <w:p w:rsidR="00D93A1F" w:rsidRPr="00D93A1F" w:rsidRDefault="00D93A1F" w:rsidP="00D93A1F"/>
    <w:p w:rsidR="005E4EE6" w:rsidRDefault="005E4EE6" w:rsidP="00164517">
      <w:pPr>
        <w:jc w:val="left"/>
        <w:rPr>
          <w:rFonts w:cs="Arial"/>
        </w:rPr>
      </w:pPr>
    </w:p>
    <w:p w:rsidR="00EB0A1A" w:rsidRPr="001F29E3" w:rsidRDefault="00D70D05" w:rsidP="00EB0A1A">
      <w:pPr>
        <w:rPr>
          <w:rFonts w:cs="Arial"/>
        </w:rPr>
      </w:pPr>
      <w:r w:rsidRPr="001F29E3" w:rsidDel="00B03850">
        <w:rPr>
          <w:rFonts w:cs="Arial"/>
        </w:rPr>
        <w:t xml:space="preserve"> </w:t>
      </w:r>
    </w:p>
    <w:p w:rsidR="0069078C" w:rsidRDefault="0069078C">
      <w:pPr>
        <w:spacing w:after="0" w:line="240" w:lineRule="auto"/>
        <w:jc w:val="left"/>
        <w:rPr>
          <w:rFonts w:cs="Arial"/>
          <w:b/>
          <w:bCs/>
          <w:color w:val="76923C" w:themeColor="accent3" w:themeShade="BF"/>
          <w:szCs w:val="19"/>
        </w:rPr>
      </w:pPr>
      <w:r>
        <w:br w:type="page"/>
      </w:r>
    </w:p>
    <w:p w:rsidR="00351166" w:rsidRPr="001F29E3" w:rsidRDefault="00351166" w:rsidP="00A9260A">
      <w:pPr>
        <w:pStyle w:val="Heading2"/>
      </w:pPr>
      <w:bookmarkStart w:id="50" w:name="_Toc388340443"/>
      <w:r w:rsidRPr="001F29E3">
        <w:t>Qualification Levels</w:t>
      </w:r>
      <w:bookmarkEnd w:id="41"/>
      <w:bookmarkEnd w:id="42"/>
      <w:bookmarkEnd w:id="43"/>
      <w:bookmarkEnd w:id="44"/>
      <w:bookmarkEnd w:id="45"/>
      <w:bookmarkEnd w:id="50"/>
    </w:p>
    <w:p w:rsidR="00351166" w:rsidRPr="007D276C" w:rsidRDefault="00351166" w:rsidP="00351166">
      <w:pPr>
        <w:rPr>
          <w:rFonts w:cs="Arial"/>
          <w:bCs/>
          <w:szCs w:val="19"/>
        </w:rPr>
      </w:pPr>
    </w:p>
    <w:p w:rsidR="00351166" w:rsidRPr="00BE366B" w:rsidRDefault="00BE366B" w:rsidP="00351166">
      <w:pPr>
        <w:rPr>
          <w:rFonts w:cs="Arial"/>
        </w:rPr>
      </w:pPr>
      <w:r w:rsidRPr="00BE366B">
        <w:rPr>
          <w:rFonts w:cs="Arial"/>
        </w:rPr>
        <w:t>Lowe</w:t>
      </w:r>
      <w:r w:rsidR="0052721E">
        <w:rPr>
          <w:rFonts w:cs="Arial"/>
        </w:rPr>
        <w:t>r level qualifications such as C</w:t>
      </w:r>
      <w:r w:rsidRPr="00BE366B">
        <w:rPr>
          <w:rFonts w:cs="Arial"/>
        </w:rPr>
        <w:t>ertificate I and II, provide literacy, numeracy, and work preparation skills to people without post-school qualifications so that they have the opportunity to go on to further study or find employment</w:t>
      </w:r>
      <w:r w:rsidR="00351166" w:rsidRPr="00BE366B">
        <w:rPr>
          <w:rFonts w:cs="Arial"/>
        </w:rPr>
        <w:t>.</w:t>
      </w:r>
      <w:r w:rsidR="002C240D" w:rsidRPr="00BE366B">
        <w:rPr>
          <w:rFonts w:cs="Arial"/>
        </w:rPr>
        <w:t xml:space="preserve"> </w:t>
      </w:r>
    </w:p>
    <w:p w:rsidR="00351166" w:rsidRDefault="00351166" w:rsidP="00351166">
      <w:pPr>
        <w:rPr>
          <w:rFonts w:cs="Arial"/>
        </w:rPr>
      </w:pPr>
      <w:r w:rsidRPr="00BE366B">
        <w:rPr>
          <w:rFonts w:cs="Arial"/>
        </w:rPr>
        <w:t xml:space="preserve">Mid-level skills are essential to the Victorian economy and help drive economic activity across the </w:t>
      </w:r>
      <w:r w:rsidR="00283290">
        <w:rPr>
          <w:rFonts w:cs="Arial"/>
        </w:rPr>
        <w:t>s</w:t>
      </w:r>
      <w:r w:rsidRPr="00BE366B">
        <w:rPr>
          <w:rFonts w:cs="Arial"/>
        </w:rPr>
        <w:t xml:space="preserve">tate. A significant proportion of apprenticeships and traineeships entail attainment of a mid-level qualification and are crucial to many key industries. Apprenticeships and traineeships are undertaken as a contract between the apprentice/trainee and an employer. While undertaking on-the-job learning, the apprentice/trainee receives </w:t>
      </w:r>
      <w:r w:rsidR="0013272D" w:rsidRPr="00BE366B">
        <w:rPr>
          <w:rFonts w:cs="Arial"/>
        </w:rPr>
        <w:t>complementary</w:t>
      </w:r>
      <w:r w:rsidRPr="00BE366B">
        <w:rPr>
          <w:rFonts w:cs="Arial"/>
        </w:rPr>
        <w:t xml:space="preserve"> training through a </w:t>
      </w:r>
      <w:r w:rsidR="00221A72" w:rsidRPr="00BE366B">
        <w:rPr>
          <w:rFonts w:cs="Arial"/>
          <w:color w:val="000000"/>
        </w:rPr>
        <w:t>v</w:t>
      </w:r>
      <w:r w:rsidR="0055106F" w:rsidRPr="00BE366B">
        <w:rPr>
          <w:rFonts w:cs="Arial"/>
          <w:color w:val="000000"/>
        </w:rPr>
        <w:t xml:space="preserve">ocational </w:t>
      </w:r>
      <w:r w:rsidR="00221A72" w:rsidRPr="00BE366B">
        <w:rPr>
          <w:rFonts w:cs="Arial"/>
          <w:color w:val="000000"/>
        </w:rPr>
        <w:t>t</w:t>
      </w:r>
      <w:r w:rsidR="0055106F" w:rsidRPr="00BE366B">
        <w:rPr>
          <w:rFonts w:cs="Arial"/>
          <w:color w:val="000000"/>
        </w:rPr>
        <w:t>raining</w:t>
      </w:r>
      <w:r w:rsidRPr="00BE366B">
        <w:rPr>
          <w:rFonts w:cs="Arial"/>
        </w:rPr>
        <w:t xml:space="preserve"> provider.</w:t>
      </w:r>
    </w:p>
    <w:p w:rsidR="003524C7" w:rsidRPr="00BE366B" w:rsidRDefault="003524C7" w:rsidP="00351166">
      <w:pPr>
        <w:rPr>
          <w:rFonts w:cs="Arial"/>
        </w:rPr>
      </w:pPr>
      <w:r>
        <w:rPr>
          <w:rFonts w:cs="Arial"/>
        </w:rPr>
        <w:t>For the purposes of this report Foundation include</w:t>
      </w:r>
      <w:r w:rsidR="00B8104D">
        <w:rPr>
          <w:rFonts w:cs="Arial"/>
        </w:rPr>
        <w:t xml:space="preserve"> Foundation skills, workplace preparation, education pathways and low level language other than English courses.</w:t>
      </w:r>
    </w:p>
    <w:p w:rsidR="00351166" w:rsidRPr="001F29E3" w:rsidRDefault="00351166" w:rsidP="00351166">
      <w:pPr>
        <w:rPr>
          <w:rFonts w:cs="Arial"/>
        </w:rPr>
      </w:pPr>
    </w:p>
    <w:p w:rsidR="00351166" w:rsidRDefault="00351166" w:rsidP="00A9260A">
      <w:pPr>
        <w:pStyle w:val="Heading3"/>
      </w:pPr>
      <w:r w:rsidRPr="001F29E3">
        <w:t>Government Subsidised Enrolments</w:t>
      </w:r>
    </w:p>
    <w:p w:rsidR="006C51CF" w:rsidRPr="001F29E3" w:rsidRDefault="006C51CF" w:rsidP="006C51CF">
      <w:pPr>
        <w:rPr>
          <w:rFonts w:cs="Arial"/>
        </w:rPr>
      </w:pPr>
    </w:p>
    <w:tbl>
      <w:tblPr>
        <w:tblStyle w:val="TableGrid"/>
        <w:tblW w:w="9288"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288"/>
      </w:tblGrid>
      <w:tr w:rsidR="006C51CF" w:rsidRPr="001F29E3" w:rsidTr="00B205FB">
        <w:tc>
          <w:tcPr>
            <w:tcW w:w="9288" w:type="dxa"/>
          </w:tcPr>
          <w:p w:rsidR="006C51CF" w:rsidRPr="002D4D82" w:rsidRDefault="006C51CF" w:rsidP="006C51CF">
            <w:pPr>
              <w:pStyle w:val="Heading3"/>
              <w:outlineLvl w:val="2"/>
            </w:pPr>
            <w:r w:rsidRPr="002D4D82">
              <w:t>Key Points</w:t>
            </w:r>
          </w:p>
          <w:p w:rsidR="007D276C" w:rsidRPr="002D4D82" w:rsidRDefault="007D276C" w:rsidP="007D276C"/>
          <w:p w:rsidR="006C51CF" w:rsidRPr="00EA67BE" w:rsidRDefault="006C51CF" w:rsidP="00DA268F">
            <w:pPr>
              <w:pStyle w:val="ListBullet"/>
              <w:numPr>
                <w:ilvl w:val="0"/>
                <w:numId w:val="31"/>
              </w:numPr>
              <w:ind w:right="113"/>
              <w:jc w:val="left"/>
              <w:rPr>
                <w:rFonts w:cs="Arial"/>
              </w:rPr>
            </w:pPr>
            <w:r w:rsidRPr="00EA67BE">
              <w:rPr>
                <w:rFonts w:cs="Arial"/>
              </w:rPr>
              <w:t xml:space="preserve">Government subsidised </w:t>
            </w:r>
            <w:r w:rsidR="004F6E0C" w:rsidRPr="00EA67BE">
              <w:rPr>
                <w:rFonts w:cs="Arial"/>
              </w:rPr>
              <w:t xml:space="preserve">non-foundation course </w:t>
            </w:r>
            <w:r w:rsidRPr="00EA67BE">
              <w:rPr>
                <w:rFonts w:cs="Arial"/>
              </w:rPr>
              <w:t xml:space="preserve">enrolments at the </w:t>
            </w:r>
            <w:r w:rsidR="0052721E" w:rsidRPr="00EA67BE">
              <w:rPr>
                <w:rFonts w:cs="Arial"/>
              </w:rPr>
              <w:t>C</w:t>
            </w:r>
            <w:r w:rsidRPr="00EA67BE">
              <w:rPr>
                <w:rFonts w:cs="Arial"/>
              </w:rPr>
              <w:t xml:space="preserve">ertificate I to II levels were </w:t>
            </w:r>
            <w:r w:rsidR="00EA67BE">
              <w:rPr>
                <w:rFonts w:cs="Arial"/>
              </w:rPr>
              <w:t>43,700</w:t>
            </w:r>
            <w:r w:rsidRPr="00EA67BE">
              <w:rPr>
                <w:rFonts w:cs="Arial"/>
              </w:rPr>
              <w:t xml:space="preserve"> </w:t>
            </w:r>
            <w:r w:rsidR="004F6E0C" w:rsidRPr="00EA67BE">
              <w:rPr>
                <w:rFonts w:cs="Arial"/>
              </w:rPr>
              <w:t>and at the</w:t>
            </w:r>
            <w:r w:rsidR="003F3CF1" w:rsidRPr="00EA67BE">
              <w:rPr>
                <w:rFonts w:cs="Arial"/>
              </w:rPr>
              <w:t xml:space="preserve"> Certificate III-IV </w:t>
            </w:r>
            <w:r w:rsidR="004F6E0C" w:rsidRPr="00EA67BE">
              <w:rPr>
                <w:rFonts w:cs="Arial"/>
              </w:rPr>
              <w:t xml:space="preserve">levels </w:t>
            </w:r>
            <w:r w:rsidR="003F3CF1" w:rsidRPr="00EA67BE">
              <w:rPr>
                <w:rFonts w:cs="Arial"/>
              </w:rPr>
              <w:t>w</w:t>
            </w:r>
            <w:r w:rsidR="004B2831" w:rsidRPr="00EA67BE">
              <w:rPr>
                <w:rFonts w:cs="Arial"/>
              </w:rPr>
              <w:t>ere</w:t>
            </w:r>
            <w:r w:rsidR="003F3CF1" w:rsidRPr="00EA67BE">
              <w:rPr>
                <w:rFonts w:cs="Arial"/>
              </w:rPr>
              <w:t xml:space="preserve"> </w:t>
            </w:r>
            <w:r w:rsidR="00EA67BE">
              <w:rPr>
                <w:rFonts w:cs="Arial"/>
              </w:rPr>
              <w:t>336,100</w:t>
            </w:r>
            <w:r w:rsidR="003F3CF1" w:rsidRPr="00EA67BE">
              <w:rPr>
                <w:rFonts w:cs="Arial"/>
              </w:rPr>
              <w:t xml:space="preserve"> in 2013.</w:t>
            </w:r>
            <w:r w:rsidRPr="00EA67BE">
              <w:rPr>
                <w:rFonts w:cs="Arial"/>
              </w:rPr>
              <w:t xml:space="preserve"> </w:t>
            </w:r>
          </w:p>
          <w:p w:rsidR="003F3CF1" w:rsidRPr="00EA67BE" w:rsidRDefault="00184951" w:rsidP="00DA268F">
            <w:pPr>
              <w:pStyle w:val="ListBullet"/>
              <w:numPr>
                <w:ilvl w:val="0"/>
                <w:numId w:val="31"/>
              </w:numPr>
              <w:ind w:right="113"/>
              <w:jc w:val="left"/>
              <w:rPr>
                <w:rFonts w:cs="Arial"/>
              </w:rPr>
            </w:pPr>
            <w:r w:rsidRPr="00EA67BE">
              <w:rPr>
                <w:rFonts w:cs="Arial"/>
              </w:rPr>
              <w:t>Of the non-f</w:t>
            </w:r>
            <w:r w:rsidR="004F6E0C" w:rsidRPr="00EA67BE">
              <w:rPr>
                <w:rFonts w:cs="Arial"/>
              </w:rPr>
              <w:t xml:space="preserve">oundation courses of study, enrolments in </w:t>
            </w:r>
            <w:r w:rsidR="002D4D82" w:rsidRPr="00EA67BE">
              <w:rPr>
                <w:rFonts w:cs="Arial"/>
              </w:rPr>
              <w:t>Certificate III-IV represented the largest qualification group.</w:t>
            </w:r>
          </w:p>
          <w:p w:rsidR="006C51CF" w:rsidRPr="002D4D82" w:rsidRDefault="002D4D82" w:rsidP="00DA268F">
            <w:pPr>
              <w:pStyle w:val="ListBullet"/>
              <w:numPr>
                <w:ilvl w:val="0"/>
                <w:numId w:val="31"/>
              </w:numPr>
              <w:ind w:right="113"/>
              <w:jc w:val="left"/>
              <w:rPr>
                <w:rFonts w:cs="Arial"/>
              </w:rPr>
            </w:pPr>
            <w:r w:rsidRPr="00EA67BE">
              <w:rPr>
                <w:rFonts w:cs="Arial"/>
              </w:rPr>
              <w:t xml:space="preserve">Government subsidised </w:t>
            </w:r>
            <w:r w:rsidR="004F6E0C" w:rsidRPr="00EA67BE">
              <w:rPr>
                <w:rFonts w:cs="Arial"/>
              </w:rPr>
              <w:t xml:space="preserve">Foundation course </w:t>
            </w:r>
            <w:r w:rsidRPr="00EA67BE">
              <w:rPr>
                <w:rFonts w:cs="Arial"/>
              </w:rPr>
              <w:t>enrolment</w:t>
            </w:r>
            <w:r w:rsidR="004F6E0C" w:rsidRPr="00EA67BE">
              <w:rPr>
                <w:rFonts w:cs="Arial"/>
              </w:rPr>
              <w:t>s</w:t>
            </w:r>
            <w:r w:rsidRPr="00EA67BE">
              <w:rPr>
                <w:rFonts w:cs="Arial"/>
              </w:rPr>
              <w:t xml:space="preserve"> at the Certificate I to II level were </w:t>
            </w:r>
            <w:r w:rsidR="00EA67BE">
              <w:rPr>
                <w:rFonts w:cs="Arial"/>
              </w:rPr>
              <w:t>124,000</w:t>
            </w:r>
            <w:r w:rsidR="00DD2751" w:rsidRPr="00EA67BE">
              <w:rPr>
                <w:rFonts w:cs="Arial"/>
              </w:rPr>
              <w:t xml:space="preserve"> </w:t>
            </w:r>
            <w:r w:rsidR="004F6E0C" w:rsidRPr="00EA67BE">
              <w:rPr>
                <w:rFonts w:cs="Arial"/>
              </w:rPr>
              <w:t xml:space="preserve">and at the </w:t>
            </w:r>
            <w:r w:rsidRPr="00EA67BE">
              <w:rPr>
                <w:rFonts w:cs="Arial"/>
              </w:rPr>
              <w:t>Certificate III-IV</w:t>
            </w:r>
            <w:r w:rsidR="004F6E0C" w:rsidRPr="00EA67BE">
              <w:rPr>
                <w:rFonts w:cs="Arial"/>
              </w:rPr>
              <w:t xml:space="preserve"> levels</w:t>
            </w:r>
            <w:r w:rsidRPr="00EA67BE">
              <w:rPr>
                <w:rFonts w:cs="Arial"/>
              </w:rPr>
              <w:t xml:space="preserve"> w</w:t>
            </w:r>
            <w:r w:rsidR="004B2831" w:rsidRPr="00EA67BE">
              <w:rPr>
                <w:rFonts w:cs="Arial"/>
              </w:rPr>
              <w:t>ere</w:t>
            </w:r>
            <w:r w:rsidRPr="00EA67BE">
              <w:rPr>
                <w:rFonts w:cs="Arial"/>
              </w:rPr>
              <w:t xml:space="preserve"> </w:t>
            </w:r>
            <w:r w:rsidR="00EA67BE">
              <w:rPr>
                <w:rFonts w:cs="Arial"/>
              </w:rPr>
              <w:t>20,100</w:t>
            </w:r>
            <w:r w:rsidRPr="00EA67BE">
              <w:rPr>
                <w:rFonts w:cs="Arial"/>
              </w:rPr>
              <w:t xml:space="preserve"> in 2013.</w:t>
            </w:r>
          </w:p>
        </w:tc>
      </w:tr>
    </w:tbl>
    <w:p w:rsidR="006C51CF" w:rsidRDefault="006C51CF" w:rsidP="006C51CF">
      <w:pPr>
        <w:rPr>
          <w:rFonts w:cs="Arial"/>
        </w:rPr>
      </w:pPr>
    </w:p>
    <w:p w:rsidR="00351166" w:rsidRPr="0007140F" w:rsidRDefault="00351166" w:rsidP="00B97320">
      <w:pPr>
        <w:pStyle w:val="Caption"/>
        <w:spacing w:after="0"/>
        <w:jc w:val="left"/>
        <w:rPr>
          <w:rFonts w:cs="Arial"/>
          <w:color w:val="365F91" w:themeColor="accent1" w:themeShade="BF"/>
        </w:rPr>
      </w:pPr>
      <w:r w:rsidRPr="0007140F">
        <w:rPr>
          <w:rFonts w:cs="Arial"/>
          <w:color w:val="365F91" w:themeColor="accent1" w:themeShade="BF"/>
        </w:rPr>
        <w:t>Table 1.</w:t>
      </w:r>
      <w:r w:rsidR="00F0734E" w:rsidRPr="0007140F">
        <w:rPr>
          <w:rFonts w:cs="Arial"/>
          <w:color w:val="365F91" w:themeColor="accent1" w:themeShade="BF"/>
        </w:rPr>
        <w:t>4</w:t>
      </w:r>
      <w:r w:rsidR="006F5E43" w:rsidRPr="0007140F">
        <w:rPr>
          <w:rFonts w:cs="Arial"/>
          <w:color w:val="365F91" w:themeColor="accent1" w:themeShade="BF"/>
        </w:rPr>
        <w:t>.1</w:t>
      </w:r>
      <w:r w:rsidRPr="0007140F">
        <w:rPr>
          <w:rFonts w:cs="Arial"/>
          <w:color w:val="365F91" w:themeColor="accent1" w:themeShade="BF"/>
        </w:rPr>
        <w:t xml:space="preserve">: </w:t>
      </w:r>
      <w:r w:rsidR="005B235C" w:rsidRPr="0007140F">
        <w:rPr>
          <w:rFonts w:cs="Arial"/>
          <w:color w:val="365F91" w:themeColor="accent1" w:themeShade="BF"/>
        </w:rPr>
        <w:t>G</w:t>
      </w:r>
      <w:r w:rsidRPr="0007140F">
        <w:rPr>
          <w:rFonts w:cs="Arial"/>
          <w:color w:val="365F91" w:themeColor="accent1" w:themeShade="BF"/>
        </w:rPr>
        <w:t xml:space="preserve">overnment subsidised enrolments </w:t>
      </w:r>
      <w:r w:rsidR="008121D1" w:rsidRPr="0007140F">
        <w:rPr>
          <w:rFonts w:cs="Arial"/>
          <w:color w:val="365F91" w:themeColor="accent1" w:themeShade="BF"/>
        </w:rPr>
        <w:t>(</w:t>
      </w:r>
      <w:r w:rsidR="00157503">
        <w:rPr>
          <w:rFonts w:cs="Arial"/>
          <w:color w:val="365F91" w:themeColor="accent1" w:themeShade="BF"/>
        </w:rPr>
        <w:t xml:space="preserve">excluding </w:t>
      </w:r>
      <w:r w:rsidR="00C87407">
        <w:rPr>
          <w:rFonts w:cs="Arial"/>
          <w:color w:val="365F91" w:themeColor="accent1" w:themeShade="BF"/>
        </w:rPr>
        <w:t>Foundation, w</w:t>
      </w:r>
      <w:r w:rsidR="00157503" w:rsidRPr="00157503">
        <w:rPr>
          <w:rFonts w:cs="Arial"/>
          <w:color w:val="365F91" w:themeColor="accent1" w:themeShade="BF"/>
        </w:rPr>
        <w:t>orkplace preparation, education pathways and LOTE</w:t>
      </w:r>
      <w:r w:rsidR="008121D1" w:rsidRPr="0007140F">
        <w:rPr>
          <w:rFonts w:cs="Arial"/>
          <w:color w:val="365F91" w:themeColor="accent1" w:themeShade="BF"/>
        </w:rPr>
        <w:t xml:space="preserve">) </w:t>
      </w:r>
      <w:r w:rsidRPr="0007140F">
        <w:rPr>
          <w:rFonts w:cs="Arial"/>
          <w:color w:val="365F91" w:themeColor="accent1" w:themeShade="BF"/>
        </w:rPr>
        <w:t>by qualification level, 2008–201</w:t>
      </w:r>
      <w:r w:rsidR="004C3990">
        <w:rPr>
          <w:rFonts w:cs="Arial"/>
          <w:color w:val="365F91" w:themeColor="accent1" w:themeShade="BF"/>
        </w:rPr>
        <w:t>3</w:t>
      </w:r>
    </w:p>
    <w:tbl>
      <w:tblPr>
        <w:tblW w:w="952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800"/>
        <w:gridCol w:w="1120"/>
        <w:gridCol w:w="1120"/>
        <w:gridCol w:w="1120"/>
        <w:gridCol w:w="1120"/>
        <w:gridCol w:w="1120"/>
        <w:gridCol w:w="1120"/>
      </w:tblGrid>
      <w:tr w:rsidR="0007140F" w:rsidRPr="0007140F" w:rsidTr="00800F14">
        <w:trPr>
          <w:trHeight w:val="762"/>
        </w:trPr>
        <w:tc>
          <w:tcPr>
            <w:tcW w:w="2800" w:type="dxa"/>
            <w:shd w:val="clear" w:color="000000" w:fill="366092"/>
            <w:noWrap/>
            <w:vAlign w:val="center"/>
            <w:hideMark/>
          </w:tcPr>
          <w:p w:rsidR="0007140F" w:rsidRPr="0007140F" w:rsidRDefault="0007140F" w:rsidP="0007140F">
            <w:pPr>
              <w:spacing w:after="0" w:line="240" w:lineRule="auto"/>
              <w:jc w:val="left"/>
              <w:rPr>
                <w:rFonts w:cs="Arial"/>
                <w:b/>
                <w:bCs/>
                <w:color w:val="FFFFFF"/>
                <w:sz w:val="18"/>
                <w:szCs w:val="18"/>
                <w:lang w:eastAsia="en-AU"/>
              </w:rPr>
            </w:pPr>
            <w:r w:rsidRPr="0007140F">
              <w:rPr>
                <w:rFonts w:cs="Arial"/>
                <w:b/>
                <w:bCs/>
                <w:color w:val="FFFFFF"/>
                <w:sz w:val="18"/>
                <w:szCs w:val="18"/>
                <w:lang w:eastAsia="en-AU"/>
              </w:rPr>
              <w:t>Qualification level</w:t>
            </w:r>
          </w:p>
        </w:tc>
        <w:tc>
          <w:tcPr>
            <w:tcW w:w="1120" w:type="dxa"/>
            <w:shd w:val="clear" w:color="000000" w:fill="366092"/>
            <w:vAlign w:val="center"/>
            <w:hideMark/>
          </w:tcPr>
          <w:p w:rsidR="0007140F" w:rsidRPr="0007140F" w:rsidRDefault="0007140F" w:rsidP="0007140F">
            <w:pPr>
              <w:spacing w:after="0" w:line="240" w:lineRule="auto"/>
              <w:ind w:firstLineChars="100" w:firstLine="181"/>
              <w:jc w:val="right"/>
              <w:rPr>
                <w:rFonts w:cs="Arial"/>
                <w:b/>
                <w:bCs/>
                <w:color w:val="FFFFFF"/>
                <w:sz w:val="18"/>
                <w:szCs w:val="18"/>
                <w:lang w:eastAsia="en-AU"/>
              </w:rPr>
            </w:pPr>
            <w:r w:rsidRPr="0007140F">
              <w:rPr>
                <w:rFonts w:cs="Arial"/>
                <w:b/>
                <w:bCs/>
                <w:color w:val="FFFFFF"/>
                <w:sz w:val="18"/>
                <w:szCs w:val="18"/>
                <w:lang w:eastAsia="en-AU"/>
              </w:rPr>
              <w:t>2008</w:t>
            </w:r>
          </w:p>
        </w:tc>
        <w:tc>
          <w:tcPr>
            <w:tcW w:w="1120" w:type="dxa"/>
            <w:shd w:val="clear" w:color="000000" w:fill="366092"/>
            <w:vAlign w:val="center"/>
            <w:hideMark/>
          </w:tcPr>
          <w:p w:rsidR="0007140F" w:rsidRPr="0007140F" w:rsidRDefault="0007140F" w:rsidP="0007140F">
            <w:pPr>
              <w:spacing w:after="0" w:line="240" w:lineRule="auto"/>
              <w:ind w:firstLineChars="100" w:firstLine="181"/>
              <w:jc w:val="right"/>
              <w:rPr>
                <w:rFonts w:cs="Arial"/>
                <w:b/>
                <w:bCs/>
                <w:color w:val="FFFFFF"/>
                <w:sz w:val="18"/>
                <w:szCs w:val="18"/>
                <w:lang w:eastAsia="en-AU"/>
              </w:rPr>
            </w:pPr>
            <w:r w:rsidRPr="0007140F">
              <w:rPr>
                <w:rFonts w:cs="Arial"/>
                <w:b/>
                <w:bCs/>
                <w:color w:val="FFFFFF"/>
                <w:sz w:val="18"/>
                <w:szCs w:val="18"/>
                <w:lang w:eastAsia="en-AU"/>
              </w:rPr>
              <w:t>2009</w:t>
            </w:r>
          </w:p>
        </w:tc>
        <w:tc>
          <w:tcPr>
            <w:tcW w:w="1120" w:type="dxa"/>
            <w:shd w:val="clear" w:color="000000" w:fill="366092"/>
            <w:vAlign w:val="center"/>
            <w:hideMark/>
          </w:tcPr>
          <w:p w:rsidR="0007140F" w:rsidRPr="0007140F" w:rsidRDefault="0007140F" w:rsidP="0007140F">
            <w:pPr>
              <w:spacing w:after="0" w:line="240" w:lineRule="auto"/>
              <w:ind w:firstLineChars="100" w:firstLine="181"/>
              <w:jc w:val="right"/>
              <w:rPr>
                <w:rFonts w:cs="Arial"/>
                <w:b/>
                <w:bCs/>
                <w:color w:val="FFFFFF"/>
                <w:sz w:val="18"/>
                <w:szCs w:val="18"/>
                <w:lang w:eastAsia="en-AU"/>
              </w:rPr>
            </w:pPr>
            <w:r w:rsidRPr="0007140F">
              <w:rPr>
                <w:rFonts w:cs="Arial"/>
                <w:b/>
                <w:bCs/>
                <w:color w:val="FFFFFF"/>
                <w:sz w:val="18"/>
                <w:szCs w:val="18"/>
                <w:lang w:eastAsia="en-AU"/>
              </w:rPr>
              <w:t>2010</w:t>
            </w:r>
          </w:p>
        </w:tc>
        <w:tc>
          <w:tcPr>
            <w:tcW w:w="1120" w:type="dxa"/>
            <w:shd w:val="clear" w:color="000000" w:fill="366092"/>
            <w:vAlign w:val="center"/>
            <w:hideMark/>
          </w:tcPr>
          <w:p w:rsidR="0007140F" w:rsidRPr="0007140F" w:rsidRDefault="0007140F" w:rsidP="0007140F">
            <w:pPr>
              <w:spacing w:after="0" w:line="240" w:lineRule="auto"/>
              <w:ind w:firstLineChars="100" w:firstLine="181"/>
              <w:jc w:val="right"/>
              <w:rPr>
                <w:rFonts w:cs="Arial"/>
                <w:b/>
                <w:bCs/>
                <w:color w:val="FFFFFF"/>
                <w:sz w:val="18"/>
                <w:szCs w:val="18"/>
                <w:lang w:eastAsia="en-AU"/>
              </w:rPr>
            </w:pPr>
            <w:r w:rsidRPr="0007140F">
              <w:rPr>
                <w:rFonts w:cs="Arial"/>
                <w:b/>
                <w:bCs/>
                <w:color w:val="FFFFFF"/>
                <w:sz w:val="18"/>
                <w:szCs w:val="18"/>
                <w:lang w:eastAsia="en-AU"/>
              </w:rPr>
              <w:t>2011</w:t>
            </w:r>
          </w:p>
        </w:tc>
        <w:tc>
          <w:tcPr>
            <w:tcW w:w="1120" w:type="dxa"/>
            <w:shd w:val="clear" w:color="000000" w:fill="366092"/>
            <w:vAlign w:val="center"/>
            <w:hideMark/>
          </w:tcPr>
          <w:p w:rsidR="0007140F" w:rsidRPr="0007140F" w:rsidRDefault="0007140F" w:rsidP="0007140F">
            <w:pPr>
              <w:spacing w:after="0" w:line="240" w:lineRule="auto"/>
              <w:ind w:firstLineChars="100" w:firstLine="181"/>
              <w:jc w:val="right"/>
              <w:rPr>
                <w:rFonts w:cs="Arial"/>
                <w:b/>
                <w:bCs/>
                <w:color w:val="FFFFFF"/>
                <w:sz w:val="18"/>
                <w:szCs w:val="18"/>
                <w:lang w:eastAsia="en-AU"/>
              </w:rPr>
            </w:pPr>
            <w:r w:rsidRPr="0007140F">
              <w:rPr>
                <w:rFonts w:cs="Arial"/>
                <w:b/>
                <w:bCs/>
                <w:color w:val="FFFFFF"/>
                <w:sz w:val="18"/>
                <w:szCs w:val="18"/>
                <w:lang w:eastAsia="en-AU"/>
              </w:rPr>
              <w:t>2012</w:t>
            </w:r>
          </w:p>
        </w:tc>
        <w:tc>
          <w:tcPr>
            <w:tcW w:w="1120" w:type="dxa"/>
            <w:shd w:val="clear" w:color="000000" w:fill="366092"/>
            <w:vAlign w:val="center"/>
            <w:hideMark/>
          </w:tcPr>
          <w:p w:rsidR="0007140F" w:rsidRPr="0007140F" w:rsidRDefault="0007140F" w:rsidP="0007140F">
            <w:pPr>
              <w:spacing w:after="0" w:line="240" w:lineRule="auto"/>
              <w:ind w:firstLineChars="100" w:firstLine="181"/>
              <w:jc w:val="right"/>
              <w:rPr>
                <w:rFonts w:cs="Arial"/>
                <w:b/>
                <w:bCs/>
                <w:color w:val="FFFFFF"/>
                <w:sz w:val="18"/>
                <w:szCs w:val="18"/>
                <w:lang w:eastAsia="en-AU"/>
              </w:rPr>
            </w:pPr>
            <w:r w:rsidRPr="0007140F">
              <w:rPr>
                <w:rFonts w:cs="Arial"/>
                <w:b/>
                <w:bCs/>
                <w:color w:val="FFFFFF"/>
                <w:sz w:val="18"/>
                <w:szCs w:val="18"/>
                <w:lang w:eastAsia="en-AU"/>
              </w:rPr>
              <w:t>2013</w:t>
            </w:r>
          </w:p>
        </w:tc>
      </w:tr>
      <w:tr w:rsidR="0007140F" w:rsidRPr="0007140F" w:rsidTr="00800F14">
        <w:trPr>
          <w:trHeight w:val="342"/>
        </w:trPr>
        <w:tc>
          <w:tcPr>
            <w:tcW w:w="2800" w:type="dxa"/>
            <w:shd w:val="clear" w:color="000000" w:fill="FFFFFF"/>
            <w:noWrap/>
            <w:vAlign w:val="bottom"/>
            <w:hideMark/>
          </w:tcPr>
          <w:p w:rsidR="0007140F" w:rsidRPr="0007140F" w:rsidRDefault="0007140F" w:rsidP="0007140F">
            <w:pPr>
              <w:spacing w:after="0" w:line="240" w:lineRule="auto"/>
              <w:jc w:val="left"/>
              <w:rPr>
                <w:rFonts w:cs="Arial"/>
                <w:color w:val="366092"/>
                <w:sz w:val="18"/>
                <w:szCs w:val="18"/>
                <w:lang w:eastAsia="en-AU"/>
              </w:rPr>
            </w:pPr>
            <w:r w:rsidRPr="0007140F">
              <w:rPr>
                <w:rFonts w:cs="Arial"/>
                <w:color w:val="366092"/>
                <w:sz w:val="18"/>
                <w:szCs w:val="18"/>
                <w:lang w:eastAsia="en-AU"/>
              </w:rPr>
              <w:t>Cert I-II</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63,500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64,100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72,600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79,400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63,900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43,700 </w:t>
            </w:r>
          </w:p>
        </w:tc>
      </w:tr>
      <w:tr w:rsidR="0007140F" w:rsidRPr="0007140F" w:rsidTr="00800F14">
        <w:trPr>
          <w:trHeight w:val="342"/>
        </w:trPr>
        <w:tc>
          <w:tcPr>
            <w:tcW w:w="2800" w:type="dxa"/>
            <w:shd w:val="clear" w:color="000000" w:fill="FFFFFF"/>
            <w:noWrap/>
            <w:vAlign w:val="bottom"/>
            <w:hideMark/>
          </w:tcPr>
          <w:p w:rsidR="0007140F" w:rsidRPr="0007140F" w:rsidRDefault="0007140F" w:rsidP="0007140F">
            <w:pPr>
              <w:spacing w:after="0" w:line="240" w:lineRule="auto"/>
              <w:jc w:val="left"/>
              <w:rPr>
                <w:rFonts w:cs="Arial"/>
                <w:color w:val="366092"/>
                <w:sz w:val="18"/>
                <w:szCs w:val="18"/>
                <w:lang w:eastAsia="en-AU"/>
              </w:rPr>
            </w:pPr>
            <w:r w:rsidRPr="0007140F">
              <w:rPr>
                <w:rFonts w:cs="Arial"/>
                <w:color w:val="366092"/>
                <w:sz w:val="18"/>
                <w:szCs w:val="18"/>
                <w:lang w:eastAsia="en-AU"/>
              </w:rPr>
              <w:t>Cert III-IV</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157,400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157,800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193,600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277,300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347,500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336,100 </w:t>
            </w:r>
          </w:p>
        </w:tc>
      </w:tr>
      <w:tr w:rsidR="0007140F" w:rsidRPr="0007140F" w:rsidTr="00800F14">
        <w:trPr>
          <w:trHeight w:val="342"/>
        </w:trPr>
        <w:tc>
          <w:tcPr>
            <w:tcW w:w="2800" w:type="dxa"/>
            <w:shd w:val="clear" w:color="000000" w:fill="FFFFFF"/>
            <w:noWrap/>
            <w:vAlign w:val="bottom"/>
            <w:hideMark/>
          </w:tcPr>
          <w:p w:rsidR="0007140F" w:rsidRPr="0007140F" w:rsidRDefault="0007140F" w:rsidP="0007140F">
            <w:pPr>
              <w:spacing w:after="0" w:line="240" w:lineRule="auto"/>
              <w:jc w:val="left"/>
              <w:rPr>
                <w:rFonts w:cs="Arial"/>
                <w:color w:val="366092"/>
                <w:sz w:val="18"/>
                <w:szCs w:val="18"/>
                <w:lang w:eastAsia="en-AU"/>
              </w:rPr>
            </w:pPr>
            <w:r w:rsidRPr="0007140F">
              <w:rPr>
                <w:rFonts w:cs="Arial"/>
                <w:color w:val="366092"/>
                <w:sz w:val="18"/>
                <w:szCs w:val="18"/>
                <w:lang w:eastAsia="en-AU"/>
              </w:rPr>
              <w:t>Diploma &amp; Above</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55,700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63,700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71,200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90,300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94,800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68,400 </w:t>
            </w:r>
          </w:p>
        </w:tc>
      </w:tr>
      <w:tr w:rsidR="0007140F" w:rsidRPr="0007140F" w:rsidTr="00800F14">
        <w:trPr>
          <w:trHeight w:val="342"/>
        </w:trPr>
        <w:tc>
          <w:tcPr>
            <w:tcW w:w="2800" w:type="dxa"/>
            <w:shd w:val="clear" w:color="000000" w:fill="FFFFFF"/>
            <w:noWrap/>
            <w:vAlign w:val="bottom"/>
            <w:hideMark/>
          </w:tcPr>
          <w:p w:rsidR="0007140F" w:rsidRPr="0007140F" w:rsidRDefault="0007140F" w:rsidP="0007140F">
            <w:pPr>
              <w:spacing w:after="0" w:line="240" w:lineRule="auto"/>
              <w:jc w:val="left"/>
              <w:rPr>
                <w:rFonts w:cs="Arial"/>
                <w:color w:val="366092"/>
                <w:sz w:val="18"/>
                <w:szCs w:val="18"/>
                <w:lang w:eastAsia="en-AU"/>
              </w:rPr>
            </w:pPr>
            <w:r w:rsidRPr="0007140F">
              <w:rPr>
                <w:rFonts w:cs="Arial"/>
                <w:color w:val="366092"/>
                <w:sz w:val="18"/>
                <w:szCs w:val="18"/>
                <w:lang w:eastAsia="en-AU"/>
              </w:rPr>
              <w:t>Module Only</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50,200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40,700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37,300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30,300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30,600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31,100 </w:t>
            </w:r>
          </w:p>
        </w:tc>
      </w:tr>
      <w:tr w:rsidR="0007140F" w:rsidRPr="0007140F" w:rsidTr="00800F14">
        <w:trPr>
          <w:trHeight w:val="342"/>
        </w:trPr>
        <w:tc>
          <w:tcPr>
            <w:tcW w:w="2800" w:type="dxa"/>
            <w:shd w:val="clear" w:color="000000" w:fill="FFFFFF"/>
            <w:noWrap/>
            <w:vAlign w:val="bottom"/>
            <w:hideMark/>
          </w:tcPr>
          <w:p w:rsidR="0007140F" w:rsidRPr="0007140F" w:rsidRDefault="0007140F" w:rsidP="0007140F">
            <w:pPr>
              <w:spacing w:after="0" w:line="240" w:lineRule="auto"/>
              <w:jc w:val="left"/>
              <w:rPr>
                <w:rFonts w:cs="Arial"/>
                <w:color w:val="366092"/>
                <w:sz w:val="18"/>
                <w:szCs w:val="18"/>
                <w:lang w:eastAsia="en-AU"/>
              </w:rPr>
            </w:pPr>
            <w:r w:rsidRPr="0007140F">
              <w:rPr>
                <w:rFonts w:cs="Arial"/>
                <w:color w:val="366092"/>
                <w:sz w:val="18"/>
                <w:szCs w:val="18"/>
                <w:lang w:eastAsia="en-AU"/>
              </w:rPr>
              <w:t>Secondary, SoA and other</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16,100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15,000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13,700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10,600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10,000 </w:t>
            </w:r>
          </w:p>
        </w:tc>
        <w:tc>
          <w:tcPr>
            <w:tcW w:w="1120" w:type="dxa"/>
            <w:shd w:val="clear" w:color="auto" w:fill="auto"/>
            <w:noWrap/>
            <w:vAlign w:val="center"/>
            <w:hideMark/>
          </w:tcPr>
          <w:p w:rsidR="0007140F" w:rsidRPr="0007140F" w:rsidRDefault="0007140F" w:rsidP="0007140F">
            <w:pPr>
              <w:spacing w:after="0" w:line="240" w:lineRule="auto"/>
              <w:jc w:val="right"/>
              <w:rPr>
                <w:rFonts w:cs="Arial"/>
                <w:sz w:val="18"/>
                <w:szCs w:val="18"/>
                <w:lang w:eastAsia="en-AU"/>
              </w:rPr>
            </w:pPr>
            <w:r w:rsidRPr="0007140F">
              <w:rPr>
                <w:rFonts w:cs="Arial"/>
                <w:sz w:val="18"/>
                <w:szCs w:val="18"/>
                <w:lang w:eastAsia="en-AU"/>
              </w:rPr>
              <w:t xml:space="preserve">8,500 </w:t>
            </w:r>
          </w:p>
        </w:tc>
      </w:tr>
      <w:tr w:rsidR="0007140F" w:rsidRPr="0007140F" w:rsidTr="00800F14">
        <w:trPr>
          <w:trHeight w:val="342"/>
        </w:trPr>
        <w:tc>
          <w:tcPr>
            <w:tcW w:w="2800" w:type="dxa"/>
            <w:shd w:val="clear" w:color="000000" w:fill="366092"/>
            <w:noWrap/>
            <w:vAlign w:val="bottom"/>
            <w:hideMark/>
          </w:tcPr>
          <w:p w:rsidR="0007140F" w:rsidRPr="0007140F" w:rsidRDefault="0007140F" w:rsidP="00157503">
            <w:pPr>
              <w:spacing w:after="0" w:line="240" w:lineRule="auto"/>
              <w:jc w:val="left"/>
              <w:rPr>
                <w:rFonts w:cs="Arial"/>
                <w:b/>
                <w:bCs/>
                <w:color w:val="FFFFFF"/>
                <w:sz w:val="18"/>
                <w:szCs w:val="18"/>
                <w:lang w:eastAsia="en-AU"/>
              </w:rPr>
            </w:pPr>
            <w:r w:rsidRPr="0007140F">
              <w:rPr>
                <w:rFonts w:cs="Arial"/>
                <w:b/>
                <w:bCs/>
                <w:color w:val="FFFFFF"/>
                <w:sz w:val="18"/>
                <w:szCs w:val="18"/>
                <w:lang w:eastAsia="en-AU"/>
              </w:rPr>
              <w:t xml:space="preserve">Total </w:t>
            </w:r>
          </w:p>
        </w:tc>
        <w:tc>
          <w:tcPr>
            <w:tcW w:w="1120" w:type="dxa"/>
            <w:shd w:val="clear" w:color="000000" w:fill="366092"/>
            <w:noWrap/>
            <w:vAlign w:val="center"/>
            <w:hideMark/>
          </w:tcPr>
          <w:p w:rsidR="0007140F" w:rsidRPr="0007140F" w:rsidRDefault="0007140F" w:rsidP="0007140F">
            <w:pPr>
              <w:spacing w:after="0" w:line="240" w:lineRule="auto"/>
              <w:jc w:val="right"/>
              <w:rPr>
                <w:rFonts w:cs="Arial"/>
                <w:b/>
                <w:bCs/>
                <w:color w:val="FFFFFF"/>
                <w:sz w:val="18"/>
                <w:szCs w:val="18"/>
                <w:lang w:eastAsia="en-AU"/>
              </w:rPr>
            </w:pPr>
            <w:r w:rsidRPr="0007140F">
              <w:rPr>
                <w:rFonts w:cs="Arial"/>
                <w:b/>
                <w:bCs/>
                <w:color w:val="FFFFFF"/>
                <w:sz w:val="18"/>
                <w:szCs w:val="18"/>
                <w:lang w:eastAsia="en-AU"/>
              </w:rPr>
              <w:t xml:space="preserve">342,500 </w:t>
            </w:r>
          </w:p>
        </w:tc>
        <w:tc>
          <w:tcPr>
            <w:tcW w:w="1120" w:type="dxa"/>
            <w:shd w:val="clear" w:color="000000" w:fill="366092"/>
            <w:noWrap/>
            <w:vAlign w:val="center"/>
            <w:hideMark/>
          </w:tcPr>
          <w:p w:rsidR="0007140F" w:rsidRPr="0007140F" w:rsidRDefault="0007140F" w:rsidP="0007140F">
            <w:pPr>
              <w:spacing w:after="0" w:line="240" w:lineRule="auto"/>
              <w:jc w:val="right"/>
              <w:rPr>
                <w:rFonts w:cs="Arial"/>
                <w:b/>
                <w:bCs/>
                <w:color w:val="FFFFFF"/>
                <w:sz w:val="18"/>
                <w:szCs w:val="18"/>
                <w:lang w:eastAsia="en-AU"/>
              </w:rPr>
            </w:pPr>
            <w:r w:rsidRPr="0007140F">
              <w:rPr>
                <w:rFonts w:cs="Arial"/>
                <w:b/>
                <w:bCs/>
                <w:color w:val="FFFFFF"/>
                <w:sz w:val="18"/>
                <w:szCs w:val="18"/>
                <w:lang w:eastAsia="en-AU"/>
              </w:rPr>
              <w:t xml:space="preserve">340,900 </w:t>
            </w:r>
          </w:p>
        </w:tc>
        <w:tc>
          <w:tcPr>
            <w:tcW w:w="1120" w:type="dxa"/>
            <w:shd w:val="clear" w:color="000000" w:fill="366092"/>
            <w:noWrap/>
            <w:vAlign w:val="center"/>
            <w:hideMark/>
          </w:tcPr>
          <w:p w:rsidR="0007140F" w:rsidRPr="0007140F" w:rsidRDefault="0007140F" w:rsidP="0007140F">
            <w:pPr>
              <w:spacing w:after="0" w:line="240" w:lineRule="auto"/>
              <w:jc w:val="right"/>
              <w:rPr>
                <w:rFonts w:cs="Arial"/>
                <w:b/>
                <w:bCs/>
                <w:color w:val="FFFFFF"/>
                <w:sz w:val="18"/>
                <w:szCs w:val="18"/>
                <w:lang w:eastAsia="en-AU"/>
              </w:rPr>
            </w:pPr>
            <w:r w:rsidRPr="0007140F">
              <w:rPr>
                <w:rFonts w:cs="Arial"/>
                <w:b/>
                <w:bCs/>
                <w:color w:val="FFFFFF"/>
                <w:sz w:val="18"/>
                <w:szCs w:val="18"/>
                <w:lang w:eastAsia="en-AU"/>
              </w:rPr>
              <w:t xml:space="preserve">388,000 </w:t>
            </w:r>
          </w:p>
        </w:tc>
        <w:tc>
          <w:tcPr>
            <w:tcW w:w="1120" w:type="dxa"/>
            <w:shd w:val="clear" w:color="000000" w:fill="366092"/>
            <w:noWrap/>
            <w:vAlign w:val="center"/>
            <w:hideMark/>
          </w:tcPr>
          <w:p w:rsidR="0007140F" w:rsidRPr="0007140F" w:rsidRDefault="0007140F" w:rsidP="0007140F">
            <w:pPr>
              <w:spacing w:after="0" w:line="240" w:lineRule="auto"/>
              <w:jc w:val="right"/>
              <w:rPr>
                <w:rFonts w:cs="Arial"/>
                <w:b/>
                <w:bCs/>
                <w:color w:val="FFFFFF"/>
                <w:sz w:val="18"/>
                <w:szCs w:val="18"/>
                <w:lang w:eastAsia="en-AU"/>
              </w:rPr>
            </w:pPr>
            <w:r w:rsidRPr="0007140F">
              <w:rPr>
                <w:rFonts w:cs="Arial"/>
                <w:b/>
                <w:bCs/>
                <w:color w:val="FFFFFF"/>
                <w:sz w:val="18"/>
                <w:szCs w:val="18"/>
                <w:lang w:eastAsia="en-AU"/>
              </w:rPr>
              <w:t xml:space="preserve">487,700 </w:t>
            </w:r>
          </w:p>
        </w:tc>
        <w:tc>
          <w:tcPr>
            <w:tcW w:w="1120" w:type="dxa"/>
            <w:shd w:val="clear" w:color="000000" w:fill="366092"/>
            <w:noWrap/>
            <w:vAlign w:val="center"/>
            <w:hideMark/>
          </w:tcPr>
          <w:p w:rsidR="0007140F" w:rsidRPr="0007140F" w:rsidRDefault="0007140F" w:rsidP="0007140F">
            <w:pPr>
              <w:spacing w:after="0" w:line="240" w:lineRule="auto"/>
              <w:jc w:val="right"/>
              <w:rPr>
                <w:rFonts w:cs="Arial"/>
                <w:b/>
                <w:bCs/>
                <w:color w:val="FFFFFF"/>
                <w:sz w:val="18"/>
                <w:szCs w:val="18"/>
                <w:lang w:eastAsia="en-AU"/>
              </w:rPr>
            </w:pPr>
            <w:r w:rsidRPr="0007140F">
              <w:rPr>
                <w:rFonts w:cs="Arial"/>
                <w:b/>
                <w:bCs/>
                <w:color w:val="FFFFFF"/>
                <w:sz w:val="18"/>
                <w:szCs w:val="18"/>
                <w:lang w:eastAsia="en-AU"/>
              </w:rPr>
              <w:t xml:space="preserve">546,600 </w:t>
            </w:r>
          </w:p>
        </w:tc>
        <w:tc>
          <w:tcPr>
            <w:tcW w:w="1120" w:type="dxa"/>
            <w:shd w:val="clear" w:color="000000" w:fill="366092"/>
            <w:noWrap/>
            <w:vAlign w:val="center"/>
            <w:hideMark/>
          </w:tcPr>
          <w:p w:rsidR="0007140F" w:rsidRPr="0007140F" w:rsidRDefault="0007140F" w:rsidP="0007140F">
            <w:pPr>
              <w:spacing w:after="0" w:line="240" w:lineRule="auto"/>
              <w:jc w:val="right"/>
              <w:rPr>
                <w:rFonts w:cs="Arial"/>
                <w:b/>
                <w:bCs/>
                <w:color w:val="FFFFFF"/>
                <w:sz w:val="18"/>
                <w:szCs w:val="18"/>
                <w:lang w:eastAsia="en-AU"/>
              </w:rPr>
            </w:pPr>
            <w:r w:rsidRPr="0007140F">
              <w:rPr>
                <w:rFonts w:cs="Arial"/>
                <w:b/>
                <w:bCs/>
                <w:color w:val="FFFFFF"/>
                <w:sz w:val="18"/>
                <w:szCs w:val="18"/>
                <w:lang w:eastAsia="en-AU"/>
              </w:rPr>
              <w:t xml:space="preserve">487,800 </w:t>
            </w:r>
          </w:p>
        </w:tc>
      </w:tr>
    </w:tbl>
    <w:p w:rsidR="00185BFA" w:rsidRPr="001F29E3" w:rsidRDefault="00185BFA" w:rsidP="00C53713">
      <w:pPr>
        <w:rPr>
          <w:rFonts w:cs="Arial"/>
          <w:sz w:val="16"/>
          <w:szCs w:val="16"/>
        </w:rPr>
      </w:pPr>
      <w:r w:rsidRPr="001F29E3">
        <w:rPr>
          <w:rFonts w:cs="Arial"/>
          <w:sz w:val="16"/>
          <w:szCs w:val="16"/>
        </w:rPr>
        <w:t>SoA – Statement of Attainment</w:t>
      </w:r>
      <w:r>
        <w:rPr>
          <w:rFonts w:cs="Arial"/>
          <w:sz w:val="16"/>
          <w:szCs w:val="16"/>
        </w:rPr>
        <w:t>.</w:t>
      </w:r>
    </w:p>
    <w:p w:rsidR="00157503" w:rsidRDefault="00157503" w:rsidP="001C1759">
      <w:pPr>
        <w:pStyle w:val="Caption"/>
        <w:spacing w:after="0"/>
      </w:pPr>
    </w:p>
    <w:p w:rsidR="006F5E43" w:rsidRDefault="006F5E43" w:rsidP="001C1759">
      <w:pPr>
        <w:pStyle w:val="Caption"/>
        <w:spacing w:after="0"/>
        <w:rPr>
          <w:color w:val="365F91" w:themeColor="accent1" w:themeShade="BF"/>
        </w:rPr>
      </w:pPr>
      <w:r w:rsidRPr="00157503">
        <w:rPr>
          <w:color w:val="365F91" w:themeColor="accent1" w:themeShade="BF"/>
        </w:rPr>
        <w:t>Table 1.</w:t>
      </w:r>
      <w:r w:rsidR="00F0734E" w:rsidRPr="00157503">
        <w:rPr>
          <w:color w:val="365F91" w:themeColor="accent1" w:themeShade="BF"/>
        </w:rPr>
        <w:t>4</w:t>
      </w:r>
      <w:r w:rsidRPr="00157503">
        <w:rPr>
          <w:color w:val="365F91" w:themeColor="accent1" w:themeShade="BF"/>
        </w:rPr>
        <w:t xml:space="preserve">.2: </w:t>
      </w:r>
      <w:r w:rsidR="00157503">
        <w:rPr>
          <w:color w:val="365F91" w:themeColor="accent1" w:themeShade="BF"/>
        </w:rPr>
        <w:t xml:space="preserve">Change in </w:t>
      </w:r>
      <w:r w:rsidRPr="00157503">
        <w:rPr>
          <w:color w:val="365F91" w:themeColor="accent1" w:themeShade="BF"/>
        </w:rPr>
        <w:t xml:space="preserve">Government subsidised enrolments </w:t>
      </w:r>
      <w:r w:rsidR="00D20582" w:rsidRPr="00157503">
        <w:rPr>
          <w:color w:val="365F91" w:themeColor="accent1" w:themeShade="BF"/>
        </w:rPr>
        <w:t>(</w:t>
      </w:r>
      <w:r w:rsidR="00C87407">
        <w:rPr>
          <w:color w:val="365F91" w:themeColor="accent1" w:themeShade="BF"/>
        </w:rPr>
        <w:t>excluding Foundation, w</w:t>
      </w:r>
      <w:r w:rsidR="00157503" w:rsidRPr="00157503">
        <w:rPr>
          <w:color w:val="365F91" w:themeColor="accent1" w:themeShade="BF"/>
        </w:rPr>
        <w:t>orkplace preparation, education pathways and LOTE</w:t>
      </w:r>
      <w:r w:rsidR="00D20582" w:rsidRPr="00157503">
        <w:rPr>
          <w:color w:val="365F91" w:themeColor="accent1" w:themeShade="BF"/>
        </w:rPr>
        <w:t xml:space="preserve">) </w:t>
      </w:r>
      <w:r w:rsidRPr="00157503">
        <w:rPr>
          <w:color w:val="365F91" w:themeColor="accent1" w:themeShade="BF"/>
        </w:rPr>
        <w:t>by qualification leve</w:t>
      </w:r>
      <w:r w:rsidR="00157503" w:rsidRPr="00157503">
        <w:rPr>
          <w:color w:val="365F91" w:themeColor="accent1" w:themeShade="BF"/>
        </w:rPr>
        <w:t>l</w:t>
      </w:r>
    </w:p>
    <w:tbl>
      <w:tblPr>
        <w:tblW w:w="8652" w:type="dxa"/>
        <w:tblInd w:w="103" w:type="dxa"/>
        <w:tblLayout w:type="fixed"/>
        <w:tblLook w:val="04A0" w:firstRow="1" w:lastRow="0" w:firstColumn="1" w:lastColumn="0" w:noHBand="0" w:noVBand="1"/>
      </w:tblPr>
      <w:tblGrid>
        <w:gridCol w:w="2800"/>
        <w:gridCol w:w="1170"/>
        <w:gridCol w:w="1170"/>
        <w:gridCol w:w="1171"/>
        <w:gridCol w:w="1170"/>
        <w:gridCol w:w="1171"/>
      </w:tblGrid>
      <w:tr w:rsidR="004A6D0D" w:rsidRPr="004A6D0D" w:rsidTr="00F42BFD">
        <w:trPr>
          <w:trHeight w:val="762"/>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A6D0D" w:rsidRPr="004A6D0D" w:rsidRDefault="004A6D0D" w:rsidP="004A6D0D">
            <w:pPr>
              <w:spacing w:after="0" w:line="240" w:lineRule="auto"/>
              <w:jc w:val="left"/>
              <w:rPr>
                <w:rFonts w:cs="Arial"/>
                <w:b/>
                <w:bCs/>
                <w:color w:val="FFFFFF"/>
                <w:sz w:val="18"/>
                <w:szCs w:val="18"/>
                <w:lang w:eastAsia="en-AU"/>
              </w:rPr>
            </w:pPr>
            <w:r w:rsidRPr="004A6D0D">
              <w:rPr>
                <w:rFonts w:cs="Arial"/>
                <w:b/>
                <w:bCs/>
                <w:color w:val="FFFFFF"/>
                <w:sz w:val="18"/>
                <w:szCs w:val="18"/>
                <w:lang w:eastAsia="en-AU"/>
              </w:rPr>
              <w:t>Qualification level</w:t>
            </w:r>
          </w:p>
        </w:tc>
        <w:tc>
          <w:tcPr>
            <w:tcW w:w="1170" w:type="dxa"/>
            <w:tcBorders>
              <w:top w:val="single" w:sz="4" w:space="0" w:color="366092"/>
              <w:left w:val="nil"/>
              <w:bottom w:val="single" w:sz="4" w:space="0" w:color="366092"/>
              <w:right w:val="single" w:sz="4" w:space="0" w:color="366092"/>
            </w:tcBorders>
            <w:shd w:val="clear" w:color="000000" w:fill="366092"/>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 change</w:t>
            </w:r>
            <w:r w:rsidRPr="004A6D0D">
              <w:rPr>
                <w:rFonts w:cs="Arial"/>
                <w:b/>
                <w:bCs/>
                <w:color w:val="FFFFFF"/>
                <w:sz w:val="18"/>
                <w:szCs w:val="18"/>
                <w:lang w:eastAsia="en-AU"/>
              </w:rPr>
              <w:br/>
              <w:t>2008-2013</w:t>
            </w:r>
          </w:p>
        </w:tc>
        <w:tc>
          <w:tcPr>
            <w:tcW w:w="1170" w:type="dxa"/>
            <w:tcBorders>
              <w:top w:val="single" w:sz="4" w:space="0" w:color="366092"/>
              <w:left w:val="nil"/>
              <w:bottom w:val="single" w:sz="4" w:space="0" w:color="366092"/>
              <w:right w:val="single" w:sz="4" w:space="0" w:color="366092"/>
            </w:tcBorders>
            <w:shd w:val="clear" w:color="000000" w:fill="366092"/>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 change</w:t>
            </w:r>
            <w:r w:rsidRPr="004A6D0D">
              <w:rPr>
                <w:rFonts w:cs="Arial"/>
                <w:b/>
                <w:bCs/>
                <w:color w:val="FFFFFF"/>
                <w:sz w:val="18"/>
                <w:szCs w:val="18"/>
                <w:lang w:eastAsia="en-AU"/>
              </w:rPr>
              <w:br/>
              <w:t>2009-2013</w:t>
            </w:r>
          </w:p>
        </w:tc>
        <w:tc>
          <w:tcPr>
            <w:tcW w:w="1171" w:type="dxa"/>
            <w:tcBorders>
              <w:top w:val="single" w:sz="4" w:space="0" w:color="366092"/>
              <w:left w:val="nil"/>
              <w:bottom w:val="single" w:sz="4" w:space="0" w:color="366092"/>
              <w:right w:val="single" w:sz="4" w:space="0" w:color="366092"/>
            </w:tcBorders>
            <w:shd w:val="clear" w:color="000000" w:fill="366092"/>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 change</w:t>
            </w:r>
            <w:r w:rsidRPr="004A6D0D">
              <w:rPr>
                <w:rFonts w:cs="Arial"/>
                <w:b/>
                <w:bCs/>
                <w:color w:val="FFFFFF"/>
                <w:sz w:val="18"/>
                <w:szCs w:val="18"/>
                <w:lang w:eastAsia="en-AU"/>
              </w:rPr>
              <w:br/>
              <w:t>2010-2013</w:t>
            </w:r>
          </w:p>
        </w:tc>
        <w:tc>
          <w:tcPr>
            <w:tcW w:w="1170" w:type="dxa"/>
            <w:tcBorders>
              <w:top w:val="single" w:sz="4" w:space="0" w:color="366092"/>
              <w:left w:val="nil"/>
              <w:bottom w:val="single" w:sz="4" w:space="0" w:color="366092"/>
              <w:right w:val="single" w:sz="4" w:space="0" w:color="366092"/>
            </w:tcBorders>
            <w:shd w:val="clear" w:color="000000" w:fill="366092"/>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 change</w:t>
            </w:r>
            <w:r w:rsidRPr="004A6D0D">
              <w:rPr>
                <w:rFonts w:cs="Arial"/>
                <w:b/>
                <w:bCs/>
                <w:color w:val="FFFFFF"/>
                <w:sz w:val="18"/>
                <w:szCs w:val="18"/>
                <w:lang w:eastAsia="en-AU"/>
              </w:rPr>
              <w:br/>
              <w:t>2011-2013 </w:t>
            </w:r>
          </w:p>
        </w:tc>
        <w:tc>
          <w:tcPr>
            <w:tcW w:w="1171" w:type="dxa"/>
            <w:tcBorders>
              <w:top w:val="single" w:sz="4" w:space="0" w:color="366092"/>
              <w:left w:val="nil"/>
              <w:bottom w:val="single" w:sz="4" w:space="0" w:color="366092"/>
              <w:right w:val="single" w:sz="4" w:space="0" w:color="366092"/>
            </w:tcBorders>
            <w:shd w:val="clear" w:color="000000" w:fill="366092"/>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 change</w:t>
            </w:r>
            <w:r w:rsidRPr="004A6D0D">
              <w:rPr>
                <w:rFonts w:cs="Arial"/>
                <w:b/>
                <w:bCs/>
                <w:color w:val="FFFFFF"/>
                <w:sz w:val="18"/>
                <w:szCs w:val="18"/>
                <w:lang w:eastAsia="en-AU"/>
              </w:rPr>
              <w:br/>
              <w:t>2012-2013</w:t>
            </w:r>
          </w:p>
        </w:tc>
      </w:tr>
      <w:tr w:rsidR="004A6D0D" w:rsidRPr="004A6D0D" w:rsidTr="00F42BFD">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4A6D0D" w:rsidRPr="004A6D0D" w:rsidRDefault="004A6D0D" w:rsidP="004A6D0D">
            <w:pPr>
              <w:spacing w:after="0" w:line="240" w:lineRule="auto"/>
              <w:jc w:val="left"/>
              <w:rPr>
                <w:rFonts w:cs="Arial"/>
                <w:color w:val="366092"/>
                <w:sz w:val="18"/>
                <w:szCs w:val="18"/>
                <w:lang w:eastAsia="en-AU"/>
              </w:rPr>
            </w:pPr>
            <w:r w:rsidRPr="004A6D0D">
              <w:rPr>
                <w:rFonts w:cs="Arial"/>
                <w:color w:val="366092"/>
                <w:sz w:val="18"/>
                <w:szCs w:val="18"/>
                <w:lang w:eastAsia="en-AU"/>
              </w:rPr>
              <w:t>Cert I-II</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-31%</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-32%</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-40%</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-45%</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-32%</w:t>
            </w:r>
          </w:p>
        </w:tc>
      </w:tr>
      <w:tr w:rsidR="004A6D0D" w:rsidRPr="004A6D0D" w:rsidTr="00F42BFD">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4A6D0D" w:rsidRPr="004A6D0D" w:rsidRDefault="004A6D0D" w:rsidP="004A6D0D">
            <w:pPr>
              <w:spacing w:after="0" w:line="240" w:lineRule="auto"/>
              <w:jc w:val="left"/>
              <w:rPr>
                <w:rFonts w:cs="Arial"/>
                <w:color w:val="366092"/>
                <w:sz w:val="18"/>
                <w:szCs w:val="18"/>
                <w:lang w:eastAsia="en-AU"/>
              </w:rPr>
            </w:pPr>
            <w:r w:rsidRPr="004A6D0D">
              <w:rPr>
                <w:rFonts w:cs="Arial"/>
                <w:color w:val="366092"/>
                <w:sz w:val="18"/>
                <w:szCs w:val="18"/>
                <w:lang w:eastAsia="en-AU"/>
              </w:rPr>
              <w:t>Cert III-IV</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114%</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113%</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74%</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21%</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-3%</w:t>
            </w:r>
          </w:p>
        </w:tc>
      </w:tr>
      <w:tr w:rsidR="004A6D0D" w:rsidRPr="004A6D0D" w:rsidTr="00F42BFD">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4A6D0D" w:rsidRPr="004A6D0D" w:rsidRDefault="004A6D0D" w:rsidP="004A6D0D">
            <w:pPr>
              <w:spacing w:after="0" w:line="240" w:lineRule="auto"/>
              <w:jc w:val="left"/>
              <w:rPr>
                <w:rFonts w:cs="Arial"/>
                <w:color w:val="366092"/>
                <w:sz w:val="18"/>
                <w:szCs w:val="18"/>
                <w:lang w:eastAsia="en-AU"/>
              </w:rPr>
            </w:pPr>
            <w:r w:rsidRPr="004A6D0D">
              <w:rPr>
                <w:rFonts w:cs="Arial"/>
                <w:color w:val="366092"/>
                <w:sz w:val="18"/>
                <w:szCs w:val="18"/>
                <w:lang w:eastAsia="en-AU"/>
              </w:rPr>
              <w:t>Diploma &amp; Above</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23%</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7%</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-4%</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-24%</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-28%</w:t>
            </w:r>
          </w:p>
        </w:tc>
      </w:tr>
      <w:tr w:rsidR="004A6D0D" w:rsidRPr="004A6D0D" w:rsidTr="00F42BFD">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4A6D0D" w:rsidRPr="004A6D0D" w:rsidRDefault="004A6D0D" w:rsidP="004A6D0D">
            <w:pPr>
              <w:spacing w:after="0" w:line="240" w:lineRule="auto"/>
              <w:jc w:val="left"/>
              <w:rPr>
                <w:rFonts w:cs="Arial"/>
                <w:color w:val="366092"/>
                <w:sz w:val="18"/>
                <w:szCs w:val="18"/>
                <w:lang w:eastAsia="en-AU"/>
              </w:rPr>
            </w:pPr>
            <w:r w:rsidRPr="004A6D0D">
              <w:rPr>
                <w:rFonts w:cs="Arial"/>
                <w:color w:val="366092"/>
                <w:sz w:val="18"/>
                <w:szCs w:val="18"/>
                <w:lang w:eastAsia="en-AU"/>
              </w:rPr>
              <w:t>Module Only</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-38%</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-23%</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-16%</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3%</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2%</w:t>
            </w:r>
          </w:p>
        </w:tc>
      </w:tr>
      <w:tr w:rsidR="004A6D0D" w:rsidRPr="004A6D0D" w:rsidTr="00F42BFD">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4A6D0D" w:rsidRPr="004A6D0D" w:rsidRDefault="004A6D0D" w:rsidP="004A6D0D">
            <w:pPr>
              <w:spacing w:after="0" w:line="240" w:lineRule="auto"/>
              <w:jc w:val="left"/>
              <w:rPr>
                <w:rFonts w:cs="Arial"/>
                <w:color w:val="366092"/>
                <w:sz w:val="18"/>
                <w:szCs w:val="18"/>
                <w:lang w:eastAsia="en-AU"/>
              </w:rPr>
            </w:pPr>
            <w:r w:rsidRPr="004A6D0D">
              <w:rPr>
                <w:rFonts w:cs="Arial"/>
                <w:color w:val="366092"/>
                <w:sz w:val="18"/>
                <w:szCs w:val="18"/>
                <w:lang w:eastAsia="en-AU"/>
              </w:rPr>
              <w:t>Secondary, SoA and other</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-47%</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-43%</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-38%</w:t>
            </w:r>
          </w:p>
        </w:tc>
        <w:tc>
          <w:tcPr>
            <w:tcW w:w="1170"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-20%</w:t>
            </w:r>
          </w:p>
        </w:tc>
        <w:tc>
          <w:tcPr>
            <w:tcW w:w="1171" w:type="dxa"/>
            <w:tcBorders>
              <w:top w:val="nil"/>
              <w:left w:val="nil"/>
              <w:bottom w:val="single" w:sz="4" w:space="0" w:color="366092"/>
              <w:right w:val="single" w:sz="4" w:space="0" w:color="366092"/>
            </w:tcBorders>
            <w:shd w:val="clear" w:color="auto" w:fill="auto"/>
            <w:noWrap/>
            <w:vAlign w:val="center"/>
            <w:hideMark/>
          </w:tcPr>
          <w:p w:rsidR="004A6D0D" w:rsidRPr="004A6D0D" w:rsidRDefault="004A6D0D" w:rsidP="004A6D0D">
            <w:pPr>
              <w:spacing w:after="0" w:line="240" w:lineRule="auto"/>
              <w:jc w:val="right"/>
              <w:rPr>
                <w:rFonts w:cs="Arial"/>
                <w:sz w:val="18"/>
                <w:szCs w:val="18"/>
                <w:lang w:eastAsia="en-AU"/>
              </w:rPr>
            </w:pPr>
            <w:r w:rsidRPr="004A6D0D">
              <w:rPr>
                <w:rFonts w:cs="Arial"/>
                <w:sz w:val="18"/>
                <w:szCs w:val="18"/>
                <w:lang w:eastAsia="en-AU"/>
              </w:rPr>
              <w:t>-15%</w:t>
            </w:r>
          </w:p>
        </w:tc>
      </w:tr>
      <w:tr w:rsidR="004A6D0D" w:rsidRPr="004A6D0D" w:rsidTr="00F42BFD">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4A6D0D" w:rsidRPr="004A6D0D" w:rsidRDefault="004A6D0D" w:rsidP="004A6D0D">
            <w:pPr>
              <w:spacing w:after="0" w:line="240" w:lineRule="auto"/>
              <w:jc w:val="left"/>
              <w:rPr>
                <w:rFonts w:cs="Arial"/>
                <w:b/>
                <w:bCs/>
                <w:color w:val="FFFFFF"/>
                <w:sz w:val="18"/>
                <w:szCs w:val="18"/>
                <w:lang w:eastAsia="en-AU"/>
              </w:rPr>
            </w:pPr>
            <w:r w:rsidRPr="004A6D0D">
              <w:rPr>
                <w:rFonts w:cs="Arial"/>
                <w:b/>
                <w:bCs/>
                <w:color w:val="FFFFFF"/>
                <w:sz w:val="18"/>
                <w:szCs w:val="18"/>
                <w:lang w:eastAsia="en-AU"/>
              </w:rPr>
              <w:t>Total (excl foundation courses)</w:t>
            </w:r>
          </w:p>
        </w:tc>
        <w:tc>
          <w:tcPr>
            <w:tcW w:w="1170" w:type="dxa"/>
            <w:tcBorders>
              <w:top w:val="nil"/>
              <w:left w:val="nil"/>
              <w:bottom w:val="single" w:sz="4" w:space="0" w:color="366092"/>
              <w:right w:val="single" w:sz="4" w:space="0" w:color="366092"/>
            </w:tcBorders>
            <w:shd w:val="clear" w:color="000000" w:fill="366092"/>
            <w:noWrap/>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42%</w:t>
            </w:r>
          </w:p>
        </w:tc>
        <w:tc>
          <w:tcPr>
            <w:tcW w:w="1170" w:type="dxa"/>
            <w:tcBorders>
              <w:top w:val="nil"/>
              <w:left w:val="nil"/>
              <w:bottom w:val="single" w:sz="4" w:space="0" w:color="366092"/>
              <w:right w:val="single" w:sz="4" w:space="0" w:color="366092"/>
            </w:tcBorders>
            <w:shd w:val="clear" w:color="000000" w:fill="366092"/>
            <w:noWrap/>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43%</w:t>
            </w:r>
          </w:p>
        </w:tc>
        <w:tc>
          <w:tcPr>
            <w:tcW w:w="1171" w:type="dxa"/>
            <w:tcBorders>
              <w:top w:val="nil"/>
              <w:left w:val="nil"/>
              <w:bottom w:val="single" w:sz="4" w:space="0" w:color="366092"/>
              <w:right w:val="single" w:sz="4" w:space="0" w:color="366092"/>
            </w:tcBorders>
            <w:shd w:val="clear" w:color="000000" w:fill="366092"/>
            <w:noWrap/>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26%</w:t>
            </w:r>
          </w:p>
        </w:tc>
        <w:tc>
          <w:tcPr>
            <w:tcW w:w="1170" w:type="dxa"/>
            <w:tcBorders>
              <w:top w:val="nil"/>
              <w:left w:val="nil"/>
              <w:bottom w:val="single" w:sz="4" w:space="0" w:color="366092"/>
              <w:right w:val="single" w:sz="4" w:space="0" w:color="366092"/>
            </w:tcBorders>
            <w:shd w:val="clear" w:color="000000" w:fill="366092"/>
            <w:noWrap/>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0%</w:t>
            </w:r>
          </w:p>
        </w:tc>
        <w:tc>
          <w:tcPr>
            <w:tcW w:w="1171" w:type="dxa"/>
            <w:tcBorders>
              <w:top w:val="nil"/>
              <w:left w:val="nil"/>
              <w:bottom w:val="single" w:sz="4" w:space="0" w:color="366092"/>
              <w:right w:val="single" w:sz="4" w:space="0" w:color="366092"/>
            </w:tcBorders>
            <w:shd w:val="clear" w:color="000000" w:fill="366092"/>
            <w:noWrap/>
            <w:vAlign w:val="center"/>
            <w:hideMark/>
          </w:tcPr>
          <w:p w:rsidR="004A6D0D" w:rsidRPr="004A6D0D" w:rsidRDefault="004A6D0D" w:rsidP="004A6D0D">
            <w:pPr>
              <w:spacing w:after="0" w:line="240" w:lineRule="auto"/>
              <w:jc w:val="right"/>
              <w:rPr>
                <w:rFonts w:cs="Arial"/>
                <w:b/>
                <w:bCs/>
                <w:color w:val="FFFFFF"/>
                <w:sz w:val="18"/>
                <w:szCs w:val="18"/>
                <w:lang w:eastAsia="en-AU"/>
              </w:rPr>
            </w:pPr>
            <w:r w:rsidRPr="004A6D0D">
              <w:rPr>
                <w:rFonts w:cs="Arial"/>
                <w:b/>
                <w:bCs/>
                <w:color w:val="FFFFFF"/>
                <w:sz w:val="18"/>
                <w:szCs w:val="18"/>
                <w:lang w:eastAsia="en-AU"/>
              </w:rPr>
              <w:t>-11%</w:t>
            </w:r>
          </w:p>
        </w:tc>
      </w:tr>
    </w:tbl>
    <w:p w:rsidR="00D20582" w:rsidRPr="002324B6" w:rsidRDefault="00D20582" w:rsidP="00D20582">
      <w:pPr>
        <w:spacing w:after="0"/>
        <w:rPr>
          <w:noProof/>
          <w:sz w:val="16"/>
          <w:szCs w:val="16"/>
          <w:lang w:eastAsia="en-AU"/>
        </w:rPr>
      </w:pPr>
      <w:r w:rsidRPr="002324B6">
        <w:rPr>
          <w:noProof/>
          <w:sz w:val="16"/>
          <w:szCs w:val="16"/>
          <w:lang w:eastAsia="en-AU"/>
        </w:rPr>
        <w:t>SoA – Statement of Attainment.</w:t>
      </w:r>
    </w:p>
    <w:p w:rsidR="00E2616D" w:rsidRDefault="00E2616D" w:rsidP="00A9260A">
      <w:pPr>
        <w:pStyle w:val="Heading3"/>
      </w:pPr>
    </w:p>
    <w:p w:rsidR="00D20582" w:rsidRDefault="00D20582" w:rsidP="00D20582">
      <w:pPr>
        <w:pStyle w:val="Caption"/>
        <w:spacing w:after="0"/>
        <w:jc w:val="left"/>
        <w:rPr>
          <w:rFonts w:cs="Arial"/>
          <w:color w:val="365F91" w:themeColor="accent1" w:themeShade="BF"/>
        </w:rPr>
      </w:pPr>
      <w:r w:rsidRPr="00F2141D">
        <w:rPr>
          <w:rFonts w:cs="Arial"/>
          <w:color w:val="365F91" w:themeColor="accent1" w:themeShade="BF"/>
        </w:rPr>
        <w:t>Table 1.</w:t>
      </w:r>
      <w:r w:rsidR="00EA5ABC" w:rsidRPr="00F2141D">
        <w:rPr>
          <w:rFonts w:cs="Arial"/>
          <w:color w:val="365F91" w:themeColor="accent1" w:themeShade="BF"/>
        </w:rPr>
        <w:t>5</w:t>
      </w:r>
      <w:r w:rsidRPr="00F2141D">
        <w:rPr>
          <w:rFonts w:cs="Arial"/>
          <w:color w:val="365F91" w:themeColor="accent1" w:themeShade="BF"/>
        </w:rPr>
        <w:t>.1: Government subsidised enrolments (</w:t>
      </w:r>
      <w:r w:rsidR="00283916">
        <w:rPr>
          <w:rFonts w:cs="Arial"/>
          <w:color w:val="365F91" w:themeColor="accent1" w:themeShade="BF"/>
        </w:rPr>
        <w:t xml:space="preserve">only including </w:t>
      </w:r>
      <w:r w:rsidR="00C87407">
        <w:rPr>
          <w:color w:val="365F91" w:themeColor="accent1" w:themeShade="BF"/>
        </w:rPr>
        <w:t>Foundation, w</w:t>
      </w:r>
      <w:r w:rsidR="00F2141D" w:rsidRPr="00157503">
        <w:rPr>
          <w:color w:val="365F91" w:themeColor="accent1" w:themeShade="BF"/>
        </w:rPr>
        <w:t>orkplace preparation, education pathways and LOTE</w:t>
      </w:r>
      <w:r w:rsidRPr="00F2141D">
        <w:rPr>
          <w:rFonts w:cs="Arial"/>
          <w:color w:val="365F91" w:themeColor="accent1" w:themeShade="BF"/>
        </w:rPr>
        <w:t>) by qualification level, 2008–201</w:t>
      </w:r>
      <w:r w:rsidR="004C3990">
        <w:rPr>
          <w:rFonts w:cs="Arial"/>
          <w:color w:val="365F91" w:themeColor="accent1" w:themeShade="BF"/>
        </w:rPr>
        <w:t>3</w:t>
      </w:r>
    </w:p>
    <w:tbl>
      <w:tblPr>
        <w:tblW w:w="952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800"/>
        <w:gridCol w:w="1120"/>
        <w:gridCol w:w="1120"/>
        <w:gridCol w:w="1120"/>
        <w:gridCol w:w="1120"/>
        <w:gridCol w:w="1120"/>
        <w:gridCol w:w="1120"/>
      </w:tblGrid>
      <w:tr w:rsidR="00F2141D" w:rsidRPr="00F2141D" w:rsidTr="00800F14">
        <w:trPr>
          <w:trHeight w:val="762"/>
        </w:trPr>
        <w:tc>
          <w:tcPr>
            <w:tcW w:w="2800" w:type="dxa"/>
            <w:shd w:val="clear" w:color="000000" w:fill="366092"/>
            <w:noWrap/>
            <w:vAlign w:val="center"/>
            <w:hideMark/>
          </w:tcPr>
          <w:p w:rsidR="00F2141D" w:rsidRPr="00F2141D" w:rsidRDefault="00F2141D" w:rsidP="00F2141D">
            <w:pPr>
              <w:spacing w:after="0" w:line="240" w:lineRule="auto"/>
              <w:jc w:val="left"/>
              <w:rPr>
                <w:rFonts w:cs="Arial"/>
                <w:b/>
                <w:bCs/>
                <w:color w:val="FFFFFF"/>
                <w:sz w:val="18"/>
                <w:szCs w:val="18"/>
                <w:lang w:eastAsia="en-AU"/>
              </w:rPr>
            </w:pPr>
            <w:r w:rsidRPr="00F2141D">
              <w:rPr>
                <w:rFonts w:cs="Arial"/>
                <w:b/>
                <w:bCs/>
                <w:color w:val="FFFFFF"/>
                <w:sz w:val="18"/>
                <w:szCs w:val="18"/>
                <w:lang w:eastAsia="en-AU"/>
              </w:rPr>
              <w:t>Qualification level</w:t>
            </w:r>
          </w:p>
        </w:tc>
        <w:tc>
          <w:tcPr>
            <w:tcW w:w="1120" w:type="dxa"/>
            <w:shd w:val="clear" w:color="000000" w:fill="366092"/>
            <w:vAlign w:val="center"/>
            <w:hideMark/>
          </w:tcPr>
          <w:p w:rsidR="00F2141D" w:rsidRPr="00F2141D" w:rsidRDefault="00F2141D" w:rsidP="00F2141D">
            <w:pPr>
              <w:spacing w:after="0" w:line="240" w:lineRule="auto"/>
              <w:ind w:firstLineChars="100" w:firstLine="181"/>
              <w:jc w:val="right"/>
              <w:rPr>
                <w:rFonts w:cs="Arial"/>
                <w:b/>
                <w:bCs/>
                <w:color w:val="FFFFFF"/>
                <w:sz w:val="18"/>
                <w:szCs w:val="18"/>
                <w:lang w:eastAsia="en-AU"/>
              </w:rPr>
            </w:pPr>
            <w:r w:rsidRPr="00F2141D">
              <w:rPr>
                <w:rFonts w:cs="Arial"/>
                <w:b/>
                <w:bCs/>
                <w:color w:val="FFFFFF"/>
                <w:sz w:val="18"/>
                <w:szCs w:val="18"/>
                <w:lang w:eastAsia="en-AU"/>
              </w:rPr>
              <w:t>2008</w:t>
            </w:r>
          </w:p>
        </w:tc>
        <w:tc>
          <w:tcPr>
            <w:tcW w:w="1120" w:type="dxa"/>
            <w:shd w:val="clear" w:color="000000" w:fill="366092"/>
            <w:vAlign w:val="center"/>
            <w:hideMark/>
          </w:tcPr>
          <w:p w:rsidR="00F2141D" w:rsidRPr="00F2141D" w:rsidRDefault="00F2141D" w:rsidP="00F2141D">
            <w:pPr>
              <w:spacing w:after="0" w:line="240" w:lineRule="auto"/>
              <w:ind w:firstLineChars="100" w:firstLine="181"/>
              <w:jc w:val="right"/>
              <w:rPr>
                <w:rFonts w:cs="Arial"/>
                <w:b/>
                <w:bCs/>
                <w:color w:val="FFFFFF"/>
                <w:sz w:val="18"/>
                <w:szCs w:val="18"/>
                <w:lang w:eastAsia="en-AU"/>
              </w:rPr>
            </w:pPr>
            <w:r w:rsidRPr="00F2141D">
              <w:rPr>
                <w:rFonts w:cs="Arial"/>
                <w:b/>
                <w:bCs/>
                <w:color w:val="FFFFFF"/>
                <w:sz w:val="18"/>
                <w:szCs w:val="18"/>
                <w:lang w:eastAsia="en-AU"/>
              </w:rPr>
              <w:t>2009</w:t>
            </w:r>
          </w:p>
        </w:tc>
        <w:tc>
          <w:tcPr>
            <w:tcW w:w="1120" w:type="dxa"/>
            <w:shd w:val="clear" w:color="000000" w:fill="366092"/>
            <w:vAlign w:val="center"/>
            <w:hideMark/>
          </w:tcPr>
          <w:p w:rsidR="00F2141D" w:rsidRPr="00F2141D" w:rsidRDefault="00F2141D" w:rsidP="00F2141D">
            <w:pPr>
              <w:spacing w:after="0" w:line="240" w:lineRule="auto"/>
              <w:ind w:firstLineChars="100" w:firstLine="181"/>
              <w:jc w:val="right"/>
              <w:rPr>
                <w:rFonts w:cs="Arial"/>
                <w:b/>
                <w:bCs/>
                <w:color w:val="FFFFFF"/>
                <w:sz w:val="18"/>
                <w:szCs w:val="18"/>
                <w:lang w:eastAsia="en-AU"/>
              </w:rPr>
            </w:pPr>
            <w:r w:rsidRPr="00F2141D">
              <w:rPr>
                <w:rFonts w:cs="Arial"/>
                <w:b/>
                <w:bCs/>
                <w:color w:val="FFFFFF"/>
                <w:sz w:val="18"/>
                <w:szCs w:val="18"/>
                <w:lang w:eastAsia="en-AU"/>
              </w:rPr>
              <w:t>2010</w:t>
            </w:r>
          </w:p>
        </w:tc>
        <w:tc>
          <w:tcPr>
            <w:tcW w:w="1120" w:type="dxa"/>
            <w:shd w:val="clear" w:color="000000" w:fill="366092"/>
            <w:vAlign w:val="center"/>
            <w:hideMark/>
          </w:tcPr>
          <w:p w:rsidR="00F2141D" w:rsidRPr="00F2141D" w:rsidRDefault="00F2141D" w:rsidP="00F2141D">
            <w:pPr>
              <w:spacing w:after="0" w:line="240" w:lineRule="auto"/>
              <w:ind w:firstLineChars="100" w:firstLine="181"/>
              <w:jc w:val="right"/>
              <w:rPr>
                <w:rFonts w:cs="Arial"/>
                <w:b/>
                <w:bCs/>
                <w:color w:val="FFFFFF"/>
                <w:sz w:val="18"/>
                <w:szCs w:val="18"/>
                <w:lang w:eastAsia="en-AU"/>
              </w:rPr>
            </w:pPr>
            <w:r w:rsidRPr="00F2141D">
              <w:rPr>
                <w:rFonts w:cs="Arial"/>
                <w:b/>
                <w:bCs/>
                <w:color w:val="FFFFFF"/>
                <w:sz w:val="18"/>
                <w:szCs w:val="18"/>
                <w:lang w:eastAsia="en-AU"/>
              </w:rPr>
              <w:t>2011</w:t>
            </w:r>
          </w:p>
        </w:tc>
        <w:tc>
          <w:tcPr>
            <w:tcW w:w="1120" w:type="dxa"/>
            <w:shd w:val="clear" w:color="000000" w:fill="366092"/>
            <w:vAlign w:val="center"/>
            <w:hideMark/>
          </w:tcPr>
          <w:p w:rsidR="00F2141D" w:rsidRPr="00F2141D" w:rsidRDefault="00F2141D" w:rsidP="00F2141D">
            <w:pPr>
              <w:spacing w:after="0" w:line="240" w:lineRule="auto"/>
              <w:ind w:firstLineChars="100" w:firstLine="181"/>
              <w:jc w:val="right"/>
              <w:rPr>
                <w:rFonts w:cs="Arial"/>
                <w:b/>
                <w:bCs/>
                <w:color w:val="FFFFFF"/>
                <w:sz w:val="18"/>
                <w:szCs w:val="18"/>
                <w:lang w:eastAsia="en-AU"/>
              </w:rPr>
            </w:pPr>
            <w:r w:rsidRPr="00F2141D">
              <w:rPr>
                <w:rFonts w:cs="Arial"/>
                <w:b/>
                <w:bCs/>
                <w:color w:val="FFFFFF"/>
                <w:sz w:val="18"/>
                <w:szCs w:val="18"/>
                <w:lang w:eastAsia="en-AU"/>
              </w:rPr>
              <w:t>2012</w:t>
            </w:r>
          </w:p>
        </w:tc>
        <w:tc>
          <w:tcPr>
            <w:tcW w:w="1120" w:type="dxa"/>
            <w:shd w:val="clear" w:color="000000" w:fill="366092"/>
            <w:vAlign w:val="center"/>
            <w:hideMark/>
          </w:tcPr>
          <w:p w:rsidR="00F2141D" w:rsidRPr="00F2141D" w:rsidRDefault="00F2141D" w:rsidP="00F2141D">
            <w:pPr>
              <w:spacing w:after="0" w:line="240" w:lineRule="auto"/>
              <w:ind w:firstLineChars="100" w:firstLine="181"/>
              <w:jc w:val="right"/>
              <w:rPr>
                <w:rFonts w:cs="Arial"/>
                <w:b/>
                <w:bCs/>
                <w:color w:val="FFFFFF"/>
                <w:sz w:val="18"/>
                <w:szCs w:val="18"/>
                <w:lang w:eastAsia="en-AU"/>
              </w:rPr>
            </w:pPr>
            <w:r w:rsidRPr="00F2141D">
              <w:rPr>
                <w:rFonts w:cs="Arial"/>
                <w:b/>
                <w:bCs/>
                <w:color w:val="FFFFFF"/>
                <w:sz w:val="18"/>
                <w:szCs w:val="18"/>
                <w:lang w:eastAsia="en-AU"/>
              </w:rPr>
              <w:t>2013</w:t>
            </w:r>
          </w:p>
        </w:tc>
      </w:tr>
      <w:tr w:rsidR="00F2141D" w:rsidRPr="00F2141D" w:rsidTr="008D0872">
        <w:trPr>
          <w:trHeight w:val="342"/>
        </w:trPr>
        <w:tc>
          <w:tcPr>
            <w:tcW w:w="2800" w:type="dxa"/>
            <w:shd w:val="clear" w:color="000000" w:fill="FFFFFF"/>
            <w:noWrap/>
            <w:vAlign w:val="center"/>
            <w:hideMark/>
          </w:tcPr>
          <w:p w:rsidR="00F2141D" w:rsidRPr="00F2141D" w:rsidRDefault="00F2141D" w:rsidP="008D0872">
            <w:pPr>
              <w:spacing w:after="0" w:line="240" w:lineRule="auto"/>
              <w:jc w:val="left"/>
              <w:rPr>
                <w:rFonts w:cs="Arial"/>
                <w:color w:val="366092"/>
                <w:sz w:val="18"/>
                <w:szCs w:val="18"/>
                <w:lang w:eastAsia="en-AU"/>
              </w:rPr>
            </w:pPr>
            <w:r w:rsidRPr="00F2141D">
              <w:rPr>
                <w:rFonts w:cs="Arial"/>
                <w:color w:val="366092"/>
                <w:sz w:val="18"/>
                <w:szCs w:val="18"/>
                <w:lang w:eastAsia="en-AU"/>
              </w:rPr>
              <w:t>Cert I-II</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23,600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19,500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21,300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40,000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90,800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124,000 </w:t>
            </w:r>
          </w:p>
        </w:tc>
      </w:tr>
      <w:tr w:rsidR="00F2141D" w:rsidRPr="00F2141D" w:rsidTr="008D0872">
        <w:trPr>
          <w:trHeight w:val="342"/>
        </w:trPr>
        <w:tc>
          <w:tcPr>
            <w:tcW w:w="2800" w:type="dxa"/>
            <w:shd w:val="clear" w:color="000000" w:fill="FFFFFF"/>
            <w:noWrap/>
            <w:vAlign w:val="center"/>
            <w:hideMark/>
          </w:tcPr>
          <w:p w:rsidR="00F2141D" w:rsidRPr="00F2141D" w:rsidRDefault="00F2141D" w:rsidP="008D0872">
            <w:pPr>
              <w:spacing w:after="0" w:line="240" w:lineRule="auto"/>
              <w:jc w:val="left"/>
              <w:rPr>
                <w:rFonts w:cs="Arial"/>
                <w:color w:val="366092"/>
                <w:sz w:val="18"/>
                <w:szCs w:val="18"/>
                <w:lang w:eastAsia="en-AU"/>
              </w:rPr>
            </w:pPr>
            <w:r w:rsidRPr="00F2141D">
              <w:rPr>
                <w:rFonts w:cs="Arial"/>
                <w:color w:val="366092"/>
                <w:sz w:val="18"/>
                <w:szCs w:val="18"/>
                <w:lang w:eastAsia="en-AU"/>
              </w:rPr>
              <w:t>Cert III-IV</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8,000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8,100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8,100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10,600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18,400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20,100 </w:t>
            </w:r>
          </w:p>
        </w:tc>
      </w:tr>
      <w:tr w:rsidR="00F2141D" w:rsidRPr="00F2141D" w:rsidTr="008D0872">
        <w:trPr>
          <w:trHeight w:val="342"/>
        </w:trPr>
        <w:tc>
          <w:tcPr>
            <w:tcW w:w="2800" w:type="dxa"/>
            <w:shd w:val="clear" w:color="000000" w:fill="FFFFFF"/>
            <w:noWrap/>
            <w:vAlign w:val="center"/>
            <w:hideMark/>
          </w:tcPr>
          <w:p w:rsidR="00F2141D" w:rsidRPr="00F2141D" w:rsidRDefault="00F2141D" w:rsidP="008D0872">
            <w:pPr>
              <w:spacing w:after="0" w:line="240" w:lineRule="auto"/>
              <w:jc w:val="left"/>
              <w:rPr>
                <w:rFonts w:cs="Arial"/>
                <w:color w:val="366092"/>
                <w:sz w:val="18"/>
                <w:szCs w:val="18"/>
                <w:lang w:eastAsia="en-AU"/>
              </w:rPr>
            </w:pPr>
            <w:r w:rsidRPr="00F2141D">
              <w:rPr>
                <w:rFonts w:cs="Arial"/>
                <w:color w:val="366092"/>
                <w:sz w:val="18"/>
                <w:szCs w:val="18"/>
                <w:lang w:eastAsia="en-AU"/>
              </w:rPr>
              <w:t>Secondary, SoA and other</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6,800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7,900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9,200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10,200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14,400 </w:t>
            </w:r>
          </w:p>
        </w:tc>
        <w:tc>
          <w:tcPr>
            <w:tcW w:w="1120" w:type="dxa"/>
            <w:shd w:val="clear" w:color="auto" w:fill="auto"/>
            <w:noWrap/>
            <w:vAlign w:val="center"/>
            <w:hideMark/>
          </w:tcPr>
          <w:p w:rsidR="00F2141D" w:rsidRPr="00F2141D" w:rsidRDefault="00F2141D" w:rsidP="00F2141D">
            <w:pPr>
              <w:spacing w:after="0" w:line="240" w:lineRule="auto"/>
              <w:jc w:val="right"/>
              <w:rPr>
                <w:rFonts w:cs="Arial"/>
                <w:sz w:val="18"/>
                <w:szCs w:val="18"/>
                <w:lang w:eastAsia="en-AU"/>
              </w:rPr>
            </w:pPr>
            <w:r w:rsidRPr="00F2141D">
              <w:rPr>
                <w:rFonts w:cs="Arial"/>
                <w:sz w:val="18"/>
                <w:szCs w:val="18"/>
                <w:lang w:eastAsia="en-AU"/>
              </w:rPr>
              <w:t xml:space="preserve">13,000 </w:t>
            </w:r>
          </w:p>
        </w:tc>
      </w:tr>
      <w:tr w:rsidR="00F2141D" w:rsidRPr="00F2141D" w:rsidTr="00800F14">
        <w:trPr>
          <w:trHeight w:val="342"/>
        </w:trPr>
        <w:tc>
          <w:tcPr>
            <w:tcW w:w="2800" w:type="dxa"/>
            <w:shd w:val="clear" w:color="000000" w:fill="366092"/>
            <w:noWrap/>
            <w:vAlign w:val="bottom"/>
            <w:hideMark/>
          </w:tcPr>
          <w:p w:rsidR="00F2141D" w:rsidRPr="00F2141D" w:rsidRDefault="00F2141D" w:rsidP="00F2141D">
            <w:pPr>
              <w:spacing w:after="0" w:line="240" w:lineRule="auto"/>
              <w:jc w:val="left"/>
              <w:rPr>
                <w:rFonts w:cs="Arial"/>
                <w:b/>
                <w:bCs/>
                <w:color w:val="FFFFFF"/>
                <w:sz w:val="18"/>
                <w:szCs w:val="18"/>
                <w:lang w:eastAsia="en-AU"/>
              </w:rPr>
            </w:pPr>
            <w:r w:rsidRPr="00F2141D">
              <w:rPr>
                <w:rFonts w:cs="Arial"/>
                <w:b/>
                <w:bCs/>
                <w:color w:val="FFFFFF"/>
                <w:sz w:val="18"/>
                <w:szCs w:val="18"/>
                <w:lang w:eastAsia="en-AU"/>
              </w:rPr>
              <w:t>Total</w:t>
            </w:r>
          </w:p>
        </w:tc>
        <w:tc>
          <w:tcPr>
            <w:tcW w:w="1120" w:type="dxa"/>
            <w:shd w:val="clear" w:color="000000" w:fill="366092"/>
            <w:noWrap/>
            <w:vAlign w:val="center"/>
            <w:hideMark/>
          </w:tcPr>
          <w:p w:rsidR="00F2141D" w:rsidRPr="00F2141D" w:rsidRDefault="00F2141D" w:rsidP="00F2141D">
            <w:pPr>
              <w:spacing w:after="0" w:line="240" w:lineRule="auto"/>
              <w:jc w:val="right"/>
              <w:rPr>
                <w:rFonts w:cs="Arial"/>
                <w:b/>
                <w:bCs/>
                <w:color w:val="FFFFFF"/>
                <w:sz w:val="18"/>
                <w:szCs w:val="18"/>
                <w:lang w:eastAsia="en-AU"/>
              </w:rPr>
            </w:pPr>
            <w:r w:rsidRPr="00F2141D">
              <w:rPr>
                <w:rFonts w:cs="Arial"/>
                <w:b/>
                <w:bCs/>
                <w:color w:val="FFFFFF"/>
                <w:sz w:val="18"/>
                <w:szCs w:val="18"/>
                <w:lang w:eastAsia="en-AU"/>
              </w:rPr>
              <w:t xml:space="preserve">38,800 </w:t>
            </w:r>
          </w:p>
        </w:tc>
        <w:tc>
          <w:tcPr>
            <w:tcW w:w="1120" w:type="dxa"/>
            <w:shd w:val="clear" w:color="000000" w:fill="366092"/>
            <w:noWrap/>
            <w:vAlign w:val="center"/>
            <w:hideMark/>
          </w:tcPr>
          <w:p w:rsidR="00F2141D" w:rsidRPr="00F2141D" w:rsidRDefault="00F2141D" w:rsidP="00F2141D">
            <w:pPr>
              <w:spacing w:after="0" w:line="240" w:lineRule="auto"/>
              <w:jc w:val="right"/>
              <w:rPr>
                <w:rFonts w:cs="Arial"/>
                <w:b/>
                <w:bCs/>
                <w:color w:val="FFFFFF"/>
                <w:sz w:val="18"/>
                <w:szCs w:val="18"/>
                <w:lang w:eastAsia="en-AU"/>
              </w:rPr>
            </w:pPr>
            <w:r w:rsidRPr="00F2141D">
              <w:rPr>
                <w:rFonts w:cs="Arial"/>
                <w:b/>
                <w:bCs/>
                <w:color w:val="FFFFFF"/>
                <w:sz w:val="18"/>
                <w:szCs w:val="18"/>
                <w:lang w:eastAsia="en-AU"/>
              </w:rPr>
              <w:t xml:space="preserve">35,900 </w:t>
            </w:r>
          </w:p>
        </w:tc>
        <w:tc>
          <w:tcPr>
            <w:tcW w:w="1120" w:type="dxa"/>
            <w:shd w:val="clear" w:color="000000" w:fill="366092"/>
            <w:noWrap/>
            <w:vAlign w:val="center"/>
            <w:hideMark/>
          </w:tcPr>
          <w:p w:rsidR="00F2141D" w:rsidRPr="00F2141D" w:rsidRDefault="00F2141D" w:rsidP="00F2141D">
            <w:pPr>
              <w:spacing w:after="0" w:line="240" w:lineRule="auto"/>
              <w:jc w:val="right"/>
              <w:rPr>
                <w:rFonts w:cs="Arial"/>
                <w:b/>
                <w:bCs/>
                <w:color w:val="FFFFFF"/>
                <w:sz w:val="18"/>
                <w:szCs w:val="18"/>
                <w:lang w:eastAsia="en-AU"/>
              </w:rPr>
            </w:pPr>
            <w:r w:rsidRPr="00F2141D">
              <w:rPr>
                <w:rFonts w:cs="Arial"/>
                <w:b/>
                <w:bCs/>
                <w:color w:val="FFFFFF"/>
                <w:sz w:val="18"/>
                <w:szCs w:val="18"/>
                <w:lang w:eastAsia="en-AU"/>
              </w:rPr>
              <w:t xml:space="preserve">38,900 </w:t>
            </w:r>
          </w:p>
        </w:tc>
        <w:tc>
          <w:tcPr>
            <w:tcW w:w="1120" w:type="dxa"/>
            <w:shd w:val="clear" w:color="000000" w:fill="366092"/>
            <w:noWrap/>
            <w:vAlign w:val="center"/>
            <w:hideMark/>
          </w:tcPr>
          <w:p w:rsidR="00F2141D" w:rsidRPr="00F2141D" w:rsidRDefault="00F2141D" w:rsidP="00F2141D">
            <w:pPr>
              <w:spacing w:after="0" w:line="240" w:lineRule="auto"/>
              <w:jc w:val="right"/>
              <w:rPr>
                <w:rFonts w:cs="Arial"/>
                <w:b/>
                <w:bCs/>
                <w:color w:val="FFFFFF"/>
                <w:sz w:val="18"/>
                <w:szCs w:val="18"/>
                <w:lang w:eastAsia="en-AU"/>
              </w:rPr>
            </w:pPr>
            <w:r w:rsidRPr="00F2141D">
              <w:rPr>
                <w:rFonts w:cs="Arial"/>
                <w:b/>
                <w:bCs/>
                <w:color w:val="FFFFFF"/>
                <w:sz w:val="18"/>
                <w:szCs w:val="18"/>
                <w:lang w:eastAsia="en-AU"/>
              </w:rPr>
              <w:t xml:space="preserve">61,100 </w:t>
            </w:r>
          </w:p>
        </w:tc>
        <w:tc>
          <w:tcPr>
            <w:tcW w:w="1120" w:type="dxa"/>
            <w:shd w:val="clear" w:color="000000" w:fill="366092"/>
            <w:noWrap/>
            <w:vAlign w:val="center"/>
            <w:hideMark/>
          </w:tcPr>
          <w:p w:rsidR="00F2141D" w:rsidRPr="00F2141D" w:rsidRDefault="00F2141D" w:rsidP="00F2141D">
            <w:pPr>
              <w:spacing w:after="0" w:line="240" w:lineRule="auto"/>
              <w:jc w:val="right"/>
              <w:rPr>
                <w:rFonts w:cs="Arial"/>
                <w:b/>
                <w:bCs/>
                <w:color w:val="FFFFFF"/>
                <w:sz w:val="18"/>
                <w:szCs w:val="18"/>
                <w:lang w:eastAsia="en-AU"/>
              </w:rPr>
            </w:pPr>
            <w:r w:rsidRPr="00F2141D">
              <w:rPr>
                <w:rFonts w:cs="Arial"/>
                <w:b/>
                <w:bCs/>
                <w:color w:val="FFFFFF"/>
                <w:sz w:val="18"/>
                <w:szCs w:val="18"/>
                <w:lang w:eastAsia="en-AU"/>
              </w:rPr>
              <w:t xml:space="preserve">123,900 </w:t>
            </w:r>
          </w:p>
        </w:tc>
        <w:tc>
          <w:tcPr>
            <w:tcW w:w="1120" w:type="dxa"/>
            <w:shd w:val="clear" w:color="000000" w:fill="366092"/>
            <w:noWrap/>
            <w:vAlign w:val="center"/>
            <w:hideMark/>
          </w:tcPr>
          <w:p w:rsidR="00F2141D" w:rsidRPr="00F2141D" w:rsidRDefault="00F2141D" w:rsidP="00F2141D">
            <w:pPr>
              <w:spacing w:after="0" w:line="240" w:lineRule="auto"/>
              <w:jc w:val="right"/>
              <w:rPr>
                <w:rFonts w:cs="Arial"/>
                <w:b/>
                <w:bCs/>
                <w:color w:val="FFFFFF"/>
                <w:sz w:val="18"/>
                <w:szCs w:val="18"/>
                <w:lang w:eastAsia="en-AU"/>
              </w:rPr>
            </w:pPr>
            <w:r w:rsidRPr="00F2141D">
              <w:rPr>
                <w:rFonts w:cs="Arial"/>
                <w:b/>
                <w:bCs/>
                <w:color w:val="FFFFFF"/>
                <w:sz w:val="18"/>
                <w:szCs w:val="18"/>
                <w:lang w:eastAsia="en-AU"/>
              </w:rPr>
              <w:t xml:space="preserve">157,200 </w:t>
            </w:r>
          </w:p>
        </w:tc>
      </w:tr>
    </w:tbl>
    <w:p w:rsidR="00D20582" w:rsidRPr="002324B6" w:rsidRDefault="00D20582" w:rsidP="00D20582">
      <w:pPr>
        <w:spacing w:after="0"/>
        <w:rPr>
          <w:noProof/>
          <w:sz w:val="16"/>
          <w:szCs w:val="16"/>
          <w:lang w:eastAsia="en-AU"/>
        </w:rPr>
      </w:pPr>
      <w:r w:rsidRPr="002324B6">
        <w:rPr>
          <w:noProof/>
          <w:sz w:val="16"/>
          <w:szCs w:val="16"/>
          <w:lang w:eastAsia="en-AU"/>
        </w:rPr>
        <w:t>SoA – Statement of Attainment.</w:t>
      </w:r>
    </w:p>
    <w:p w:rsidR="00D20582" w:rsidRDefault="00D20582" w:rsidP="00D20582"/>
    <w:p w:rsidR="00D827F6" w:rsidRDefault="00D827F6" w:rsidP="004F6E0C">
      <w:pPr>
        <w:pStyle w:val="Caption"/>
        <w:spacing w:after="0"/>
        <w:jc w:val="left"/>
        <w:rPr>
          <w:color w:val="365F91" w:themeColor="accent1" w:themeShade="BF"/>
        </w:rPr>
      </w:pPr>
      <w:r w:rsidRPr="00F2141D">
        <w:rPr>
          <w:color w:val="365F91" w:themeColor="accent1" w:themeShade="BF"/>
        </w:rPr>
        <w:t>Table 1.</w:t>
      </w:r>
      <w:r w:rsidR="00EA5ABC" w:rsidRPr="00F2141D">
        <w:rPr>
          <w:color w:val="365F91" w:themeColor="accent1" w:themeShade="BF"/>
        </w:rPr>
        <w:t>5</w:t>
      </w:r>
      <w:r w:rsidRPr="00F2141D">
        <w:rPr>
          <w:color w:val="365F91" w:themeColor="accent1" w:themeShade="BF"/>
        </w:rPr>
        <w:t xml:space="preserve">.2: </w:t>
      </w:r>
      <w:r w:rsidR="00F2141D">
        <w:rPr>
          <w:color w:val="365F91" w:themeColor="accent1" w:themeShade="BF"/>
        </w:rPr>
        <w:t xml:space="preserve">Change in </w:t>
      </w:r>
      <w:r w:rsidRPr="00F2141D">
        <w:rPr>
          <w:color w:val="365F91" w:themeColor="accent1" w:themeShade="BF"/>
        </w:rPr>
        <w:t>Government subsidised enrolments (</w:t>
      </w:r>
      <w:r w:rsidR="00283916">
        <w:rPr>
          <w:color w:val="365F91" w:themeColor="accent1" w:themeShade="BF"/>
        </w:rPr>
        <w:t xml:space="preserve">only including </w:t>
      </w:r>
      <w:r w:rsidR="00C87407">
        <w:rPr>
          <w:color w:val="365F91" w:themeColor="accent1" w:themeShade="BF"/>
        </w:rPr>
        <w:t>Foundation, w</w:t>
      </w:r>
      <w:r w:rsidR="00F2141D" w:rsidRPr="00157503">
        <w:rPr>
          <w:color w:val="365F91" w:themeColor="accent1" w:themeShade="BF"/>
        </w:rPr>
        <w:t>orkplace preparation, education pathways and LOTE</w:t>
      </w:r>
      <w:r w:rsidRPr="00F2141D">
        <w:rPr>
          <w:color w:val="365F91" w:themeColor="accent1" w:themeShade="BF"/>
        </w:rPr>
        <w:t>) by qualification level</w:t>
      </w:r>
    </w:p>
    <w:tbl>
      <w:tblPr>
        <w:tblW w:w="8652" w:type="dxa"/>
        <w:tblInd w:w="103" w:type="dxa"/>
        <w:tblLayout w:type="fixed"/>
        <w:tblLook w:val="04A0" w:firstRow="1" w:lastRow="0" w:firstColumn="1" w:lastColumn="0" w:noHBand="0" w:noVBand="1"/>
      </w:tblPr>
      <w:tblGrid>
        <w:gridCol w:w="2800"/>
        <w:gridCol w:w="1170"/>
        <w:gridCol w:w="1170"/>
        <w:gridCol w:w="1171"/>
        <w:gridCol w:w="1170"/>
        <w:gridCol w:w="1171"/>
      </w:tblGrid>
      <w:tr w:rsidR="000264A6" w:rsidRPr="000264A6" w:rsidTr="000718FE">
        <w:trPr>
          <w:trHeight w:val="762"/>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0264A6" w:rsidRPr="000264A6" w:rsidRDefault="000264A6" w:rsidP="000264A6">
            <w:pPr>
              <w:spacing w:after="0" w:line="240" w:lineRule="auto"/>
              <w:jc w:val="left"/>
              <w:rPr>
                <w:rFonts w:cs="Arial"/>
                <w:b/>
                <w:bCs/>
                <w:color w:val="FFFFFF"/>
                <w:sz w:val="18"/>
                <w:szCs w:val="18"/>
                <w:lang w:eastAsia="en-AU"/>
              </w:rPr>
            </w:pPr>
            <w:r w:rsidRPr="000264A6">
              <w:rPr>
                <w:rFonts w:cs="Arial"/>
                <w:b/>
                <w:bCs/>
                <w:color w:val="FFFFFF"/>
                <w:sz w:val="18"/>
                <w:szCs w:val="18"/>
                <w:lang w:eastAsia="en-AU"/>
              </w:rPr>
              <w:t>Qualification level</w:t>
            </w:r>
          </w:p>
        </w:tc>
        <w:tc>
          <w:tcPr>
            <w:tcW w:w="1170"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change</w:t>
            </w:r>
            <w:r w:rsidRPr="000264A6">
              <w:rPr>
                <w:rFonts w:cs="Arial"/>
                <w:b/>
                <w:bCs/>
                <w:color w:val="FFFFFF"/>
                <w:sz w:val="18"/>
                <w:szCs w:val="18"/>
                <w:lang w:eastAsia="en-AU"/>
              </w:rPr>
              <w:br/>
              <w:t>2008-2013</w:t>
            </w:r>
          </w:p>
        </w:tc>
        <w:tc>
          <w:tcPr>
            <w:tcW w:w="1170"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change</w:t>
            </w:r>
            <w:r w:rsidRPr="000264A6">
              <w:rPr>
                <w:rFonts w:cs="Arial"/>
                <w:b/>
                <w:bCs/>
                <w:color w:val="FFFFFF"/>
                <w:sz w:val="18"/>
                <w:szCs w:val="18"/>
                <w:lang w:eastAsia="en-AU"/>
              </w:rPr>
              <w:br/>
              <w:t>2009-2013</w:t>
            </w:r>
          </w:p>
        </w:tc>
        <w:tc>
          <w:tcPr>
            <w:tcW w:w="1171"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change</w:t>
            </w:r>
            <w:r w:rsidRPr="000264A6">
              <w:rPr>
                <w:rFonts w:cs="Arial"/>
                <w:b/>
                <w:bCs/>
                <w:color w:val="FFFFFF"/>
                <w:sz w:val="18"/>
                <w:szCs w:val="18"/>
                <w:lang w:eastAsia="en-AU"/>
              </w:rPr>
              <w:br/>
              <w:t>2010-2013</w:t>
            </w:r>
          </w:p>
        </w:tc>
        <w:tc>
          <w:tcPr>
            <w:tcW w:w="1170"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change</w:t>
            </w:r>
            <w:r w:rsidRPr="000264A6">
              <w:rPr>
                <w:rFonts w:cs="Arial"/>
                <w:b/>
                <w:bCs/>
                <w:color w:val="FFFFFF"/>
                <w:sz w:val="18"/>
                <w:szCs w:val="18"/>
                <w:lang w:eastAsia="en-AU"/>
              </w:rPr>
              <w:br/>
              <w:t>2011-2013 </w:t>
            </w:r>
          </w:p>
        </w:tc>
        <w:tc>
          <w:tcPr>
            <w:tcW w:w="1171"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change</w:t>
            </w:r>
            <w:r w:rsidRPr="000264A6">
              <w:rPr>
                <w:rFonts w:cs="Arial"/>
                <w:b/>
                <w:bCs/>
                <w:color w:val="FFFFFF"/>
                <w:sz w:val="18"/>
                <w:szCs w:val="18"/>
                <w:lang w:eastAsia="en-AU"/>
              </w:rPr>
              <w:br/>
              <w:t>2012-2013</w:t>
            </w:r>
          </w:p>
        </w:tc>
      </w:tr>
      <w:tr w:rsidR="000264A6" w:rsidRPr="000264A6"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0264A6" w:rsidRPr="000264A6" w:rsidRDefault="000264A6" w:rsidP="008D0872">
            <w:pPr>
              <w:spacing w:after="0" w:line="240" w:lineRule="auto"/>
              <w:jc w:val="left"/>
              <w:rPr>
                <w:rFonts w:cs="Arial"/>
                <w:color w:val="366092"/>
                <w:sz w:val="18"/>
                <w:szCs w:val="18"/>
                <w:lang w:eastAsia="en-AU"/>
              </w:rPr>
            </w:pPr>
            <w:r w:rsidRPr="000264A6">
              <w:rPr>
                <w:rFonts w:cs="Arial"/>
                <w:color w:val="366092"/>
                <w:sz w:val="18"/>
                <w:szCs w:val="18"/>
                <w:lang w:eastAsia="en-AU"/>
              </w:rPr>
              <w:t>Cert I-II</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425%</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535%</w:t>
            </w:r>
          </w:p>
        </w:tc>
        <w:tc>
          <w:tcPr>
            <w:tcW w:w="1171"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483%</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210%</w:t>
            </w:r>
          </w:p>
        </w:tc>
        <w:tc>
          <w:tcPr>
            <w:tcW w:w="1171"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37%</w:t>
            </w:r>
          </w:p>
        </w:tc>
      </w:tr>
      <w:tr w:rsidR="000264A6" w:rsidRPr="000264A6"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0264A6" w:rsidRPr="000264A6" w:rsidRDefault="000264A6" w:rsidP="008D0872">
            <w:pPr>
              <w:spacing w:after="0" w:line="240" w:lineRule="auto"/>
              <w:jc w:val="left"/>
              <w:rPr>
                <w:rFonts w:cs="Arial"/>
                <w:color w:val="366092"/>
                <w:sz w:val="18"/>
                <w:szCs w:val="18"/>
                <w:lang w:eastAsia="en-AU"/>
              </w:rPr>
            </w:pPr>
            <w:r w:rsidRPr="000264A6">
              <w:rPr>
                <w:rFonts w:cs="Arial"/>
                <w:color w:val="366092"/>
                <w:sz w:val="18"/>
                <w:szCs w:val="18"/>
                <w:lang w:eastAsia="en-AU"/>
              </w:rPr>
              <w:t>Cert III-IV</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150%</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150%</w:t>
            </w:r>
          </w:p>
        </w:tc>
        <w:tc>
          <w:tcPr>
            <w:tcW w:w="1171"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147%</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90%</w:t>
            </w:r>
          </w:p>
        </w:tc>
        <w:tc>
          <w:tcPr>
            <w:tcW w:w="1171"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9%</w:t>
            </w:r>
          </w:p>
        </w:tc>
      </w:tr>
      <w:tr w:rsidR="000264A6" w:rsidRPr="000264A6"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0264A6" w:rsidRPr="000264A6" w:rsidRDefault="000264A6" w:rsidP="008D0872">
            <w:pPr>
              <w:spacing w:after="0" w:line="240" w:lineRule="auto"/>
              <w:jc w:val="left"/>
              <w:rPr>
                <w:rFonts w:cs="Arial"/>
                <w:color w:val="366092"/>
                <w:sz w:val="18"/>
                <w:szCs w:val="18"/>
                <w:lang w:eastAsia="en-AU"/>
              </w:rPr>
            </w:pPr>
            <w:r w:rsidRPr="000264A6">
              <w:rPr>
                <w:rFonts w:cs="Arial"/>
                <w:color w:val="366092"/>
                <w:sz w:val="18"/>
                <w:szCs w:val="18"/>
                <w:lang w:eastAsia="en-AU"/>
              </w:rPr>
              <w:t>Module Only</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93%</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64%</w:t>
            </w:r>
          </w:p>
        </w:tc>
        <w:tc>
          <w:tcPr>
            <w:tcW w:w="1171"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42%</w:t>
            </w:r>
          </w:p>
        </w:tc>
        <w:tc>
          <w:tcPr>
            <w:tcW w:w="1170"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28%</w:t>
            </w:r>
          </w:p>
        </w:tc>
        <w:tc>
          <w:tcPr>
            <w:tcW w:w="1171" w:type="dxa"/>
            <w:tcBorders>
              <w:top w:val="nil"/>
              <w:left w:val="nil"/>
              <w:bottom w:val="single" w:sz="4" w:space="0" w:color="366092"/>
              <w:right w:val="single" w:sz="4" w:space="0" w:color="366092"/>
            </w:tcBorders>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-9%</w:t>
            </w:r>
          </w:p>
        </w:tc>
      </w:tr>
      <w:tr w:rsidR="000264A6" w:rsidRPr="000264A6" w:rsidTr="000718FE">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0264A6" w:rsidRPr="000264A6" w:rsidRDefault="000264A6" w:rsidP="000264A6">
            <w:pPr>
              <w:spacing w:after="0" w:line="240" w:lineRule="auto"/>
              <w:jc w:val="left"/>
              <w:rPr>
                <w:rFonts w:cs="Arial"/>
                <w:b/>
                <w:bCs/>
                <w:color w:val="FFFFFF"/>
                <w:sz w:val="18"/>
                <w:szCs w:val="18"/>
                <w:lang w:eastAsia="en-AU"/>
              </w:rPr>
            </w:pPr>
            <w:r w:rsidRPr="000264A6">
              <w:rPr>
                <w:rFonts w:cs="Arial"/>
                <w:b/>
                <w:bCs/>
                <w:color w:val="FFFFFF"/>
                <w:sz w:val="18"/>
                <w:szCs w:val="18"/>
                <w:lang w:eastAsia="en-AU"/>
              </w:rPr>
              <w:t>Total</w:t>
            </w:r>
          </w:p>
        </w:tc>
        <w:tc>
          <w:tcPr>
            <w:tcW w:w="1170" w:type="dxa"/>
            <w:tcBorders>
              <w:top w:val="nil"/>
              <w:left w:val="nil"/>
              <w:bottom w:val="nil"/>
              <w:right w:val="nil"/>
            </w:tcBorders>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305%</w:t>
            </w:r>
          </w:p>
        </w:tc>
        <w:tc>
          <w:tcPr>
            <w:tcW w:w="1170" w:type="dxa"/>
            <w:tcBorders>
              <w:top w:val="nil"/>
              <w:left w:val="single" w:sz="4" w:space="0" w:color="366092"/>
              <w:bottom w:val="nil"/>
              <w:right w:val="nil"/>
            </w:tcBorders>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338%</w:t>
            </w:r>
          </w:p>
        </w:tc>
        <w:tc>
          <w:tcPr>
            <w:tcW w:w="1171" w:type="dxa"/>
            <w:tcBorders>
              <w:top w:val="nil"/>
              <w:left w:val="single" w:sz="4" w:space="0" w:color="366092"/>
              <w:bottom w:val="nil"/>
              <w:right w:val="nil"/>
            </w:tcBorders>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304%</w:t>
            </w:r>
          </w:p>
        </w:tc>
        <w:tc>
          <w:tcPr>
            <w:tcW w:w="1170" w:type="dxa"/>
            <w:tcBorders>
              <w:top w:val="nil"/>
              <w:left w:val="single" w:sz="4" w:space="0" w:color="366092"/>
              <w:bottom w:val="nil"/>
              <w:right w:val="nil"/>
            </w:tcBorders>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157%</w:t>
            </w:r>
          </w:p>
        </w:tc>
        <w:tc>
          <w:tcPr>
            <w:tcW w:w="1171" w:type="dxa"/>
            <w:tcBorders>
              <w:top w:val="nil"/>
              <w:left w:val="single" w:sz="4" w:space="0" w:color="366092"/>
              <w:bottom w:val="nil"/>
              <w:right w:val="nil"/>
            </w:tcBorders>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27%</w:t>
            </w:r>
          </w:p>
        </w:tc>
      </w:tr>
    </w:tbl>
    <w:p w:rsidR="00D827F6" w:rsidRPr="00D20582" w:rsidRDefault="00D827F6" w:rsidP="00D20582">
      <w:r w:rsidRPr="002324B6">
        <w:rPr>
          <w:noProof/>
          <w:sz w:val="16"/>
          <w:szCs w:val="16"/>
          <w:lang w:eastAsia="en-AU"/>
        </w:rPr>
        <w:t>SoA – Statement of Attainment.</w:t>
      </w:r>
    </w:p>
    <w:p w:rsidR="00D20582" w:rsidRDefault="00D20582" w:rsidP="001C1759">
      <w:pPr>
        <w:pStyle w:val="Caption"/>
        <w:spacing w:after="0"/>
      </w:pPr>
    </w:p>
    <w:p w:rsidR="00C53713" w:rsidRPr="001F29E3" w:rsidRDefault="00C53713" w:rsidP="004E4031">
      <w:pPr>
        <w:jc w:val="center"/>
        <w:rPr>
          <w:rFonts w:cs="Arial"/>
        </w:rPr>
      </w:pPr>
    </w:p>
    <w:p w:rsidR="00E2616D" w:rsidRPr="001F29E3" w:rsidRDefault="00E2616D" w:rsidP="00D168D3"/>
    <w:p w:rsidR="00351166" w:rsidRPr="001F29E3" w:rsidRDefault="00351166" w:rsidP="00A9260A">
      <w:pPr>
        <w:pStyle w:val="Heading3"/>
      </w:pPr>
      <w:r w:rsidRPr="001F29E3">
        <w:br w:type="page"/>
        <w:t xml:space="preserve">TAFE Domestic </w:t>
      </w:r>
      <w:r w:rsidR="00362E51" w:rsidRPr="001F29E3">
        <w:t>Fee for Service</w:t>
      </w:r>
      <w:r w:rsidRPr="001F29E3">
        <w:t xml:space="preserve"> Enrolments</w:t>
      </w:r>
    </w:p>
    <w:p w:rsidR="00351166" w:rsidRDefault="00351166" w:rsidP="00A9260A">
      <w:pPr>
        <w:pStyle w:val="Caption"/>
        <w:rPr>
          <w:rFonts w:cs="Arial"/>
        </w:rPr>
      </w:pPr>
    </w:p>
    <w:tbl>
      <w:tblPr>
        <w:tblStyle w:val="TableGrid"/>
        <w:tblW w:w="9288"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288"/>
      </w:tblGrid>
      <w:tr w:rsidR="001C1759" w:rsidRPr="006332D3" w:rsidTr="001B5D25">
        <w:tc>
          <w:tcPr>
            <w:tcW w:w="9288" w:type="dxa"/>
          </w:tcPr>
          <w:p w:rsidR="001C1759" w:rsidRPr="00C70050" w:rsidRDefault="00283916" w:rsidP="001C1759">
            <w:pPr>
              <w:pStyle w:val="Heading3"/>
              <w:jc w:val="left"/>
              <w:outlineLvl w:val="2"/>
            </w:pPr>
            <w:r>
              <w:t>Key Point</w:t>
            </w:r>
          </w:p>
          <w:p w:rsidR="00D168D3" w:rsidRPr="00C70050" w:rsidRDefault="00D168D3" w:rsidP="00D168D3">
            <w:pPr>
              <w:rPr>
                <w:color w:val="365F91" w:themeColor="accent1" w:themeShade="BF"/>
              </w:rPr>
            </w:pPr>
          </w:p>
          <w:p w:rsidR="001C1759" w:rsidRPr="002D4D82" w:rsidRDefault="001C1759" w:rsidP="002E2891">
            <w:pPr>
              <w:pStyle w:val="ListBullet"/>
              <w:numPr>
                <w:ilvl w:val="0"/>
                <w:numId w:val="31"/>
              </w:numPr>
              <w:ind w:right="113"/>
              <w:jc w:val="left"/>
              <w:rPr>
                <w:rFonts w:cs="Arial"/>
              </w:rPr>
            </w:pPr>
            <w:r w:rsidRPr="00535B58">
              <w:rPr>
                <w:rFonts w:cs="Arial"/>
              </w:rPr>
              <w:t xml:space="preserve">Proportionally, </w:t>
            </w:r>
            <w:r w:rsidR="00F604D5">
              <w:rPr>
                <w:rFonts w:cs="Arial"/>
              </w:rPr>
              <w:t xml:space="preserve">enrolments in </w:t>
            </w:r>
            <w:r w:rsidR="0052721E">
              <w:rPr>
                <w:rFonts w:cs="Arial"/>
              </w:rPr>
              <w:t>C</w:t>
            </w:r>
            <w:r w:rsidRPr="00535B58">
              <w:rPr>
                <w:rFonts w:cs="Arial"/>
              </w:rPr>
              <w:t>ertificate</w:t>
            </w:r>
            <w:r w:rsidR="005F3779">
              <w:rPr>
                <w:rFonts w:cs="Arial"/>
              </w:rPr>
              <w:t xml:space="preserve"> I-II</w:t>
            </w:r>
            <w:r w:rsidRPr="00535B58">
              <w:rPr>
                <w:rFonts w:cs="Arial"/>
              </w:rPr>
              <w:t xml:space="preserve"> </w:t>
            </w:r>
            <w:r w:rsidR="002D4D82">
              <w:rPr>
                <w:rFonts w:cs="Arial"/>
              </w:rPr>
              <w:t>(non-Foundation) were</w:t>
            </w:r>
            <w:r w:rsidRPr="00535B58">
              <w:rPr>
                <w:rFonts w:cs="Arial"/>
              </w:rPr>
              <w:t xml:space="preserve"> the largest qualification group </w:t>
            </w:r>
            <w:r>
              <w:rPr>
                <w:rFonts w:cs="Arial"/>
              </w:rPr>
              <w:t xml:space="preserve">amongst TAFE domestic fee for service enrolments </w:t>
            </w:r>
            <w:r w:rsidR="00D17AF1">
              <w:rPr>
                <w:rFonts w:cs="Arial"/>
              </w:rPr>
              <w:t xml:space="preserve">at </w:t>
            </w:r>
            <w:r w:rsidRPr="00535B58">
              <w:rPr>
                <w:rFonts w:cs="Arial"/>
              </w:rPr>
              <w:t xml:space="preserve">Australian </w:t>
            </w:r>
            <w:r>
              <w:rPr>
                <w:rFonts w:cs="Arial"/>
              </w:rPr>
              <w:t xml:space="preserve">Qualification Framework </w:t>
            </w:r>
            <w:r w:rsidR="00283916">
              <w:rPr>
                <w:rFonts w:cs="Arial"/>
              </w:rPr>
              <w:t>Certificate</w:t>
            </w:r>
            <w:r w:rsidR="00D17AF1">
              <w:rPr>
                <w:rFonts w:cs="Arial"/>
              </w:rPr>
              <w:t xml:space="preserve"> 1 and above </w:t>
            </w:r>
            <w:r>
              <w:rPr>
                <w:rFonts w:cs="Arial"/>
              </w:rPr>
              <w:t>courses</w:t>
            </w:r>
            <w:r w:rsidR="00F604D5">
              <w:rPr>
                <w:rFonts w:cs="Arial"/>
              </w:rPr>
              <w:t>.</w:t>
            </w:r>
          </w:p>
        </w:tc>
      </w:tr>
    </w:tbl>
    <w:p w:rsidR="001C1759" w:rsidRDefault="001C1759" w:rsidP="001C1759"/>
    <w:p w:rsidR="00351166" w:rsidRPr="000264A6" w:rsidRDefault="00351166" w:rsidP="002F7717">
      <w:pPr>
        <w:pStyle w:val="Caption"/>
        <w:spacing w:after="0"/>
        <w:jc w:val="left"/>
        <w:rPr>
          <w:rFonts w:cs="Arial"/>
          <w:color w:val="365F91" w:themeColor="accent1" w:themeShade="BF"/>
        </w:rPr>
      </w:pPr>
      <w:r w:rsidRPr="000264A6">
        <w:rPr>
          <w:rFonts w:cs="Arial"/>
          <w:color w:val="365F91" w:themeColor="accent1" w:themeShade="BF"/>
        </w:rPr>
        <w:t>Table 1.</w:t>
      </w:r>
      <w:r w:rsidR="00EA5ABC" w:rsidRPr="000264A6">
        <w:rPr>
          <w:rFonts w:cs="Arial"/>
          <w:color w:val="365F91" w:themeColor="accent1" w:themeShade="BF"/>
        </w:rPr>
        <w:t>6</w:t>
      </w:r>
      <w:r w:rsidR="006D4F92" w:rsidRPr="000264A6">
        <w:rPr>
          <w:rFonts w:cs="Arial"/>
          <w:color w:val="365F91" w:themeColor="accent1" w:themeShade="BF"/>
        </w:rPr>
        <w:t>.1</w:t>
      </w:r>
      <w:r w:rsidRPr="000264A6">
        <w:rPr>
          <w:rFonts w:cs="Arial"/>
          <w:color w:val="365F91" w:themeColor="accent1" w:themeShade="BF"/>
        </w:rPr>
        <w:t xml:space="preserve">: TAFE domestic </w:t>
      </w:r>
      <w:r w:rsidR="00221A72" w:rsidRPr="000264A6">
        <w:rPr>
          <w:rFonts w:cs="Arial"/>
          <w:color w:val="365F91" w:themeColor="accent1" w:themeShade="BF"/>
        </w:rPr>
        <w:t>f</w:t>
      </w:r>
      <w:r w:rsidR="00362E51" w:rsidRPr="000264A6">
        <w:rPr>
          <w:rFonts w:cs="Arial"/>
          <w:color w:val="365F91" w:themeColor="accent1" w:themeShade="BF"/>
        </w:rPr>
        <w:t xml:space="preserve">ee for </w:t>
      </w:r>
      <w:r w:rsidR="00221A72" w:rsidRPr="000264A6">
        <w:rPr>
          <w:rFonts w:cs="Arial"/>
          <w:color w:val="365F91" w:themeColor="accent1" w:themeShade="BF"/>
        </w:rPr>
        <w:t>s</w:t>
      </w:r>
      <w:r w:rsidR="00362E51" w:rsidRPr="000264A6">
        <w:rPr>
          <w:rFonts w:cs="Arial"/>
          <w:color w:val="365F91" w:themeColor="accent1" w:themeShade="BF"/>
        </w:rPr>
        <w:t>ervice</w:t>
      </w:r>
      <w:r w:rsidRPr="000264A6">
        <w:rPr>
          <w:rFonts w:cs="Arial"/>
          <w:color w:val="365F91" w:themeColor="accent1" w:themeShade="BF"/>
        </w:rPr>
        <w:t xml:space="preserve"> enrolments </w:t>
      </w:r>
      <w:r w:rsidR="00147BA5" w:rsidRPr="000264A6">
        <w:rPr>
          <w:rFonts w:cs="Arial"/>
          <w:color w:val="365F91" w:themeColor="accent1" w:themeShade="BF"/>
        </w:rPr>
        <w:t>(</w:t>
      </w:r>
      <w:r w:rsidR="00C87407">
        <w:rPr>
          <w:rFonts w:cs="Arial"/>
          <w:color w:val="365F91" w:themeColor="accent1" w:themeShade="BF"/>
        </w:rPr>
        <w:t>excluding Foundation, w</w:t>
      </w:r>
      <w:r w:rsidR="006529D4" w:rsidRPr="006529D4">
        <w:rPr>
          <w:rFonts w:cs="Arial"/>
          <w:color w:val="365F91" w:themeColor="accent1" w:themeShade="BF"/>
        </w:rPr>
        <w:t>orkplace preparation, education pathways and LOTE</w:t>
      </w:r>
      <w:r w:rsidR="00147BA5" w:rsidRPr="000264A6">
        <w:rPr>
          <w:rFonts w:cs="Arial"/>
          <w:color w:val="365F91" w:themeColor="accent1" w:themeShade="BF"/>
        </w:rPr>
        <w:t xml:space="preserve">) </w:t>
      </w:r>
      <w:r w:rsidRPr="000264A6">
        <w:rPr>
          <w:rFonts w:cs="Arial"/>
          <w:color w:val="365F91" w:themeColor="accent1" w:themeShade="BF"/>
        </w:rPr>
        <w:t>by qualif</w:t>
      </w:r>
      <w:r w:rsidR="00C70050">
        <w:rPr>
          <w:rFonts w:cs="Arial"/>
          <w:color w:val="365F91" w:themeColor="accent1" w:themeShade="BF"/>
        </w:rPr>
        <w:t>ication level (AQF</w:t>
      </w:r>
      <w:r w:rsidR="00C87407">
        <w:rPr>
          <w:rFonts w:cs="Arial"/>
          <w:color w:val="365F91" w:themeColor="accent1" w:themeShade="BF"/>
        </w:rPr>
        <w:t xml:space="preserve"> </w:t>
      </w:r>
      <w:r w:rsidR="00C70050">
        <w:rPr>
          <w:rFonts w:cs="Arial"/>
          <w:color w:val="365F91" w:themeColor="accent1" w:themeShade="BF"/>
        </w:rPr>
        <w:t>1+), 2008–2013</w:t>
      </w:r>
    </w:p>
    <w:tbl>
      <w:tblPr>
        <w:tblW w:w="952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800"/>
        <w:gridCol w:w="1120"/>
        <w:gridCol w:w="1120"/>
        <w:gridCol w:w="1120"/>
        <w:gridCol w:w="1120"/>
        <w:gridCol w:w="1120"/>
        <w:gridCol w:w="1120"/>
      </w:tblGrid>
      <w:tr w:rsidR="000264A6" w:rsidRPr="000264A6" w:rsidTr="00CE66D9">
        <w:trPr>
          <w:trHeight w:val="762"/>
        </w:trPr>
        <w:tc>
          <w:tcPr>
            <w:tcW w:w="2800" w:type="dxa"/>
            <w:shd w:val="clear" w:color="000000" w:fill="366092"/>
            <w:noWrap/>
            <w:vAlign w:val="center"/>
            <w:hideMark/>
          </w:tcPr>
          <w:p w:rsidR="000264A6" w:rsidRPr="000264A6" w:rsidRDefault="000264A6" w:rsidP="000264A6">
            <w:pPr>
              <w:spacing w:after="0" w:line="240" w:lineRule="auto"/>
              <w:jc w:val="left"/>
              <w:rPr>
                <w:rFonts w:cs="Arial"/>
                <w:b/>
                <w:bCs/>
                <w:color w:val="FFFFFF"/>
                <w:sz w:val="18"/>
                <w:szCs w:val="18"/>
                <w:lang w:eastAsia="en-AU"/>
              </w:rPr>
            </w:pPr>
            <w:r w:rsidRPr="000264A6">
              <w:rPr>
                <w:rFonts w:cs="Arial"/>
                <w:b/>
                <w:bCs/>
                <w:color w:val="FFFFFF"/>
                <w:sz w:val="18"/>
                <w:szCs w:val="18"/>
                <w:lang w:eastAsia="en-AU"/>
              </w:rPr>
              <w:t>Qualification level</w:t>
            </w:r>
          </w:p>
        </w:tc>
        <w:tc>
          <w:tcPr>
            <w:tcW w:w="1120" w:type="dxa"/>
            <w:shd w:val="clear" w:color="000000" w:fill="366092"/>
            <w:vAlign w:val="center"/>
            <w:hideMark/>
          </w:tcPr>
          <w:p w:rsidR="000264A6" w:rsidRPr="000264A6" w:rsidRDefault="000264A6" w:rsidP="000264A6">
            <w:pPr>
              <w:spacing w:after="0" w:line="240" w:lineRule="auto"/>
              <w:ind w:firstLineChars="100" w:firstLine="181"/>
              <w:jc w:val="right"/>
              <w:rPr>
                <w:rFonts w:cs="Arial"/>
                <w:b/>
                <w:bCs/>
                <w:color w:val="FFFFFF"/>
                <w:sz w:val="18"/>
                <w:szCs w:val="18"/>
                <w:lang w:eastAsia="en-AU"/>
              </w:rPr>
            </w:pPr>
            <w:r w:rsidRPr="000264A6">
              <w:rPr>
                <w:rFonts w:cs="Arial"/>
                <w:b/>
                <w:bCs/>
                <w:color w:val="FFFFFF"/>
                <w:sz w:val="18"/>
                <w:szCs w:val="18"/>
                <w:lang w:eastAsia="en-AU"/>
              </w:rPr>
              <w:t>2008</w:t>
            </w:r>
          </w:p>
        </w:tc>
        <w:tc>
          <w:tcPr>
            <w:tcW w:w="1120" w:type="dxa"/>
            <w:shd w:val="clear" w:color="000000" w:fill="366092"/>
            <w:vAlign w:val="center"/>
            <w:hideMark/>
          </w:tcPr>
          <w:p w:rsidR="000264A6" w:rsidRPr="000264A6" w:rsidRDefault="000264A6" w:rsidP="000264A6">
            <w:pPr>
              <w:spacing w:after="0" w:line="240" w:lineRule="auto"/>
              <w:ind w:firstLineChars="100" w:firstLine="181"/>
              <w:jc w:val="right"/>
              <w:rPr>
                <w:rFonts w:cs="Arial"/>
                <w:b/>
                <w:bCs/>
                <w:color w:val="FFFFFF"/>
                <w:sz w:val="18"/>
                <w:szCs w:val="18"/>
                <w:lang w:eastAsia="en-AU"/>
              </w:rPr>
            </w:pPr>
            <w:r w:rsidRPr="000264A6">
              <w:rPr>
                <w:rFonts w:cs="Arial"/>
                <w:b/>
                <w:bCs/>
                <w:color w:val="FFFFFF"/>
                <w:sz w:val="18"/>
                <w:szCs w:val="18"/>
                <w:lang w:eastAsia="en-AU"/>
              </w:rPr>
              <w:t>2009</w:t>
            </w:r>
          </w:p>
        </w:tc>
        <w:tc>
          <w:tcPr>
            <w:tcW w:w="1120" w:type="dxa"/>
            <w:shd w:val="clear" w:color="000000" w:fill="366092"/>
            <w:vAlign w:val="center"/>
            <w:hideMark/>
          </w:tcPr>
          <w:p w:rsidR="000264A6" w:rsidRPr="000264A6" w:rsidRDefault="000264A6" w:rsidP="000264A6">
            <w:pPr>
              <w:spacing w:after="0" w:line="240" w:lineRule="auto"/>
              <w:ind w:firstLineChars="100" w:firstLine="181"/>
              <w:jc w:val="right"/>
              <w:rPr>
                <w:rFonts w:cs="Arial"/>
                <w:b/>
                <w:bCs/>
                <w:color w:val="FFFFFF"/>
                <w:sz w:val="18"/>
                <w:szCs w:val="18"/>
                <w:lang w:eastAsia="en-AU"/>
              </w:rPr>
            </w:pPr>
            <w:r w:rsidRPr="000264A6">
              <w:rPr>
                <w:rFonts w:cs="Arial"/>
                <w:b/>
                <w:bCs/>
                <w:color w:val="FFFFFF"/>
                <w:sz w:val="18"/>
                <w:szCs w:val="18"/>
                <w:lang w:eastAsia="en-AU"/>
              </w:rPr>
              <w:t>2010</w:t>
            </w:r>
          </w:p>
        </w:tc>
        <w:tc>
          <w:tcPr>
            <w:tcW w:w="1120" w:type="dxa"/>
            <w:shd w:val="clear" w:color="000000" w:fill="366092"/>
            <w:vAlign w:val="center"/>
            <w:hideMark/>
          </w:tcPr>
          <w:p w:rsidR="000264A6" w:rsidRPr="000264A6" w:rsidRDefault="000264A6" w:rsidP="000264A6">
            <w:pPr>
              <w:spacing w:after="0" w:line="240" w:lineRule="auto"/>
              <w:ind w:firstLineChars="100" w:firstLine="181"/>
              <w:jc w:val="right"/>
              <w:rPr>
                <w:rFonts w:cs="Arial"/>
                <w:b/>
                <w:bCs/>
                <w:color w:val="FFFFFF"/>
                <w:sz w:val="18"/>
                <w:szCs w:val="18"/>
                <w:lang w:eastAsia="en-AU"/>
              </w:rPr>
            </w:pPr>
            <w:r w:rsidRPr="000264A6">
              <w:rPr>
                <w:rFonts w:cs="Arial"/>
                <w:b/>
                <w:bCs/>
                <w:color w:val="FFFFFF"/>
                <w:sz w:val="18"/>
                <w:szCs w:val="18"/>
                <w:lang w:eastAsia="en-AU"/>
              </w:rPr>
              <w:t>2011</w:t>
            </w:r>
          </w:p>
        </w:tc>
        <w:tc>
          <w:tcPr>
            <w:tcW w:w="1120" w:type="dxa"/>
            <w:shd w:val="clear" w:color="000000" w:fill="366092"/>
            <w:vAlign w:val="center"/>
            <w:hideMark/>
          </w:tcPr>
          <w:p w:rsidR="000264A6" w:rsidRPr="000264A6" w:rsidRDefault="000264A6" w:rsidP="000264A6">
            <w:pPr>
              <w:spacing w:after="0" w:line="240" w:lineRule="auto"/>
              <w:ind w:firstLineChars="100" w:firstLine="181"/>
              <w:jc w:val="right"/>
              <w:rPr>
                <w:rFonts w:cs="Arial"/>
                <w:b/>
                <w:bCs/>
                <w:color w:val="FFFFFF"/>
                <w:sz w:val="18"/>
                <w:szCs w:val="18"/>
                <w:lang w:eastAsia="en-AU"/>
              </w:rPr>
            </w:pPr>
            <w:r w:rsidRPr="000264A6">
              <w:rPr>
                <w:rFonts w:cs="Arial"/>
                <w:b/>
                <w:bCs/>
                <w:color w:val="FFFFFF"/>
                <w:sz w:val="18"/>
                <w:szCs w:val="18"/>
                <w:lang w:eastAsia="en-AU"/>
              </w:rPr>
              <w:t>2012</w:t>
            </w:r>
          </w:p>
        </w:tc>
        <w:tc>
          <w:tcPr>
            <w:tcW w:w="1120" w:type="dxa"/>
            <w:shd w:val="clear" w:color="000000" w:fill="366092"/>
            <w:vAlign w:val="center"/>
            <w:hideMark/>
          </w:tcPr>
          <w:p w:rsidR="000264A6" w:rsidRPr="000264A6" w:rsidRDefault="000264A6" w:rsidP="000264A6">
            <w:pPr>
              <w:spacing w:after="0" w:line="240" w:lineRule="auto"/>
              <w:ind w:firstLineChars="100" w:firstLine="181"/>
              <w:jc w:val="right"/>
              <w:rPr>
                <w:rFonts w:cs="Arial"/>
                <w:b/>
                <w:bCs/>
                <w:color w:val="FFFFFF"/>
                <w:sz w:val="18"/>
                <w:szCs w:val="18"/>
                <w:lang w:eastAsia="en-AU"/>
              </w:rPr>
            </w:pPr>
            <w:r w:rsidRPr="000264A6">
              <w:rPr>
                <w:rFonts w:cs="Arial"/>
                <w:b/>
                <w:bCs/>
                <w:color w:val="FFFFFF"/>
                <w:sz w:val="18"/>
                <w:szCs w:val="18"/>
                <w:lang w:eastAsia="en-AU"/>
              </w:rPr>
              <w:t>2013</w:t>
            </w:r>
          </w:p>
        </w:tc>
      </w:tr>
      <w:tr w:rsidR="000264A6" w:rsidRPr="000264A6" w:rsidTr="006529D4">
        <w:trPr>
          <w:trHeight w:val="342"/>
        </w:trPr>
        <w:tc>
          <w:tcPr>
            <w:tcW w:w="2800" w:type="dxa"/>
            <w:shd w:val="clear" w:color="000000" w:fill="FFFFFF"/>
            <w:noWrap/>
            <w:vAlign w:val="center"/>
            <w:hideMark/>
          </w:tcPr>
          <w:p w:rsidR="000264A6" w:rsidRPr="000264A6" w:rsidRDefault="000264A6" w:rsidP="006529D4">
            <w:pPr>
              <w:spacing w:after="0" w:line="240" w:lineRule="auto"/>
              <w:jc w:val="left"/>
              <w:rPr>
                <w:rFonts w:cs="Arial"/>
                <w:color w:val="366092"/>
                <w:sz w:val="18"/>
                <w:szCs w:val="18"/>
                <w:lang w:eastAsia="en-AU"/>
              </w:rPr>
            </w:pPr>
            <w:r w:rsidRPr="000264A6">
              <w:rPr>
                <w:rFonts w:cs="Arial"/>
                <w:color w:val="366092"/>
                <w:sz w:val="18"/>
                <w:szCs w:val="18"/>
                <w:lang w:eastAsia="en-AU"/>
              </w:rPr>
              <w:t>Cert I-II</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41,300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48,400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51,500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49,500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57,700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56,500 </w:t>
            </w:r>
          </w:p>
        </w:tc>
      </w:tr>
      <w:tr w:rsidR="000264A6" w:rsidRPr="000264A6" w:rsidTr="006529D4">
        <w:trPr>
          <w:trHeight w:val="342"/>
        </w:trPr>
        <w:tc>
          <w:tcPr>
            <w:tcW w:w="2800" w:type="dxa"/>
            <w:shd w:val="clear" w:color="000000" w:fill="FFFFFF"/>
            <w:noWrap/>
            <w:vAlign w:val="center"/>
            <w:hideMark/>
          </w:tcPr>
          <w:p w:rsidR="000264A6" w:rsidRPr="000264A6" w:rsidRDefault="000264A6" w:rsidP="006529D4">
            <w:pPr>
              <w:spacing w:after="0" w:line="240" w:lineRule="auto"/>
              <w:jc w:val="left"/>
              <w:rPr>
                <w:rFonts w:cs="Arial"/>
                <w:color w:val="366092"/>
                <w:sz w:val="18"/>
                <w:szCs w:val="18"/>
                <w:lang w:eastAsia="en-AU"/>
              </w:rPr>
            </w:pPr>
            <w:r w:rsidRPr="000264A6">
              <w:rPr>
                <w:rFonts w:cs="Arial"/>
                <w:color w:val="366092"/>
                <w:sz w:val="18"/>
                <w:szCs w:val="18"/>
                <w:lang w:eastAsia="en-AU"/>
              </w:rPr>
              <w:t>Cert III-IV</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40,000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43,400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42,600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42,800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55,300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48,100 </w:t>
            </w:r>
          </w:p>
        </w:tc>
      </w:tr>
      <w:tr w:rsidR="000264A6" w:rsidRPr="000264A6" w:rsidTr="006529D4">
        <w:trPr>
          <w:trHeight w:val="342"/>
        </w:trPr>
        <w:tc>
          <w:tcPr>
            <w:tcW w:w="2800" w:type="dxa"/>
            <w:shd w:val="clear" w:color="000000" w:fill="FFFFFF"/>
            <w:noWrap/>
            <w:vAlign w:val="center"/>
            <w:hideMark/>
          </w:tcPr>
          <w:p w:rsidR="000264A6" w:rsidRPr="000264A6" w:rsidRDefault="000264A6" w:rsidP="006529D4">
            <w:pPr>
              <w:spacing w:after="0" w:line="240" w:lineRule="auto"/>
              <w:jc w:val="left"/>
              <w:rPr>
                <w:rFonts w:cs="Arial"/>
                <w:color w:val="366092"/>
                <w:sz w:val="18"/>
                <w:szCs w:val="18"/>
                <w:lang w:eastAsia="en-AU"/>
              </w:rPr>
            </w:pPr>
            <w:r w:rsidRPr="000264A6">
              <w:rPr>
                <w:rFonts w:cs="Arial"/>
                <w:color w:val="366092"/>
                <w:sz w:val="18"/>
                <w:szCs w:val="18"/>
                <w:lang w:eastAsia="en-AU"/>
              </w:rPr>
              <w:t>Diploma &amp; Above</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7,300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8,000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8,300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8,500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10,200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10,900 </w:t>
            </w:r>
          </w:p>
        </w:tc>
      </w:tr>
      <w:tr w:rsidR="000264A6" w:rsidRPr="000264A6" w:rsidTr="006529D4">
        <w:trPr>
          <w:trHeight w:val="342"/>
        </w:trPr>
        <w:tc>
          <w:tcPr>
            <w:tcW w:w="2800" w:type="dxa"/>
            <w:shd w:val="clear" w:color="000000" w:fill="FFFFFF"/>
            <w:noWrap/>
            <w:vAlign w:val="center"/>
            <w:hideMark/>
          </w:tcPr>
          <w:p w:rsidR="000264A6" w:rsidRPr="000264A6" w:rsidRDefault="000264A6" w:rsidP="006529D4">
            <w:pPr>
              <w:spacing w:after="0" w:line="240" w:lineRule="auto"/>
              <w:jc w:val="left"/>
              <w:rPr>
                <w:rFonts w:cs="Arial"/>
                <w:color w:val="366092"/>
                <w:sz w:val="18"/>
                <w:szCs w:val="18"/>
                <w:lang w:eastAsia="en-AU"/>
              </w:rPr>
            </w:pPr>
            <w:r w:rsidRPr="000264A6">
              <w:rPr>
                <w:rFonts w:cs="Arial"/>
                <w:color w:val="366092"/>
                <w:sz w:val="18"/>
                <w:szCs w:val="18"/>
                <w:lang w:eastAsia="en-AU"/>
              </w:rPr>
              <w:t>Higher Education</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750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1,000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1,300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1,400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1,600 </w:t>
            </w:r>
          </w:p>
        </w:tc>
        <w:tc>
          <w:tcPr>
            <w:tcW w:w="1120" w:type="dxa"/>
            <w:shd w:val="clear" w:color="auto" w:fill="auto"/>
            <w:noWrap/>
            <w:vAlign w:val="center"/>
            <w:hideMark/>
          </w:tcPr>
          <w:p w:rsidR="000264A6" w:rsidRPr="000264A6" w:rsidRDefault="000264A6" w:rsidP="000264A6">
            <w:pPr>
              <w:spacing w:after="0" w:line="240" w:lineRule="auto"/>
              <w:jc w:val="right"/>
              <w:rPr>
                <w:rFonts w:cs="Arial"/>
                <w:sz w:val="18"/>
                <w:szCs w:val="18"/>
                <w:lang w:eastAsia="en-AU"/>
              </w:rPr>
            </w:pPr>
            <w:r w:rsidRPr="000264A6">
              <w:rPr>
                <w:rFonts w:cs="Arial"/>
                <w:sz w:val="18"/>
                <w:szCs w:val="18"/>
                <w:lang w:eastAsia="en-AU"/>
              </w:rPr>
              <w:t xml:space="preserve">1,400 </w:t>
            </w:r>
          </w:p>
        </w:tc>
      </w:tr>
      <w:tr w:rsidR="000264A6" w:rsidRPr="000264A6" w:rsidTr="00CE66D9">
        <w:trPr>
          <w:trHeight w:val="342"/>
        </w:trPr>
        <w:tc>
          <w:tcPr>
            <w:tcW w:w="2800" w:type="dxa"/>
            <w:shd w:val="clear" w:color="000000" w:fill="366092"/>
            <w:noWrap/>
            <w:vAlign w:val="bottom"/>
            <w:hideMark/>
          </w:tcPr>
          <w:p w:rsidR="000264A6" w:rsidRPr="000264A6" w:rsidRDefault="000264A6" w:rsidP="000264A6">
            <w:pPr>
              <w:spacing w:after="0" w:line="240" w:lineRule="auto"/>
              <w:jc w:val="left"/>
              <w:rPr>
                <w:rFonts w:cs="Arial"/>
                <w:b/>
                <w:bCs/>
                <w:color w:val="FFFFFF"/>
                <w:sz w:val="18"/>
                <w:szCs w:val="18"/>
                <w:lang w:eastAsia="en-AU"/>
              </w:rPr>
            </w:pPr>
            <w:r w:rsidRPr="000264A6">
              <w:rPr>
                <w:rFonts w:cs="Arial"/>
                <w:b/>
                <w:bCs/>
                <w:color w:val="FFFFFF"/>
                <w:sz w:val="18"/>
                <w:szCs w:val="18"/>
                <w:lang w:eastAsia="en-AU"/>
              </w:rPr>
              <w:t>Total</w:t>
            </w:r>
          </w:p>
        </w:tc>
        <w:tc>
          <w:tcPr>
            <w:tcW w:w="1120" w:type="dxa"/>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xml:space="preserve">89,400 </w:t>
            </w:r>
          </w:p>
        </w:tc>
        <w:tc>
          <w:tcPr>
            <w:tcW w:w="1120" w:type="dxa"/>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xml:space="preserve">100,800 </w:t>
            </w:r>
          </w:p>
        </w:tc>
        <w:tc>
          <w:tcPr>
            <w:tcW w:w="1120" w:type="dxa"/>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xml:space="preserve">103,700 </w:t>
            </w:r>
          </w:p>
        </w:tc>
        <w:tc>
          <w:tcPr>
            <w:tcW w:w="1120" w:type="dxa"/>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xml:space="preserve">102,200 </w:t>
            </w:r>
          </w:p>
        </w:tc>
        <w:tc>
          <w:tcPr>
            <w:tcW w:w="1120" w:type="dxa"/>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xml:space="preserve">124,900 </w:t>
            </w:r>
          </w:p>
        </w:tc>
        <w:tc>
          <w:tcPr>
            <w:tcW w:w="1120" w:type="dxa"/>
            <w:shd w:val="clear" w:color="000000" w:fill="366092"/>
            <w:noWrap/>
            <w:vAlign w:val="center"/>
            <w:hideMark/>
          </w:tcPr>
          <w:p w:rsidR="000264A6" w:rsidRPr="000264A6" w:rsidRDefault="000264A6" w:rsidP="000264A6">
            <w:pPr>
              <w:spacing w:after="0" w:line="240" w:lineRule="auto"/>
              <w:jc w:val="right"/>
              <w:rPr>
                <w:rFonts w:cs="Arial"/>
                <w:b/>
                <w:bCs/>
                <w:color w:val="FFFFFF"/>
                <w:sz w:val="18"/>
                <w:szCs w:val="18"/>
                <w:lang w:eastAsia="en-AU"/>
              </w:rPr>
            </w:pPr>
            <w:r w:rsidRPr="000264A6">
              <w:rPr>
                <w:rFonts w:cs="Arial"/>
                <w:b/>
                <w:bCs/>
                <w:color w:val="FFFFFF"/>
                <w:sz w:val="18"/>
                <w:szCs w:val="18"/>
                <w:lang w:eastAsia="en-AU"/>
              </w:rPr>
              <w:t xml:space="preserve">116,900 </w:t>
            </w:r>
          </w:p>
        </w:tc>
      </w:tr>
    </w:tbl>
    <w:p w:rsidR="00147BA5" w:rsidRDefault="00147BA5" w:rsidP="00351166">
      <w:pPr>
        <w:rPr>
          <w:rFonts w:cs="Arial"/>
        </w:rPr>
      </w:pPr>
    </w:p>
    <w:p w:rsidR="006D4F92" w:rsidRDefault="00EA5ABC" w:rsidP="002F7717">
      <w:pPr>
        <w:pStyle w:val="Caption"/>
        <w:spacing w:after="0"/>
        <w:jc w:val="left"/>
        <w:rPr>
          <w:rFonts w:cs="Arial"/>
          <w:color w:val="365F91" w:themeColor="accent1" w:themeShade="BF"/>
        </w:rPr>
      </w:pPr>
      <w:r w:rsidRPr="000264A6">
        <w:rPr>
          <w:rFonts w:cs="Arial"/>
          <w:color w:val="365F91" w:themeColor="accent1" w:themeShade="BF"/>
        </w:rPr>
        <w:t>Table 1.6</w:t>
      </w:r>
      <w:r w:rsidR="006D4F92" w:rsidRPr="000264A6">
        <w:rPr>
          <w:rFonts w:cs="Arial"/>
          <w:color w:val="365F91" w:themeColor="accent1" w:themeShade="BF"/>
        </w:rPr>
        <w:t xml:space="preserve">.2: </w:t>
      </w:r>
      <w:r w:rsidR="000264A6">
        <w:rPr>
          <w:color w:val="365F91" w:themeColor="accent1" w:themeShade="BF"/>
        </w:rPr>
        <w:t xml:space="preserve">Change in </w:t>
      </w:r>
      <w:r w:rsidR="000264A6" w:rsidRPr="00F2141D">
        <w:rPr>
          <w:color w:val="365F91" w:themeColor="accent1" w:themeShade="BF"/>
        </w:rPr>
        <w:t>Government</w:t>
      </w:r>
      <w:r w:rsidR="000264A6" w:rsidRPr="000264A6">
        <w:rPr>
          <w:rFonts w:cs="Arial"/>
          <w:color w:val="365F91" w:themeColor="accent1" w:themeShade="BF"/>
        </w:rPr>
        <w:t xml:space="preserve"> </w:t>
      </w:r>
      <w:r w:rsidR="000264A6">
        <w:rPr>
          <w:rFonts w:cs="Arial"/>
          <w:color w:val="365F91" w:themeColor="accent1" w:themeShade="BF"/>
        </w:rPr>
        <w:t xml:space="preserve">in </w:t>
      </w:r>
      <w:r w:rsidR="006D4F92" w:rsidRPr="000264A6">
        <w:rPr>
          <w:rFonts w:cs="Arial"/>
          <w:color w:val="365F91" w:themeColor="accent1" w:themeShade="BF"/>
        </w:rPr>
        <w:t xml:space="preserve">TAFE domestic fee for service enrolments </w:t>
      </w:r>
      <w:r w:rsidR="00C92185" w:rsidRPr="000264A6">
        <w:rPr>
          <w:rFonts w:cs="Arial"/>
          <w:color w:val="365F91" w:themeColor="accent1" w:themeShade="BF"/>
        </w:rPr>
        <w:t>(</w:t>
      </w:r>
      <w:r w:rsidR="00C87407">
        <w:rPr>
          <w:rFonts w:cs="Arial"/>
          <w:color w:val="365F91" w:themeColor="accent1" w:themeShade="BF"/>
        </w:rPr>
        <w:t>excluding Foundation, w</w:t>
      </w:r>
      <w:r w:rsidR="006529D4" w:rsidRPr="006529D4">
        <w:rPr>
          <w:rFonts w:cs="Arial"/>
          <w:color w:val="365F91" w:themeColor="accent1" w:themeShade="BF"/>
        </w:rPr>
        <w:t>orkplace preparation, education pathways and LOTE</w:t>
      </w:r>
      <w:r w:rsidR="00C92185" w:rsidRPr="000264A6">
        <w:rPr>
          <w:rFonts w:cs="Arial"/>
          <w:color w:val="365F91" w:themeColor="accent1" w:themeShade="BF"/>
        </w:rPr>
        <w:t xml:space="preserve">) </w:t>
      </w:r>
      <w:r w:rsidR="006D4F92" w:rsidRPr="000264A6">
        <w:rPr>
          <w:rFonts w:cs="Arial"/>
          <w:color w:val="365F91" w:themeColor="accent1" w:themeShade="BF"/>
        </w:rPr>
        <w:t>by qualification level (AQF</w:t>
      </w:r>
      <w:r w:rsidR="00C87407">
        <w:rPr>
          <w:rFonts w:cs="Arial"/>
          <w:color w:val="365F91" w:themeColor="accent1" w:themeShade="BF"/>
        </w:rPr>
        <w:t xml:space="preserve"> </w:t>
      </w:r>
      <w:r w:rsidR="006D4F92" w:rsidRPr="000264A6">
        <w:rPr>
          <w:rFonts w:cs="Arial"/>
          <w:color w:val="365F91" w:themeColor="accent1" w:themeShade="BF"/>
        </w:rPr>
        <w:t>1+)</w:t>
      </w:r>
    </w:p>
    <w:tbl>
      <w:tblPr>
        <w:tblW w:w="6526" w:type="dxa"/>
        <w:tblInd w:w="103" w:type="dxa"/>
        <w:tblLayout w:type="fixed"/>
        <w:tblLook w:val="04A0" w:firstRow="1" w:lastRow="0" w:firstColumn="1" w:lastColumn="0" w:noHBand="0" w:noVBand="1"/>
      </w:tblPr>
      <w:tblGrid>
        <w:gridCol w:w="2800"/>
        <w:gridCol w:w="1242"/>
        <w:gridCol w:w="1242"/>
        <w:gridCol w:w="1242"/>
      </w:tblGrid>
      <w:tr w:rsidR="000264A6" w:rsidRPr="000264A6" w:rsidTr="006529D4">
        <w:trPr>
          <w:trHeight w:val="545"/>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0264A6" w:rsidRPr="006529D4" w:rsidRDefault="000264A6" w:rsidP="00470D51">
            <w:pPr>
              <w:spacing w:after="0" w:line="240" w:lineRule="auto"/>
              <w:jc w:val="left"/>
              <w:rPr>
                <w:rFonts w:cs="Arial"/>
                <w:b/>
                <w:bCs/>
                <w:color w:val="FFFFFF"/>
                <w:sz w:val="18"/>
                <w:szCs w:val="18"/>
                <w:lang w:eastAsia="en-AU"/>
              </w:rPr>
            </w:pPr>
            <w:r w:rsidRPr="006529D4">
              <w:rPr>
                <w:rFonts w:cs="Arial"/>
                <w:b/>
                <w:bCs/>
                <w:color w:val="FFFFFF"/>
                <w:sz w:val="18"/>
                <w:szCs w:val="18"/>
                <w:lang w:eastAsia="en-AU"/>
              </w:rPr>
              <w:t>Qualification level</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6529D4" w:rsidRDefault="000264A6" w:rsidP="00470D51">
            <w:pPr>
              <w:spacing w:after="0" w:line="240" w:lineRule="auto"/>
              <w:jc w:val="right"/>
              <w:rPr>
                <w:rFonts w:cs="Arial"/>
                <w:b/>
                <w:bCs/>
                <w:color w:val="FFFFFF"/>
                <w:sz w:val="18"/>
                <w:szCs w:val="18"/>
                <w:lang w:eastAsia="en-AU"/>
              </w:rPr>
            </w:pPr>
            <w:r w:rsidRPr="006529D4">
              <w:rPr>
                <w:rFonts w:cs="Arial"/>
                <w:b/>
                <w:bCs/>
                <w:color w:val="FFFFFF"/>
                <w:sz w:val="18"/>
                <w:szCs w:val="18"/>
                <w:lang w:eastAsia="en-AU"/>
              </w:rPr>
              <w:t>% change</w:t>
            </w:r>
            <w:r w:rsidRPr="006529D4">
              <w:rPr>
                <w:rFonts w:cs="Arial"/>
                <w:b/>
                <w:bCs/>
                <w:color w:val="FFFFFF"/>
                <w:sz w:val="18"/>
                <w:szCs w:val="18"/>
                <w:lang w:eastAsia="en-AU"/>
              </w:rPr>
              <w:br/>
              <w:t>2008-2013</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6529D4" w:rsidRDefault="000264A6" w:rsidP="00470D51">
            <w:pPr>
              <w:spacing w:after="0" w:line="240" w:lineRule="auto"/>
              <w:jc w:val="right"/>
              <w:rPr>
                <w:rFonts w:cs="Arial"/>
                <w:b/>
                <w:bCs/>
                <w:color w:val="FFFFFF"/>
                <w:sz w:val="18"/>
                <w:szCs w:val="18"/>
                <w:lang w:eastAsia="en-AU"/>
              </w:rPr>
            </w:pPr>
            <w:r w:rsidRPr="006529D4">
              <w:rPr>
                <w:rFonts w:cs="Arial"/>
                <w:b/>
                <w:bCs/>
                <w:color w:val="FFFFFF"/>
                <w:sz w:val="18"/>
                <w:szCs w:val="18"/>
                <w:lang w:eastAsia="en-AU"/>
              </w:rPr>
              <w:t>% change</w:t>
            </w:r>
            <w:r w:rsidRPr="006529D4">
              <w:rPr>
                <w:rFonts w:cs="Arial"/>
                <w:b/>
                <w:bCs/>
                <w:color w:val="FFFFFF"/>
                <w:sz w:val="18"/>
                <w:szCs w:val="18"/>
                <w:lang w:eastAsia="en-AU"/>
              </w:rPr>
              <w:br/>
              <w:t>2011-2013 </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0264A6" w:rsidRPr="006529D4" w:rsidRDefault="000264A6" w:rsidP="00470D51">
            <w:pPr>
              <w:spacing w:after="0" w:line="240" w:lineRule="auto"/>
              <w:jc w:val="right"/>
              <w:rPr>
                <w:rFonts w:cs="Arial"/>
                <w:b/>
                <w:bCs/>
                <w:color w:val="FFFFFF"/>
                <w:sz w:val="18"/>
                <w:szCs w:val="18"/>
                <w:lang w:eastAsia="en-AU"/>
              </w:rPr>
            </w:pPr>
            <w:r w:rsidRPr="006529D4">
              <w:rPr>
                <w:rFonts w:cs="Arial"/>
                <w:b/>
                <w:bCs/>
                <w:color w:val="FFFFFF"/>
                <w:sz w:val="18"/>
                <w:szCs w:val="18"/>
                <w:lang w:eastAsia="en-AU"/>
              </w:rPr>
              <w:t>% change</w:t>
            </w:r>
            <w:r w:rsidRPr="006529D4">
              <w:rPr>
                <w:rFonts w:cs="Arial"/>
                <w:b/>
                <w:bCs/>
                <w:color w:val="FFFFFF"/>
                <w:sz w:val="18"/>
                <w:szCs w:val="18"/>
                <w:lang w:eastAsia="en-AU"/>
              </w:rPr>
              <w:br/>
              <w:t>2012-2013</w:t>
            </w:r>
          </w:p>
        </w:tc>
      </w:tr>
      <w:tr w:rsidR="000264A6" w:rsidRPr="000264A6" w:rsidTr="006529D4">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0264A6" w:rsidRPr="006529D4" w:rsidRDefault="000264A6" w:rsidP="006529D4">
            <w:pPr>
              <w:spacing w:after="0" w:line="240" w:lineRule="auto"/>
              <w:jc w:val="left"/>
              <w:rPr>
                <w:rFonts w:cs="Arial"/>
                <w:color w:val="366092"/>
                <w:sz w:val="18"/>
                <w:szCs w:val="18"/>
                <w:lang w:eastAsia="en-AU"/>
              </w:rPr>
            </w:pPr>
            <w:r w:rsidRPr="006529D4">
              <w:rPr>
                <w:rFonts w:cs="Arial"/>
                <w:color w:val="366092"/>
                <w:sz w:val="18"/>
                <w:szCs w:val="18"/>
                <w:lang w:eastAsia="en-AU"/>
              </w:rPr>
              <w:t>Cert I-II</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37%</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14%</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-2%</w:t>
            </w:r>
          </w:p>
        </w:tc>
      </w:tr>
      <w:tr w:rsidR="000264A6" w:rsidRPr="000264A6" w:rsidTr="006529D4">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0264A6" w:rsidRPr="006529D4" w:rsidRDefault="000264A6" w:rsidP="006529D4">
            <w:pPr>
              <w:spacing w:after="0" w:line="240" w:lineRule="auto"/>
              <w:jc w:val="left"/>
              <w:rPr>
                <w:rFonts w:cs="Arial"/>
                <w:color w:val="366092"/>
                <w:sz w:val="18"/>
                <w:szCs w:val="18"/>
                <w:lang w:eastAsia="en-AU"/>
              </w:rPr>
            </w:pPr>
            <w:r w:rsidRPr="006529D4">
              <w:rPr>
                <w:rFonts w:cs="Arial"/>
                <w:color w:val="366092"/>
                <w:sz w:val="18"/>
                <w:szCs w:val="18"/>
                <w:lang w:eastAsia="en-AU"/>
              </w:rPr>
              <w:t>Cert III-IV</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20%</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12%</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-13%</w:t>
            </w:r>
          </w:p>
        </w:tc>
      </w:tr>
      <w:tr w:rsidR="000264A6" w:rsidRPr="000264A6" w:rsidTr="006529D4">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0264A6" w:rsidRPr="006529D4" w:rsidRDefault="000264A6" w:rsidP="006529D4">
            <w:pPr>
              <w:spacing w:after="0" w:line="240" w:lineRule="auto"/>
              <w:jc w:val="left"/>
              <w:rPr>
                <w:rFonts w:cs="Arial"/>
                <w:color w:val="366092"/>
                <w:sz w:val="18"/>
                <w:szCs w:val="18"/>
                <w:lang w:eastAsia="en-AU"/>
              </w:rPr>
            </w:pPr>
            <w:r w:rsidRPr="006529D4">
              <w:rPr>
                <w:rFonts w:cs="Arial"/>
                <w:color w:val="366092"/>
                <w:sz w:val="18"/>
                <w:szCs w:val="18"/>
                <w:lang w:eastAsia="en-AU"/>
              </w:rPr>
              <w:t>Diploma &amp; Above</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48%</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28%</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6%</w:t>
            </w:r>
          </w:p>
        </w:tc>
      </w:tr>
      <w:tr w:rsidR="000264A6" w:rsidRPr="000264A6" w:rsidTr="006529D4">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0264A6" w:rsidRPr="006529D4" w:rsidRDefault="000264A6" w:rsidP="006529D4">
            <w:pPr>
              <w:spacing w:after="0" w:line="240" w:lineRule="auto"/>
              <w:jc w:val="left"/>
              <w:rPr>
                <w:rFonts w:cs="Arial"/>
                <w:color w:val="366092"/>
                <w:sz w:val="18"/>
                <w:szCs w:val="18"/>
                <w:lang w:eastAsia="en-AU"/>
              </w:rPr>
            </w:pPr>
            <w:r w:rsidRPr="006529D4">
              <w:rPr>
                <w:rFonts w:cs="Arial"/>
                <w:color w:val="366092"/>
                <w:sz w:val="18"/>
                <w:szCs w:val="18"/>
                <w:lang w:eastAsia="en-AU"/>
              </w:rPr>
              <w:t>Higher Education</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97%</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4%</w:t>
            </w:r>
          </w:p>
        </w:tc>
        <w:tc>
          <w:tcPr>
            <w:tcW w:w="1242" w:type="dxa"/>
            <w:tcBorders>
              <w:top w:val="nil"/>
              <w:left w:val="nil"/>
              <w:bottom w:val="single" w:sz="4" w:space="0" w:color="366092"/>
              <w:right w:val="single" w:sz="4" w:space="0" w:color="366092"/>
            </w:tcBorders>
            <w:shd w:val="clear" w:color="auto" w:fill="auto"/>
            <w:noWrap/>
            <w:vAlign w:val="center"/>
            <w:hideMark/>
          </w:tcPr>
          <w:p w:rsidR="000264A6" w:rsidRPr="006529D4" w:rsidRDefault="000264A6" w:rsidP="00470D51">
            <w:pPr>
              <w:spacing w:after="0" w:line="240" w:lineRule="auto"/>
              <w:jc w:val="right"/>
              <w:rPr>
                <w:rFonts w:cs="Arial"/>
                <w:sz w:val="18"/>
                <w:szCs w:val="18"/>
                <w:lang w:eastAsia="en-AU"/>
              </w:rPr>
            </w:pPr>
            <w:r w:rsidRPr="006529D4">
              <w:rPr>
                <w:rFonts w:cs="Arial"/>
                <w:sz w:val="18"/>
                <w:szCs w:val="18"/>
                <w:lang w:eastAsia="en-AU"/>
              </w:rPr>
              <w:t>-9%</w:t>
            </w:r>
          </w:p>
        </w:tc>
      </w:tr>
      <w:tr w:rsidR="000264A6" w:rsidRPr="000264A6" w:rsidTr="00470D51">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0264A6" w:rsidRPr="006529D4" w:rsidRDefault="000264A6" w:rsidP="00470D51">
            <w:pPr>
              <w:spacing w:after="0" w:line="240" w:lineRule="auto"/>
              <w:jc w:val="left"/>
              <w:rPr>
                <w:rFonts w:cs="Arial"/>
                <w:b/>
                <w:bCs/>
                <w:color w:val="FFFFFF"/>
                <w:sz w:val="18"/>
                <w:szCs w:val="18"/>
                <w:lang w:eastAsia="en-AU"/>
              </w:rPr>
            </w:pPr>
            <w:r w:rsidRPr="006529D4">
              <w:rPr>
                <w:rFonts w:cs="Arial"/>
                <w:b/>
                <w:bCs/>
                <w:color w:val="FFFFFF"/>
                <w:sz w:val="18"/>
                <w:szCs w:val="18"/>
                <w:lang w:eastAsia="en-AU"/>
              </w:rPr>
              <w:t>Total</w:t>
            </w:r>
          </w:p>
        </w:tc>
        <w:tc>
          <w:tcPr>
            <w:tcW w:w="1242" w:type="dxa"/>
            <w:tcBorders>
              <w:top w:val="nil"/>
              <w:left w:val="nil"/>
              <w:bottom w:val="single" w:sz="4" w:space="0" w:color="366092"/>
              <w:right w:val="single" w:sz="4" w:space="0" w:color="366092"/>
            </w:tcBorders>
            <w:shd w:val="clear" w:color="000000" w:fill="366092"/>
            <w:noWrap/>
            <w:vAlign w:val="center"/>
            <w:hideMark/>
          </w:tcPr>
          <w:p w:rsidR="000264A6" w:rsidRPr="006529D4" w:rsidRDefault="000264A6" w:rsidP="00470D51">
            <w:pPr>
              <w:spacing w:after="0" w:line="240" w:lineRule="auto"/>
              <w:jc w:val="right"/>
              <w:rPr>
                <w:rFonts w:cs="Arial"/>
                <w:b/>
                <w:bCs/>
                <w:color w:val="FFFFFF"/>
                <w:sz w:val="18"/>
                <w:szCs w:val="18"/>
                <w:lang w:eastAsia="en-AU"/>
              </w:rPr>
            </w:pPr>
            <w:r w:rsidRPr="006529D4">
              <w:rPr>
                <w:rFonts w:cs="Arial"/>
                <w:b/>
                <w:bCs/>
                <w:color w:val="FFFFFF"/>
                <w:sz w:val="18"/>
                <w:szCs w:val="18"/>
                <w:lang w:eastAsia="en-AU"/>
              </w:rPr>
              <w:t>31%</w:t>
            </w:r>
          </w:p>
        </w:tc>
        <w:tc>
          <w:tcPr>
            <w:tcW w:w="1242" w:type="dxa"/>
            <w:tcBorders>
              <w:top w:val="nil"/>
              <w:left w:val="nil"/>
              <w:bottom w:val="single" w:sz="4" w:space="0" w:color="366092"/>
              <w:right w:val="single" w:sz="4" w:space="0" w:color="366092"/>
            </w:tcBorders>
            <w:shd w:val="clear" w:color="000000" w:fill="366092"/>
            <w:noWrap/>
            <w:vAlign w:val="center"/>
            <w:hideMark/>
          </w:tcPr>
          <w:p w:rsidR="000264A6" w:rsidRPr="006529D4" w:rsidRDefault="000264A6" w:rsidP="00470D51">
            <w:pPr>
              <w:spacing w:after="0" w:line="240" w:lineRule="auto"/>
              <w:jc w:val="right"/>
              <w:rPr>
                <w:rFonts w:cs="Arial"/>
                <w:b/>
                <w:bCs/>
                <w:color w:val="FFFFFF"/>
                <w:sz w:val="18"/>
                <w:szCs w:val="18"/>
                <w:lang w:eastAsia="en-AU"/>
              </w:rPr>
            </w:pPr>
            <w:r w:rsidRPr="006529D4">
              <w:rPr>
                <w:rFonts w:cs="Arial"/>
                <w:b/>
                <w:bCs/>
                <w:color w:val="FFFFFF"/>
                <w:sz w:val="18"/>
                <w:szCs w:val="18"/>
                <w:lang w:eastAsia="en-AU"/>
              </w:rPr>
              <w:t>14%</w:t>
            </w:r>
          </w:p>
        </w:tc>
        <w:tc>
          <w:tcPr>
            <w:tcW w:w="1242" w:type="dxa"/>
            <w:tcBorders>
              <w:top w:val="nil"/>
              <w:left w:val="nil"/>
              <w:bottom w:val="single" w:sz="4" w:space="0" w:color="366092"/>
              <w:right w:val="single" w:sz="4" w:space="0" w:color="366092"/>
            </w:tcBorders>
            <w:shd w:val="clear" w:color="000000" w:fill="366092"/>
            <w:noWrap/>
            <w:vAlign w:val="center"/>
            <w:hideMark/>
          </w:tcPr>
          <w:p w:rsidR="000264A6" w:rsidRPr="006529D4" w:rsidRDefault="000264A6" w:rsidP="00470D51">
            <w:pPr>
              <w:spacing w:after="0" w:line="240" w:lineRule="auto"/>
              <w:jc w:val="right"/>
              <w:rPr>
                <w:rFonts w:cs="Arial"/>
                <w:b/>
                <w:bCs/>
                <w:color w:val="FFFFFF"/>
                <w:sz w:val="18"/>
                <w:szCs w:val="18"/>
                <w:lang w:eastAsia="en-AU"/>
              </w:rPr>
            </w:pPr>
            <w:r w:rsidRPr="006529D4">
              <w:rPr>
                <w:rFonts w:cs="Arial"/>
                <w:b/>
                <w:bCs/>
                <w:color w:val="FFFFFF"/>
                <w:sz w:val="18"/>
                <w:szCs w:val="18"/>
                <w:lang w:eastAsia="en-AU"/>
              </w:rPr>
              <w:t>-6%</w:t>
            </w:r>
          </w:p>
        </w:tc>
      </w:tr>
    </w:tbl>
    <w:p w:rsidR="002A1EBA" w:rsidRDefault="00CE66D9" w:rsidP="002A1EBA">
      <w:r>
        <w:br w:type="textWrapping" w:clear="all"/>
      </w:r>
    </w:p>
    <w:p w:rsidR="00C92185" w:rsidRPr="00AF4424" w:rsidRDefault="00C92185" w:rsidP="00C92185">
      <w:pPr>
        <w:pStyle w:val="Caption"/>
        <w:spacing w:after="0"/>
        <w:jc w:val="left"/>
        <w:rPr>
          <w:rFonts w:cs="Arial"/>
          <w:color w:val="365F91" w:themeColor="accent1" w:themeShade="BF"/>
        </w:rPr>
      </w:pPr>
      <w:r w:rsidRPr="00AF4424">
        <w:rPr>
          <w:rFonts w:cs="Arial"/>
          <w:color w:val="365F91" w:themeColor="accent1" w:themeShade="BF"/>
        </w:rPr>
        <w:t>Table 1.</w:t>
      </w:r>
      <w:r w:rsidR="00EA5ABC" w:rsidRPr="00AF4424">
        <w:rPr>
          <w:rFonts w:cs="Arial"/>
          <w:color w:val="365F91" w:themeColor="accent1" w:themeShade="BF"/>
        </w:rPr>
        <w:t>7</w:t>
      </w:r>
      <w:r w:rsidRPr="00AF4424">
        <w:rPr>
          <w:rFonts w:cs="Arial"/>
          <w:color w:val="365F91" w:themeColor="accent1" w:themeShade="BF"/>
        </w:rPr>
        <w:t>.1: TAFE domestic fee for service enrolments (</w:t>
      </w:r>
      <w:r w:rsidR="00C87407">
        <w:rPr>
          <w:rFonts w:cs="Arial"/>
          <w:color w:val="365F91" w:themeColor="accent1" w:themeShade="BF"/>
        </w:rPr>
        <w:t>only including Foundation, w</w:t>
      </w:r>
      <w:r w:rsidR="006529D4" w:rsidRPr="006529D4">
        <w:rPr>
          <w:rFonts w:cs="Arial"/>
          <w:color w:val="365F91" w:themeColor="accent1" w:themeShade="BF"/>
        </w:rPr>
        <w:t>orkplace preparation, education pathways and LOTE</w:t>
      </w:r>
      <w:r w:rsidRPr="00AF4424">
        <w:rPr>
          <w:rFonts w:cs="Arial"/>
          <w:color w:val="365F91" w:themeColor="accent1" w:themeShade="BF"/>
        </w:rPr>
        <w:t>) by qualification level (AQF</w:t>
      </w:r>
      <w:r w:rsidR="00C87407">
        <w:rPr>
          <w:rFonts w:cs="Arial"/>
          <w:color w:val="365F91" w:themeColor="accent1" w:themeShade="BF"/>
        </w:rPr>
        <w:t xml:space="preserve"> </w:t>
      </w:r>
      <w:r w:rsidRPr="00AF4424">
        <w:rPr>
          <w:rFonts w:cs="Arial"/>
          <w:color w:val="365F91" w:themeColor="accent1" w:themeShade="BF"/>
        </w:rPr>
        <w:t xml:space="preserve">1+), </w:t>
      </w:r>
      <w:r w:rsidR="006B7941" w:rsidRPr="00AF4424">
        <w:rPr>
          <w:rFonts w:cs="Arial"/>
          <w:color w:val="365F91" w:themeColor="accent1" w:themeShade="BF"/>
        </w:rPr>
        <w:br/>
      </w:r>
      <w:r w:rsidR="004C3990">
        <w:rPr>
          <w:rFonts w:cs="Arial"/>
          <w:color w:val="365F91" w:themeColor="accent1" w:themeShade="BF"/>
        </w:rPr>
        <w:t>2008–2013</w:t>
      </w:r>
    </w:p>
    <w:tbl>
      <w:tblPr>
        <w:tblW w:w="952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800"/>
        <w:gridCol w:w="1120"/>
        <w:gridCol w:w="1120"/>
        <w:gridCol w:w="1120"/>
        <w:gridCol w:w="1120"/>
        <w:gridCol w:w="1120"/>
        <w:gridCol w:w="1120"/>
      </w:tblGrid>
      <w:tr w:rsidR="00AF4424" w:rsidRPr="00AF4424" w:rsidTr="00A12A1C">
        <w:trPr>
          <w:trHeight w:val="762"/>
        </w:trPr>
        <w:tc>
          <w:tcPr>
            <w:tcW w:w="2800" w:type="dxa"/>
            <w:shd w:val="clear" w:color="000000" w:fill="366092"/>
            <w:noWrap/>
            <w:vAlign w:val="center"/>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Qualification level</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2008</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2009</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2010</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2011</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2012</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2013</w:t>
            </w:r>
          </w:p>
        </w:tc>
      </w:tr>
      <w:tr w:rsidR="00AF4424" w:rsidRPr="00AF4424" w:rsidTr="008D0872">
        <w:trPr>
          <w:trHeight w:val="342"/>
        </w:trPr>
        <w:tc>
          <w:tcPr>
            <w:tcW w:w="2800" w:type="dxa"/>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8,300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7,400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7,400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6,400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11,700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13,700 </w:t>
            </w:r>
          </w:p>
        </w:tc>
      </w:tr>
      <w:tr w:rsidR="00AF4424" w:rsidRPr="00AF4424" w:rsidTr="008D0872">
        <w:trPr>
          <w:trHeight w:val="342"/>
        </w:trPr>
        <w:tc>
          <w:tcPr>
            <w:tcW w:w="2800" w:type="dxa"/>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III-IV</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1,800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2,200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2,100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1,900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2,500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2,700 </w:t>
            </w:r>
          </w:p>
        </w:tc>
      </w:tr>
      <w:tr w:rsidR="00AF4424" w:rsidRPr="00AF4424" w:rsidTr="00A12A1C">
        <w:trPr>
          <w:trHeight w:val="342"/>
        </w:trPr>
        <w:tc>
          <w:tcPr>
            <w:tcW w:w="2800" w:type="dxa"/>
            <w:shd w:val="clear" w:color="000000" w:fill="366092"/>
            <w:noWrap/>
            <w:vAlign w:val="bottom"/>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Total</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10,000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9,600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9,500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8,400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14,200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16,400 </w:t>
            </w:r>
          </w:p>
        </w:tc>
      </w:tr>
    </w:tbl>
    <w:p w:rsidR="00C92185" w:rsidRDefault="00C92185" w:rsidP="002F7717">
      <w:pPr>
        <w:jc w:val="left"/>
        <w:rPr>
          <w:rFonts w:cs="Arial"/>
        </w:rPr>
      </w:pPr>
    </w:p>
    <w:p w:rsidR="00592C57" w:rsidRDefault="00592C57">
      <w:pPr>
        <w:spacing w:after="0" w:line="240" w:lineRule="auto"/>
        <w:jc w:val="left"/>
        <w:rPr>
          <w:rFonts w:cs="Arial"/>
        </w:rPr>
      </w:pPr>
    </w:p>
    <w:p w:rsidR="00592C57" w:rsidRPr="00AF4424" w:rsidRDefault="00EA5ABC" w:rsidP="00592C57">
      <w:pPr>
        <w:pStyle w:val="Caption"/>
        <w:spacing w:after="0"/>
        <w:jc w:val="left"/>
        <w:rPr>
          <w:rFonts w:cs="Arial"/>
          <w:color w:val="365F91" w:themeColor="accent1" w:themeShade="BF"/>
        </w:rPr>
      </w:pPr>
      <w:r w:rsidRPr="00AF4424">
        <w:rPr>
          <w:rFonts w:cs="Arial"/>
          <w:color w:val="365F91" w:themeColor="accent1" w:themeShade="BF"/>
        </w:rPr>
        <w:t>Table 1.7</w:t>
      </w:r>
      <w:r w:rsidR="00592C57" w:rsidRPr="00AF4424">
        <w:rPr>
          <w:rFonts w:cs="Arial"/>
          <w:color w:val="365F91" w:themeColor="accent1" w:themeShade="BF"/>
        </w:rPr>
        <w:t>.2</w:t>
      </w:r>
      <w:r w:rsidR="00AF4424" w:rsidRPr="00AF4424">
        <w:rPr>
          <w:rFonts w:cs="Arial"/>
          <w:color w:val="365F91" w:themeColor="accent1" w:themeShade="BF"/>
        </w:rPr>
        <w:t>: Change in T</w:t>
      </w:r>
      <w:r w:rsidR="00592C57" w:rsidRPr="00AF4424">
        <w:rPr>
          <w:rFonts w:cs="Arial"/>
          <w:color w:val="365F91" w:themeColor="accent1" w:themeShade="BF"/>
        </w:rPr>
        <w:t>AFE domestic fee for service enrolments (</w:t>
      </w:r>
      <w:r w:rsidR="00C87407">
        <w:rPr>
          <w:rFonts w:cs="Arial"/>
          <w:color w:val="365F91" w:themeColor="accent1" w:themeShade="BF"/>
        </w:rPr>
        <w:t>only including Foundation, w</w:t>
      </w:r>
      <w:r w:rsidR="006529D4" w:rsidRPr="006529D4">
        <w:rPr>
          <w:rFonts w:cs="Arial"/>
          <w:color w:val="365F91" w:themeColor="accent1" w:themeShade="BF"/>
        </w:rPr>
        <w:t>orkplace preparation, education pathways and LOTE</w:t>
      </w:r>
      <w:r w:rsidR="00592C57" w:rsidRPr="00AF4424">
        <w:rPr>
          <w:rFonts w:cs="Arial"/>
          <w:color w:val="365F91" w:themeColor="accent1" w:themeShade="BF"/>
        </w:rPr>
        <w:t>) by qualification level (AQF</w:t>
      </w:r>
      <w:r w:rsidR="00C87407">
        <w:rPr>
          <w:rFonts w:cs="Arial"/>
          <w:color w:val="365F91" w:themeColor="accent1" w:themeShade="BF"/>
        </w:rPr>
        <w:t xml:space="preserve"> </w:t>
      </w:r>
      <w:r w:rsidR="00592C57" w:rsidRPr="00AF4424">
        <w:rPr>
          <w:rFonts w:cs="Arial"/>
          <w:color w:val="365F91" w:themeColor="accent1" w:themeShade="BF"/>
        </w:rPr>
        <w:t>1+)</w:t>
      </w:r>
    </w:p>
    <w:tbl>
      <w:tblPr>
        <w:tblW w:w="6526" w:type="dxa"/>
        <w:tblInd w:w="103" w:type="dxa"/>
        <w:tblLayout w:type="fixed"/>
        <w:tblLook w:val="04A0" w:firstRow="1" w:lastRow="0" w:firstColumn="1" w:lastColumn="0" w:noHBand="0" w:noVBand="1"/>
      </w:tblPr>
      <w:tblGrid>
        <w:gridCol w:w="2800"/>
        <w:gridCol w:w="1242"/>
        <w:gridCol w:w="1242"/>
        <w:gridCol w:w="1242"/>
      </w:tblGrid>
      <w:tr w:rsidR="00AF4424" w:rsidRPr="00AF4424" w:rsidTr="006529D4">
        <w:trPr>
          <w:trHeight w:val="524"/>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Qualification level</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change</w:t>
            </w:r>
            <w:r w:rsidRPr="00AF4424">
              <w:rPr>
                <w:rFonts w:cs="Arial"/>
                <w:b/>
                <w:bCs/>
                <w:color w:val="FFFFFF"/>
                <w:sz w:val="18"/>
                <w:szCs w:val="18"/>
                <w:lang w:eastAsia="en-AU"/>
              </w:rPr>
              <w:br/>
              <w:t>2008-2013</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change</w:t>
            </w:r>
            <w:r w:rsidRPr="00AF4424">
              <w:rPr>
                <w:rFonts w:cs="Arial"/>
                <w:b/>
                <w:bCs/>
                <w:color w:val="FFFFFF"/>
                <w:sz w:val="18"/>
                <w:szCs w:val="18"/>
                <w:lang w:eastAsia="en-AU"/>
              </w:rPr>
              <w:br/>
              <w:t>2011-2013 </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change</w:t>
            </w:r>
            <w:r w:rsidRPr="00AF4424">
              <w:rPr>
                <w:rFonts w:cs="Arial"/>
                <w:b/>
                <w:bCs/>
                <w:color w:val="FFFFFF"/>
                <w:sz w:val="18"/>
                <w:szCs w:val="18"/>
                <w:lang w:eastAsia="en-AU"/>
              </w:rPr>
              <w:br/>
              <w:t>2012-2013</w:t>
            </w:r>
          </w:p>
        </w:tc>
      </w:tr>
      <w:tr w:rsidR="00AF4424" w:rsidRPr="00AF4424"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66%</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112%</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17%</w:t>
            </w:r>
          </w:p>
        </w:tc>
      </w:tr>
      <w:tr w:rsidR="00AF4424" w:rsidRPr="00AF4424"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III-IV</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53%</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42%</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10%</w:t>
            </w:r>
          </w:p>
        </w:tc>
      </w:tr>
      <w:tr w:rsidR="00AF4424" w:rsidRPr="00AF4424" w:rsidTr="00A12A1C">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Total</w:t>
            </w:r>
          </w:p>
        </w:tc>
        <w:tc>
          <w:tcPr>
            <w:tcW w:w="1242" w:type="dxa"/>
            <w:tcBorders>
              <w:top w:val="nil"/>
              <w:left w:val="nil"/>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63%</w:t>
            </w:r>
          </w:p>
        </w:tc>
        <w:tc>
          <w:tcPr>
            <w:tcW w:w="1242" w:type="dxa"/>
            <w:tcBorders>
              <w:top w:val="nil"/>
              <w:left w:val="nil"/>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96%</w:t>
            </w:r>
          </w:p>
        </w:tc>
        <w:tc>
          <w:tcPr>
            <w:tcW w:w="1242" w:type="dxa"/>
            <w:tcBorders>
              <w:top w:val="nil"/>
              <w:left w:val="nil"/>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16%</w:t>
            </w:r>
          </w:p>
        </w:tc>
      </w:tr>
    </w:tbl>
    <w:p w:rsidR="00351166" w:rsidRPr="001F29E3" w:rsidRDefault="00351166" w:rsidP="00A9260A">
      <w:pPr>
        <w:pStyle w:val="Heading3"/>
      </w:pPr>
      <w:r w:rsidRPr="001F29E3">
        <w:t xml:space="preserve">Government Subsidised </w:t>
      </w:r>
      <w:r w:rsidR="009E5BB6" w:rsidRPr="001F29E3">
        <w:t xml:space="preserve">Student </w:t>
      </w:r>
      <w:r w:rsidR="002757F4" w:rsidRPr="001F29E3">
        <w:t>C</w:t>
      </w:r>
      <w:r w:rsidR="009E5BB6" w:rsidRPr="001F29E3">
        <w:t xml:space="preserve">ontact </w:t>
      </w:r>
      <w:r w:rsidR="002757F4" w:rsidRPr="001F29E3">
        <w:t>H</w:t>
      </w:r>
      <w:r w:rsidR="009E5BB6" w:rsidRPr="001F29E3">
        <w:t>ours</w:t>
      </w:r>
    </w:p>
    <w:p w:rsidR="00205339" w:rsidRPr="001F29E3" w:rsidRDefault="00205339" w:rsidP="00205339">
      <w:pPr>
        <w:rPr>
          <w:rFonts w:cs="Arial"/>
        </w:rPr>
      </w:pPr>
    </w:p>
    <w:tbl>
      <w:tblPr>
        <w:tblW w:w="5000" w:type="pct"/>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205339" w:rsidRPr="001F29E3" w:rsidTr="002E2891">
        <w:trPr>
          <w:trHeight w:val="1047"/>
        </w:trPr>
        <w:tc>
          <w:tcPr>
            <w:tcW w:w="9088" w:type="dxa"/>
          </w:tcPr>
          <w:p w:rsidR="00205339" w:rsidRDefault="00283916" w:rsidP="00205339">
            <w:pPr>
              <w:pStyle w:val="Heading3"/>
            </w:pPr>
            <w:r>
              <w:t>Key Point</w:t>
            </w:r>
          </w:p>
          <w:p w:rsidR="00D168D3" w:rsidRPr="00D168D3" w:rsidRDefault="00D168D3" w:rsidP="00D168D3"/>
          <w:p w:rsidR="00205339" w:rsidRPr="00D756FD" w:rsidRDefault="004529B8" w:rsidP="002E2891">
            <w:pPr>
              <w:pStyle w:val="ListBullet"/>
              <w:numPr>
                <w:ilvl w:val="0"/>
                <w:numId w:val="31"/>
              </w:numPr>
              <w:ind w:right="113"/>
              <w:jc w:val="left"/>
              <w:rPr>
                <w:rFonts w:cs="Arial"/>
              </w:rPr>
            </w:pPr>
            <w:r>
              <w:rPr>
                <w:rFonts w:cs="Arial"/>
              </w:rPr>
              <w:t>G</w:t>
            </w:r>
            <w:r w:rsidR="00205339" w:rsidRPr="007A2BA3">
              <w:rPr>
                <w:rFonts w:cs="Arial"/>
              </w:rPr>
              <w:t xml:space="preserve">overnment subsidised student contact hours at </w:t>
            </w:r>
            <w:r w:rsidR="005F4779">
              <w:rPr>
                <w:rFonts w:cs="Arial"/>
              </w:rPr>
              <w:t>C</w:t>
            </w:r>
            <w:r w:rsidR="00205339" w:rsidRPr="007A2BA3">
              <w:rPr>
                <w:rFonts w:cs="Arial"/>
              </w:rPr>
              <w:t xml:space="preserve">ertificate </w:t>
            </w:r>
            <w:r w:rsidR="00255E47">
              <w:rPr>
                <w:rFonts w:cs="Arial"/>
              </w:rPr>
              <w:t>III to IV</w:t>
            </w:r>
            <w:r w:rsidR="00205339" w:rsidRPr="007A2BA3">
              <w:rPr>
                <w:rFonts w:cs="Arial"/>
              </w:rPr>
              <w:t xml:space="preserve"> levels in 2013 </w:t>
            </w:r>
            <w:r w:rsidR="00255E47">
              <w:rPr>
                <w:rFonts w:cs="Arial"/>
              </w:rPr>
              <w:t xml:space="preserve">accounted for </w:t>
            </w:r>
            <w:r w:rsidR="005F3779">
              <w:rPr>
                <w:rFonts w:cs="Arial"/>
              </w:rPr>
              <w:t>112.2</w:t>
            </w:r>
            <w:r>
              <w:rPr>
                <w:rFonts w:cs="Arial"/>
              </w:rPr>
              <w:t xml:space="preserve"> million hours</w:t>
            </w:r>
            <w:r w:rsidR="00255E47">
              <w:rPr>
                <w:rFonts w:cs="Arial"/>
              </w:rPr>
              <w:t>.</w:t>
            </w:r>
          </w:p>
        </w:tc>
      </w:tr>
    </w:tbl>
    <w:p w:rsidR="00205339" w:rsidRDefault="00205339" w:rsidP="002A41B7">
      <w:pPr>
        <w:rPr>
          <w:rFonts w:cs="Arial"/>
        </w:rPr>
      </w:pPr>
    </w:p>
    <w:p w:rsidR="00205339" w:rsidRPr="001F29E3" w:rsidRDefault="00205339" w:rsidP="002A41B7">
      <w:pPr>
        <w:rPr>
          <w:rFonts w:cs="Arial"/>
        </w:rPr>
      </w:pPr>
    </w:p>
    <w:p w:rsidR="00351166" w:rsidRDefault="00351166" w:rsidP="007A2BA3">
      <w:pPr>
        <w:pStyle w:val="Caption"/>
        <w:spacing w:after="0"/>
        <w:jc w:val="left"/>
        <w:rPr>
          <w:rFonts w:cs="Arial"/>
          <w:color w:val="365F91" w:themeColor="accent1" w:themeShade="BF"/>
        </w:rPr>
      </w:pPr>
      <w:r w:rsidRPr="00AF4424">
        <w:rPr>
          <w:rFonts w:cs="Arial"/>
          <w:color w:val="365F91" w:themeColor="accent1" w:themeShade="BF"/>
        </w:rPr>
        <w:t>Table 1.</w:t>
      </w:r>
      <w:r w:rsidR="00EA5ABC" w:rsidRPr="00AF4424">
        <w:rPr>
          <w:rFonts w:cs="Arial"/>
          <w:color w:val="365F91" w:themeColor="accent1" w:themeShade="BF"/>
        </w:rPr>
        <w:t>8</w:t>
      </w:r>
      <w:r w:rsidR="00F9318B" w:rsidRPr="00AF4424">
        <w:rPr>
          <w:rFonts w:cs="Arial"/>
          <w:color w:val="365F91" w:themeColor="accent1" w:themeShade="BF"/>
        </w:rPr>
        <w:t>.1</w:t>
      </w:r>
      <w:r w:rsidRPr="00AF4424">
        <w:rPr>
          <w:rFonts w:cs="Arial"/>
          <w:color w:val="365F91" w:themeColor="accent1" w:themeShade="BF"/>
        </w:rPr>
        <w:t>:</w:t>
      </w:r>
      <w:r w:rsidR="007D59C7" w:rsidRPr="00AF4424">
        <w:rPr>
          <w:rFonts w:cs="Arial"/>
          <w:color w:val="365F91" w:themeColor="accent1" w:themeShade="BF"/>
        </w:rPr>
        <w:t xml:space="preserve"> G</w:t>
      </w:r>
      <w:r w:rsidRPr="00AF4424">
        <w:rPr>
          <w:rFonts w:cs="Arial"/>
          <w:color w:val="365F91" w:themeColor="accent1" w:themeShade="BF"/>
        </w:rPr>
        <w:t xml:space="preserve">overnment subsidised </w:t>
      </w:r>
      <w:r w:rsidR="009E5BB6" w:rsidRPr="00AF4424">
        <w:rPr>
          <w:rFonts w:cs="Arial"/>
          <w:color w:val="365F91" w:themeColor="accent1" w:themeShade="BF"/>
        </w:rPr>
        <w:t>student contact hours</w:t>
      </w:r>
      <w:r w:rsidRPr="00AF4424">
        <w:rPr>
          <w:rFonts w:cs="Arial"/>
          <w:color w:val="365F91" w:themeColor="accent1" w:themeShade="BF"/>
        </w:rPr>
        <w:t xml:space="preserve"> </w:t>
      </w:r>
      <w:r w:rsidR="0013272D" w:rsidRPr="00AF4424">
        <w:rPr>
          <w:rFonts w:cs="Arial"/>
          <w:color w:val="365F91" w:themeColor="accent1" w:themeShade="BF"/>
        </w:rPr>
        <w:t xml:space="preserve">(millions) </w:t>
      </w:r>
      <w:r w:rsidRPr="00AF4424">
        <w:rPr>
          <w:rFonts w:cs="Arial"/>
          <w:color w:val="365F91" w:themeColor="accent1" w:themeShade="BF"/>
        </w:rPr>
        <w:t>b</w:t>
      </w:r>
      <w:r w:rsidR="00C87407">
        <w:rPr>
          <w:rFonts w:cs="Arial"/>
          <w:color w:val="365F91" w:themeColor="accent1" w:themeShade="BF"/>
        </w:rPr>
        <w:t>y qualification level, 2008–2013</w:t>
      </w:r>
    </w:p>
    <w:tbl>
      <w:tblPr>
        <w:tblW w:w="952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800"/>
        <w:gridCol w:w="1120"/>
        <w:gridCol w:w="1120"/>
        <w:gridCol w:w="1120"/>
        <w:gridCol w:w="1120"/>
        <w:gridCol w:w="1120"/>
        <w:gridCol w:w="1120"/>
      </w:tblGrid>
      <w:tr w:rsidR="00AF4424" w:rsidRPr="00AF4424" w:rsidTr="00A67D7B">
        <w:trPr>
          <w:trHeight w:val="762"/>
        </w:trPr>
        <w:tc>
          <w:tcPr>
            <w:tcW w:w="2800" w:type="dxa"/>
            <w:shd w:val="clear" w:color="000000" w:fill="366092"/>
            <w:noWrap/>
            <w:vAlign w:val="center"/>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Qualification level</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2008</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2009</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2010</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2011</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2012</w:t>
            </w:r>
          </w:p>
        </w:tc>
        <w:tc>
          <w:tcPr>
            <w:tcW w:w="1120" w:type="dxa"/>
            <w:shd w:val="clear" w:color="000000" w:fill="366092"/>
            <w:vAlign w:val="center"/>
            <w:hideMark/>
          </w:tcPr>
          <w:p w:rsidR="00AF4424" w:rsidRPr="00AF4424" w:rsidRDefault="00AF4424" w:rsidP="00AF4424">
            <w:pPr>
              <w:spacing w:after="0" w:line="240" w:lineRule="auto"/>
              <w:ind w:firstLineChars="100" w:firstLine="181"/>
              <w:jc w:val="right"/>
              <w:rPr>
                <w:rFonts w:cs="Arial"/>
                <w:b/>
                <w:bCs/>
                <w:color w:val="FFFFFF"/>
                <w:sz w:val="18"/>
                <w:szCs w:val="18"/>
                <w:lang w:eastAsia="en-AU"/>
              </w:rPr>
            </w:pPr>
            <w:r w:rsidRPr="00AF4424">
              <w:rPr>
                <w:rFonts w:cs="Arial"/>
                <w:b/>
                <w:bCs/>
                <w:color w:val="FFFFFF"/>
                <w:sz w:val="18"/>
                <w:szCs w:val="18"/>
                <w:lang w:eastAsia="en-AU"/>
              </w:rPr>
              <w:t>2013</w:t>
            </w:r>
          </w:p>
        </w:tc>
      </w:tr>
      <w:tr w:rsidR="00AF4424" w:rsidRPr="00AF4424" w:rsidTr="008D0872">
        <w:trPr>
          <w:trHeight w:val="342"/>
        </w:trPr>
        <w:tc>
          <w:tcPr>
            <w:tcW w:w="2800" w:type="dxa"/>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14.2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15.2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17.5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22.6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27.9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32.6 </w:t>
            </w:r>
          </w:p>
        </w:tc>
      </w:tr>
      <w:tr w:rsidR="00AF4424" w:rsidRPr="00AF4424" w:rsidTr="008D0872">
        <w:trPr>
          <w:trHeight w:val="342"/>
        </w:trPr>
        <w:tc>
          <w:tcPr>
            <w:tcW w:w="2800" w:type="dxa"/>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III-IV</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44.9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48.8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59.1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81.7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112.8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112.2 </w:t>
            </w:r>
          </w:p>
        </w:tc>
      </w:tr>
      <w:tr w:rsidR="00AF4424" w:rsidRPr="00AF4424" w:rsidTr="008D0872">
        <w:trPr>
          <w:trHeight w:val="342"/>
        </w:trPr>
        <w:tc>
          <w:tcPr>
            <w:tcW w:w="2800" w:type="dxa"/>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Diploma &amp; Above</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22.9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26.0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30.9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36.2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41.2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31.0 </w:t>
            </w:r>
          </w:p>
        </w:tc>
      </w:tr>
      <w:tr w:rsidR="00AF4424" w:rsidRPr="00AF4424" w:rsidTr="008D0872">
        <w:trPr>
          <w:trHeight w:val="342"/>
        </w:trPr>
        <w:tc>
          <w:tcPr>
            <w:tcW w:w="2800" w:type="dxa"/>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Module Only</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1.4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1.6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1.6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1.3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1.4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1.5 </w:t>
            </w:r>
          </w:p>
        </w:tc>
      </w:tr>
      <w:tr w:rsidR="00AF4424" w:rsidRPr="00AF4424" w:rsidTr="008D0872">
        <w:trPr>
          <w:trHeight w:val="342"/>
        </w:trPr>
        <w:tc>
          <w:tcPr>
            <w:tcW w:w="2800" w:type="dxa"/>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Secondary, SoA and other</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3.9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4.0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3.3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5.2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5.5 </w:t>
            </w:r>
          </w:p>
        </w:tc>
        <w:tc>
          <w:tcPr>
            <w:tcW w:w="1120" w:type="dxa"/>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 xml:space="preserve">5.9 </w:t>
            </w:r>
          </w:p>
        </w:tc>
      </w:tr>
      <w:tr w:rsidR="00AF4424" w:rsidRPr="00AF4424" w:rsidTr="00A67D7B">
        <w:trPr>
          <w:trHeight w:val="342"/>
        </w:trPr>
        <w:tc>
          <w:tcPr>
            <w:tcW w:w="2800" w:type="dxa"/>
            <w:shd w:val="clear" w:color="000000" w:fill="366092"/>
            <w:noWrap/>
            <w:vAlign w:val="bottom"/>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Total</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87.4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95.6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112.4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146.9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188.8 </w:t>
            </w:r>
          </w:p>
        </w:tc>
        <w:tc>
          <w:tcPr>
            <w:tcW w:w="1120" w:type="dxa"/>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xml:space="preserve">183.1 </w:t>
            </w:r>
          </w:p>
        </w:tc>
      </w:tr>
    </w:tbl>
    <w:p w:rsidR="00351166" w:rsidRPr="001F29E3" w:rsidRDefault="00351166" w:rsidP="00351166">
      <w:pPr>
        <w:rPr>
          <w:rFonts w:cs="Arial"/>
        </w:rPr>
      </w:pPr>
      <w:r w:rsidRPr="001F29E3">
        <w:rPr>
          <w:rFonts w:cs="Arial"/>
          <w:sz w:val="16"/>
          <w:szCs w:val="16"/>
        </w:rPr>
        <w:t>SoA</w:t>
      </w:r>
      <w:r w:rsidR="007E7B89">
        <w:rPr>
          <w:rFonts w:cs="Arial"/>
          <w:sz w:val="16"/>
          <w:szCs w:val="16"/>
        </w:rPr>
        <w:t xml:space="preserve">: </w:t>
      </w:r>
      <w:r w:rsidRPr="001F29E3">
        <w:rPr>
          <w:rFonts w:cs="Arial"/>
          <w:sz w:val="16"/>
          <w:szCs w:val="16"/>
        </w:rPr>
        <w:t>Statement of Attainment</w:t>
      </w:r>
      <w:r w:rsidR="007E7B89">
        <w:rPr>
          <w:rFonts w:cs="Arial"/>
          <w:sz w:val="16"/>
          <w:szCs w:val="16"/>
        </w:rPr>
        <w:t>.</w:t>
      </w:r>
    </w:p>
    <w:p w:rsidR="005D46B9" w:rsidRDefault="005D46B9" w:rsidP="00351166">
      <w:pPr>
        <w:rPr>
          <w:rFonts w:cs="Arial"/>
        </w:rPr>
      </w:pPr>
    </w:p>
    <w:p w:rsidR="00F9318B" w:rsidRDefault="00F9318B" w:rsidP="007A2BA3">
      <w:pPr>
        <w:pStyle w:val="Caption"/>
        <w:spacing w:after="0"/>
        <w:jc w:val="left"/>
        <w:rPr>
          <w:rFonts w:cs="Arial"/>
          <w:color w:val="365F91" w:themeColor="accent1" w:themeShade="BF"/>
        </w:rPr>
      </w:pPr>
      <w:r w:rsidRPr="00AF4424">
        <w:rPr>
          <w:rFonts w:cs="Arial"/>
          <w:color w:val="365F91" w:themeColor="accent1" w:themeShade="BF"/>
        </w:rPr>
        <w:t>Table 1.</w:t>
      </w:r>
      <w:r w:rsidR="00EA5ABC" w:rsidRPr="00AF4424">
        <w:rPr>
          <w:rFonts w:cs="Arial"/>
          <w:color w:val="365F91" w:themeColor="accent1" w:themeShade="BF"/>
        </w:rPr>
        <w:t>8</w:t>
      </w:r>
      <w:r w:rsidRPr="00AF4424">
        <w:rPr>
          <w:rFonts w:cs="Arial"/>
          <w:color w:val="365F91" w:themeColor="accent1" w:themeShade="BF"/>
        </w:rPr>
        <w:t xml:space="preserve">.2: </w:t>
      </w:r>
      <w:r w:rsidR="00AF4424" w:rsidRPr="00AF4424">
        <w:rPr>
          <w:rFonts w:cs="Arial"/>
          <w:color w:val="365F91" w:themeColor="accent1" w:themeShade="BF"/>
        </w:rPr>
        <w:t xml:space="preserve">Change in </w:t>
      </w:r>
      <w:r w:rsidRPr="00AF4424">
        <w:rPr>
          <w:rFonts w:cs="Arial"/>
          <w:color w:val="365F91" w:themeColor="accent1" w:themeShade="BF"/>
        </w:rPr>
        <w:t>Government subsidised student contact hours (millions) by qualification level</w:t>
      </w:r>
    </w:p>
    <w:tbl>
      <w:tblPr>
        <w:tblW w:w="6526" w:type="dxa"/>
        <w:tblInd w:w="103" w:type="dxa"/>
        <w:tblLayout w:type="fixed"/>
        <w:tblLook w:val="04A0" w:firstRow="1" w:lastRow="0" w:firstColumn="1" w:lastColumn="0" w:noHBand="0" w:noVBand="1"/>
      </w:tblPr>
      <w:tblGrid>
        <w:gridCol w:w="2800"/>
        <w:gridCol w:w="1242"/>
        <w:gridCol w:w="1242"/>
        <w:gridCol w:w="1242"/>
      </w:tblGrid>
      <w:tr w:rsidR="00AF4424" w:rsidRPr="00AF4424" w:rsidTr="00A67D7B">
        <w:trPr>
          <w:trHeight w:val="762"/>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Qualification level</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change</w:t>
            </w:r>
            <w:r w:rsidRPr="00AF4424">
              <w:rPr>
                <w:rFonts w:cs="Arial"/>
                <w:b/>
                <w:bCs/>
                <w:color w:val="FFFFFF"/>
                <w:sz w:val="18"/>
                <w:szCs w:val="18"/>
                <w:lang w:eastAsia="en-AU"/>
              </w:rPr>
              <w:br/>
              <w:t>2008-2013</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change</w:t>
            </w:r>
            <w:r w:rsidRPr="00AF4424">
              <w:rPr>
                <w:rFonts w:cs="Arial"/>
                <w:b/>
                <w:bCs/>
                <w:color w:val="FFFFFF"/>
                <w:sz w:val="18"/>
                <w:szCs w:val="18"/>
                <w:lang w:eastAsia="en-AU"/>
              </w:rPr>
              <w:br/>
              <w:t>2011-2013 </w:t>
            </w:r>
          </w:p>
        </w:tc>
        <w:tc>
          <w:tcPr>
            <w:tcW w:w="1242" w:type="dxa"/>
            <w:tcBorders>
              <w:top w:val="single" w:sz="4" w:space="0" w:color="366092"/>
              <w:left w:val="nil"/>
              <w:bottom w:val="single" w:sz="4" w:space="0" w:color="366092"/>
              <w:right w:val="single" w:sz="4" w:space="0" w:color="366092"/>
            </w:tcBorders>
            <w:shd w:val="clear" w:color="000000" w:fill="366092"/>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 change</w:t>
            </w:r>
            <w:r w:rsidRPr="00AF4424">
              <w:rPr>
                <w:rFonts w:cs="Arial"/>
                <w:b/>
                <w:bCs/>
                <w:color w:val="FFFFFF"/>
                <w:sz w:val="18"/>
                <w:szCs w:val="18"/>
                <w:lang w:eastAsia="en-AU"/>
              </w:rPr>
              <w:br/>
              <w:t>2012-2013</w:t>
            </w:r>
          </w:p>
        </w:tc>
      </w:tr>
      <w:tr w:rsidR="00AF4424" w:rsidRPr="00AF4424"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130%</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44%</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17%</w:t>
            </w:r>
          </w:p>
        </w:tc>
      </w:tr>
      <w:tr w:rsidR="00AF4424" w:rsidRPr="00AF4424"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Cert III-IV</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150%</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37%</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w:t>
            </w:r>
          </w:p>
        </w:tc>
      </w:tr>
      <w:tr w:rsidR="00AF4424" w:rsidRPr="00AF4424"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Diploma &amp; Above</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35%</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-14%</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-25%</w:t>
            </w:r>
          </w:p>
        </w:tc>
      </w:tr>
      <w:tr w:rsidR="00AF4424" w:rsidRPr="00AF4424"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Module Only</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7%</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16%</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7%</w:t>
            </w:r>
          </w:p>
        </w:tc>
      </w:tr>
      <w:tr w:rsidR="00AF4424" w:rsidRPr="00AF4424" w:rsidTr="008D0872">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AF4424" w:rsidRPr="00AF4424" w:rsidRDefault="00AF4424" w:rsidP="008D0872">
            <w:pPr>
              <w:spacing w:after="0" w:line="240" w:lineRule="auto"/>
              <w:jc w:val="left"/>
              <w:rPr>
                <w:rFonts w:cs="Arial"/>
                <w:color w:val="366092"/>
                <w:sz w:val="18"/>
                <w:szCs w:val="18"/>
                <w:lang w:eastAsia="en-AU"/>
              </w:rPr>
            </w:pPr>
            <w:r w:rsidRPr="00AF4424">
              <w:rPr>
                <w:rFonts w:cs="Arial"/>
                <w:color w:val="366092"/>
                <w:sz w:val="18"/>
                <w:szCs w:val="18"/>
                <w:lang w:eastAsia="en-AU"/>
              </w:rPr>
              <w:t>Secondary, SoA and other</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51%</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13%</w:t>
            </w:r>
          </w:p>
        </w:tc>
        <w:tc>
          <w:tcPr>
            <w:tcW w:w="1242" w:type="dxa"/>
            <w:tcBorders>
              <w:top w:val="nil"/>
              <w:left w:val="nil"/>
              <w:bottom w:val="single" w:sz="4" w:space="0" w:color="366092"/>
              <w:right w:val="single" w:sz="4" w:space="0" w:color="366092"/>
            </w:tcBorders>
            <w:shd w:val="clear" w:color="auto" w:fill="auto"/>
            <w:noWrap/>
            <w:vAlign w:val="center"/>
            <w:hideMark/>
          </w:tcPr>
          <w:p w:rsidR="00AF4424" w:rsidRPr="00AF4424" w:rsidRDefault="00AF4424" w:rsidP="00AF4424">
            <w:pPr>
              <w:spacing w:after="0" w:line="240" w:lineRule="auto"/>
              <w:jc w:val="right"/>
              <w:rPr>
                <w:rFonts w:cs="Arial"/>
                <w:sz w:val="18"/>
                <w:szCs w:val="18"/>
                <w:lang w:eastAsia="en-AU"/>
              </w:rPr>
            </w:pPr>
            <w:r w:rsidRPr="00AF4424">
              <w:rPr>
                <w:rFonts w:cs="Arial"/>
                <w:sz w:val="18"/>
                <w:szCs w:val="18"/>
                <w:lang w:eastAsia="en-AU"/>
              </w:rPr>
              <w:t>8%</w:t>
            </w:r>
          </w:p>
        </w:tc>
      </w:tr>
      <w:tr w:rsidR="00AF4424" w:rsidRPr="00AF4424" w:rsidTr="00A67D7B">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AF4424" w:rsidRPr="00AF4424" w:rsidRDefault="00AF4424" w:rsidP="00AF4424">
            <w:pPr>
              <w:spacing w:after="0" w:line="240" w:lineRule="auto"/>
              <w:jc w:val="left"/>
              <w:rPr>
                <w:rFonts w:cs="Arial"/>
                <w:b/>
                <w:bCs/>
                <w:color w:val="FFFFFF"/>
                <w:sz w:val="18"/>
                <w:szCs w:val="18"/>
                <w:lang w:eastAsia="en-AU"/>
              </w:rPr>
            </w:pPr>
            <w:r w:rsidRPr="00AF4424">
              <w:rPr>
                <w:rFonts w:cs="Arial"/>
                <w:b/>
                <w:bCs/>
                <w:color w:val="FFFFFF"/>
                <w:sz w:val="18"/>
                <w:szCs w:val="18"/>
                <w:lang w:eastAsia="en-AU"/>
              </w:rPr>
              <w:t>Total</w:t>
            </w:r>
          </w:p>
        </w:tc>
        <w:tc>
          <w:tcPr>
            <w:tcW w:w="1242" w:type="dxa"/>
            <w:tcBorders>
              <w:top w:val="nil"/>
              <w:left w:val="nil"/>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110%</w:t>
            </w:r>
          </w:p>
        </w:tc>
        <w:tc>
          <w:tcPr>
            <w:tcW w:w="1242" w:type="dxa"/>
            <w:tcBorders>
              <w:top w:val="nil"/>
              <w:left w:val="nil"/>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25%</w:t>
            </w:r>
          </w:p>
        </w:tc>
        <w:tc>
          <w:tcPr>
            <w:tcW w:w="1242" w:type="dxa"/>
            <w:tcBorders>
              <w:top w:val="nil"/>
              <w:left w:val="nil"/>
              <w:bottom w:val="single" w:sz="4" w:space="0" w:color="366092"/>
              <w:right w:val="single" w:sz="4" w:space="0" w:color="366092"/>
            </w:tcBorders>
            <w:shd w:val="clear" w:color="000000" w:fill="366092"/>
            <w:noWrap/>
            <w:vAlign w:val="center"/>
            <w:hideMark/>
          </w:tcPr>
          <w:p w:rsidR="00AF4424" w:rsidRPr="00AF4424" w:rsidRDefault="00AF4424" w:rsidP="00AF4424">
            <w:pPr>
              <w:spacing w:after="0" w:line="240" w:lineRule="auto"/>
              <w:jc w:val="right"/>
              <w:rPr>
                <w:rFonts w:cs="Arial"/>
                <w:b/>
                <w:bCs/>
                <w:color w:val="FFFFFF"/>
                <w:sz w:val="18"/>
                <w:szCs w:val="18"/>
                <w:lang w:eastAsia="en-AU"/>
              </w:rPr>
            </w:pPr>
            <w:r w:rsidRPr="00AF4424">
              <w:rPr>
                <w:rFonts w:cs="Arial"/>
                <w:b/>
                <w:bCs/>
                <w:color w:val="FFFFFF"/>
                <w:sz w:val="18"/>
                <w:szCs w:val="18"/>
                <w:lang w:eastAsia="en-AU"/>
              </w:rPr>
              <w:t>-3%</w:t>
            </w:r>
          </w:p>
        </w:tc>
      </w:tr>
    </w:tbl>
    <w:p w:rsidR="007E7B89" w:rsidRPr="007E7B89" w:rsidRDefault="007E7B89" w:rsidP="007E7B89">
      <w:pPr>
        <w:spacing w:after="0"/>
        <w:rPr>
          <w:sz w:val="16"/>
          <w:szCs w:val="16"/>
        </w:rPr>
      </w:pPr>
      <w:r w:rsidRPr="007E7B89">
        <w:rPr>
          <w:sz w:val="16"/>
          <w:szCs w:val="16"/>
        </w:rPr>
        <w:t>SoA: Statement of Attainment.</w:t>
      </w:r>
    </w:p>
    <w:p w:rsidR="007E7B89" w:rsidRPr="001F29E3" w:rsidRDefault="007E7B89" w:rsidP="00351166">
      <w:pPr>
        <w:rPr>
          <w:rFonts w:cs="Arial"/>
        </w:rPr>
      </w:pPr>
    </w:p>
    <w:p w:rsidR="00AF4424" w:rsidRPr="00AF4424" w:rsidRDefault="00AF4424">
      <w:pPr>
        <w:spacing w:after="0" w:line="240" w:lineRule="auto"/>
        <w:jc w:val="left"/>
        <w:rPr>
          <w:rFonts w:cs="Arial"/>
          <w:b/>
          <w:bCs/>
          <w:color w:val="76923C" w:themeColor="accent3" w:themeShade="BF"/>
          <w:sz w:val="18"/>
          <w:szCs w:val="16"/>
        </w:rPr>
      </w:pPr>
      <w:bookmarkStart w:id="51" w:name="_Toc316542826"/>
      <w:bookmarkStart w:id="52" w:name="_Toc316629589"/>
      <w:bookmarkStart w:id="53" w:name="_Toc317173951"/>
      <w:bookmarkStart w:id="54" w:name="_Toc317174100"/>
      <w:bookmarkStart w:id="55" w:name="_Toc322454239"/>
      <w:bookmarkStart w:id="56" w:name="_Toc317174103"/>
      <w:bookmarkStart w:id="57" w:name="_Toc322454242"/>
      <w:r>
        <w:br w:type="page"/>
      </w:r>
    </w:p>
    <w:p w:rsidR="00E16633" w:rsidRPr="001F29E3" w:rsidRDefault="00517941" w:rsidP="00E16633">
      <w:pPr>
        <w:pStyle w:val="Heading2"/>
      </w:pPr>
      <w:bookmarkStart w:id="58" w:name="_Toc388340444"/>
      <w:r>
        <w:t>Vocational Training Completions</w:t>
      </w:r>
      <w:bookmarkEnd w:id="58"/>
    </w:p>
    <w:p w:rsidR="00E16633" w:rsidRPr="001F29E3" w:rsidRDefault="00E16633" w:rsidP="00E16633">
      <w:pPr>
        <w:rPr>
          <w:rFonts w:cs="Arial"/>
        </w:rPr>
      </w:pPr>
    </w:p>
    <w:p w:rsidR="00E16633" w:rsidRPr="001F29E3" w:rsidRDefault="00517941" w:rsidP="00E16633">
      <w:pPr>
        <w:pStyle w:val="Heading3"/>
      </w:pPr>
      <w:r>
        <w:t>Vocational training completions</w:t>
      </w:r>
    </w:p>
    <w:p w:rsidR="001B5D25" w:rsidRPr="001B5D25" w:rsidRDefault="001B5D25" w:rsidP="001B5D25">
      <w:pPr>
        <w:rPr>
          <w:rFonts w:cs="Arial"/>
        </w:rPr>
      </w:pPr>
      <w:r w:rsidRPr="001B5D25">
        <w:rPr>
          <w:rFonts w:cs="Arial"/>
        </w:rPr>
        <w:t xml:space="preserve">Apart from </w:t>
      </w:r>
      <w:r w:rsidR="001773E4">
        <w:rPr>
          <w:rFonts w:cs="Arial"/>
        </w:rPr>
        <w:t xml:space="preserve">the </w:t>
      </w:r>
      <w:r w:rsidRPr="001B5D25">
        <w:rPr>
          <w:rFonts w:cs="Arial"/>
        </w:rPr>
        <w:t>community and social benefits associated with higher levels of educational attainment, there is strong evidence that people who complete vocational training qualifications are at an advantage in the labour market in terms of employment and wage outcomes compared with those who do not complete their courses and those who do not enrol in any post-school education and training. The benefits associated with completion do not detract from the value of outcomes students may achieve from participating in vocational training courses, without necessarily completing their award (such as better skills associated with lifelong learning), but they do suggest that employment and earnings outcomes are improved for students who gain qualifications.</w:t>
      </w:r>
    </w:p>
    <w:p w:rsidR="00473E46" w:rsidRDefault="001B5D25" w:rsidP="001B5D25">
      <w:pPr>
        <w:rPr>
          <w:rFonts w:cs="Arial"/>
        </w:rPr>
      </w:pPr>
      <w:r w:rsidRPr="001B5D25">
        <w:rPr>
          <w:rFonts w:cs="Arial"/>
        </w:rPr>
        <w:t>Following is a summary of vocational training completions between 2008 and 201</w:t>
      </w:r>
      <w:r w:rsidR="00473E46">
        <w:rPr>
          <w:rFonts w:cs="Arial"/>
        </w:rPr>
        <w:t>3</w:t>
      </w:r>
      <w:r w:rsidRPr="001B5D25">
        <w:rPr>
          <w:rFonts w:cs="Arial"/>
        </w:rPr>
        <w:t>. Vocational training completions refer to course qualifications or a Statement of Attainment that have been reported as being complete in the reporting year 201</w:t>
      </w:r>
      <w:r w:rsidR="001773E4">
        <w:rPr>
          <w:rFonts w:cs="Arial"/>
        </w:rPr>
        <w:t>3</w:t>
      </w:r>
      <w:r w:rsidRPr="001B5D25">
        <w:rPr>
          <w:rFonts w:cs="Arial"/>
        </w:rPr>
        <w:t>. It is important to note that the reporting scope for completions in this report includes all government subsidised and fee for service enrolments at an</w:t>
      </w:r>
      <w:r w:rsidR="006529D4">
        <w:rPr>
          <w:rFonts w:cs="Arial"/>
        </w:rPr>
        <w:t>y course level by all providers.</w:t>
      </w:r>
    </w:p>
    <w:p w:rsidR="001B5D25" w:rsidRPr="001B5D25" w:rsidRDefault="001B5D25" w:rsidP="001B5D25">
      <w:pPr>
        <w:rPr>
          <w:rFonts w:cs="Arial"/>
        </w:rPr>
      </w:pPr>
      <w:r w:rsidRPr="001B5D25">
        <w:rPr>
          <w:rFonts w:cs="Arial"/>
        </w:rPr>
        <w:t>Completions data is indicative only of completions patterns between 2008 and 201</w:t>
      </w:r>
      <w:r w:rsidR="00473E46">
        <w:rPr>
          <w:rFonts w:cs="Arial"/>
        </w:rPr>
        <w:t>3</w:t>
      </w:r>
      <w:r w:rsidRPr="001B5D25">
        <w:rPr>
          <w:rFonts w:cs="Arial"/>
        </w:rPr>
        <w:t xml:space="preserve"> and are known to under-report completions due to: </w:t>
      </w:r>
    </w:p>
    <w:p w:rsidR="001B5D25" w:rsidRPr="007552AE" w:rsidRDefault="001B5D25" w:rsidP="007552AE">
      <w:pPr>
        <w:pStyle w:val="ListBullet"/>
        <w:numPr>
          <w:ilvl w:val="0"/>
          <w:numId w:val="31"/>
        </w:numPr>
        <w:ind w:right="113"/>
        <w:jc w:val="left"/>
        <w:rPr>
          <w:rFonts w:cs="Arial"/>
        </w:rPr>
      </w:pPr>
      <w:r w:rsidRPr="007552AE">
        <w:rPr>
          <w:rFonts w:cs="Arial"/>
        </w:rPr>
        <w:t>wide variations in administrative practices for Victorian training organisations in identifying, recording and reporting qualification completion, and</w:t>
      </w:r>
    </w:p>
    <w:p w:rsidR="003545A7" w:rsidRPr="007552AE" w:rsidRDefault="001B5D25" w:rsidP="007552AE">
      <w:pPr>
        <w:pStyle w:val="ListBullet"/>
        <w:numPr>
          <w:ilvl w:val="0"/>
          <w:numId w:val="31"/>
        </w:numPr>
        <w:ind w:right="113"/>
        <w:jc w:val="left"/>
        <w:rPr>
          <w:rFonts w:cs="Arial"/>
        </w:rPr>
      </w:pPr>
      <w:r w:rsidRPr="007552AE">
        <w:rPr>
          <w:rFonts w:cs="Arial"/>
        </w:rPr>
        <w:t>variations in student intent and behavio</w:t>
      </w:r>
      <w:r w:rsidR="00473E46" w:rsidRPr="007552AE">
        <w:rPr>
          <w:rFonts w:cs="Arial"/>
        </w:rPr>
        <w:t>ur in completing qualifications, many students do not require a completed qualification to obtain employment.</w:t>
      </w:r>
    </w:p>
    <w:p w:rsidR="003545A7" w:rsidRPr="001F29E3" w:rsidRDefault="00473E46" w:rsidP="00E16633">
      <w:pPr>
        <w:rPr>
          <w:rFonts w:cs="Arial"/>
        </w:rPr>
      </w:pPr>
      <w:r>
        <w:rPr>
          <w:rFonts w:cs="Arial"/>
        </w:rPr>
        <w:t>The Department is aware of the issue of under reporting completions and f</w:t>
      </w:r>
      <w:r w:rsidR="001B5D25" w:rsidRPr="001B5D25">
        <w:rPr>
          <w:rFonts w:cs="Arial"/>
        </w:rPr>
        <w:t xml:space="preserve">rom </w:t>
      </w:r>
      <w:r w:rsidR="00B11FC6">
        <w:rPr>
          <w:rFonts w:cs="Arial"/>
        </w:rPr>
        <w:t>Quarter</w:t>
      </w:r>
      <w:r w:rsidR="001B5D25" w:rsidRPr="001B5D25">
        <w:rPr>
          <w:rFonts w:cs="Arial"/>
        </w:rPr>
        <w:t xml:space="preserve"> </w:t>
      </w:r>
      <w:r w:rsidR="005F3779">
        <w:rPr>
          <w:rFonts w:cs="Arial"/>
        </w:rPr>
        <w:t xml:space="preserve">2 </w:t>
      </w:r>
      <w:r w:rsidR="001B5D25" w:rsidRPr="001B5D25">
        <w:rPr>
          <w:rFonts w:cs="Arial"/>
        </w:rPr>
        <w:t xml:space="preserve">2014, </w:t>
      </w:r>
      <w:r>
        <w:rPr>
          <w:rFonts w:cs="Arial"/>
        </w:rPr>
        <w:t xml:space="preserve">will be </w:t>
      </w:r>
      <w:r w:rsidR="001B5D25" w:rsidRPr="001B5D25">
        <w:rPr>
          <w:rFonts w:cs="Arial"/>
        </w:rPr>
        <w:t xml:space="preserve">implementing a standard completions methodology using administrative data, complementary to the NCVER approach, which </w:t>
      </w:r>
      <w:r w:rsidR="001B5D25">
        <w:rPr>
          <w:rFonts w:cs="Arial"/>
        </w:rPr>
        <w:t>will be used to supplement</w:t>
      </w:r>
      <w:r w:rsidR="001B5D25" w:rsidRPr="001B5D25">
        <w:rPr>
          <w:rFonts w:cs="Arial"/>
        </w:rPr>
        <w:t xml:space="preserve"> reporting of </w:t>
      </w:r>
      <w:r w:rsidR="001B5D25">
        <w:rPr>
          <w:rFonts w:cs="Arial"/>
        </w:rPr>
        <w:t>completion</w:t>
      </w:r>
      <w:r w:rsidR="001B5D25" w:rsidRPr="001B5D25">
        <w:rPr>
          <w:rFonts w:cs="Arial"/>
        </w:rPr>
        <w:t xml:space="preserve"> results in future </w:t>
      </w:r>
      <w:r w:rsidR="0019627B">
        <w:rPr>
          <w:rFonts w:cs="Arial"/>
        </w:rPr>
        <w:t>reports</w:t>
      </w:r>
      <w:r w:rsidR="001B5D25" w:rsidRPr="001B5D25">
        <w:rPr>
          <w:rFonts w:cs="Arial"/>
        </w:rPr>
        <w:t>.</w:t>
      </w:r>
    </w:p>
    <w:p w:rsidR="00E16633" w:rsidRDefault="00E16633" w:rsidP="00E16633"/>
    <w:p w:rsidR="001B5D25" w:rsidRDefault="001B5D25">
      <w:pPr>
        <w:spacing w:after="0" w:line="240" w:lineRule="auto"/>
        <w:jc w:val="left"/>
      </w:pPr>
    </w:p>
    <w:p w:rsidR="001B5D25" w:rsidRPr="004E7369" w:rsidRDefault="001B5D25" w:rsidP="001B5D25">
      <w:pPr>
        <w:pStyle w:val="Caption"/>
        <w:spacing w:after="0"/>
        <w:jc w:val="left"/>
        <w:rPr>
          <w:rFonts w:cs="Arial"/>
          <w:color w:val="365F91" w:themeColor="accent1" w:themeShade="BF"/>
          <w:sz w:val="19"/>
          <w:szCs w:val="19"/>
        </w:rPr>
      </w:pPr>
      <w:r w:rsidRPr="004E7369">
        <w:rPr>
          <w:rFonts w:cs="Arial"/>
          <w:color w:val="365F91" w:themeColor="accent1" w:themeShade="BF"/>
          <w:sz w:val="19"/>
          <w:szCs w:val="19"/>
        </w:rPr>
        <w:t xml:space="preserve">Table 1.9.1: </w:t>
      </w:r>
      <w:r w:rsidR="00F70643" w:rsidRPr="004E7369">
        <w:rPr>
          <w:rFonts w:cs="Arial"/>
          <w:color w:val="365F91" w:themeColor="accent1" w:themeShade="BF"/>
          <w:sz w:val="19"/>
          <w:szCs w:val="19"/>
        </w:rPr>
        <w:t>Number of vocational course completions (government subsidised and TAFE fee-for-service)</w:t>
      </w:r>
      <w:r w:rsidRPr="004E7369">
        <w:rPr>
          <w:rFonts w:cs="Arial"/>
          <w:color w:val="365F91" w:themeColor="accent1" w:themeShade="BF"/>
          <w:sz w:val="19"/>
          <w:szCs w:val="19"/>
        </w:rPr>
        <w:t>, 2008–2013</w:t>
      </w:r>
    </w:p>
    <w:tbl>
      <w:tblPr>
        <w:tblW w:w="9159" w:type="dxa"/>
        <w:tblInd w:w="109"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439"/>
        <w:gridCol w:w="1120"/>
        <w:gridCol w:w="1120"/>
        <w:gridCol w:w="1120"/>
        <w:gridCol w:w="1120"/>
        <w:gridCol w:w="1120"/>
        <w:gridCol w:w="1120"/>
      </w:tblGrid>
      <w:tr w:rsidR="00F70643" w:rsidRPr="00F70643" w:rsidTr="005F3779">
        <w:trPr>
          <w:trHeight w:val="720"/>
        </w:trPr>
        <w:tc>
          <w:tcPr>
            <w:tcW w:w="2439" w:type="dxa"/>
            <w:shd w:val="clear" w:color="000000" w:fill="366092"/>
            <w:noWrap/>
            <w:vAlign w:val="center"/>
            <w:hideMark/>
          </w:tcPr>
          <w:p w:rsidR="00F70643" w:rsidRPr="00F70643" w:rsidRDefault="00F70643" w:rsidP="00F70643">
            <w:pPr>
              <w:spacing w:after="0" w:line="240" w:lineRule="auto"/>
              <w:ind w:firstLineChars="100" w:firstLine="181"/>
              <w:jc w:val="left"/>
              <w:rPr>
                <w:rFonts w:cs="Arial"/>
                <w:b/>
                <w:bCs/>
                <w:color w:val="FFFFFF"/>
                <w:sz w:val="18"/>
                <w:szCs w:val="18"/>
                <w:lang w:eastAsia="en-AU"/>
              </w:rPr>
            </w:pPr>
            <w:r w:rsidRPr="00F70643">
              <w:rPr>
                <w:rFonts w:cs="Arial"/>
                <w:b/>
                <w:bCs/>
                <w:color w:val="FFFFFF"/>
                <w:sz w:val="18"/>
                <w:szCs w:val="18"/>
                <w:lang w:eastAsia="en-AU"/>
              </w:rPr>
              <w:t> </w:t>
            </w:r>
          </w:p>
        </w:tc>
        <w:tc>
          <w:tcPr>
            <w:tcW w:w="1120" w:type="dxa"/>
            <w:shd w:val="clear" w:color="000000" w:fill="366092"/>
            <w:vAlign w:val="center"/>
            <w:hideMark/>
          </w:tcPr>
          <w:p w:rsidR="00F70643" w:rsidRPr="00F70643" w:rsidRDefault="00F70643" w:rsidP="00F70643">
            <w:pPr>
              <w:spacing w:after="0" w:line="240" w:lineRule="auto"/>
              <w:ind w:firstLineChars="100" w:firstLine="181"/>
              <w:jc w:val="right"/>
              <w:rPr>
                <w:rFonts w:cs="Arial"/>
                <w:b/>
                <w:bCs/>
                <w:color w:val="FFFFFF"/>
                <w:sz w:val="18"/>
                <w:szCs w:val="18"/>
                <w:lang w:eastAsia="en-AU"/>
              </w:rPr>
            </w:pPr>
            <w:r w:rsidRPr="00F70643">
              <w:rPr>
                <w:rFonts w:cs="Arial"/>
                <w:b/>
                <w:bCs/>
                <w:color w:val="FFFFFF"/>
                <w:sz w:val="18"/>
                <w:szCs w:val="18"/>
                <w:lang w:eastAsia="en-AU"/>
              </w:rPr>
              <w:t>2008</w:t>
            </w:r>
          </w:p>
        </w:tc>
        <w:tc>
          <w:tcPr>
            <w:tcW w:w="1120" w:type="dxa"/>
            <w:shd w:val="clear" w:color="000000" w:fill="366092"/>
            <w:vAlign w:val="center"/>
            <w:hideMark/>
          </w:tcPr>
          <w:p w:rsidR="00F70643" w:rsidRPr="00F70643" w:rsidRDefault="00F70643" w:rsidP="00F70643">
            <w:pPr>
              <w:spacing w:after="0" w:line="240" w:lineRule="auto"/>
              <w:ind w:firstLineChars="100" w:firstLine="181"/>
              <w:jc w:val="right"/>
              <w:rPr>
                <w:rFonts w:cs="Arial"/>
                <w:b/>
                <w:bCs/>
                <w:color w:val="FFFFFF"/>
                <w:sz w:val="18"/>
                <w:szCs w:val="18"/>
                <w:lang w:eastAsia="en-AU"/>
              </w:rPr>
            </w:pPr>
            <w:r w:rsidRPr="00F70643">
              <w:rPr>
                <w:rFonts w:cs="Arial"/>
                <w:b/>
                <w:bCs/>
                <w:color w:val="FFFFFF"/>
                <w:sz w:val="18"/>
                <w:szCs w:val="18"/>
                <w:lang w:eastAsia="en-AU"/>
              </w:rPr>
              <w:t>2009</w:t>
            </w:r>
          </w:p>
        </w:tc>
        <w:tc>
          <w:tcPr>
            <w:tcW w:w="1120" w:type="dxa"/>
            <w:shd w:val="clear" w:color="000000" w:fill="366092"/>
            <w:vAlign w:val="center"/>
            <w:hideMark/>
          </w:tcPr>
          <w:p w:rsidR="00F70643" w:rsidRPr="00F70643" w:rsidRDefault="00F70643" w:rsidP="00F70643">
            <w:pPr>
              <w:spacing w:after="0" w:line="240" w:lineRule="auto"/>
              <w:ind w:firstLineChars="100" w:firstLine="181"/>
              <w:jc w:val="right"/>
              <w:rPr>
                <w:rFonts w:cs="Arial"/>
                <w:b/>
                <w:bCs/>
                <w:color w:val="FFFFFF"/>
                <w:sz w:val="18"/>
                <w:szCs w:val="18"/>
                <w:lang w:eastAsia="en-AU"/>
              </w:rPr>
            </w:pPr>
            <w:r w:rsidRPr="00F70643">
              <w:rPr>
                <w:rFonts w:cs="Arial"/>
                <w:b/>
                <w:bCs/>
                <w:color w:val="FFFFFF"/>
                <w:sz w:val="18"/>
                <w:szCs w:val="18"/>
                <w:lang w:eastAsia="en-AU"/>
              </w:rPr>
              <w:t>2010</w:t>
            </w:r>
          </w:p>
        </w:tc>
        <w:tc>
          <w:tcPr>
            <w:tcW w:w="1120" w:type="dxa"/>
            <w:shd w:val="clear" w:color="000000" w:fill="366092"/>
            <w:vAlign w:val="center"/>
            <w:hideMark/>
          </w:tcPr>
          <w:p w:rsidR="00F70643" w:rsidRPr="00F70643" w:rsidRDefault="00F70643" w:rsidP="00F70643">
            <w:pPr>
              <w:spacing w:after="0" w:line="240" w:lineRule="auto"/>
              <w:ind w:firstLineChars="100" w:firstLine="181"/>
              <w:jc w:val="right"/>
              <w:rPr>
                <w:rFonts w:cs="Arial"/>
                <w:b/>
                <w:bCs/>
                <w:color w:val="FFFFFF"/>
                <w:sz w:val="18"/>
                <w:szCs w:val="18"/>
                <w:lang w:eastAsia="en-AU"/>
              </w:rPr>
            </w:pPr>
            <w:r w:rsidRPr="00F70643">
              <w:rPr>
                <w:rFonts w:cs="Arial"/>
                <w:b/>
                <w:bCs/>
                <w:color w:val="FFFFFF"/>
                <w:sz w:val="18"/>
                <w:szCs w:val="18"/>
                <w:lang w:eastAsia="en-AU"/>
              </w:rPr>
              <w:t>2011</w:t>
            </w:r>
          </w:p>
        </w:tc>
        <w:tc>
          <w:tcPr>
            <w:tcW w:w="1120" w:type="dxa"/>
            <w:shd w:val="clear" w:color="000000" w:fill="366092"/>
            <w:vAlign w:val="center"/>
            <w:hideMark/>
          </w:tcPr>
          <w:p w:rsidR="00F70643" w:rsidRPr="00F70643" w:rsidRDefault="00F70643" w:rsidP="00F70643">
            <w:pPr>
              <w:spacing w:after="0" w:line="240" w:lineRule="auto"/>
              <w:ind w:firstLineChars="100" w:firstLine="181"/>
              <w:jc w:val="right"/>
              <w:rPr>
                <w:rFonts w:cs="Arial"/>
                <w:b/>
                <w:bCs/>
                <w:color w:val="FFFFFF"/>
                <w:sz w:val="18"/>
                <w:szCs w:val="18"/>
                <w:lang w:eastAsia="en-AU"/>
              </w:rPr>
            </w:pPr>
            <w:r w:rsidRPr="00F70643">
              <w:rPr>
                <w:rFonts w:cs="Arial"/>
                <w:b/>
                <w:bCs/>
                <w:color w:val="FFFFFF"/>
                <w:sz w:val="18"/>
                <w:szCs w:val="18"/>
                <w:lang w:eastAsia="en-AU"/>
              </w:rPr>
              <w:t>2012</w:t>
            </w:r>
          </w:p>
        </w:tc>
        <w:tc>
          <w:tcPr>
            <w:tcW w:w="1120" w:type="dxa"/>
            <w:shd w:val="clear" w:color="000000" w:fill="366092"/>
            <w:vAlign w:val="center"/>
            <w:hideMark/>
          </w:tcPr>
          <w:p w:rsidR="00F70643" w:rsidRPr="00F70643" w:rsidRDefault="00F70643" w:rsidP="00F70643">
            <w:pPr>
              <w:spacing w:after="0" w:line="240" w:lineRule="auto"/>
              <w:ind w:firstLineChars="100" w:firstLine="181"/>
              <w:jc w:val="right"/>
              <w:rPr>
                <w:rFonts w:cs="Arial"/>
                <w:b/>
                <w:bCs/>
                <w:color w:val="FFFFFF"/>
                <w:sz w:val="18"/>
                <w:szCs w:val="18"/>
                <w:lang w:eastAsia="en-AU"/>
              </w:rPr>
            </w:pPr>
            <w:r w:rsidRPr="00F70643">
              <w:rPr>
                <w:rFonts w:cs="Arial"/>
                <w:b/>
                <w:bCs/>
                <w:color w:val="FFFFFF"/>
                <w:sz w:val="18"/>
                <w:szCs w:val="18"/>
                <w:lang w:eastAsia="en-AU"/>
              </w:rPr>
              <w:t>2013</w:t>
            </w:r>
          </w:p>
        </w:tc>
      </w:tr>
      <w:tr w:rsidR="00F70643" w:rsidRPr="00F70643" w:rsidTr="008D0872">
        <w:trPr>
          <w:trHeight w:val="420"/>
        </w:trPr>
        <w:tc>
          <w:tcPr>
            <w:tcW w:w="2439" w:type="dxa"/>
            <w:shd w:val="clear" w:color="000000" w:fill="FFFFFF"/>
            <w:noWrap/>
            <w:vAlign w:val="center"/>
            <w:hideMark/>
          </w:tcPr>
          <w:p w:rsidR="00F70643" w:rsidRPr="00F70643" w:rsidRDefault="00F70643" w:rsidP="008D0872">
            <w:pPr>
              <w:spacing w:after="0" w:line="240" w:lineRule="auto"/>
              <w:jc w:val="left"/>
              <w:rPr>
                <w:rFonts w:cs="Arial"/>
                <w:color w:val="366092"/>
                <w:sz w:val="18"/>
                <w:szCs w:val="18"/>
                <w:lang w:eastAsia="en-AU"/>
              </w:rPr>
            </w:pPr>
            <w:r w:rsidRPr="00F70643">
              <w:rPr>
                <w:rFonts w:cs="Arial"/>
                <w:color w:val="366092"/>
                <w:sz w:val="18"/>
                <w:szCs w:val="18"/>
                <w:lang w:eastAsia="en-AU"/>
              </w:rPr>
              <w:t>VET completions</w:t>
            </w:r>
          </w:p>
        </w:tc>
        <w:tc>
          <w:tcPr>
            <w:tcW w:w="1120" w:type="dxa"/>
            <w:shd w:val="clear" w:color="auto" w:fill="auto"/>
            <w:noWrap/>
            <w:vAlign w:val="bottom"/>
            <w:hideMark/>
          </w:tcPr>
          <w:p w:rsidR="00F70643" w:rsidRPr="00F70643" w:rsidRDefault="00F70643" w:rsidP="00AC40B9">
            <w:pPr>
              <w:spacing w:after="0" w:line="240" w:lineRule="auto"/>
              <w:jc w:val="right"/>
              <w:rPr>
                <w:rFonts w:cs="Arial"/>
                <w:sz w:val="18"/>
                <w:szCs w:val="18"/>
                <w:lang w:eastAsia="en-AU"/>
              </w:rPr>
            </w:pPr>
            <w:r w:rsidRPr="00F70643">
              <w:rPr>
                <w:rFonts w:cs="Arial"/>
                <w:sz w:val="18"/>
                <w:szCs w:val="18"/>
                <w:lang w:eastAsia="en-AU"/>
              </w:rPr>
              <w:t xml:space="preserve">       133,300 </w:t>
            </w:r>
          </w:p>
        </w:tc>
        <w:tc>
          <w:tcPr>
            <w:tcW w:w="1120" w:type="dxa"/>
            <w:shd w:val="clear" w:color="auto" w:fill="auto"/>
            <w:noWrap/>
            <w:vAlign w:val="bottom"/>
            <w:hideMark/>
          </w:tcPr>
          <w:p w:rsidR="00F70643" w:rsidRPr="00F70643" w:rsidRDefault="00F70643" w:rsidP="00AC40B9">
            <w:pPr>
              <w:spacing w:after="0" w:line="240" w:lineRule="auto"/>
              <w:jc w:val="right"/>
              <w:rPr>
                <w:rFonts w:cs="Arial"/>
                <w:sz w:val="18"/>
                <w:szCs w:val="18"/>
                <w:lang w:eastAsia="en-AU"/>
              </w:rPr>
            </w:pPr>
            <w:r w:rsidRPr="00F70643">
              <w:rPr>
                <w:rFonts w:cs="Arial"/>
                <w:sz w:val="18"/>
                <w:szCs w:val="18"/>
                <w:lang w:eastAsia="en-AU"/>
              </w:rPr>
              <w:t xml:space="preserve">       133,400 </w:t>
            </w:r>
          </w:p>
        </w:tc>
        <w:tc>
          <w:tcPr>
            <w:tcW w:w="1120" w:type="dxa"/>
            <w:shd w:val="clear" w:color="auto" w:fill="auto"/>
            <w:noWrap/>
            <w:vAlign w:val="bottom"/>
            <w:hideMark/>
          </w:tcPr>
          <w:p w:rsidR="00F70643" w:rsidRPr="00F70643" w:rsidRDefault="00F70643" w:rsidP="00AC40B9">
            <w:pPr>
              <w:spacing w:after="0" w:line="240" w:lineRule="auto"/>
              <w:jc w:val="right"/>
              <w:rPr>
                <w:rFonts w:cs="Arial"/>
                <w:sz w:val="18"/>
                <w:szCs w:val="18"/>
                <w:lang w:eastAsia="en-AU"/>
              </w:rPr>
            </w:pPr>
            <w:r w:rsidRPr="00F70643">
              <w:rPr>
                <w:rFonts w:cs="Arial"/>
                <w:sz w:val="18"/>
                <w:szCs w:val="18"/>
                <w:lang w:eastAsia="en-AU"/>
              </w:rPr>
              <w:t xml:space="preserve">       152,600 </w:t>
            </w:r>
          </w:p>
        </w:tc>
        <w:tc>
          <w:tcPr>
            <w:tcW w:w="1120" w:type="dxa"/>
            <w:shd w:val="clear" w:color="auto" w:fill="auto"/>
            <w:noWrap/>
            <w:vAlign w:val="bottom"/>
            <w:hideMark/>
          </w:tcPr>
          <w:p w:rsidR="00F70643" w:rsidRPr="00F70643" w:rsidRDefault="00F70643" w:rsidP="00AC40B9">
            <w:pPr>
              <w:spacing w:after="0" w:line="240" w:lineRule="auto"/>
              <w:jc w:val="right"/>
              <w:rPr>
                <w:rFonts w:cs="Arial"/>
                <w:sz w:val="18"/>
                <w:szCs w:val="18"/>
                <w:lang w:eastAsia="en-AU"/>
              </w:rPr>
            </w:pPr>
            <w:r w:rsidRPr="00F70643">
              <w:rPr>
                <w:rFonts w:cs="Arial"/>
                <w:sz w:val="18"/>
                <w:szCs w:val="18"/>
                <w:lang w:eastAsia="en-AU"/>
              </w:rPr>
              <w:t xml:space="preserve">       187,500 </w:t>
            </w:r>
          </w:p>
        </w:tc>
        <w:tc>
          <w:tcPr>
            <w:tcW w:w="1120" w:type="dxa"/>
            <w:shd w:val="clear" w:color="auto" w:fill="auto"/>
            <w:noWrap/>
            <w:vAlign w:val="bottom"/>
            <w:hideMark/>
          </w:tcPr>
          <w:p w:rsidR="00F70643" w:rsidRPr="00F70643" w:rsidRDefault="00F70643" w:rsidP="00AC40B9">
            <w:pPr>
              <w:spacing w:after="0" w:line="240" w:lineRule="auto"/>
              <w:jc w:val="right"/>
              <w:rPr>
                <w:rFonts w:cs="Arial"/>
                <w:sz w:val="18"/>
                <w:szCs w:val="18"/>
                <w:lang w:eastAsia="en-AU"/>
              </w:rPr>
            </w:pPr>
            <w:r w:rsidRPr="00F70643">
              <w:rPr>
                <w:rFonts w:cs="Arial"/>
                <w:sz w:val="18"/>
                <w:szCs w:val="18"/>
                <w:lang w:eastAsia="en-AU"/>
              </w:rPr>
              <w:t xml:space="preserve">       238,500 </w:t>
            </w:r>
          </w:p>
        </w:tc>
        <w:tc>
          <w:tcPr>
            <w:tcW w:w="1120" w:type="dxa"/>
            <w:shd w:val="clear" w:color="auto" w:fill="auto"/>
            <w:noWrap/>
            <w:vAlign w:val="bottom"/>
            <w:hideMark/>
          </w:tcPr>
          <w:p w:rsidR="00F70643" w:rsidRPr="00F70643" w:rsidRDefault="00F70643" w:rsidP="00AC40B9">
            <w:pPr>
              <w:spacing w:after="0" w:line="240" w:lineRule="auto"/>
              <w:jc w:val="right"/>
              <w:rPr>
                <w:rFonts w:cs="Arial"/>
                <w:sz w:val="18"/>
                <w:szCs w:val="18"/>
                <w:lang w:eastAsia="en-AU"/>
              </w:rPr>
            </w:pPr>
            <w:r w:rsidRPr="00F70643">
              <w:rPr>
                <w:rFonts w:cs="Arial"/>
                <w:sz w:val="18"/>
                <w:szCs w:val="18"/>
                <w:lang w:eastAsia="en-AU"/>
              </w:rPr>
              <w:t xml:space="preserve">       220,200 </w:t>
            </w:r>
          </w:p>
        </w:tc>
      </w:tr>
    </w:tbl>
    <w:p w:rsidR="004E7369" w:rsidRDefault="004E7369">
      <w:pPr>
        <w:spacing w:after="0" w:line="240" w:lineRule="auto"/>
        <w:jc w:val="left"/>
      </w:pPr>
    </w:p>
    <w:p w:rsidR="00AC40B9" w:rsidRPr="004E7369" w:rsidRDefault="00AC40B9" w:rsidP="00AC40B9">
      <w:pPr>
        <w:pStyle w:val="Caption"/>
        <w:spacing w:after="0"/>
        <w:jc w:val="left"/>
        <w:rPr>
          <w:rFonts w:cs="Arial"/>
          <w:color w:val="365F91" w:themeColor="accent1" w:themeShade="BF"/>
          <w:sz w:val="19"/>
          <w:szCs w:val="19"/>
        </w:rPr>
      </w:pPr>
      <w:r w:rsidRPr="004E7369">
        <w:rPr>
          <w:rFonts w:cs="Arial"/>
          <w:color w:val="365F91" w:themeColor="accent1" w:themeShade="BF"/>
          <w:sz w:val="19"/>
          <w:szCs w:val="19"/>
        </w:rPr>
        <w:t>Table 1.9.</w:t>
      </w:r>
      <w:r>
        <w:rPr>
          <w:rFonts w:cs="Arial"/>
          <w:color w:val="365F91" w:themeColor="accent1" w:themeShade="BF"/>
          <w:sz w:val="19"/>
          <w:szCs w:val="19"/>
        </w:rPr>
        <w:t>2</w:t>
      </w:r>
      <w:r w:rsidRPr="004E7369">
        <w:rPr>
          <w:rFonts w:cs="Arial"/>
          <w:color w:val="365F91" w:themeColor="accent1" w:themeShade="BF"/>
          <w:sz w:val="19"/>
          <w:szCs w:val="19"/>
        </w:rPr>
        <w:t xml:space="preserve">: </w:t>
      </w:r>
      <w:r>
        <w:rPr>
          <w:rFonts w:cs="Arial"/>
          <w:color w:val="365F91" w:themeColor="accent1" w:themeShade="BF"/>
          <w:sz w:val="19"/>
          <w:szCs w:val="19"/>
        </w:rPr>
        <w:t>Change in n</w:t>
      </w:r>
      <w:r w:rsidRPr="004E7369">
        <w:rPr>
          <w:rFonts w:cs="Arial"/>
          <w:color w:val="365F91" w:themeColor="accent1" w:themeShade="BF"/>
          <w:sz w:val="19"/>
          <w:szCs w:val="19"/>
        </w:rPr>
        <w:t>umber of vocational course completions (government subsidised and TAFE fee-for-service)</w:t>
      </w:r>
    </w:p>
    <w:tbl>
      <w:tblPr>
        <w:tblW w:w="5799" w:type="dxa"/>
        <w:tblInd w:w="109" w:type="dxa"/>
        <w:tblLook w:val="04A0" w:firstRow="1" w:lastRow="0" w:firstColumn="1" w:lastColumn="0" w:noHBand="0" w:noVBand="1"/>
      </w:tblPr>
      <w:tblGrid>
        <w:gridCol w:w="2439"/>
        <w:gridCol w:w="1120"/>
        <w:gridCol w:w="1120"/>
        <w:gridCol w:w="1120"/>
      </w:tblGrid>
      <w:tr w:rsidR="00AC40B9" w:rsidRPr="00AC40B9" w:rsidTr="00AC40B9">
        <w:trPr>
          <w:trHeight w:val="720"/>
        </w:trPr>
        <w:tc>
          <w:tcPr>
            <w:tcW w:w="2439"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AC40B9" w:rsidRPr="00AC40B9" w:rsidRDefault="00AC40B9" w:rsidP="00AC40B9">
            <w:pPr>
              <w:spacing w:after="0" w:line="240" w:lineRule="auto"/>
              <w:ind w:firstLineChars="100" w:firstLine="181"/>
              <w:jc w:val="left"/>
              <w:rPr>
                <w:rFonts w:cs="Arial"/>
                <w:b/>
                <w:bCs/>
                <w:color w:val="FFFFFF"/>
                <w:sz w:val="18"/>
                <w:szCs w:val="18"/>
                <w:lang w:eastAsia="en-AU"/>
              </w:rPr>
            </w:pPr>
            <w:r w:rsidRPr="00AC40B9">
              <w:rPr>
                <w:rFonts w:cs="Arial"/>
                <w:b/>
                <w:bCs/>
                <w:color w:val="FFFFFF"/>
                <w:sz w:val="18"/>
                <w:szCs w:val="18"/>
                <w:lang w:eastAsia="en-AU"/>
              </w:rPr>
              <w:t>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AC40B9" w:rsidRPr="00AC40B9" w:rsidRDefault="00AC40B9" w:rsidP="00AC40B9">
            <w:pPr>
              <w:spacing w:after="0" w:line="240" w:lineRule="auto"/>
              <w:jc w:val="center"/>
              <w:rPr>
                <w:rFonts w:cs="Arial"/>
                <w:b/>
                <w:bCs/>
                <w:color w:val="FFFFFF"/>
                <w:sz w:val="18"/>
                <w:szCs w:val="18"/>
                <w:lang w:eastAsia="en-AU"/>
              </w:rPr>
            </w:pPr>
            <w:r w:rsidRPr="00AC40B9">
              <w:rPr>
                <w:rFonts w:cs="Arial"/>
                <w:b/>
                <w:bCs/>
                <w:color w:val="FFFFFF"/>
                <w:sz w:val="18"/>
                <w:szCs w:val="18"/>
                <w:lang w:eastAsia="en-AU"/>
              </w:rPr>
              <w:t>% change</w:t>
            </w:r>
            <w:r w:rsidRPr="00AC40B9">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AC40B9" w:rsidRPr="00AC40B9" w:rsidRDefault="00AC40B9" w:rsidP="00AC40B9">
            <w:pPr>
              <w:spacing w:after="0" w:line="240" w:lineRule="auto"/>
              <w:jc w:val="center"/>
              <w:rPr>
                <w:rFonts w:cs="Arial"/>
                <w:b/>
                <w:bCs/>
                <w:color w:val="FFFFFF"/>
                <w:sz w:val="18"/>
                <w:szCs w:val="18"/>
                <w:lang w:eastAsia="en-AU"/>
              </w:rPr>
            </w:pPr>
            <w:r w:rsidRPr="00AC40B9">
              <w:rPr>
                <w:rFonts w:cs="Arial"/>
                <w:b/>
                <w:bCs/>
                <w:color w:val="FFFFFF"/>
                <w:sz w:val="18"/>
                <w:szCs w:val="18"/>
                <w:lang w:eastAsia="en-AU"/>
              </w:rPr>
              <w:t>% change</w:t>
            </w:r>
            <w:r w:rsidRPr="00AC40B9">
              <w:rPr>
                <w:rFonts w:cs="Arial"/>
                <w:b/>
                <w:bCs/>
                <w:color w:val="FFFFFF"/>
                <w:sz w:val="18"/>
                <w:szCs w:val="18"/>
                <w:lang w:eastAsia="en-AU"/>
              </w:rPr>
              <w:br/>
              <w:t>2011-2013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AC40B9" w:rsidRPr="00AC40B9" w:rsidRDefault="00AC40B9" w:rsidP="00AC40B9">
            <w:pPr>
              <w:spacing w:after="0" w:line="240" w:lineRule="auto"/>
              <w:jc w:val="center"/>
              <w:rPr>
                <w:rFonts w:cs="Arial"/>
                <w:b/>
                <w:bCs/>
                <w:color w:val="FFFFFF"/>
                <w:sz w:val="18"/>
                <w:szCs w:val="18"/>
                <w:lang w:eastAsia="en-AU"/>
              </w:rPr>
            </w:pPr>
            <w:r w:rsidRPr="00AC40B9">
              <w:rPr>
                <w:rFonts w:cs="Arial"/>
                <w:b/>
                <w:bCs/>
                <w:color w:val="FFFFFF"/>
                <w:sz w:val="18"/>
                <w:szCs w:val="18"/>
                <w:lang w:eastAsia="en-AU"/>
              </w:rPr>
              <w:t>% change</w:t>
            </w:r>
            <w:r w:rsidRPr="00AC40B9">
              <w:rPr>
                <w:rFonts w:cs="Arial"/>
                <w:b/>
                <w:bCs/>
                <w:color w:val="FFFFFF"/>
                <w:sz w:val="18"/>
                <w:szCs w:val="18"/>
                <w:lang w:eastAsia="en-AU"/>
              </w:rPr>
              <w:br/>
              <w:t>2012-2013</w:t>
            </w:r>
          </w:p>
        </w:tc>
      </w:tr>
      <w:tr w:rsidR="00AC40B9" w:rsidRPr="00AC40B9" w:rsidTr="008D0872">
        <w:trPr>
          <w:trHeight w:val="420"/>
        </w:trPr>
        <w:tc>
          <w:tcPr>
            <w:tcW w:w="2439" w:type="dxa"/>
            <w:tcBorders>
              <w:top w:val="nil"/>
              <w:left w:val="single" w:sz="4" w:space="0" w:color="366092"/>
              <w:bottom w:val="single" w:sz="4" w:space="0" w:color="366092"/>
              <w:right w:val="single" w:sz="4" w:space="0" w:color="366092"/>
            </w:tcBorders>
            <w:shd w:val="clear" w:color="000000" w:fill="FFFFFF"/>
            <w:noWrap/>
            <w:vAlign w:val="center"/>
            <w:hideMark/>
          </w:tcPr>
          <w:p w:rsidR="00AC40B9" w:rsidRPr="00AC40B9" w:rsidRDefault="00AC40B9" w:rsidP="008D0872">
            <w:pPr>
              <w:spacing w:after="0" w:line="240" w:lineRule="auto"/>
              <w:jc w:val="left"/>
              <w:rPr>
                <w:rFonts w:cs="Arial"/>
                <w:color w:val="366092"/>
                <w:sz w:val="18"/>
                <w:szCs w:val="18"/>
                <w:lang w:eastAsia="en-AU"/>
              </w:rPr>
            </w:pPr>
            <w:r w:rsidRPr="00AC40B9">
              <w:rPr>
                <w:rFonts w:cs="Arial"/>
                <w:color w:val="366092"/>
                <w:sz w:val="18"/>
                <w:szCs w:val="18"/>
                <w:lang w:eastAsia="en-AU"/>
              </w:rPr>
              <w:t>VET completions</w:t>
            </w:r>
          </w:p>
        </w:tc>
        <w:tc>
          <w:tcPr>
            <w:tcW w:w="1120" w:type="dxa"/>
            <w:tcBorders>
              <w:top w:val="nil"/>
              <w:left w:val="nil"/>
              <w:bottom w:val="single" w:sz="4" w:space="0" w:color="366092"/>
              <w:right w:val="single" w:sz="4" w:space="0" w:color="366092"/>
            </w:tcBorders>
            <w:shd w:val="clear" w:color="auto" w:fill="auto"/>
            <w:noWrap/>
            <w:vAlign w:val="bottom"/>
            <w:hideMark/>
          </w:tcPr>
          <w:p w:rsidR="00AC40B9" w:rsidRPr="00AC40B9" w:rsidRDefault="00AC40B9" w:rsidP="00AC40B9">
            <w:pPr>
              <w:spacing w:after="0" w:line="240" w:lineRule="auto"/>
              <w:ind w:firstLineChars="100" w:firstLine="180"/>
              <w:jc w:val="right"/>
              <w:rPr>
                <w:rFonts w:cs="Arial"/>
                <w:sz w:val="18"/>
                <w:szCs w:val="18"/>
                <w:lang w:eastAsia="en-AU"/>
              </w:rPr>
            </w:pPr>
            <w:r w:rsidRPr="00AC40B9">
              <w:rPr>
                <w:rFonts w:cs="Arial"/>
                <w:sz w:val="18"/>
                <w:szCs w:val="18"/>
                <w:lang w:eastAsia="en-AU"/>
              </w:rPr>
              <w:t>65%</w:t>
            </w:r>
          </w:p>
        </w:tc>
        <w:tc>
          <w:tcPr>
            <w:tcW w:w="1120" w:type="dxa"/>
            <w:tcBorders>
              <w:top w:val="nil"/>
              <w:left w:val="nil"/>
              <w:bottom w:val="single" w:sz="4" w:space="0" w:color="366092"/>
              <w:right w:val="single" w:sz="4" w:space="0" w:color="366092"/>
            </w:tcBorders>
            <w:shd w:val="clear" w:color="auto" w:fill="auto"/>
            <w:noWrap/>
            <w:vAlign w:val="bottom"/>
            <w:hideMark/>
          </w:tcPr>
          <w:p w:rsidR="00AC40B9" w:rsidRPr="00AC40B9" w:rsidRDefault="00AC40B9" w:rsidP="00AC40B9">
            <w:pPr>
              <w:spacing w:after="0" w:line="240" w:lineRule="auto"/>
              <w:ind w:firstLineChars="100" w:firstLine="180"/>
              <w:jc w:val="right"/>
              <w:rPr>
                <w:rFonts w:cs="Arial"/>
                <w:sz w:val="18"/>
                <w:szCs w:val="18"/>
                <w:lang w:eastAsia="en-AU"/>
              </w:rPr>
            </w:pPr>
            <w:r w:rsidRPr="00AC40B9">
              <w:rPr>
                <w:rFonts w:cs="Arial"/>
                <w:sz w:val="18"/>
                <w:szCs w:val="18"/>
                <w:lang w:eastAsia="en-AU"/>
              </w:rPr>
              <w:t>17%</w:t>
            </w:r>
          </w:p>
        </w:tc>
        <w:tc>
          <w:tcPr>
            <w:tcW w:w="1120" w:type="dxa"/>
            <w:tcBorders>
              <w:top w:val="nil"/>
              <w:left w:val="nil"/>
              <w:bottom w:val="single" w:sz="4" w:space="0" w:color="366092"/>
              <w:right w:val="single" w:sz="4" w:space="0" w:color="366092"/>
            </w:tcBorders>
            <w:shd w:val="clear" w:color="auto" w:fill="auto"/>
            <w:noWrap/>
            <w:vAlign w:val="bottom"/>
            <w:hideMark/>
          </w:tcPr>
          <w:p w:rsidR="00AC40B9" w:rsidRPr="00AC40B9" w:rsidRDefault="00AC40B9" w:rsidP="00AC40B9">
            <w:pPr>
              <w:spacing w:after="0" w:line="240" w:lineRule="auto"/>
              <w:ind w:firstLineChars="100" w:firstLine="180"/>
              <w:jc w:val="right"/>
              <w:rPr>
                <w:rFonts w:cs="Arial"/>
                <w:sz w:val="18"/>
                <w:szCs w:val="18"/>
                <w:lang w:eastAsia="en-AU"/>
              </w:rPr>
            </w:pPr>
            <w:r w:rsidRPr="00AC40B9">
              <w:rPr>
                <w:rFonts w:cs="Arial"/>
                <w:sz w:val="18"/>
                <w:szCs w:val="18"/>
                <w:lang w:eastAsia="en-AU"/>
              </w:rPr>
              <w:t>-8%</w:t>
            </w:r>
          </w:p>
        </w:tc>
      </w:tr>
    </w:tbl>
    <w:p w:rsidR="00AC40B9" w:rsidRDefault="00AC40B9">
      <w:pPr>
        <w:spacing w:after="0" w:line="240" w:lineRule="auto"/>
        <w:jc w:val="left"/>
        <w:rPr>
          <w:b/>
          <w:color w:val="365F91" w:themeColor="accent1" w:themeShade="BF"/>
        </w:rPr>
      </w:pPr>
      <w:r>
        <w:rPr>
          <w:b/>
          <w:color w:val="365F91" w:themeColor="accent1" w:themeShade="BF"/>
        </w:rPr>
        <w:br w:type="page"/>
      </w:r>
    </w:p>
    <w:p w:rsidR="004E7369" w:rsidRPr="004E7369" w:rsidRDefault="004E7369">
      <w:pPr>
        <w:spacing w:after="0" w:line="240" w:lineRule="auto"/>
        <w:jc w:val="left"/>
        <w:rPr>
          <w:rFonts w:cs="Arial"/>
          <w:b/>
          <w:color w:val="365F91" w:themeColor="accent1" w:themeShade="BF"/>
        </w:rPr>
      </w:pPr>
      <w:r w:rsidRPr="004E7369">
        <w:rPr>
          <w:b/>
          <w:color w:val="365F91" w:themeColor="accent1" w:themeShade="BF"/>
        </w:rPr>
        <w:t xml:space="preserve">Figure </w:t>
      </w:r>
      <w:r w:rsidR="00293917">
        <w:rPr>
          <w:b/>
          <w:color w:val="365F91" w:themeColor="accent1" w:themeShade="BF"/>
        </w:rPr>
        <w:t>1.4:</w:t>
      </w:r>
      <w:r w:rsidRPr="004E7369">
        <w:rPr>
          <w:b/>
          <w:color w:val="365F91" w:themeColor="accent1" w:themeShade="BF"/>
        </w:rPr>
        <w:t xml:space="preserve"> </w:t>
      </w:r>
      <w:r w:rsidRPr="004E7369">
        <w:rPr>
          <w:rFonts w:cs="Arial"/>
          <w:b/>
          <w:color w:val="365F91" w:themeColor="accent1" w:themeShade="BF"/>
        </w:rPr>
        <w:t>Number of vocational course completions (government subsidised and TAFE fee-for-service), 2008–2013</w:t>
      </w:r>
    </w:p>
    <w:p w:rsidR="00B11FC6" w:rsidRDefault="004E7369">
      <w:pPr>
        <w:spacing w:after="0" w:line="240" w:lineRule="auto"/>
        <w:jc w:val="left"/>
      </w:pPr>
      <w:r>
        <w:rPr>
          <w:noProof/>
          <w:lang w:eastAsia="en-AU"/>
        </w:rPr>
        <w:drawing>
          <wp:inline distT="0" distB="0" distL="0" distR="0" wp14:anchorId="72195216" wp14:editId="30EE8379">
            <wp:extent cx="5760720" cy="284319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11FC6" w:rsidRDefault="00B11FC6">
      <w:pPr>
        <w:spacing w:after="0" w:line="240" w:lineRule="auto"/>
        <w:jc w:val="left"/>
      </w:pPr>
    </w:p>
    <w:tbl>
      <w:tblPr>
        <w:tblStyle w:val="TableGrid"/>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180"/>
      </w:tblGrid>
      <w:tr w:rsidR="00AC40B9" w:rsidTr="00AC40B9">
        <w:tc>
          <w:tcPr>
            <w:tcW w:w="9180" w:type="dxa"/>
          </w:tcPr>
          <w:p w:rsidR="00AC40B9" w:rsidRDefault="00AC40B9" w:rsidP="00AC40B9">
            <w:pPr>
              <w:pStyle w:val="Heading3"/>
              <w:jc w:val="left"/>
              <w:outlineLvl w:val="2"/>
            </w:pPr>
            <w:r w:rsidRPr="007A27E5">
              <w:t>Key Points</w:t>
            </w:r>
          </w:p>
          <w:p w:rsidR="00AC40B9" w:rsidRPr="008C0A56" w:rsidRDefault="00AC40B9" w:rsidP="00AC40B9">
            <w:pPr>
              <w:jc w:val="left"/>
            </w:pPr>
          </w:p>
          <w:p w:rsidR="00AC40B9" w:rsidRDefault="0019627B" w:rsidP="00AC40B9">
            <w:pPr>
              <w:pStyle w:val="ListBullet"/>
              <w:numPr>
                <w:ilvl w:val="0"/>
                <w:numId w:val="6"/>
              </w:numPr>
              <w:ind w:right="113"/>
              <w:jc w:val="left"/>
              <w:rPr>
                <w:rFonts w:cs="Arial"/>
              </w:rPr>
            </w:pPr>
            <w:r>
              <w:rPr>
                <w:rFonts w:cs="Arial"/>
              </w:rPr>
              <w:t>C</w:t>
            </w:r>
            <w:r w:rsidR="005B75E2">
              <w:rPr>
                <w:rFonts w:cs="Arial"/>
              </w:rPr>
              <w:t>ourses at Certificate III-IV made up the largest number of completions in 2013.</w:t>
            </w:r>
          </w:p>
          <w:p w:rsidR="005B75E2" w:rsidRPr="00D022C6" w:rsidRDefault="005B75E2" w:rsidP="00AC40B9">
            <w:pPr>
              <w:pStyle w:val="ListBullet"/>
              <w:numPr>
                <w:ilvl w:val="0"/>
                <w:numId w:val="6"/>
              </w:numPr>
              <w:ind w:right="113"/>
              <w:jc w:val="left"/>
              <w:rPr>
                <w:rFonts w:cs="Arial"/>
              </w:rPr>
            </w:pPr>
            <w:r>
              <w:rPr>
                <w:rFonts w:cs="Arial"/>
              </w:rPr>
              <w:t>Between 2008 and 201</w:t>
            </w:r>
            <w:r w:rsidR="00473E46">
              <w:rPr>
                <w:rFonts w:cs="Arial"/>
              </w:rPr>
              <w:t>3</w:t>
            </w:r>
            <w:r>
              <w:rPr>
                <w:rFonts w:cs="Arial"/>
              </w:rPr>
              <w:t xml:space="preserve"> the number of completions at the Certificate III-IV more than doubled.</w:t>
            </w:r>
          </w:p>
          <w:p w:rsidR="00AC40B9" w:rsidRDefault="00AC40B9" w:rsidP="004E7369">
            <w:pPr>
              <w:pStyle w:val="Heading3"/>
              <w:jc w:val="left"/>
              <w:outlineLvl w:val="2"/>
            </w:pPr>
          </w:p>
        </w:tc>
      </w:tr>
    </w:tbl>
    <w:p w:rsidR="004E7369" w:rsidRDefault="004E7369" w:rsidP="004E7369">
      <w:pPr>
        <w:pStyle w:val="Heading3"/>
        <w:jc w:val="left"/>
      </w:pPr>
    </w:p>
    <w:p w:rsidR="00AC40B9" w:rsidRPr="004E7369" w:rsidRDefault="00AC40B9" w:rsidP="00AC40B9">
      <w:pPr>
        <w:pStyle w:val="Caption"/>
        <w:spacing w:after="0"/>
        <w:jc w:val="left"/>
        <w:rPr>
          <w:rFonts w:cs="Arial"/>
          <w:color w:val="365F91" w:themeColor="accent1" w:themeShade="BF"/>
          <w:sz w:val="19"/>
          <w:szCs w:val="19"/>
        </w:rPr>
      </w:pPr>
      <w:r>
        <w:rPr>
          <w:rFonts w:cs="Arial"/>
          <w:color w:val="365F91" w:themeColor="accent1" w:themeShade="BF"/>
          <w:sz w:val="19"/>
          <w:szCs w:val="19"/>
        </w:rPr>
        <w:t>Table 1.10</w:t>
      </w:r>
      <w:r w:rsidRPr="004E7369">
        <w:rPr>
          <w:rFonts w:cs="Arial"/>
          <w:color w:val="365F91" w:themeColor="accent1" w:themeShade="BF"/>
          <w:sz w:val="19"/>
          <w:szCs w:val="19"/>
        </w:rPr>
        <w:t>.1: Number of vocational course completions</w:t>
      </w:r>
      <w:r w:rsidR="00A6137A">
        <w:rPr>
          <w:rFonts w:cs="Arial"/>
          <w:color w:val="365F91" w:themeColor="accent1" w:themeShade="BF"/>
          <w:sz w:val="19"/>
          <w:szCs w:val="19"/>
        </w:rPr>
        <w:t xml:space="preserve"> by level</w:t>
      </w:r>
      <w:r w:rsidRPr="004E7369">
        <w:rPr>
          <w:rFonts w:cs="Arial"/>
          <w:color w:val="365F91" w:themeColor="accent1" w:themeShade="BF"/>
          <w:sz w:val="19"/>
          <w:szCs w:val="19"/>
        </w:rPr>
        <w:t xml:space="preserve"> (government subsidised and TAFE fee-for-service), 2008–2013</w:t>
      </w:r>
    </w:p>
    <w:tbl>
      <w:tblPr>
        <w:tblW w:w="9160"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440"/>
        <w:gridCol w:w="1120"/>
        <w:gridCol w:w="1120"/>
        <w:gridCol w:w="1120"/>
        <w:gridCol w:w="1120"/>
        <w:gridCol w:w="1120"/>
        <w:gridCol w:w="1120"/>
      </w:tblGrid>
      <w:tr w:rsidR="00AC40B9" w:rsidRPr="00AC40B9" w:rsidTr="00473E46">
        <w:trPr>
          <w:trHeight w:val="720"/>
        </w:trPr>
        <w:tc>
          <w:tcPr>
            <w:tcW w:w="2440" w:type="dxa"/>
            <w:shd w:val="clear" w:color="000000" w:fill="366092"/>
            <w:noWrap/>
            <w:vAlign w:val="center"/>
            <w:hideMark/>
          </w:tcPr>
          <w:p w:rsidR="00AC40B9" w:rsidRPr="00AC40B9" w:rsidRDefault="00AC40B9" w:rsidP="00AC40B9">
            <w:pPr>
              <w:spacing w:after="0" w:line="240" w:lineRule="auto"/>
              <w:ind w:firstLineChars="100" w:firstLine="181"/>
              <w:jc w:val="left"/>
              <w:rPr>
                <w:rFonts w:cs="Arial"/>
                <w:b/>
                <w:bCs/>
                <w:color w:val="FFFFFF"/>
                <w:sz w:val="18"/>
                <w:szCs w:val="18"/>
                <w:lang w:eastAsia="en-AU"/>
              </w:rPr>
            </w:pPr>
            <w:r w:rsidRPr="00AC40B9">
              <w:rPr>
                <w:rFonts w:cs="Arial"/>
                <w:b/>
                <w:bCs/>
                <w:color w:val="FFFFFF"/>
                <w:sz w:val="18"/>
                <w:szCs w:val="18"/>
                <w:lang w:eastAsia="en-AU"/>
              </w:rPr>
              <w:t> </w:t>
            </w:r>
          </w:p>
        </w:tc>
        <w:tc>
          <w:tcPr>
            <w:tcW w:w="1120" w:type="dxa"/>
            <w:shd w:val="clear" w:color="000000" w:fill="366092"/>
            <w:vAlign w:val="center"/>
            <w:hideMark/>
          </w:tcPr>
          <w:p w:rsidR="00AC40B9" w:rsidRPr="00AC40B9" w:rsidRDefault="00AC40B9" w:rsidP="00AC40B9">
            <w:pPr>
              <w:spacing w:after="0" w:line="240" w:lineRule="auto"/>
              <w:ind w:firstLineChars="100" w:firstLine="181"/>
              <w:jc w:val="right"/>
              <w:rPr>
                <w:rFonts w:cs="Arial"/>
                <w:b/>
                <w:bCs/>
                <w:color w:val="FFFFFF"/>
                <w:sz w:val="18"/>
                <w:szCs w:val="18"/>
                <w:lang w:eastAsia="en-AU"/>
              </w:rPr>
            </w:pPr>
            <w:r w:rsidRPr="00AC40B9">
              <w:rPr>
                <w:rFonts w:cs="Arial"/>
                <w:b/>
                <w:bCs/>
                <w:color w:val="FFFFFF"/>
                <w:sz w:val="18"/>
                <w:szCs w:val="18"/>
                <w:lang w:eastAsia="en-AU"/>
              </w:rPr>
              <w:t>2008</w:t>
            </w:r>
          </w:p>
        </w:tc>
        <w:tc>
          <w:tcPr>
            <w:tcW w:w="1120" w:type="dxa"/>
            <w:shd w:val="clear" w:color="000000" w:fill="366092"/>
            <w:vAlign w:val="center"/>
            <w:hideMark/>
          </w:tcPr>
          <w:p w:rsidR="00AC40B9" w:rsidRPr="00AC40B9" w:rsidRDefault="00AC40B9" w:rsidP="00AC40B9">
            <w:pPr>
              <w:spacing w:after="0" w:line="240" w:lineRule="auto"/>
              <w:ind w:firstLineChars="100" w:firstLine="181"/>
              <w:jc w:val="right"/>
              <w:rPr>
                <w:rFonts w:cs="Arial"/>
                <w:b/>
                <w:bCs/>
                <w:color w:val="FFFFFF"/>
                <w:sz w:val="18"/>
                <w:szCs w:val="18"/>
                <w:lang w:eastAsia="en-AU"/>
              </w:rPr>
            </w:pPr>
            <w:r w:rsidRPr="00AC40B9">
              <w:rPr>
                <w:rFonts w:cs="Arial"/>
                <w:b/>
                <w:bCs/>
                <w:color w:val="FFFFFF"/>
                <w:sz w:val="18"/>
                <w:szCs w:val="18"/>
                <w:lang w:eastAsia="en-AU"/>
              </w:rPr>
              <w:t>2009</w:t>
            </w:r>
          </w:p>
        </w:tc>
        <w:tc>
          <w:tcPr>
            <w:tcW w:w="1120" w:type="dxa"/>
            <w:shd w:val="clear" w:color="000000" w:fill="366092"/>
            <w:vAlign w:val="center"/>
            <w:hideMark/>
          </w:tcPr>
          <w:p w:rsidR="00AC40B9" w:rsidRPr="00AC40B9" w:rsidRDefault="00AC40B9" w:rsidP="00AC40B9">
            <w:pPr>
              <w:spacing w:after="0" w:line="240" w:lineRule="auto"/>
              <w:ind w:firstLineChars="100" w:firstLine="181"/>
              <w:jc w:val="right"/>
              <w:rPr>
                <w:rFonts w:cs="Arial"/>
                <w:b/>
                <w:bCs/>
                <w:color w:val="FFFFFF"/>
                <w:sz w:val="18"/>
                <w:szCs w:val="18"/>
                <w:lang w:eastAsia="en-AU"/>
              </w:rPr>
            </w:pPr>
            <w:r w:rsidRPr="00AC40B9">
              <w:rPr>
                <w:rFonts w:cs="Arial"/>
                <w:b/>
                <w:bCs/>
                <w:color w:val="FFFFFF"/>
                <w:sz w:val="18"/>
                <w:szCs w:val="18"/>
                <w:lang w:eastAsia="en-AU"/>
              </w:rPr>
              <w:t>2010</w:t>
            </w:r>
          </w:p>
        </w:tc>
        <w:tc>
          <w:tcPr>
            <w:tcW w:w="1120" w:type="dxa"/>
            <w:shd w:val="clear" w:color="000000" w:fill="366092"/>
            <w:vAlign w:val="center"/>
            <w:hideMark/>
          </w:tcPr>
          <w:p w:rsidR="00AC40B9" w:rsidRPr="00AC40B9" w:rsidRDefault="00AC40B9" w:rsidP="00AC40B9">
            <w:pPr>
              <w:spacing w:after="0" w:line="240" w:lineRule="auto"/>
              <w:ind w:firstLineChars="100" w:firstLine="181"/>
              <w:jc w:val="right"/>
              <w:rPr>
                <w:rFonts w:cs="Arial"/>
                <w:b/>
                <w:bCs/>
                <w:color w:val="FFFFFF"/>
                <w:sz w:val="18"/>
                <w:szCs w:val="18"/>
                <w:lang w:eastAsia="en-AU"/>
              </w:rPr>
            </w:pPr>
            <w:r w:rsidRPr="00AC40B9">
              <w:rPr>
                <w:rFonts w:cs="Arial"/>
                <w:b/>
                <w:bCs/>
                <w:color w:val="FFFFFF"/>
                <w:sz w:val="18"/>
                <w:szCs w:val="18"/>
                <w:lang w:eastAsia="en-AU"/>
              </w:rPr>
              <w:t>2011</w:t>
            </w:r>
          </w:p>
        </w:tc>
        <w:tc>
          <w:tcPr>
            <w:tcW w:w="1120" w:type="dxa"/>
            <w:shd w:val="clear" w:color="000000" w:fill="366092"/>
            <w:vAlign w:val="center"/>
            <w:hideMark/>
          </w:tcPr>
          <w:p w:rsidR="00AC40B9" w:rsidRPr="00AC40B9" w:rsidRDefault="00AC40B9" w:rsidP="00AC40B9">
            <w:pPr>
              <w:spacing w:after="0" w:line="240" w:lineRule="auto"/>
              <w:ind w:firstLineChars="100" w:firstLine="181"/>
              <w:jc w:val="right"/>
              <w:rPr>
                <w:rFonts w:cs="Arial"/>
                <w:b/>
                <w:bCs/>
                <w:color w:val="FFFFFF"/>
                <w:sz w:val="18"/>
                <w:szCs w:val="18"/>
                <w:lang w:eastAsia="en-AU"/>
              </w:rPr>
            </w:pPr>
            <w:r w:rsidRPr="00AC40B9">
              <w:rPr>
                <w:rFonts w:cs="Arial"/>
                <w:b/>
                <w:bCs/>
                <w:color w:val="FFFFFF"/>
                <w:sz w:val="18"/>
                <w:szCs w:val="18"/>
                <w:lang w:eastAsia="en-AU"/>
              </w:rPr>
              <w:t>2012</w:t>
            </w:r>
          </w:p>
        </w:tc>
        <w:tc>
          <w:tcPr>
            <w:tcW w:w="1120" w:type="dxa"/>
            <w:shd w:val="clear" w:color="000000" w:fill="366092"/>
            <w:vAlign w:val="center"/>
            <w:hideMark/>
          </w:tcPr>
          <w:p w:rsidR="00AC40B9" w:rsidRPr="00AC40B9" w:rsidRDefault="00AC40B9" w:rsidP="00AC40B9">
            <w:pPr>
              <w:spacing w:after="0" w:line="240" w:lineRule="auto"/>
              <w:ind w:firstLineChars="100" w:firstLine="181"/>
              <w:jc w:val="right"/>
              <w:rPr>
                <w:rFonts w:cs="Arial"/>
                <w:b/>
                <w:bCs/>
                <w:color w:val="FFFFFF"/>
                <w:sz w:val="18"/>
                <w:szCs w:val="18"/>
                <w:lang w:eastAsia="en-AU"/>
              </w:rPr>
            </w:pPr>
            <w:r w:rsidRPr="00AC40B9">
              <w:rPr>
                <w:rFonts w:cs="Arial"/>
                <w:b/>
                <w:bCs/>
                <w:color w:val="FFFFFF"/>
                <w:sz w:val="18"/>
                <w:szCs w:val="18"/>
                <w:lang w:eastAsia="en-AU"/>
              </w:rPr>
              <w:t>2013</w:t>
            </w:r>
          </w:p>
        </w:tc>
      </w:tr>
      <w:tr w:rsidR="00AC40B9" w:rsidRPr="00AC40B9" w:rsidTr="0019627B">
        <w:trPr>
          <w:trHeight w:val="345"/>
        </w:trPr>
        <w:tc>
          <w:tcPr>
            <w:tcW w:w="2440" w:type="dxa"/>
            <w:shd w:val="clear" w:color="000000" w:fill="FFFFFF"/>
            <w:noWrap/>
            <w:vAlign w:val="center"/>
            <w:hideMark/>
          </w:tcPr>
          <w:p w:rsidR="00AC40B9" w:rsidRPr="00AC40B9" w:rsidRDefault="00AC40B9" w:rsidP="0019627B">
            <w:pPr>
              <w:spacing w:after="0" w:line="240" w:lineRule="auto"/>
              <w:jc w:val="left"/>
              <w:rPr>
                <w:rFonts w:cs="Arial"/>
                <w:color w:val="366092"/>
                <w:sz w:val="18"/>
                <w:szCs w:val="18"/>
                <w:lang w:eastAsia="en-AU"/>
              </w:rPr>
            </w:pPr>
            <w:r w:rsidRPr="00AC40B9">
              <w:rPr>
                <w:rFonts w:cs="Arial"/>
                <w:color w:val="366092"/>
                <w:sz w:val="18"/>
                <w:szCs w:val="18"/>
                <w:lang w:eastAsia="en-AU"/>
              </w:rPr>
              <w:t>Cert I-II</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25,200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26,300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29,100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37,900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44,600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47,900 </w:t>
            </w:r>
          </w:p>
        </w:tc>
      </w:tr>
      <w:tr w:rsidR="00AC40B9" w:rsidRPr="00AC40B9" w:rsidTr="0019627B">
        <w:trPr>
          <w:trHeight w:val="345"/>
        </w:trPr>
        <w:tc>
          <w:tcPr>
            <w:tcW w:w="2440" w:type="dxa"/>
            <w:shd w:val="clear" w:color="000000" w:fill="FFFFFF"/>
            <w:noWrap/>
            <w:vAlign w:val="center"/>
            <w:hideMark/>
          </w:tcPr>
          <w:p w:rsidR="00AC40B9" w:rsidRPr="00AC40B9" w:rsidRDefault="00AC40B9" w:rsidP="0019627B">
            <w:pPr>
              <w:spacing w:after="0" w:line="240" w:lineRule="auto"/>
              <w:jc w:val="left"/>
              <w:rPr>
                <w:rFonts w:cs="Arial"/>
                <w:color w:val="366092"/>
                <w:sz w:val="18"/>
                <w:szCs w:val="18"/>
                <w:lang w:eastAsia="en-AU"/>
              </w:rPr>
            </w:pPr>
            <w:r w:rsidRPr="00AC40B9">
              <w:rPr>
                <w:rFonts w:cs="Arial"/>
                <w:color w:val="366092"/>
                <w:sz w:val="18"/>
                <w:szCs w:val="18"/>
                <w:lang w:eastAsia="en-AU"/>
              </w:rPr>
              <w:t>Cert III-IV</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60,200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64,600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75,100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107,100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146,800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127,100 </w:t>
            </w:r>
          </w:p>
        </w:tc>
      </w:tr>
      <w:tr w:rsidR="00AC40B9" w:rsidRPr="00AC40B9" w:rsidTr="0019627B">
        <w:trPr>
          <w:trHeight w:val="345"/>
        </w:trPr>
        <w:tc>
          <w:tcPr>
            <w:tcW w:w="2440" w:type="dxa"/>
            <w:shd w:val="clear" w:color="000000" w:fill="FFFFFF"/>
            <w:noWrap/>
            <w:vAlign w:val="center"/>
            <w:hideMark/>
          </w:tcPr>
          <w:p w:rsidR="00AC40B9" w:rsidRPr="00AC40B9" w:rsidRDefault="00AC40B9" w:rsidP="0019627B">
            <w:pPr>
              <w:spacing w:after="0" w:line="240" w:lineRule="auto"/>
              <w:jc w:val="left"/>
              <w:rPr>
                <w:rFonts w:cs="Arial"/>
                <w:color w:val="366092"/>
                <w:sz w:val="18"/>
                <w:szCs w:val="18"/>
                <w:lang w:eastAsia="en-AU"/>
              </w:rPr>
            </w:pPr>
            <w:r w:rsidRPr="00AC40B9">
              <w:rPr>
                <w:rFonts w:cs="Arial"/>
                <w:color w:val="366092"/>
                <w:sz w:val="18"/>
                <w:szCs w:val="18"/>
                <w:lang w:eastAsia="en-AU"/>
              </w:rPr>
              <w:t>Diploma &amp; Above</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24,900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24,100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30,800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35,000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43,000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40,200 </w:t>
            </w:r>
          </w:p>
        </w:tc>
      </w:tr>
      <w:tr w:rsidR="00AC40B9" w:rsidRPr="00AC40B9" w:rsidTr="0019627B">
        <w:trPr>
          <w:trHeight w:val="345"/>
        </w:trPr>
        <w:tc>
          <w:tcPr>
            <w:tcW w:w="2440" w:type="dxa"/>
            <w:shd w:val="clear" w:color="000000" w:fill="FFFFFF"/>
            <w:noWrap/>
            <w:vAlign w:val="center"/>
            <w:hideMark/>
          </w:tcPr>
          <w:p w:rsidR="00AC40B9" w:rsidRPr="00AC40B9" w:rsidRDefault="00AC40B9" w:rsidP="0019627B">
            <w:pPr>
              <w:spacing w:after="0" w:line="240" w:lineRule="auto"/>
              <w:jc w:val="left"/>
              <w:rPr>
                <w:rFonts w:cs="Arial"/>
                <w:color w:val="366092"/>
                <w:sz w:val="18"/>
                <w:szCs w:val="18"/>
                <w:lang w:eastAsia="en-AU"/>
              </w:rPr>
            </w:pPr>
            <w:r w:rsidRPr="00AC40B9">
              <w:rPr>
                <w:rFonts w:cs="Arial"/>
                <w:color w:val="366092"/>
                <w:sz w:val="18"/>
                <w:szCs w:val="18"/>
                <w:lang w:eastAsia="en-AU"/>
              </w:rPr>
              <w:t>Secondary, SoA and other</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22,900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18,100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17,500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7,200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3,700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4,700 </w:t>
            </w:r>
          </w:p>
        </w:tc>
      </w:tr>
      <w:tr w:rsidR="00AC40B9" w:rsidRPr="00AC40B9" w:rsidTr="0019627B">
        <w:trPr>
          <w:trHeight w:val="345"/>
        </w:trPr>
        <w:tc>
          <w:tcPr>
            <w:tcW w:w="2440" w:type="dxa"/>
            <w:shd w:val="clear" w:color="000000" w:fill="FFFFFF"/>
            <w:noWrap/>
            <w:vAlign w:val="center"/>
            <w:hideMark/>
          </w:tcPr>
          <w:p w:rsidR="00AC40B9" w:rsidRPr="00AC40B9" w:rsidRDefault="00AC40B9" w:rsidP="0019627B">
            <w:pPr>
              <w:spacing w:after="0" w:line="240" w:lineRule="auto"/>
              <w:jc w:val="left"/>
              <w:rPr>
                <w:rFonts w:cs="Arial"/>
                <w:color w:val="366092"/>
                <w:sz w:val="18"/>
                <w:szCs w:val="18"/>
                <w:lang w:eastAsia="en-AU"/>
              </w:rPr>
            </w:pPr>
            <w:r w:rsidRPr="00AC40B9">
              <w:rPr>
                <w:rFonts w:cs="Arial"/>
                <w:color w:val="366092"/>
                <w:sz w:val="18"/>
                <w:szCs w:val="18"/>
                <w:lang w:eastAsia="en-AU"/>
              </w:rPr>
              <w:t>Higher Education</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90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150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350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500 </w:t>
            </w:r>
          </w:p>
        </w:tc>
        <w:tc>
          <w:tcPr>
            <w:tcW w:w="1120" w:type="dxa"/>
            <w:shd w:val="clear" w:color="auto" w:fill="auto"/>
            <w:noWrap/>
            <w:vAlign w:val="bottom"/>
            <w:hideMark/>
          </w:tcPr>
          <w:p w:rsidR="00AC40B9" w:rsidRPr="00AC40B9" w:rsidRDefault="00AC40B9" w:rsidP="00AC40B9">
            <w:pPr>
              <w:spacing w:after="0" w:line="240" w:lineRule="auto"/>
              <w:jc w:val="right"/>
              <w:rPr>
                <w:rFonts w:cs="Arial"/>
                <w:sz w:val="18"/>
                <w:szCs w:val="18"/>
                <w:lang w:eastAsia="en-AU"/>
              </w:rPr>
            </w:pPr>
            <w:r w:rsidRPr="00AC40B9">
              <w:rPr>
                <w:rFonts w:cs="Arial"/>
                <w:sz w:val="18"/>
                <w:szCs w:val="18"/>
                <w:lang w:eastAsia="en-AU"/>
              </w:rPr>
              <w:t xml:space="preserve">               250 </w:t>
            </w:r>
          </w:p>
        </w:tc>
      </w:tr>
      <w:tr w:rsidR="00AC40B9" w:rsidRPr="00AC40B9" w:rsidTr="00473E46">
        <w:trPr>
          <w:trHeight w:val="345"/>
        </w:trPr>
        <w:tc>
          <w:tcPr>
            <w:tcW w:w="2440" w:type="dxa"/>
            <w:shd w:val="clear" w:color="000000" w:fill="366092"/>
            <w:noWrap/>
            <w:vAlign w:val="bottom"/>
            <w:hideMark/>
          </w:tcPr>
          <w:p w:rsidR="00AC40B9" w:rsidRPr="00AC40B9" w:rsidRDefault="00AC40B9" w:rsidP="00AC40B9">
            <w:pPr>
              <w:spacing w:after="0" w:line="240" w:lineRule="auto"/>
              <w:jc w:val="left"/>
              <w:rPr>
                <w:rFonts w:cs="Arial"/>
                <w:b/>
                <w:bCs/>
                <w:color w:val="FFFFFF"/>
                <w:sz w:val="18"/>
                <w:szCs w:val="18"/>
                <w:lang w:eastAsia="en-AU"/>
              </w:rPr>
            </w:pPr>
            <w:r w:rsidRPr="00AC40B9">
              <w:rPr>
                <w:rFonts w:cs="Arial"/>
                <w:b/>
                <w:bCs/>
                <w:color w:val="FFFFFF"/>
                <w:sz w:val="18"/>
                <w:szCs w:val="18"/>
                <w:lang w:eastAsia="en-AU"/>
              </w:rPr>
              <w:t>Total</w:t>
            </w:r>
          </w:p>
        </w:tc>
        <w:tc>
          <w:tcPr>
            <w:tcW w:w="1120" w:type="dxa"/>
            <w:shd w:val="clear" w:color="000000" w:fill="366092"/>
            <w:noWrap/>
            <w:vAlign w:val="bottom"/>
            <w:hideMark/>
          </w:tcPr>
          <w:p w:rsidR="00AC40B9" w:rsidRPr="00AC40B9" w:rsidRDefault="00AC40B9" w:rsidP="00AC40B9">
            <w:pPr>
              <w:spacing w:after="0" w:line="240" w:lineRule="auto"/>
              <w:jc w:val="right"/>
              <w:rPr>
                <w:rFonts w:cs="Arial"/>
                <w:b/>
                <w:bCs/>
                <w:color w:val="FFFFFF"/>
                <w:sz w:val="18"/>
                <w:szCs w:val="18"/>
                <w:lang w:eastAsia="en-AU"/>
              </w:rPr>
            </w:pPr>
            <w:r w:rsidRPr="00AC40B9">
              <w:rPr>
                <w:rFonts w:cs="Arial"/>
                <w:b/>
                <w:bCs/>
                <w:color w:val="FFFFFF"/>
                <w:sz w:val="18"/>
                <w:szCs w:val="18"/>
                <w:lang w:eastAsia="en-AU"/>
              </w:rPr>
              <w:t xml:space="preserve">       133,300 </w:t>
            </w:r>
          </w:p>
        </w:tc>
        <w:tc>
          <w:tcPr>
            <w:tcW w:w="1120" w:type="dxa"/>
            <w:shd w:val="clear" w:color="000000" w:fill="366092"/>
            <w:noWrap/>
            <w:vAlign w:val="bottom"/>
            <w:hideMark/>
          </w:tcPr>
          <w:p w:rsidR="00AC40B9" w:rsidRPr="00AC40B9" w:rsidRDefault="00AC40B9" w:rsidP="00AC40B9">
            <w:pPr>
              <w:spacing w:after="0" w:line="240" w:lineRule="auto"/>
              <w:jc w:val="right"/>
              <w:rPr>
                <w:rFonts w:cs="Arial"/>
                <w:b/>
                <w:bCs/>
                <w:color w:val="FFFFFF"/>
                <w:sz w:val="18"/>
                <w:szCs w:val="18"/>
                <w:lang w:eastAsia="en-AU"/>
              </w:rPr>
            </w:pPr>
            <w:r w:rsidRPr="00AC40B9">
              <w:rPr>
                <w:rFonts w:cs="Arial"/>
                <w:b/>
                <w:bCs/>
                <w:color w:val="FFFFFF"/>
                <w:sz w:val="18"/>
                <w:szCs w:val="18"/>
                <w:lang w:eastAsia="en-AU"/>
              </w:rPr>
              <w:t xml:space="preserve">       133,400 </w:t>
            </w:r>
          </w:p>
        </w:tc>
        <w:tc>
          <w:tcPr>
            <w:tcW w:w="1120" w:type="dxa"/>
            <w:shd w:val="clear" w:color="000000" w:fill="366092"/>
            <w:noWrap/>
            <w:vAlign w:val="bottom"/>
            <w:hideMark/>
          </w:tcPr>
          <w:p w:rsidR="00AC40B9" w:rsidRPr="00AC40B9" w:rsidRDefault="00AC40B9" w:rsidP="00AC40B9">
            <w:pPr>
              <w:spacing w:after="0" w:line="240" w:lineRule="auto"/>
              <w:jc w:val="right"/>
              <w:rPr>
                <w:rFonts w:cs="Arial"/>
                <w:b/>
                <w:bCs/>
                <w:color w:val="FFFFFF"/>
                <w:sz w:val="18"/>
                <w:szCs w:val="18"/>
                <w:lang w:eastAsia="en-AU"/>
              </w:rPr>
            </w:pPr>
            <w:r w:rsidRPr="00AC40B9">
              <w:rPr>
                <w:rFonts w:cs="Arial"/>
                <w:b/>
                <w:bCs/>
                <w:color w:val="FFFFFF"/>
                <w:sz w:val="18"/>
                <w:szCs w:val="18"/>
                <w:lang w:eastAsia="en-AU"/>
              </w:rPr>
              <w:t xml:space="preserve">       152,600 </w:t>
            </w:r>
          </w:p>
        </w:tc>
        <w:tc>
          <w:tcPr>
            <w:tcW w:w="1120" w:type="dxa"/>
            <w:shd w:val="clear" w:color="000000" w:fill="366092"/>
            <w:noWrap/>
            <w:vAlign w:val="bottom"/>
            <w:hideMark/>
          </w:tcPr>
          <w:p w:rsidR="00AC40B9" w:rsidRPr="00AC40B9" w:rsidRDefault="00AC40B9" w:rsidP="00AC40B9">
            <w:pPr>
              <w:spacing w:after="0" w:line="240" w:lineRule="auto"/>
              <w:jc w:val="right"/>
              <w:rPr>
                <w:rFonts w:cs="Arial"/>
                <w:b/>
                <w:bCs/>
                <w:color w:val="FFFFFF"/>
                <w:sz w:val="18"/>
                <w:szCs w:val="18"/>
                <w:lang w:eastAsia="en-AU"/>
              </w:rPr>
            </w:pPr>
            <w:r w:rsidRPr="00AC40B9">
              <w:rPr>
                <w:rFonts w:cs="Arial"/>
                <w:b/>
                <w:bCs/>
                <w:color w:val="FFFFFF"/>
                <w:sz w:val="18"/>
                <w:szCs w:val="18"/>
                <w:lang w:eastAsia="en-AU"/>
              </w:rPr>
              <w:t xml:space="preserve">       187,500 </w:t>
            </w:r>
          </w:p>
        </w:tc>
        <w:tc>
          <w:tcPr>
            <w:tcW w:w="1120" w:type="dxa"/>
            <w:shd w:val="clear" w:color="000000" w:fill="366092"/>
            <w:noWrap/>
            <w:vAlign w:val="bottom"/>
            <w:hideMark/>
          </w:tcPr>
          <w:p w:rsidR="00AC40B9" w:rsidRPr="00AC40B9" w:rsidRDefault="00AC40B9" w:rsidP="00AC40B9">
            <w:pPr>
              <w:spacing w:after="0" w:line="240" w:lineRule="auto"/>
              <w:jc w:val="right"/>
              <w:rPr>
                <w:rFonts w:cs="Arial"/>
                <w:b/>
                <w:bCs/>
                <w:color w:val="FFFFFF"/>
                <w:sz w:val="18"/>
                <w:szCs w:val="18"/>
                <w:lang w:eastAsia="en-AU"/>
              </w:rPr>
            </w:pPr>
            <w:r w:rsidRPr="00AC40B9">
              <w:rPr>
                <w:rFonts w:cs="Arial"/>
                <w:b/>
                <w:bCs/>
                <w:color w:val="FFFFFF"/>
                <w:sz w:val="18"/>
                <w:szCs w:val="18"/>
                <w:lang w:eastAsia="en-AU"/>
              </w:rPr>
              <w:t xml:space="preserve">       238,500 </w:t>
            </w:r>
          </w:p>
        </w:tc>
        <w:tc>
          <w:tcPr>
            <w:tcW w:w="1120" w:type="dxa"/>
            <w:shd w:val="clear" w:color="000000" w:fill="366092"/>
            <w:noWrap/>
            <w:vAlign w:val="bottom"/>
            <w:hideMark/>
          </w:tcPr>
          <w:p w:rsidR="00AC40B9" w:rsidRPr="00AC40B9" w:rsidRDefault="00AC40B9" w:rsidP="00AC40B9">
            <w:pPr>
              <w:spacing w:after="0" w:line="240" w:lineRule="auto"/>
              <w:jc w:val="right"/>
              <w:rPr>
                <w:rFonts w:cs="Arial"/>
                <w:b/>
                <w:bCs/>
                <w:color w:val="FFFFFF"/>
                <w:sz w:val="18"/>
                <w:szCs w:val="18"/>
                <w:lang w:eastAsia="en-AU"/>
              </w:rPr>
            </w:pPr>
            <w:r w:rsidRPr="00AC40B9">
              <w:rPr>
                <w:rFonts w:cs="Arial"/>
                <w:b/>
                <w:bCs/>
                <w:color w:val="FFFFFF"/>
                <w:sz w:val="18"/>
                <w:szCs w:val="18"/>
                <w:lang w:eastAsia="en-AU"/>
              </w:rPr>
              <w:t xml:space="preserve">       220,200 </w:t>
            </w:r>
          </w:p>
        </w:tc>
      </w:tr>
    </w:tbl>
    <w:p w:rsidR="00A6137A" w:rsidRDefault="00A6137A" w:rsidP="004E7369">
      <w:pPr>
        <w:pStyle w:val="Heading3"/>
        <w:jc w:val="left"/>
      </w:pPr>
    </w:p>
    <w:p w:rsidR="005B75E2" w:rsidRDefault="005B75E2">
      <w:pPr>
        <w:spacing w:after="0" w:line="240" w:lineRule="auto"/>
        <w:jc w:val="left"/>
        <w:rPr>
          <w:rFonts w:cs="Arial"/>
          <w:b/>
          <w:bCs/>
          <w:color w:val="365F91" w:themeColor="accent1" w:themeShade="BF"/>
          <w:szCs w:val="19"/>
        </w:rPr>
      </w:pPr>
      <w:r>
        <w:br w:type="page"/>
      </w:r>
    </w:p>
    <w:p w:rsidR="00A6137A" w:rsidRDefault="00A6137A" w:rsidP="004E7369">
      <w:pPr>
        <w:pStyle w:val="Heading3"/>
        <w:jc w:val="left"/>
      </w:pPr>
      <w:r>
        <w:t>Table 1.10.2: Change in n</w:t>
      </w:r>
      <w:r w:rsidRPr="004E7369">
        <w:t xml:space="preserve">umber of vocational course completions </w:t>
      </w:r>
      <w:r>
        <w:t xml:space="preserve">by level </w:t>
      </w:r>
      <w:r w:rsidRPr="004E7369">
        <w:t>(government subsidised and TAFE fee-for-service), 2008–2013</w:t>
      </w:r>
    </w:p>
    <w:tbl>
      <w:tblPr>
        <w:tblW w:w="6095" w:type="dxa"/>
        <w:tblInd w:w="109" w:type="dxa"/>
        <w:tblLayout w:type="fixed"/>
        <w:tblLook w:val="04A0" w:firstRow="1" w:lastRow="0" w:firstColumn="1" w:lastColumn="0" w:noHBand="0" w:noVBand="1"/>
      </w:tblPr>
      <w:tblGrid>
        <w:gridCol w:w="2439"/>
        <w:gridCol w:w="1218"/>
        <w:gridCol w:w="1219"/>
        <w:gridCol w:w="1219"/>
      </w:tblGrid>
      <w:tr w:rsidR="00A6137A" w:rsidRPr="00A6137A" w:rsidTr="00D04124">
        <w:trPr>
          <w:trHeight w:val="720"/>
        </w:trPr>
        <w:tc>
          <w:tcPr>
            <w:tcW w:w="2439"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A6137A" w:rsidRPr="00A6137A" w:rsidRDefault="00A6137A" w:rsidP="00A6137A">
            <w:pPr>
              <w:spacing w:after="0" w:line="240" w:lineRule="auto"/>
              <w:ind w:firstLineChars="100" w:firstLine="181"/>
              <w:jc w:val="left"/>
              <w:rPr>
                <w:rFonts w:cs="Arial"/>
                <w:b/>
                <w:bCs/>
                <w:color w:val="FFFFFF"/>
                <w:sz w:val="18"/>
                <w:szCs w:val="18"/>
                <w:lang w:eastAsia="en-AU"/>
              </w:rPr>
            </w:pPr>
            <w:r w:rsidRPr="00A6137A">
              <w:rPr>
                <w:rFonts w:cs="Arial"/>
                <w:b/>
                <w:bCs/>
                <w:color w:val="FFFFFF"/>
                <w:sz w:val="18"/>
                <w:szCs w:val="18"/>
                <w:lang w:eastAsia="en-AU"/>
              </w:rPr>
              <w:t> </w:t>
            </w:r>
          </w:p>
        </w:tc>
        <w:tc>
          <w:tcPr>
            <w:tcW w:w="1218" w:type="dxa"/>
            <w:tcBorders>
              <w:top w:val="single" w:sz="4" w:space="0" w:color="366092"/>
              <w:left w:val="nil"/>
              <w:bottom w:val="single" w:sz="4" w:space="0" w:color="366092"/>
              <w:right w:val="single" w:sz="4" w:space="0" w:color="366092"/>
            </w:tcBorders>
            <w:shd w:val="clear" w:color="000000" w:fill="366092"/>
            <w:vAlign w:val="center"/>
            <w:hideMark/>
          </w:tcPr>
          <w:p w:rsidR="00A6137A" w:rsidRPr="00A6137A" w:rsidRDefault="00A6137A" w:rsidP="00A6137A">
            <w:pPr>
              <w:spacing w:after="0" w:line="240" w:lineRule="auto"/>
              <w:jc w:val="center"/>
              <w:rPr>
                <w:rFonts w:cs="Arial"/>
                <w:b/>
                <w:bCs/>
                <w:color w:val="FFFFFF"/>
                <w:sz w:val="18"/>
                <w:szCs w:val="18"/>
                <w:lang w:eastAsia="en-AU"/>
              </w:rPr>
            </w:pPr>
            <w:r w:rsidRPr="00A6137A">
              <w:rPr>
                <w:rFonts w:cs="Arial"/>
                <w:b/>
                <w:bCs/>
                <w:color w:val="FFFFFF"/>
                <w:sz w:val="18"/>
                <w:szCs w:val="18"/>
                <w:lang w:eastAsia="en-AU"/>
              </w:rPr>
              <w:t>% change</w:t>
            </w:r>
            <w:r w:rsidRPr="00A6137A">
              <w:rPr>
                <w:rFonts w:cs="Arial"/>
                <w:b/>
                <w:bCs/>
                <w:color w:val="FFFFFF"/>
                <w:sz w:val="18"/>
                <w:szCs w:val="18"/>
                <w:lang w:eastAsia="en-AU"/>
              </w:rPr>
              <w:br/>
              <w:t>2008-2013</w:t>
            </w:r>
          </w:p>
        </w:tc>
        <w:tc>
          <w:tcPr>
            <w:tcW w:w="1219" w:type="dxa"/>
            <w:tcBorders>
              <w:top w:val="single" w:sz="4" w:space="0" w:color="366092"/>
              <w:left w:val="nil"/>
              <w:bottom w:val="single" w:sz="4" w:space="0" w:color="366092"/>
              <w:right w:val="single" w:sz="4" w:space="0" w:color="366092"/>
            </w:tcBorders>
            <w:shd w:val="clear" w:color="000000" w:fill="366092"/>
            <w:vAlign w:val="center"/>
            <w:hideMark/>
          </w:tcPr>
          <w:p w:rsidR="00A6137A" w:rsidRPr="00A6137A" w:rsidRDefault="00A6137A" w:rsidP="00A6137A">
            <w:pPr>
              <w:spacing w:after="0" w:line="240" w:lineRule="auto"/>
              <w:jc w:val="center"/>
              <w:rPr>
                <w:rFonts w:cs="Arial"/>
                <w:b/>
                <w:bCs/>
                <w:color w:val="FFFFFF"/>
                <w:sz w:val="18"/>
                <w:szCs w:val="18"/>
                <w:lang w:eastAsia="en-AU"/>
              </w:rPr>
            </w:pPr>
            <w:r w:rsidRPr="00A6137A">
              <w:rPr>
                <w:rFonts w:cs="Arial"/>
                <w:b/>
                <w:bCs/>
                <w:color w:val="FFFFFF"/>
                <w:sz w:val="18"/>
                <w:szCs w:val="18"/>
                <w:lang w:eastAsia="en-AU"/>
              </w:rPr>
              <w:t>% change</w:t>
            </w:r>
            <w:r w:rsidRPr="00A6137A">
              <w:rPr>
                <w:rFonts w:cs="Arial"/>
                <w:b/>
                <w:bCs/>
                <w:color w:val="FFFFFF"/>
                <w:sz w:val="18"/>
                <w:szCs w:val="18"/>
                <w:lang w:eastAsia="en-AU"/>
              </w:rPr>
              <w:br/>
              <w:t>2011-2013 </w:t>
            </w:r>
          </w:p>
        </w:tc>
        <w:tc>
          <w:tcPr>
            <w:tcW w:w="1219" w:type="dxa"/>
            <w:tcBorders>
              <w:top w:val="single" w:sz="4" w:space="0" w:color="366092"/>
              <w:left w:val="nil"/>
              <w:bottom w:val="single" w:sz="4" w:space="0" w:color="366092"/>
              <w:right w:val="single" w:sz="4" w:space="0" w:color="366092"/>
            </w:tcBorders>
            <w:shd w:val="clear" w:color="000000" w:fill="366092"/>
            <w:vAlign w:val="center"/>
            <w:hideMark/>
          </w:tcPr>
          <w:p w:rsidR="00A6137A" w:rsidRPr="00A6137A" w:rsidRDefault="00A6137A" w:rsidP="00A6137A">
            <w:pPr>
              <w:spacing w:after="0" w:line="240" w:lineRule="auto"/>
              <w:jc w:val="center"/>
              <w:rPr>
                <w:rFonts w:cs="Arial"/>
                <w:b/>
                <w:bCs/>
                <w:color w:val="FFFFFF"/>
                <w:sz w:val="18"/>
                <w:szCs w:val="18"/>
                <w:lang w:eastAsia="en-AU"/>
              </w:rPr>
            </w:pPr>
            <w:r w:rsidRPr="00A6137A">
              <w:rPr>
                <w:rFonts w:cs="Arial"/>
                <w:b/>
                <w:bCs/>
                <w:color w:val="FFFFFF"/>
                <w:sz w:val="18"/>
                <w:szCs w:val="18"/>
                <w:lang w:eastAsia="en-AU"/>
              </w:rPr>
              <w:t>% change</w:t>
            </w:r>
            <w:r w:rsidRPr="00A6137A">
              <w:rPr>
                <w:rFonts w:cs="Arial"/>
                <w:b/>
                <w:bCs/>
                <w:color w:val="FFFFFF"/>
                <w:sz w:val="18"/>
                <w:szCs w:val="18"/>
                <w:lang w:eastAsia="en-AU"/>
              </w:rPr>
              <w:br/>
              <w:t>2012-2013</w:t>
            </w:r>
          </w:p>
        </w:tc>
      </w:tr>
      <w:tr w:rsidR="00A6137A" w:rsidRPr="00A6137A" w:rsidTr="0019627B">
        <w:trPr>
          <w:trHeight w:val="345"/>
        </w:trPr>
        <w:tc>
          <w:tcPr>
            <w:tcW w:w="2439" w:type="dxa"/>
            <w:tcBorders>
              <w:top w:val="nil"/>
              <w:left w:val="single" w:sz="4" w:space="0" w:color="366092"/>
              <w:bottom w:val="single" w:sz="4" w:space="0" w:color="366092"/>
              <w:right w:val="single" w:sz="4" w:space="0" w:color="366092"/>
            </w:tcBorders>
            <w:shd w:val="clear" w:color="000000" w:fill="FFFFFF"/>
            <w:noWrap/>
            <w:vAlign w:val="center"/>
            <w:hideMark/>
          </w:tcPr>
          <w:p w:rsidR="00A6137A" w:rsidRPr="00A6137A" w:rsidRDefault="00A6137A" w:rsidP="0019627B">
            <w:pPr>
              <w:spacing w:after="0" w:line="240" w:lineRule="auto"/>
              <w:jc w:val="left"/>
              <w:rPr>
                <w:rFonts w:cs="Arial"/>
                <w:color w:val="366092"/>
                <w:sz w:val="18"/>
                <w:szCs w:val="18"/>
                <w:lang w:eastAsia="en-AU"/>
              </w:rPr>
            </w:pPr>
            <w:r w:rsidRPr="00A6137A">
              <w:rPr>
                <w:rFonts w:cs="Arial"/>
                <w:color w:val="366092"/>
                <w:sz w:val="18"/>
                <w:szCs w:val="18"/>
                <w:lang w:eastAsia="en-AU"/>
              </w:rPr>
              <w:t>Cert I-II</w:t>
            </w:r>
          </w:p>
        </w:tc>
        <w:tc>
          <w:tcPr>
            <w:tcW w:w="1218"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90%</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26%</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8%</w:t>
            </w:r>
          </w:p>
        </w:tc>
      </w:tr>
      <w:tr w:rsidR="00A6137A" w:rsidRPr="00A6137A" w:rsidTr="0019627B">
        <w:trPr>
          <w:trHeight w:val="345"/>
        </w:trPr>
        <w:tc>
          <w:tcPr>
            <w:tcW w:w="2439" w:type="dxa"/>
            <w:tcBorders>
              <w:top w:val="nil"/>
              <w:left w:val="single" w:sz="4" w:space="0" w:color="366092"/>
              <w:bottom w:val="single" w:sz="4" w:space="0" w:color="366092"/>
              <w:right w:val="single" w:sz="4" w:space="0" w:color="366092"/>
            </w:tcBorders>
            <w:shd w:val="clear" w:color="000000" w:fill="FFFFFF"/>
            <w:noWrap/>
            <w:vAlign w:val="center"/>
            <w:hideMark/>
          </w:tcPr>
          <w:p w:rsidR="00A6137A" w:rsidRPr="00A6137A" w:rsidRDefault="00A6137A" w:rsidP="0019627B">
            <w:pPr>
              <w:spacing w:after="0" w:line="240" w:lineRule="auto"/>
              <w:jc w:val="left"/>
              <w:rPr>
                <w:rFonts w:cs="Arial"/>
                <w:color w:val="366092"/>
                <w:sz w:val="18"/>
                <w:szCs w:val="18"/>
                <w:lang w:eastAsia="en-AU"/>
              </w:rPr>
            </w:pPr>
            <w:r w:rsidRPr="00A6137A">
              <w:rPr>
                <w:rFonts w:cs="Arial"/>
                <w:color w:val="366092"/>
                <w:sz w:val="18"/>
                <w:szCs w:val="18"/>
                <w:lang w:eastAsia="en-AU"/>
              </w:rPr>
              <w:t>Cert III-IV</w:t>
            </w:r>
          </w:p>
        </w:tc>
        <w:tc>
          <w:tcPr>
            <w:tcW w:w="1218"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111%</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19%</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-13%</w:t>
            </w:r>
          </w:p>
        </w:tc>
      </w:tr>
      <w:tr w:rsidR="00A6137A" w:rsidRPr="00A6137A" w:rsidTr="0019627B">
        <w:trPr>
          <w:trHeight w:val="345"/>
        </w:trPr>
        <w:tc>
          <w:tcPr>
            <w:tcW w:w="2439" w:type="dxa"/>
            <w:tcBorders>
              <w:top w:val="nil"/>
              <w:left w:val="single" w:sz="4" w:space="0" w:color="366092"/>
              <w:bottom w:val="single" w:sz="4" w:space="0" w:color="366092"/>
              <w:right w:val="single" w:sz="4" w:space="0" w:color="366092"/>
            </w:tcBorders>
            <w:shd w:val="clear" w:color="000000" w:fill="FFFFFF"/>
            <w:noWrap/>
            <w:vAlign w:val="center"/>
            <w:hideMark/>
          </w:tcPr>
          <w:p w:rsidR="00A6137A" w:rsidRPr="00A6137A" w:rsidRDefault="00A6137A" w:rsidP="0019627B">
            <w:pPr>
              <w:spacing w:after="0" w:line="240" w:lineRule="auto"/>
              <w:jc w:val="left"/>
              <w:rPr>
                <w:rFonts w:cs="Arial"/>
                <w:color w:val="366092"/>
                <w:sz w:val="18"/>
                <w:szCs w:val="18"/>
                <w:lang w:eastAsia="en-AU"/>
              </w:rPr>
            </w:pPr>
            <w:r w:rsidRPr="00A6137A">
              <w:rPr>
                <w:rFonts w:cs="Arial"/>
                <w:color w:val="366092"/>
                <w:sz w:val="18"/>
                <w:szCs w:val="18"/>
                <w:lang w:eastAsia="en-AU"/>
              </w:rPr>
              <w:t>Diploma &amp; Above</w:t>
            </w:r>
          </w:p>
        </w:tc>
        <w:tc>
          <w:tcPr>
            <w:tcW w:w="1218"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61%</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15%</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-7%</w:t>
            </w:r>
          </w:p>
        </w:tc>
      </w:tr>
      <w:tr w:rsidR="00A6137A" w:rsidRPr="00A6137A" w:rsidTr="0019627B">
        <w:trPr>
          <w:trHeight w:val="345"/>
        </w:trPr>
        <w:tc>
          <w:tcPr>
            <w:tcW w:w="2439" w:type="dxa"/>
            <w:tcBorders>
              <w:top w:val="nil"/>
              <w:left w:val="single" w:sz="4" w:space="0" w:color="366092"/>
              <w:bottom w:val="single" w:sz="4" w:space="0" w:color="366092"/>
              <w:right w:val="single" w:sz="4" w:space="0" w:color="366092"/>
            </w:tcBorders>
            <w:shd w:val="clear" w:color="000000" w:fill="FFFFFF"/>
            <w:noWrap/>
            <w:vAlign w:val="center"/>
            <w:hideMark/>
          </w:tcPr>
          <w:p w:rsidR="00A6137A" w:rsidRPr="00A6137A" w:rsidRDefault="00A6137A" w:rsidP="0019627B">
            <w:pPr>
              <w:spacing w:after="0" w:line="240" w:lineRule="auto"/>
              <w:jc w:val="left"/>
              <w:rPr>
                <w:rFonts w:cs="Arial"/>
                <w:color w:val="366092"/>
                <w:sz w:val="18"/>
                <w:szCs w:val="18"/>
                <w:lang w:eastAsia="en-AU"/>
              </w:rPr>
            </w:pPr>
            <w:r w:rsidRPr="00A6137A">
              <w:rPr>
                <w:rFonts w:cs="Arial"/>
                <w:color w:val="366092"/>
                <w:sz w:val="18"/>
                <w:szCs w:val="18"/>
                <w:lang w:eastAsia="en-AU"/>
              </w:rPr>
              <w:t>Secondary, SoA and other</w:t>
            </w:r>
          </w:p>
        </w:tc>
        <w:tc>
          <w:tcPr>
            <w:tcW w:w="1218"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-80%</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-35%</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28%</w:t>
            </w:r>
          </w:p>
        </w:tc>
      </w:tr>
      <w:tr w:rsidR="00A6137A" w:rsidRPr="00A6137A" w:rsidTr="0019627B">
        <w:trPr>
          <w:trHeight w:val="345"/>
        </w:trPr>
        <w:tc>
          <w:tcPr>
            <w:tcW w:w="2439" w:type="dxa"/>
            <w:tcBorders>
              <w:top w:val="nil"/>
              <w:left w:val="single" w:sz="4" w:space="0" w:color="366092"/>
              <w:bottom w:val="single" w:sz="4" w:space="0" w:color="366092"/>
              <w:right w:val="single" w:sz="4" w:space="0" w:color="366092"/>
            </w:tcBorders>
            <w:shd w:val="clear" w:color="000000" w:fill="FFFFFF"/>
            <w:noWrap/>
            <w:vAlign w:val="center"/>
            <w:hideMark/>
          </w:tcPr>
          <w:p w:rsidR="00A6137A" w:rsidRPr="00A6137A" w:rsidRDefault="00A6137A" w:rsidP="0019627B">
            <w:pPr>
              <w:spacing w:after="0" w:line="240" w:lineRule="auto"/>
              <w:jc w:val="left"/>
              <w:rPr>
                <w:rFonts w:cs="Arial"/>
                <w:color w:val="366092"/>
                <w:sz w:val="18"/>
                <w:szCs w:val="18"/>
                <w:lang w:eastAsia="en-AU"/>
              </w:rPr>
            </w:pPr>
            <w:r w:rsidRPr="00A6137A">
              <w:rPr>
                <w:rFonts w:cs="Arial"/>
                <w:color w:val="366092"/>
                <w:sz w:val="18"/>
                <w:szCs w:val="18"/>
                <w:lang w:eastAsia="en-AU"/>
              </w:rPr>
              <w:t>Higher Education</w:t>
            </w:r>
          </w:p>
        </w:tc>
        <w:tc>
          <w:tcPr>
            <w:tcW w:w="1218"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214%</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-21%</w:t>
            </w:r>
          </w:p>
        </w:tc>
        <w:tc>
          <w:tcPr>
            <w:tcW w:w="1219" w:type="dxa"/>
            <w:tcBorders>
              <w:top w:val="nil"/>
              <w:left w:val="nil"/>
              <w:bottom w:val="single" w:sz="4" w:space="0" w:color="366092"/>
              <w:right w:val="single" w:sz="4" w:space="0" w:color="366092"/>
            </w:tcBorders>
            <w:shd w:val="clear" w:color="auto" w:fill="auto"/>
            <w:noWrap/>
            <w:vAlign w:val="bottom"/>
            <w:hideMark/>
          </w:tcPr>
          <w:p w:rsidR="00A6137A" w:rsidRPr="00A6137A" w:rsidRDefault="00A6137A" w:rsidP="00A6137A">
            <w:pPr>
              <w:spacing w:after="0" w:line="240" w:lineRule="auto"/>
              <w:ind w:firstLineChars="100" w:firstLine="180"/>
              <w:jc w:val="right"/>
              <w:rPr>
                <w:rFonts w:cs="Arial"/>
                <w:sz w:val="18"/>
                <w:szCs w:val="18"/>
                <w:lang w:eastAsia="en-AU"/>
              </w:rPr>
            </w:pPr>
            <w:r w:rsidRPr="00A6137A">
              <w:rPr>
                <w:rFonts w:cs="Arial"/>
                <w:sz w:val="18"/>
                <w:szCs w:val="18"/>
                <w:lang w:eastAsia="en-AU"/>
              </w:rPr>
              <w:t>-44%</w:t>
            </w:r>
          </w:p>
        </w:tc>
      </w:tr>
      <w:tr w:rsidR="00A6137A" w:rsidRPr="00A6137A" w:rsidTr="00D04124">
        <w:trPr>
          <w:trHeight w:val="345"/>
        </w:trPr>
        <w:tc>
          <w:tcPr>
            <w:tcW w:w="2439" w:type="dxa"/>
            <w:tcBorders>
              <w:top w:val="nil"/>
              <w:left w:val="single" w:sz="4" w:space="0" w:color="366092"/>
              <w:bottom w:val="single" w:sz="4" w:space="0" w:color="366092"/>
              <w:right w:val="single" w:sz="4" w:space="0" w:color="366092"/>
            </w:tcBorders>
            <w:shd w:val="clear" w:color="000000" w:fill="366092"/>
            <w:noWrap/>
            <w:vAlign w:val="bottom"/>
            <w:hideMark/>
          </w:tcPr>
          <w:p w:rsidR="00A6137A" w:rsidRPr="00A6137A" w:rsidRDefault="00A6137A" w:rsidP="00A6137A">
            <w:pPr>
              <w:spacing w:after="0" w:line="240" w:lineRule="auto"/>
              <w:jc w:val="left"/>
              <w:rPr>
                <w:rFonts w:cs="Arial"/>
                <w:b/>
                <w:bCs/>
                <w:color w:val="FFFFFF"/>
                <w:sz w:val="18"/>
                <w:szCs w:val="18"/>
                <w:lang w:eastAsia="en-AU"/>
              </w:rPr>
            </w:pPr>
            <w:r w:rsidRPr="00A6137A">
              <w:rPr>
                <w:rFonts w:cs="Arial"/>
                <w:b/>
                <w:bCs/>
                <w:color w:val="FFFFFF"/>
                <w:sz w:val="18"/>
                <w:szCs w:val="18"/>
                <w:lang w:eastAsia="en-AU"/>
              </w:rPr>
              <w:t>Total</w:t>
            </w:r>
          </w:p>
        </w:tc>
        <w:tc>
          <w:tcPr>
            <w:tcW w:w="1218" w:type="dxa"/>
            <w:tcBorders>
              <w:top w:val="nil"/>
              <w:left w:val="nil"/>
              <w:bottom w:val="single" w:sz="4" w:space="0" w:color="366092"/>
              <w:right w:val="single" w:sz="4" w:space="0" w:color="366092"/>
            </w:tcBorders>
            <w:shd w:val="clear" w:color="000000" w:fill="366092"/>
            <w:noWrap/>
            <w:vAlign w:val="bottom"/>
            <w:hideMark/>
          </w:tcPr>
          <w:p w:rsidR="00A6137A" w:rsidRPr="00A6137A" w:rsidRDefault="00A6137A" w:rsidP="00A6137A">
            <w:pPr>
              <w:spacing w:after="0" w:line="240" w:lineRule="auto"/>
              <w:ind w:firstLineChars="100" w:firstLine="181"/>
              <w:jc w:val="right"/>
              <w:rPr>
                <w:rFonts w:cs="Arial"/>
                <w:b/>
                <w:bCs/>
                <w:color w:val="FFFFFF"/>
                <w:sz w:val="18"/>
                <w:szCs w:val="18"/>
                <w:lang w:eastAsia="en-AU"/>
              </w:rPr>
            </w:pPr>
            <w:r w:rsidRPr="00A6137A">
              <w:rPr>
                <w:rFonts w:cs="Arial"/>
                <w:b/>
                <w:bCs/>
                <w:color w:val="FFFFFF"/>
                <w:sz w:val="18"/>
                <w:szCs w:val="18"/>
                <w:lang w:eastAsia="en-AU"/>
              </w:rPr>
              <w:t>65%</w:t>
            </w:r>
          </w:p>
        </w:tc>
        <w:tc>
          <w:tcPr>
            <w:tcW w:w="1219" w:type="dxa"/>
            <w:tcBorders>
              <w:top w:val="nil"/>
              <w:left w:val="nil"/>
              <w:bottom w:val="single" w:sz="4" w:space="0" w:color="366092"/>
              <w:right w:val="single" w:sz="4" w:space="0" w:color="366092"/>
            </w:tcBorders>
            <w:shd w:val="clear" w:color="000000" w:fill="366092"/>
            <w:noWrap/>
            <w:vAlign w:val="bottom"/>
            <w:hideMark/>
          </w:tcPr>
          <w:p w:rsidR="00A6137A" w:rsidRPr="00A6137A" w:rsidRDefault="00A6137A" w:rsidP="00A6137A">
            <w:pPr>
              <w:spacing w:after="0" w:line="240" w:lineRule="auto"/>
              <w:ind w:firstLineChars="100" w:firstLine="181"/>
              <w:jc w:val="right"/>
              <w:rPr>
                <w:rFonts w:cs="Arial"/>
                <w:b/>
                <w:bCs/>
                <w:color w:val="FFFFFF"/>
                <w:sz w:val="18"/>
                <w:szCs w:val="18"/>
                <w:lang w:eastAsia="en-AU"/>
              </w:rPr>
            </w:pPr>
            <w:r w:rsidRPr="00A6137A">
              <w:rPr>
                <w:rFonts w:cs="Arial"/>
                <w:b/>
                <w:bCs/>
                <w:color w:val="FFFFFF"/>
                <w:sz w:val="18"/>
                <w:szCs w:val="18"/>
                <w:lang w:eastAsia="en-AU"/>
              </w:rPr>
              <w:t>17%</w:t>
            </w:r>
          </w:p>
        </w:tc>
        <w:tc>
          <w:tcPr>
            <w:tcW w:w="1219" w:type="dxa"/>
            <w:tcBorders>
              <w:top w:val="nil"/>
              <w:left w:val="nil"/>
              <w:bottom w:val="single" w:sz="4" w:space="0" w:color="366092"/>
              <w:right w:val="single" w:sz="4" w:space="0" w:color="366092"/>
            </w:tcBorders>
            <w:shd w:val="clear" w:color="000000" w:fill="366092"/>
            <w:noWrap/>
            <w:vAlign w:val="bottom"/>
            <w:hideMark/>
          </w:tcPr>
          <w:p w:rsidR="00A6137A" w:rsidRPr="00A6137A" w:rsidRDefault="00A6137A" w:rsidP="00A6137A">
            <w:pPr>
              <w:spacing w:after="0" w:line="240" w:lineRule="auto"/>
              <w:ind w:firstLineChars="100" w:firstLine="181"/>
              <w:jc w:val="right"/>
              <w:rPr>
                <w:rFonts w:cs="Arial"/>
                <w:b/>
                <w:bCs/>
                <w:color w:val="FFFFFF"/>
                <w:sz w:val="18"/>
                <w:szCs w:val="18"/>
                <w:lang w:eastAsia="en-AU"/>
              </w:rPr>
            </w:pPr>
            <w:r w:rsidRPr="00A6137A">
              <w:rPr>
                <w:rFonts w:cs="Arial"/>
                <w:b/>
                <w:bCs/>
                <w:color w:val="FFFFFF"/>
                <w:sz w:val="18"/>
                <w:szCs w:val="18"/>
                <w:lang w:eastAsia="en-AU"/>
              </w:rPr>
              <w:t>-8%</w:t>
            </w:r>
          </w:p>
        </w:tc>
      </w:tr>
    </w:tbl>
    <w:p w:rsidR="005B75E2" w:rsidRDefault="005B75E2" w:rsidP="00B11FC6">
      <w:pPr>
        <w:pStyle w:val="Heading3"/>
        <w:jc w:val="left"/>
      </w:pPr>
    </w:p>
    <w:p w:rsidR="00B11FC6" w:rsidRDefault="00B11FC6" w:rsidP="00B11FC6">
      <w:pPr>
        <w:pStyle w:val="Heading3"/>
        <w:jc w:val="left"/>
      </w:pPr>
      <w:r>
        <w:t xml:space="preserve">Figure </w:t>
      </w:r>
      <w:r w:rsidR="00293917">
        <w:t>1.5</w:t>
      </w:r>
      <w:r>
        <w:t xml:space="preserve">: </w:t>
      </w:r>
      <w:r w:rsidR="003D6852">
        <w:t>Share of vocational training completions by qualification level, 2008 and 2013</w:t>
      </w:r>
    </w:p>
    <w:p w:rsidR="00B11FC6" w:rsidRPr="00B11FC6" w:rsidRDefault="00B11FC6" w:rsidP="00B11FC6">
      <w:pPr>
        <w:rPr>
          <w:lang w:eastAsia="en-AU"/>
        </w:rPr>
      </w:pPr>
      <w:r>
        <w:rPr>
          <w:noProof/>
          <w:lang w:eastAsia="en-AU"/>
        </w:rPr>
        <w:drawing>
          <wp:inline distT="0" distB="0" distL="0" distR="0" wp14:anchorId="752D7B8A" wp14:editId="6CE956AA">
            <wp:extent cx="5753100" cy="328921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4022" cy="3289745"/>
                    </a:xfrm>
                    <a:prstGeom prst="rect">
                      <a:avLst/>
                    </a:prstGeom>
                    <a:noFill/>
                  </pic:spPr>
                </pic:pic>
              </a:graphicData>
            </a:graphic>
          </wp:inline>
        </w:drawing>
      </w:r>
    </w:p>
    <w:p w:rsidR="00B11FC6" w:rsidRPr="00B11FC6" w:rsidRDefault="00B11FC6" w:rsidP="00B11FC6"/>
    <w:p w:rsidR="00A6137A" w:rsidRDefault="00A6137A" w:rsidP="004E7369">
      <w:pPr>
        <w:pStyle w:val="Heading3"/>
        <w:jc w:val="left"/>
      </w:pPr>
    </w:p>
    <w:tbl>
      <w:tblPr>
        <w:tblStyle w:val="TableGrid"/>
        <w:tblW w:w="0" w:type="auto"/>
        <w:tblInd w:w="10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179"/>
      </w:tblGrid>
      <w:tr w:rsidR="00B11FC6" w:rsidTr="00B11FC6">
        <w:tc>
          <w:tcPr>
            <w:tcW w:w="9179" w:type="dxa"/>
          </w:tcPr>
          <w:p w:rsidR="00B11FC6" w:rsidRDefault="00B11FC6" w:rsidP="00B11FC6">
            <w:pPr>
              <w:pStyle w:val="Heading3"/>
              <w:jc w:val="left"/>
              <w:outlineLvl w:val="2"/>
            </w:pPr>
            <w:r w:rsidRPr="007A27E5">
              <w:t>Key Points</w:t>
            </w:r>
          </w:p>
          <w:p w:rsidR="00B11FC6" w:rsidRPr="008C0A56" w:rsidRDefault="00B11FC6" w:rsidP="00B11FC6">
            <w:pPr>
              <w:jc w:val="left"/>
            </w:pPr>
          </w:p>
          <w:p w:rsidR="00B11FC6" w:rsidRPr="00D022C6" w:rsidRDefault="005B75E2" w:rsidP="00B11FC6">
            <w:pPr>
              <w:pStyle w:val="ListBullet"/>
              <w:numPr>
                <w:ilvl w:val="0"/>
                <w:numId w:val="6"/>
              </w:numPr>
              <w:ind w:right="113"/>
              <w:jc w:val="left"/>
              <w:rPr>
                <w:rFonts w:cs="Arial"/>
              </w:rPr>
            </w:pPr>
            <w:r>
              <w:rPr>
                <w:rFonts w:cs="Arial"/>
              </w:rPr>
              <w:t xml:space="preserve">The </w:t>
            </w:r>
            <w:r w:rsidR="00D04124">
              <w:rPr>
                <w:rFonts w:cs="Arial"/>
              </w:rPr>
              <w:t xml:space="preserve">proportional </w:t>
            </w:r>
            <w:r>
              <w:rPr>
                <w:rFonts w:cs="Arial"/>
              </w:rPr>
              <w:t xml:space="preserve">share the completions by the different Certificate levels between 2008 and 2013 has changed, with Diploma and above and Certificate I-I declining and Certificate III-IV increasing. </w:t>
            </w:r>
          </w:p>
          <w:p w:rsidR="00B11FC6" w:rsidRDefault="00B11FC6" w:rsidP="00B11FC6">
            <w:pPr>
              <w:pStyle w:val="Heading3"/>
              <w:jc w:val="left"/>
              <w:outlineLvl w:val="2"/>
            </w:pPr>
          </w:p>
        </w:tc>
      </w:tr>
    </w:tbl>
    <w:p w:rsidR="00B11FC6" w:rsidRDefault="00B11FC6" w:rsidP="004E7369">
      <w:pPr>
        <w:pStyle w:val="Heading3"/>
        <w:jc w:val="left"/>
      </w:pPr>
    </w:p>
    <w:p w:rsidR="004E7369" w:rsidRDefault="004E7369" w:rsidP="004E7369">
      <w:pPr>
        <w:pStyle w:val="Heading3"/>
        <w:jc w:val="left"/>
        <w:rPr>
          <w:bCs w:val="0"/>
          <w:iCs/>
          <w:sz w:val="28"/>
          <w:szCs w:val="28"/>
        </w:rPr>
      </w:pPr>
      <w:r w:rsidRPr="001F29E3">
        <w:br w:type="page"/>
      </w:r>
    </w:p>
    <w:p w:rsidR="00351166" w:rsidRPr="001F29E3" w:rsidRDefault="00351166" w:rsidP="00A9260A">
      <w:pPr>
        <w:pStyle w:val="Heading2"/>
      </w:pPr>
      <w:bookmarkStart w:id="59" w:name="_Toc388340445"/>
      <w:r w:rsidRPr="001F29E3">
        <w:t>Age Profile</w:t>
      </w:r>
      <w:bookmarkEnd w:id="51"/>
      <w:bookmarkEnd w:id="52"/>
      <w:bookmarkEnd w:id="53"/>
      <w:bookmarkEnd w:id="54"/>
      <w:bookmarkEnd w:id="55"/>
      <w:bookmarkEnd w:id="59"/>
    </w:p>
    <w:p w:rsidR="00351166" w:rsidRPr="001F29E3" w:rsidRDefault="00351166" w:rsidP="00351166">
      <w:pPr>
        <w:rPr>
          <w:rFonts w:cs="Arial"/>
        </w:rPr>
      </w:pPr>
    </w:p>
    <w:p w:rsidR="00351166" w:rsidRPr="001F29E3" w:rsidRDefault="0055106F" w:rsidP="00A9260A">
      <w:pPr>
        <w:pStyle w:val="Heading3"/>
      </w:pPr>
      <w:r w:rsidRPr="001F29E3">
        <w:t>Vocational Training</w:t>
      </w:r>
      <w:r w:rsidR="00351166" w:rsidRPr="001F29E3">
        <w:t xml:space="preserve"> Delivery by Age Group</w:t>
      </w:r>
    </w:p>
    <w:p w:rsidR="00C45B16" w:rsidRPr="001F29E3" w:rsidRDefault="00351166" w:rsidP="00C45B16">
      <w:pPr>
        <w:rPr>
          <w:rFonts w:cs="Arial"/>
        </w:rPr>
      </w:pPr>
      <w:r w:rsidRPr="001F29E3">
        <w:rPr>
          <w:rFonts w:cs="Arial"/>
        </w:rPr>
        <w:t>To enable the increased workforce participation levels required by the Victorian economy over the next decade, improved engagement with education and training by all age groups is required.</w:t>
      </w:r>
      <w:r w:rsidR="00C45B16" w:rsidRPr="001F29E3">
        <w:rPr>
          <w:rFonts w:cs="Arial"/>
        </w:rPr>
        <w:t xml:space="preserve"> </w:t>
      </w:r>
    </w:p>
    <w:p w:rsidR="008C0A56" w:rsidRDefault="008C0A56" w:rsidP="008C0A56"/>
    <w:p w:rsidR="00351166" w:rsidRPr="001F29E3" w:rsidRDefault="00351166" w:rsidP="00A9260A">
      <w:pPr>
        <w:pStyle w:val="Heading3"/>
      </w:pPr>
      <w:r w:rsidRPr="001F29E3">
        <w:t>Students by Age Group</w:t>
      </w:r>
      <w:r w:rsidR="00595A4F" w:rsidRPr="001F29E3">
        <w:t xml:space="preserve"> in Government Subsidised Training</w:t>
      </w:r>
    </w:p>
    <w:p w:rsidR="003A680C" w:rsidRPr="001F29E3" w:rsidRDefault="003A680C" w:rsidP="003A680C">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3A680C" w:rsidRPr="001F29E3" w:rsidTr="001D7956">
        <w:trPr>
          <w:trHeight w:val="1434"/>
        </w:trPr>
        <w:tc>
          <w:tcPr>
            <w:tcW w:w="7388" w:type="dxa"/>
          </w:tcPr>
          <w:p w:rsidR="003A680C" w:rsidRDefault="003A680C" w:rsidP="003A680C">
            <w:pPr>
              <w:pStyle w:val="Heading3"/>
            </w:pPr>
            <w:r w:rsidRPr="007A27E5">
              <w:t>Key Points</w:t>
            </w:r>
          </w:p>
          <w:p w:rsidR="008C0A56" w:rsidRPr="008C0A56" w:rsidRDefault="008C0A56" w:rsidP="008C0A56"/>
          <w:p w:rsidR="003A680C" w:rsidRPr="00A903E9" w:rsidRDefault="00EA271D" w:rsidP="007E0806">
            <w:pPr>
              <w:pStyle w:val="ListBullet"/>
              <w:numPr>
                <w:ilvl w:val="0"/>
                <w:numId w:val="6"/>
              </w:numPr>
              <w:ind w:right="113"/>
              <w:rPr>
                <w:rFonts w:cs="Arial"/>
              </w:rPr>
            </w:pPr>
            <w:r>
              <w:rPr>
                <w:rFonts w:cs="Arial"/>
              </w:rPr>
              <w:t>Young people aged 15 to 24 years accounted for 41 per cent of all students undertaking government subsidised training in 2013,</w:t>
            </w:r>
            <w:r w:rsidR="00446613">
              <w:rPr>
                <w:rFonts w:cs="Arial"/>
              </w:rPr>
              <w:t xml:space="preserve"> down from 45 per cent in 2008.</w:t>
            </w:r>
          </w:p>
          <w:p w:rsidR="003A680C" w:rsidRPr="00D022C6" w:rsidRDefault="006529D4" w:rsidP="006529D4">
            <w:pPr>
              <w:pStyle w:val="ListBullet"/>
              <w:numPr>
                <w:ilvl w:val="0"/>
                <w:numId w:val="6"/>
              </w:numPr>
              <w:ind w:right="113"/>
              <w:rPr>
                <w:rFonts w:cs="Arial"/>
              </w:rPr>
            </w:pPr>
            <w:r>
              <w:rPr>
                <w:rFonts w:cs="Arial"/>
              </w:rPr>
              <w:t>Students aged 15-19 were</w:t>
            </w:r>
            <w:r w:rsidR="003A680C" w:rsidRPr="00A903E9">
              <w:rPr>
                <w:rFonts w:cs="Arial"/>
              </w:rPr>
              <w:t xml:space="preserve"> the only </w:t>
            </w:r>
            <w:r w:rsidR="007E0806" w:rsidRPr="00A903E9">
              <w:rPr>
                <w:rFonts w:cs="Arial"/>
              </w:rPr>
              <w:t xml:space="preserve">age </w:t>
            </w:r>
            <w:r w:rsidR="003A680C" w:rsidRPr="00A903E9">
              <w:rPr>
                <w:rFonts w:cs="Arial"/>
              </w:rPr>
              <w:t xml:space="preserve">cohort </w:t>
            </w:r>
            <w:r w:rsidR="007E0806" w:rsidRPr="00A903E9">
              <w:rPr>
                <w:rFonts w:cs="Arial"/>
              </w:rPr>
              <w:t xml:space="preserve">with student numbers in </w:t>
            </w:r>
            <w:r w:rsidR="003A680C" w:rsidRPr="00A903E9">
              <w:rPr>
                <w:rFonts w:cs="Arial"/>
              </w:rPr>
              <w:t xml:space="preserve">2013 </w:t>
            </w:r>
            <w:r w:rsidR="00255E47">
              <w:rPr>
                <w:rFonts w:cs="Arial"/>
              </w:rPr>
              <w:t xml:space="preserve">which were </w:t>
            </w:r>
            <w:r w:rsidR="007E0806" w:rsidRPr="00A903E9">
              <w:rPr>
                <w:rFonts w:cs="Arial"/>
              </w:rPr>
              <w:t xml:space="preserve">lower than the numbers for the same age group in 2011 and </w:t>
            </w:r>
            <w:r w:rsidR="00D04124">
              <w:rPr>
                <w:rFonts w:cs="Arial"/>
              </w:rPr>
              <w:t>2</w:t>
            </w:r>
            <w:r w:rsidR="007E0806" w:rsidRPr="00A903E9">
              <w:rPr>
                <w:rFonts w:cs="Arial"/>
              </w:rPr>
              <w:t>012.</w:t>
            </w:r>
          </w:p>
        </w:tc>
      </w:tr>
    </w:tbl>
    <w:p w:rsidR="003A680C" w:rsidRDefault="003A680C" w:rsidP="00595A4F">
      <w:pPr>
        <w:rPr>
          <w:rFonts w:cs="Arial"/>
        </w:rPr>
      </w:pPr>
    </w:p>
    <w:p w:rsidR="003A680C" w:rsidRPr="001F29E3" w:rsidRDefault="003A680C" w:rsidP="00595A4F">
      <w:pPr>
        <w:rPr>
          <w:rFonts w:cs="Arial"/>
        </w:rPr>
      </w:pPr>
    </w:p>
    <w:p w:rsidR="00351166" w:rsidRPr="001D7956" w:rsidRDefault="00351166" w:rsidP="00174D56">
      <w:pPr>
        <w:pStyle w:val="Caption"/>
        <w:spacing w:after="0"/>
        <w:jc w:val="left"/>
        <w:rPr>
          <w:rFonts w:cs="Arial"/>
          <w:color w:val="365F91" w:themeColor="accent1" w:themeShade="BF"/>
        </w:rPr>
      </w:pPr>
      <w:r w:rsidRPr="001D7956">
        <w:rPr>
          <w:rFonts w:cs="Arial"/>
          <w:color w:val="365F91" w:themeColor="accent1" w:themeShade="BF"/>
        </w:rPr>
        <w:t>Table 1.</w:t>
      </w:r>
      <w:r w:rsidR="00293917">
        <w:rPr>
          <w:rFonts w:cs="Arial"/>
          <w:color w:val="365F91" w:themeColor="accent1" w:themeShade="BF"/>
        </w:rPr>
        <w:t>11</w:t>
      </w:r>
      <w:r w:rsidR="005F145E" w:rsidRPr="001D7956">
        <w:rPr>
          <w:rFonts w:cs="Arial"/>
          <w:color w:val="365F91" w:themeColor="accent1" w:themeShade="BF"/>
        </w:rPr>
        <w:t>.1</w:t>
      </w:r>
      <w:r w:rsidRPr="001D7956">
        <w:rPr>
          <w:rFonts w:cs="Arial"/>
          <w:color w:val="365F91" w:themeColor="accent1" w:themeShade="BF"/>
        </w:rPr>
        <w:t xml:space="preserve">: </w:t>
      </w:r>
      <w:r w:rsidR="006559F0" w:rsidRPr="001D7956">
        <w:rPr>
          <w:rFonts w:cs="Arial"/>
          <w:color w:val="365F91" w:themeColor="accent1" w:themeShade="BF"/>
        </w:rPr>
        <w:t xml:space="preserve">Government subsidised </w:t>
      </w:r>
      <w:r w:rsidR="00512488">
        <w:rPr>
          <w:rFonts w:cs="Arial"/>
          <w:color w:val="365F91" w:themeColor="accent1" w:themeShade="BF"/>
        </w:rPr>
        <w:t>students by age group, 2008–2013</w:t>
      </w:r>
    </w:p>
    <w:tbl>
      <w:tblPr>
        <w:tblW w:w="928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560"/>
        <w:gridCol w:w="1120"/>
        <w:gridCol w:w="1120"/>
        <w:gridCol w:w="1120"/>
        <w:gridCol w:w="1120"/>
        <w:gridCol w:w="1120"/>
        <w:gridCol w:w="1120"/>
      </w:tblGrid>
      <w:tr w:rsidR="001D7956" w:rsidRPr="001D7956" w:rsidTr="00AD63C3">
        <w:trPr>
          <w:trHeight w:val="762"/>
        </w:trPr>
        <w:tc>
          <w:tcPr>
            <w:tcW w:w="2560" w:type="dxa"/>
            <w:shd w:val="clear" w:color="000000" w:fill="366092"/>
            <w:noWrap/>
            <w:vAlign w:val="center"/>
            <w:hideMark/>
          </w:tcPr>
          <w:p w:rsidR="001D7956" w:rsidRPr="001D7956" w:rsidRDefault="001D7956" w:rsidP="001D7956">
            <w:pPr>
              <w:spacing w:after="0" w:line="240" w:lineRule="auto"/>
              <w:jc w:val="left"/>
              <w:rPr>
                <w:rFonts w:cs="Arial"/>
                <w:b/>
                <w:bCs/>
                <w:color w:val="FFFFFF"/>
                <w:sz w:val="18"/>
                <w:szCs w:val="18"/>
                <w:lang w:eastAsia="en-AU"/>
              </w:rPr>
            </w:pPr>
            <w:r w:rsidRPr="001D7956">
              <w:rPr>
                <w:rFonts w:cs="Arial"/>
                <w:b/>
                <w:bCs/>
                <w:color w:val="FFFFFF"/>
                <w:sz w:val="18"/>
                <w:szCs w:val="18"/>
                <w:lang w:eastAsia="en-AU"/>
              </w:rPr>
              <w:t>Age group</w:t>
            </w:r>
          </w:p>
        </w:tc>
        <w:tc>
          <w:tcPr>
            <w:tcW w:w="1120" w:type="dxa"/>
            <w:shd w:val="clear" w:color="000000" w:fill="366092"/>
            <w:vAlign w:val="center"/>
            <w:hideMark/>
          </w:tcPr>
          <w:p w:rsidR="001D7956" w:rsidRPr="001D7956" w:rsidRDefault="001D7956" w:rsidP="001D7956">
            <w:pPr>
              <w:spacing w:after="0" w:line="240" w:lineRule="auto"/>
              <w:ind w:firstLineChars="100" w:firstLine="181"/>
              <w:jc w:val="right"/>
              <w:rPr>
                <w:rFonts w:cs="Arial"/>
                <w:b/>
                <w:bCs/>
                <w:color w:val="FFFFFF"/>
                <w:sz w:val="18"/>
                <w:szCs w:val="18"/>
                <w:lang w:eastAsia="en-AU"/>
              </w:rPr>
            </w:pPr>
            <w:r w:rsidRPr="001D7956">
              <w:rPr>
                <w:rFonts w:cs="Arial"/>
                <w:b/>
                <w:bCs/>
                <w:color w:val="FFFFFF"/>
                <w:sz w:val="18"/>
                <w:szCs w:val="18"/>
                <w:lang w:eastAsia="en-AU"/>
              </w:rPr>
              <w:t>2008</w:t>
            </w:r>
          </w:p>
        </w:tc>
        <w:tc>
          <w:tcPr>
            <w:tcW w:w="1120" w:type="dxa"/>
            <w:shd w:val="clear" w:color="000000" w:fill="366092"/>
            <w:vAlign w:val="center"/>
            <w:hideMark/>
          </w:tcPr>
          <w:p w:rsidR="001D7956" w:rsidRPr="001D7956" w:rsidRDefault="001D7956" w:rsidP="001D7956">
            <w:pPr>
              <w:spacing w:after="0" w:line="240" w:lineRule="auto"/>
              <w:ind w:firstLineChars="100" w:firstLine="181"/>
              <w:jc w:val="right"/>
              <w:rPr>
                <w:rFonts w:cs="Arial"/>
                <w:b/>
                <w:bCs/>
                <w:color w:val="FFFFFF"/>
                <w:sz w:val="18"/>
                <w:szCs w:val="18"/>
                <w:lang w:eastAsia="en-AU"/>
              </w:rPr>
            </w:pPr>
            <w:r w:rsidRPr="001D7956">
              <w:rPr>
                <w:rFonts w:cs="Arial"/>
                <w:b/>
                <w:bCs/>
                <w:color w:val="FFFFFF"/>
                <w:sz w:val="18"/>
                <w:szCs w:val="18"/>
                <w:lang w:eastAsia="en-AU"/>
              </w:rPr>
              <w:t>2009</w:t>
            </w:r>
          </w:p>
        </w:tc>
        <w:tc>
          <w:tcPr>
            <w:tcW w:w="1120" w:type="dxa"/>
            <w:shd w:val="clear" w:color="000000" w:fill="366092"/>
            <w:vAlign w:val="center"/>
            <w:hideMark/>
          </w:tcPr>
          <w:p w:rsidR="001D7956" w:rsidRPr="001D7956" w:rsidRDefault="001D7956" w:rsidP="001D7956">
            <w:pPr>
              <w:spacing w:after="0" w:line="240" w:lineRule="auto"/>
              <w:ind w:firstLineChars="100" w:firstLine="181"/>
              <w:jc w:val="right"/>
              <w:rPr>
                <w:rFonts w:cs="Arial"/>
                <w:b/>
                <w:bCs/>
                <w:color w:val="FFFFFF"/>
                <w:sz w:val="18"/>
                <w:szCs w:val="18"/>
                <w:lang w:eastAsia="en-AU"/>
              </w:rPr>
            </w:pPr>
            <w:r w:rsidRPr="001D7956">
              <w:rPr>
                <w:rFonts w:cs="Arial"/>
                <w:b/>
                <w:bCs/>
                <w:color w:val="FFFFFF"/>
                <w:sz w:val="18"/>
                <w:szCs w:val="18"/>
                <w:lang w:eastAsia="en-AU"/>
              </w:rPr>
              <w:t>2010</w:t>
            </w:r>
          </w:p>
        </w:tc>
        <w:tc>
          <w:tcPr>
            <w:tcW w:w="1120" w:type="dxa"/>
            <w:shd w:val="clear" w:color="000000" w:fill="366092"/>
            <w:vAlign w:val="center"/>
            <w:hideMark/>
          </w:tcPr>
          <w:p w:rsidR="001D7956" w:rsidRPr="001D7956" w:rsidRDefault="001D7956" w:rsidP="001D7956">
            <w:pPr>
              <w:spacing w:after="0" w:line="240" w:lineRule="auto"/>
              <w:ind w:firstLineChars="100" w:firstLine="181"/>
              <w:jc w:val="right"/>
              <w:rPr>
                <w:rFonts w:cs="Arial"/>
                <w:b/>
                <w:bCs/>
                <w:color w:val="FFFFFF"/>
                <w:sz w:val="18"/>
                <w:szCs w:val="18"/>
                <w:lang w:eastAsia="en-AU"/>
              </w:rPr>
            </w:pPr>
            <w:r w:rsidRPr="001D7956">
              <w:rPr>
                <w:rFonts w:cs="Arial"/>
                <w:b/>
                <w:bCs/>
                <w:color w:val="FFFFFF"/>
                <w:sz w:val="18"/>
                <w:szCs w:val="18"/>
                <w:lang w:eastAsia="en-AU"/>
              </w:rPr>
              <w:t>2011</w:t>
            </w:r>
          </w:p>
        </w:tc>
        <w:tc>
          <w:tcPr>
            <w:tcW w:w="1120" w:type="dxa"/>
            <w:shd w:val="clear" w:color="000000" w:fill="366092"/>
            <w:vAlign w:val="center"/>
            <w:hideMark/>
          </w:tcPr>
          <w:p w:rsidR="001D7956" w:rsidRPr="001D7956" w:rsidRDefault="001D7956" w:rsidP="001D7956">
            <w:pPr>
              <w:spacing w:after="0" w:line="240" w:lineRule="auto"/>
              <w:ind w:firstLineChars="100" w:firstLine="181"/>
              <w:jc w:val="right"/>
              <w:rPr>
                <w:rFonts w:cs="Arial"/>
                <w:b/>
                <w:bCs/>
                <w:color w:val="FFFFFF"/>
                <w:sz w:val="18"/>
                <w:szCs w:val="18"/>
                <w:lang w:eastAsia="en-AU"/>
              </w:rPr>
            </w:pPr>
            <w:r w:rsidRPr="001D7956">
              <w:rPr>
                <w:rFonts w:cs="Arial"/>
                <w:b/>
                <w:bCs/>
                <w:color w:val="FFFFFF"/>
                <w:sz w:val="18"/>
                <w:szCs w:val="18"/>
                <w:lang w:eastAsia="en-AU"/>
              </w:rPr>
              <w:t>2012</w:t>
            </w:r>
          </w:p>
        </w:tc>
        <w:tc>
          <w:tcPr>
            <w:tcW w:w="1120" w:type="dxa"/>
            <w:shd w:val="clear" w:color="000000" w:fill="366092"/>
            <w:vAlign w:val="center"/>
            <w:hideMark/>
          </w:tcPr>
          <w:p w:rsidR="001D7956" w:rsidRPr="001D7956" w:rsidRDefault="001D7956" w:rsidP="001D7956">
            <w:pPr>
              <w:spacing w:after="0" w:line="240" w:lineRule="auto"/>
              <w:ind w:firstLineChars="100" w:firstLine="181"/>
              <w:jc w:val="right"/>
              <w:rPr>
                <w:rFonts w:cs="Arial"/>
                <w:b/>
                <w:bCs/>
                <w:color w:val="FFFFFF"/>
                <w:sz w:val="18"/>
                <w:szCs w:val="18"/>
                <w:lang w:eastAsia="en-AU"/>
              </w:rPr>
            </w:pPr>
            <w:r w:rsidRPr="001D7956">
              <w:rPr>
                <w:rFonts w:cs="Arial"/>
                <w:b/>
                <w:bCs/>
                <w:color w:val="FFFFFF"/>
                <w:sz w:val="18"/>
                <w:szCs w:val="18"/>
                <w:lang w:eastAsia="en-AU"/>
              </w:rPr>
              <w:t>2013</w:t>
            </w:r>
          </w:p>
        </w:tc>
      </w:tr>
      <w:tr w:rsidR="001D7956" w:rsidRPr="001D7956" w:rsidTr="0019627B">
        <w:trPr>
          <w:trHeight w:val="342"/>
        </w:trPr>
        <w:tc>
          <w:tcPr>
            <w:tcW w:w="2560" w:type="dxa"/>
            <w:shd w:val="clear" w:color="000000" w:fill="FFFFFF"/>
            <w:noWrap/>
            <w:vAlign w:val="center"/>
            <w:hideMark/>
          </w:tcPr>
          <w:p w:rsidR="001D7956" w:rsidRPr="001D7956" w:rsidRDefault="001D7956" w:rsidP="0019627B">
            <w:pPr>
              <w:spacing w:after="0" w:line="240" w:lineRule="auto"/>
              <w:jc w:val="left"/>
              <w:rPr>
                <w:rFonts w:cs="Arial"/>
                <w:color w:val="366092"/>
                <w:sz w:val="18"/>
                <w:szCs w:val="18"/>
                <w:lang w:eastAsia="en-AU"/>
              </w:rPr>
            </w:pPr>
            <w:r w:rsidRPr="001D7956">
              <w:rPr>
                <w:rFonts w:cs="Arial"/>
                <w:color w:val="366092"/>
                <w:sz w:val="18"/>
                <w:szCs w:val="18"/>
                <w:lang w:eastAsia="en-AU"/>
              </w:rPr>
              <w:t>15 to 19</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74,400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76,000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88,300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108,700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120,500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104,600 </w:t>
            </w:r>
          </w:p>
        </w:tc>
      </w:tr>
      <w:tr w:rsidR="001D7956" w:rsidRPr="001D7956" w:rsidTr="0019627B">
        <w:trPr>
          <w:trHeight w:val="342"/>
        </w:trPr>
        <w:tc>
          <w:tcPr>
            <w:tcW w:w="2560" w:type="dxa"/>
            <w:shd w:val="clear" w:color="000000" w:fill="FFFFFF"/>
            <w:noWrap/>
            <w:vAlign w:val="center"/>
            <w:hideMark/>
          </w:tcPr>
          <w:p w:rsidR="001D7956" w:rsidRPr="001D7956" w:rsidRDefault="001D7956" w:rsidP="0019627B">
            <w:pPr>
              <w:spacing w:after="0" w:line="240" w:lineRule="auto"/>
              <w:jc w:val="left"/>
              <w:rPr>
                <w:rFonts w:cs="Arial"/>
                <w:color w:val="366092"/>
                <w:sz w:val="18"/>
                <w:szCs w:val="18"/>
                <w:lang w:eastAsia="en-AU"/>
              </w:rPr>
            </w:pPr>
            <w:r w:rsidRPr="001D7956">
              <w:rPr>
                <w:rFonts w:cs="Arial"/>
                <w:color w:val="366092"/>
                <w:sz w:val="18"/>
                <w:szCs w:val="18"/>
                <w:lang w:eastAsia="en-AU"/>
              </w:rPr>
              <w:t>20 to 24</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58,800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59,200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71,400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87,800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100,900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96,300 </w:t>
            </w:r>
          </w:p>
        </w:tc>
      </w:tr>
      <w:tr w:rsidR="001D7956" w:rsidRPr="001D7956" w:rsidTr="0019627B">
        <w:trPr>
          <w:trHeight w:val="342"/>
        </w:trPr>
        <w:tc>
          <w:tcPr>
            <w:tcW w:w="2560" w:type="dxa"/>
            <w:shd w:val="clear" w:color="000000" w:fill="FFFFFF"/>
            <w:noWrap/>
            <w:vAlign w:val="center"/>
            <w:hideMark/>
          </w:tcPr>
          <w:p w:rsidR="001D7956" w:rsidRPr="001D7956" w:rsidRDefault="001D7956" w:rsidP="0019627B">
            <w:pPr>
              <w:spacing w:after="0" w:line="240" w:lineRule="auto"/>
              <w:jc w:val="left"/>
              <w:rPr>
                <w:rFonts w:cs="Arial"/>
                <w:color w:val="366092"/>
                <w:sz w:val="18"/>
                <w:szCs w:val="18"/>
                <w:lang w:eastAsia="en-AU"/>
              </w:rPr>
            </w:pPr>
            <w:r w:rsidRPr="001D7956">
              <w:rPr>
                <w:rFonts w:cs="Arial"/>
                <w:color w:val="366092"/>
                <w:sz w:val="18"/>
                <w:szCs w:val="18"/>
                <w:lang w:eastAsia="en-AU"/>
              </w:rPr>
              <w:t>25 to 44</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99,700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102,400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112,600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148,500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180,200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178,700 </w:t>
            </w:r>
          </w:p>
        </w:tc>
      </w:tr>
      <w:tr w:rsidR="001D7956" w:rsidRPr="001D7956" w:rsidTr="0019627B">
        <w:trPr>
          <w:trHeight w:val="342"/>
        </w:trPr>
        <w:tc>
          <w:tcPr>
            <w:tcW w:w="2560" w:type="dxa"/>
            <w:shd w:val="clear" w:color="000000" w:fill="FFFFFF"/>
            <w:noWrap/>
            <w:vAlign w:val="center"/>
            <w:hideMark/>
          </w:tcPr>
          <w:p w:rsidR="001D7956" w:rsidRPr="001D7956" w:rsidRDefault="001D7956" w:rsidP="0019627B">
            <w:pPr>
              <w:spacing w:after="0" w:line="240" w:lineRule="auto"/>
              <w:jc w:val="left"/>
              <w:rPr>
                <w:rFonts w:cs="Arial"/>
                <w:color w:val="366092"/>
                <w:sz w:val="18"/>
                <w:szCs w:val="18"/>
                <w:lang w:eastAsia="en-AU"/>
              </w:rPr>
            </w:pPr>
            <w:r w:rsidRPr="001D7956">
              <w:rPr>
                <w:rFonts w:cs="Arial"/>
                <w:color w:val="366092"/>
                <w:sz w:val="18"/>
                <w:szCs w:val="18"/>
                <w:lang w:eastAsia="en-AU"/>
              </w:rPr>
              <w:t>45 to 64</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51,100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52,900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60,200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77,100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96,400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92,900 </w:t>
            </w:r>
          </w:p>
        </w:tc>
      </w:tr>
      <w:tr w:rsidR="001D7956" w:rsidRPr="001D7956" w:rsidTr="0019627B">
        <w:trPr>
          <w:trHeight w:val="342"/>
        </w:trPr>
        <w:tc>
          <w:tcPr>
            <w:tcW w:w="2560" w:type="dxa"/>
            <w:shd w:val="clear" w:color="000000" w:fill="FFFFFF"/>
            <w:noWrap/>
            <w:vAlign w:val="center"/>
            <w:hideMark/>
          </w:tcPr>
          <w:p w:rsidR="001D7956" w:rsidRPr="001D7956" w:rsidRDefault="001D7956" w:rsidP="0019627B">
            <w:pPr>
              <w:spacing w:after="0" w:line="240" w:lineRule="auto"/>
              <w:jc w:val="left"/>
              <w:rPr>
                <w:rFonts w:cs="Arial"/>
                <w:color w:val="366092"/>
                <w:sz w:val="18"/>
                <w:szCs w:val="18"/>
                <w:lang w:eastAsia="en-AU"/>
              </w:rPr>
            </w:pPr>
            <w:r w:rsidRPr="001D7956">
              <w:rPr>
                <w:rFonts w:cs="Arial"/>
                <w:color w:val="366092"/>
                <w:sz w:val="18"/>
                <w:szCs w:val="18"/>
                <w:lang w:eastAsia="en-AU"/>
              </w:rPr>
              <w:t>Under 15, over 64, not stated</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10,700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9,200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6,700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8,100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11,800 </w:t>
            </w:r>
          </w:p>
        </w:tc>
        <w:tc>
          <w:tcPr>
            <w:tcW w:w="1120" w:type="dxa"/>
            <w:shd w:val="clear" w:color="auto" w:fill="auto"/>
            <w:noWrap/>
            <w:vAlign w:val="center"/>
            <w:hideMark/>
          </w:tcPr>
          <w:p w:rsidR="001D7956" w:rsidRPr="001D7956" w:rsidRDefault="001D7956" w:rsidP="001D7956">
            <w:pPr>
              <w:spacing w:after="0" w:line="240" w:lineRule="auto"/>
              <w:jc w:val="right"/>
              <w:rPr>
                <w:rFonts w:cs="Arial"/>
                <w:sz w:val="18"/>
                <w:szCs w:val="18"/>
                <w:lang w:eastAsia="en-AU"/>
              </w:rPr>
            </w:pPr>
            <w:r w:rsidRPr="001D7956">
              <w:rPr>
                <w:rFonts w:cs="Arial"/>
                <w:sz w:val="18"/>
                <w:szCs w:val="18"/>
                <w:lang w:eastAsia="en-AU"/>
              </w:rPr>
              <w:t xml:space="preserve">11,800 </w:t>
            </w:r>
          </w:p>
        </w:tc>
      </w:tr>
      <w:tr w:rsidR="001D7956" w:rsidRPr="001D7956" w:rsidTr="00AD63C3">
        <w:trPr>
          <w:trHeight w:val="342"/>
        </w:trPr>
        <w:tc>
          <w:tcPr>
            <w:tcW w:w="2560" w:type="dxa"/>
            <w:shd w:val="clear" w:color="000000" w:fill="366092"/>
            <w:noWrap/>
            <w:vAlign w:val="bottom"/>
            <w:hideMark/>
          </w:tcPr>
          <w:p w:rsidR="001D7956" w:rsidRPr="001D7956" w:rsidRDefault="001D7956" w:rsidP="001D7956">
            <w:pPr>
              <w:spacing w:after="0" w:line="240" w:lineRule="auto"/>
              <w:jc w:val="left"/>
              <w:rPr>
                <w:rFonts w:cs="Arial"/>
                <w:b/>
                <w:bCs/>
                <w:color w:val="FFFFFF"/>
                <w:sz w:val="18"/>
                <w:szCs w:val="18"/>
                <w:lang w:eastAsia="en-AU"/>
              </w:rPr>
            </w:pPr>
            <w:r w:rsidRPr="001D7956">
              <w:rPr>
                <w:rFonts w:cs="Arial"/>
                <w:b/>
                <w:bCs/>
                <w:color w:val="FFFFFF"/>
                <w:sz w:val="18"/>
                <w:szCs w:val="18"/>
                <w:lang w:eastAsia="en-AU"/>
              </w:rPr>
              <w:t>Total</w:t>
            </w:r>
          </w:p>
        </w:tc>
        <w:tc>
          <w:tcPr>
            <w:tcW w:w="1120" w:type="dxa"/>
            <w:shd w:val="clear" w:color="000000" w:fill="366092"/>
            <w:noWrap/>
            <w:vAlign w:val="center"/>
            <w:hideMark/>
          </w:tcPr>
          <w:p w:rsidR="001D7956" w:rsidRPr="001D7956" w:rsidRDefault="001D7956" w:rsidP="001D7956">
            <w:pPr>
              <w:spacing w:after="0" w:line="240" w:lineRule="auto"/>
              <w:jc w:val="right"/>
              <w:rPr>
                <w:rFonts w:cs="Arial"/>
                <w:b/>
                <w:bCs/>
                <w:color w:val="FFFFFF"/>
                <w:sz w:val="18"/>
                <w:szCs w:val="18"/>
                <w:lang w:eastAsia="en-AU"/>
              </w:rPr>
            </w:pPr>
            <w:r w:rsidRPr="001D7956">
              <w:rPr>
                <w:rFonts w:cs="Arial"/>
                <w:b/>
                <w:bCs/>
                <w:color w:val="FFFFFF"/>
                <w:sz w:val="18"/>
                <w:szCs w:val="18"/>
                <w:lang w:eastAsia="en-AU"/>
              </w:rPr>
              <w:t xml:space="preserve">294,700 </w:t>
            </w:r>
          </w:p>
        </w:tc>
        <w:tc>
          <w:tcPr>
            <w:tcW w:w="1120" w:type="dxa"/>
            <w:shd w:val="clear" w:color="000000" w:fill="366092"/>
            <w:noWrap/>
            <w:vAlign w:val="center"/>
            <w:hideMark/>
          </w:tcPr>
          <w:p w:rsidR="001D7956" w:rsidRPr="001D7956" w:rsidRDefault="001D7956" w:rsidP="001D7956">
            <w:pPr>
              <w:spacing w:after="0" w:line="240" w:lineRule="auto"/>
              <w:jc w:val="right"/>
              <w:rPr>
                <w:rFonts w:cs="Arial"/>
                <w:b/>
                <w:bCs/>
                <w:color w:val="FFFFFF"/>
                <w:sz w:val="18"/>
                <w:szCs w:val="18"/>
                <w:lang w:eastAsia="en-AU"/>
              </w:rPr>
            </w:pPr>
            <w:r w:rsidRPr="001D7956">
              <w:rPr>
                <w:rFonts w:cs="Arial"/>
                <w:b/>
                <w:bCs/>
                <w:color w:val="FFFFFF"/>
                <w:sz w:val="18"/>
                <w:szCs w:val="18"/>
                <w:lang w:eastAsia="en-AU"/>
              </w:rPr>
              <w:t xml:space="preserve">299,600 </w:t>
            </w:r>
          </w:p>
        </w:tc>
        <w:tc>
          <w:tcPr>
            <w:tcW w:w="1120" w:type="dxa"/>
            <w:shd w:val="clear" w:color="000000" w:fill="366092"/>
            <w:noWrap/>
            <w:vAlign w:val="center"/>
            <w:hideMark/>
          </w:tcPr>
          <w:p w:rsidR="001D7956" w:rsidRPr="001D7956" w:rsidRDefault="001D7956" w:rsidP="001D7956">
            <w:pPr>
              <w:spacing w:after="0" w:line="240" w:lineRule="auto"/>
              <w:jc w:val="right"/>
              <w:rPr>
                <w:rFonts w:cs="Arial"/>
                <w:b/>
                <w:bCs/>
                <w:color w:val="FFFFFF"/>
                <w:sz w:val="18"/>
                <w:szCs w:val="18"/>
                <w:lang w:eastAsia="en-AU"/>
              </w:rPr>
            </w:pPr>
            <w:r w:rsidRPr="001D7956">
              <w:rPr>
                <w:rFonts w:cs="Arial"/>
                <w:b/>
                <w:bCs/>
                <w:color w:val="FFFFFF"/>
                <w:sz w:val="18"/>
                <w:szCs w:val="18"/>
                <w:lang w:eastAsia="en-AU"/>
              </w:rPr>
              <w:t xml:space="preserve">339,200 </w:t>
            </w:r>
          </w:p>
        </w:tc>
        <w:tc>
          <w:tcPr>
            <w:tcW w:w="1120" w:type="dxa"/>
            <w:shd w:val="clear" w:color="000000" w:fill="366092"/>
            <w:noWrap/>
            <w:vAlign w:val="center"/>
            <w:hideMark/>
          </w:tcPr>
          <w:p w:rsidR="001D7956" w:rsidRPr="001D7956" w:rsidRDefault="001D7956" w:rsidP="001D7956">
            <w:pPr>
              <w:spacing w:after="0" w:line="240" w:lineRule="auto"/>
              <w:jc w:val="right"/>
              <w:rPr>
                <w:rFonts w:cs="Arial"/>
                <w:b/>
                <w:bCs/>
                <w:color w:val="FFFFFF"/>
                <w:sz w:val="18"/>
                <w:szCs w:val="18"/>
                <w:lang w:eastAsia="en-AU"/>
              </w:rPr>
            </w:pPr>
            <w:r w:rsidRPr="001D7956">
              <w:rPr>
                <w:rFonts w:cs="Arial"/>
                <w:b/>
                <w:bCs/>
                <w:color w:val="FFFFFF"/>
                <w:sz w:val="18"/>
                <w:szCs w:val="18"/>
                <w:lang w:eastAsia="en-AU"/>
              </w:rPr>
              <w:t xml:space="preserve">430,300 </w:t>
            </w:r>
          </w:p>
        </w:tc>
        <w:tc>
          <w:tcPr>
            <w:tcW w:w="1120" w:type="dxa"/>
            <w:shd w:val="clear" w:color="000000" w:fill="366092"/>
            <w:noWrap/>
            <w:vAlign w:val="center"/>
            <w:hideMark/>
          </w:tcPr>
          <w:p w:rsidR="001D7956" w:rsidRPr="001D7956" w:rsidRDefault="001D7956" w:rsidP="001D7956">
            <w:pPr>
              <w:spacing w:after="0" w:line="240" w:lineRule="auto"/>
              <w:jc w:val="right"/>
              <w:rPr>
                <w:rFonts w:cs="Arial"/>
                <w:b/>
                <w:bCs/>
                <w:color w:val="FFFFFF"/>
                <w:sz w:val="18"/>
                <w:szCs w:val="18"/>
                <w:lang w:eastAsia="en-AU"/>
              </w:rPr>
            </w:pPr>
            <w:r w:rsidRPr="001D7956">
              <w:rPr>
                <w:rFonts w:cs="Arial"/>
                <w:b/>
                <w:bCs/>
                <w:color w:val="FFFFFF"/>
                <w:sz w:val="18"/>
                <w:szCs w:val="18"/>
                <w:lang w:eastAsia="en-AU"/>
              </w:rPr>
              <w:t xml:space="preserve">509,800 </w:t>
            </w:r>
          </w:p>
        </w:tc>
        <w:tc>
          <w:tcPr>
            <w:tcW w:w="1120" w:type="dxa"/>
            <w:shd w:val="clear" w:color="000000" w:fill="366092"/>
            <w:noWrap/>
            <w:vAlign w:val="center"/>
            <w:hideMark/>
          </w:tcPr>
          <w:p w:rsidR="001D7956" w:rsidRPr="001D7956" w:rsidRDefault="001D7956" w:rsidP="001D7956">
            <w:pPr>
              <w:spacing w:after="0" w:line="240" w:lineRule="auto"/>
              <w:jc w:val="right"/>
              <w:rPr>
                <w:rFonts w:cs="Arial"/>
                <w:b/>
                <w:bCs/>
                <w:color w:val="FFFFFF"/>
                <w:sz w:val="18"/>
                <w:szCs w:val="18"/>
                <w:lang w:eastAsia="en-AU"/>
              </w:rPr>
            </w:pPr>
            <w:r w:rsidRPr="001D7956">
              <w:rPr>
                <w:rFonts w:cs="Arial"/>
                <w:b/>
                <w:bCs/>
                <w:color w:val="FFFFFF"/>
                <w:sz w:val="18"/>
                <w:szCs w:val="18"/>
                <w:lang w:eastAsia="en-AU"/>
              </w:rPr>
              <w:t xml:space="preserve">484,300 </w:t>
            </w:r>
          </w:p>
        </w:tc>
      </w:tr>
    </w:tbl>
    <w:p w:rsidR="001D7956" w:rsidRDefault="001D7956" w:rsidP="001D7956"/>
    <w:p w:rsidR="00351166" w:rsidRDefault="00351166" w:rsidP="00351166">
      <w:pPr>
        <w:rPr>
          <w:rFonts w:cs="Arial"/>
        </w:rPr>
      </w:pPr>
    </w:p>
    <w:p w:rsidR="005F145E" w:rsidRDefault="005F145E" w:rsidP="00174D56">
      <w:pPr>
        <w:pStyle w:val="Caption"/>
        <w:spacing w:after="0"/>
        <w:jc w:val="left"/>
        <w:rPr>
          <w:rFonts w:cs="Arial"/>
          <w:color w:val="365F91" w:themeColor="accent1" w:themeShade="BF"/>
        </w:rPr>
      </w:pPr>
      <w:r w:rsidRPr="008A329C">
        <w:rPr>
          <w:rFonts w:cs="Arial"/>
          <w:color w:val="365F91" w:themeColor="accent1" w:themeShade="BF"/>
        </w:rPr>
        <w:t>Table 1.</w:t>
      </w:r>
      <w:r w:rsidR="00293917">
        <w:rPr>
          <w:rFonts w:cs="Arial"/>
          <w:color w:val="365F91" w:themeColor="accent1" w:themeShade="BF"/>
        </w:rPr>
        <w:t>11</w:t>
      </w:r>
      <w:r w:rsidRPr="008A329C">
        <w:rPr>
          <w:rFonts w:cs="Arial"/>
          <w:color w:val="365F91" w:themeColor="accent1" w:themeShade="BF"/>
        </w:rPr>
        <w:t xml:space="preserve">.2: </w:t>
      </w:r>
      <w:r w:rsidR="008A329C">
        <w:rPr>
          <w:rFonts w:cs="Arial"/>
          <w:color w:val="365F91" w:themeColor="accent1" w:themeShade="BF"/>
        </w:rPr>
        <w:t>Change in g</w:t>
      </w:r>
      <w:r w:rsidRPr="008A329C">
        <w:rPr>
          <w:rFonts w:cs="Arial"/>
          <w:color w:val="365F91" w:themeColor="accent1" w:themeShade="BF"/>
        </w:rPr>
        <w:t>overnment subsidised students by age group</w:t>
      </w:r>
    </w:p>
    <w:tbl>
      <w:tblPr>
        <w:tblW w:w="5920" w:type="dxa"/>
        <w:tblInd w:w="103" w:type="dxa"/>
        <w:tblLook w:val="04A0" w:firstRow="1" w:lastRow="0" w:firstColumn="1" w:lastColumn="0" w:noHBand="0" w:noVBand="1"/>
      </w:tblPr>
      <w:tblGrid>
        <w:gridCol w:w="2560"/>
        <w:gridCol w:w="1120"/>
        <w:gridCol w:w="1120"/>
        <w:gridCol w:w="1120"/>
      </w:tblGrid>
      <w:tr w:rsidR="00084C29" w:rsidRPr="00084C29" w:rsidTr="00084C29">
        <w:trPr>
          <w:trHeight w:val="762"/>
        </w:trPr>
        <w:tc>
          <w:tcPr>
            <w:tcW w:w="256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084C29" w:rsidRPr="00084C29" w:rsidRDefault="00084C29" w:rsidP="00084C29">
            <w:pPr>
              <w:spacing w:after="0" w:line="240" w:lineRule="auto"/>
              <w:jc w:val="left"/>
              <w:rPr>
                <w:rFonts w:cs="Arial"/>
                <w:b/>
                <w:bCs/>
                <w:color w:val="FFFFFF"/>
                <w:sz w:val="18"/>
                <w:szCs w:val="18"/>
                <w:lang w:eastAsia="en-AU"/>
              </w:rPr>
            </w:pPr>
            <w:r w:rsidRPr="00084C29">
              <w:rPr>
                <w:rFonts w:cs="Arial"/>
                <w:b/>
                <w:bCs/>
                <w:color w:val="FFFFFF"/>
                <w:sz w:val="18"/>
                <w:szCs w:val="18"/>
                <w:lang w:eastAsia="en-AU"/>
              </w:rPr>
              <w:t>Age group</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 change</w:t>
            </w:r>
            <w:r w:rsidRPr="00084C29">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84C29" w:rsidRPr="00084C29" w:rsidRDefault="00084C29" w:rsidP="00084C29">
            <w:pPr>
              <w:spacing w:after="0" w:line="240" w:lineRule="auto"/>
              <w:jc w:val="center"/>
              <w:rPr>
                <w:rFonts w:cs="Arial"/>
                <w:b/>
                <w:bCs/>
                <w:color w:val="FFFFFF"/>
                <w:sz w:val="18"/>
                <w:szCs w:val="18"/>
                <w:lang w:eastAsia="en-AU"/>
              </w:rPr>
            </w:pPr>
            <w:r w:rsidRPr="00084C29">
              <w:rPr>
                <w:rFonts w:cs="Arial"/>
                <w:b/>
                <w:bCs/>
                <w:color w:val="FFFFFF"/>
                <w:sz w:val="18"/>
                <w:szCs w:val="18"/>
                <w:lang w:eastAsia="en-AU"/>
              </w:rPr>
              <w:t>% change</w:t>
            </w:r>
            <w:r w:rsidRPr="00084C29">
              <w:rPr>
                <w:rFonts w:cs="Arial"/>
                <w:b/>
                <w:bCs/>
                <w:color w:val="FFFFFF"/>
                <w:sz w:val="18"/>
                <w:szCs w:val="18"/>
                <w:lang w:eastAsia="en-AU"/>
              </w:rPr>
              <w:br/>
              <w:t>2011-2013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084C29" w:rsidRPr="00084C29" w:rsidRDefault="00084C29" w:rsidP="00084C29">
            <w:pPr>
              <w:spacing w:after="0" w:line="240" w:lineRule="auto"/>
              <w:jc w:val="center"/>
              <w:rPr>
                <w:rFonts w:cs="Arial"/>
                <w:b/>
                <w:bCs/>
                <w:color w:val="FFFFFF"/>
                <w:sz w:val="18"/>
                <w:szCs w:val="18"/>
                <w:lang w:eastAsia="en-AU"/>
              </w:rPr>
            </w:pPr>
            <w:r w:rsidRPr="00084C29">
              <w:rPr>
                <w:rFonts w:cs="Arial"/>
                <w:b/>
                <w:bCs/>
                <w:color w:val="FFFFFF"/>
                <w:sz w:val="18"/>
                <w:szCs w:val="18"/>
                <w:lang w:eastAsia="en-AU"/>
              </w:rPr>
              <w:t>% change</w:t>
            </w:r>
            <w:r w:rsidRPr="00084C29">
              <w:rPr>
                <w:rFonts w:cs="Arial"/>
                <w:b/>
                <w:bCs/>
                <w:color w:val="FFFFFF"/>
                <w:sz w:val="18"/>
                <w:szCs w:val="18"/>
                <w:lang w:eastAsia="en-AU"/>
              </w:rPr>
              <w:br/>
              <w:t>2012-2013</w:t>
            </w:r>
          </w:p>
        </w:tc>
      </w:tr>
      <w:tr w:rsidR="00084C29" w:rsidRPr="00084C29"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15 to 19</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41%</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-4%</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-13%</w:t>
            </w:r>
          </w:p>
        </w:tc>
      </w:tr>
      <w:tr w:rsidR="00084C29" w:rsidRPr="00084C29"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20 to 24</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64%</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10%</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-5%</w:t>
            </w:r>
          </w:p>
        </w:tc>
      </w:tr>
      <w:tr w:rsidR="00084C29" w:rsidRPr="00084C29"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25 to 44</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79%</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20%</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-1%</w:t>
            </w:r>
          </w:p>
        </w:tc>
      </w:tr>
      <w:tr w:rsidR="00084C29" w:rsidRPr="00084C29"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45 to 64</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82%</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20%</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-4%</w:t>
            </w:r>
          </w:p>
        </w:tc>
      </w:tr>
      <w:tr w:rsidR="00084C29" w:rsidRPr="00084C29"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Under 15, over 64, not stated</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10%</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45%</w:t>
            </w:r>
          </w:p>
        </w:tc>
        <w:tc>
          <w:tcPr>
            <w:tcW w:w="1120" w:type="dxa"/>
            <w:tcBorders>
              <w:top w:val="nil"/>
              <w:left w:val="nil"/>
              <w:bottom w:val="single" w:sz="4" w:space="0" w:color="366092"/>
              <w:right w:val="single" w:sz="4" w:space="0" w:color="366092"/>
            </w:tcBorders>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0%</w:t>
            </w:r>
          </w:p>
        </w:tc>
      </w:tr>
      <w:tr w:rsidR="00084C29" w:rsidRPr="00084C29" w:rsidTr="00084C29">
        <w:trPr>
          <w:trHeight w:val="342"/>
        </w:trPr>
        <w:tc>
          <w:tcPr>
            <w:tcW w:w="2560" w:type="dxa"/>
            <w:tcBorders>
              <w:top w:val="nil"/>
              <w:left w:val="single" w:sz="4" w:space="0" w:color="366092"/>
              <w:bottom w:val="single" w:sz="4" w:space="0" w:color="366092"/>
              <w:right w:val="single" w:sz="4" w:space="0" w:color="366092"/>
            </w:tcBorders>
            <w:shd w:val="clear" w:color="000000" w:fill="366092"/>
            <w:noWrap/>
            <w:vAlign w:val="bottom"/>
            <w:hideMark/>
          </w:tcPr>
          <w:p w:rsidR="00084C29" w:rsidRPr="00084C29" w:rsidRDefault="00084C29" w:rsidP="00084C29">
            <w:pPr>
              <w:spacing w:after="0" w:line="240" w:lineRule="auto"/>
              <w:jc w:val="left"/>
              <w:rPr>
                <w:rFonts w:cs="Arial"/>
                <w:b/>
                <w:bCs/>
                <w:color w:val="FFFFFF"/>
                <w:sz w:val="18"/>
                <w:szCs w:val="18"/>
                <w:lang w:eastAsia="en-AU"/>
              </w:rPr>
            </w:pPr>
            <w:r w:rsidRPr="00084C29">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64%</w:t>
            </w:r>
          </w:p>
        </w:tc>
        <w:tc>
          <w:tcPr>
            <w:tcW w:w="1120" w:type="dxa"/>
            <w:tcBorders>
              <w:top w:val="nil"/>
              <w:left w:val="nil"/>
              <w:bottom w:val="single" w:sz="4" w:space="0" w:color="366092"/>
              <w:right w:val="single" w:sz="4" w:space="0" w:color="366092"/>
            </w:tcBorders>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13%</w:t>
            </w:r>
          </w:p>
        </w:tc>
        <w:tc>
          <w:tcPr>
            <w:tcW w:w="1120" w:type="dxa"/>
            <w:tcBorders>
              <w:top w:val="nil"/>
              <w:left w:val="nil"/>
              <w:bottom w:val="single" w:sz="4" w:space="0" w:color="366092"/>
              <w:right w:val="single" w:sz="4" w:space="0" w:color="366092"/>
            </w:tcBorders>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-5%</w:t>
            </w:r>
          </w:p>
        </w:tc>
      </w:tr>
    </w:tbl>
    <w:p w:rsidR="008A329C" w:rsidRDefault="008A329C" w:rsidP="008A329C"/>
    <w:p w:rsidR="008A329C" w:rsidRPr="008A329C" w:rsidRDefault="008A329C" w:rsidP="008A329C"/>
    <w:p w:rsidR="005F145E" w:rsidRPr="001F29E3" w:rsidRDefault="005F145E" w:rsidP="005F145E">
      <w:pPr>
        <w:jc w:val="left"/>
        <w:rPr>
          <w:rFonts w:cs="Arial"/>
        </w:rPr>
      </w:pPr>
    </w:p>
    <w:p w:rsidR="00351166" w:rsidRPr="001F29E3" w:rsidRDefault="00351166" w:rsidP="00351166">
      <w:pPr>
        <w:rPr>
          <w:rFonts w:cs="Arial"/>
        </w:rPr>
      </w:pPr>
    </w:p>
    <w:p w:rsidR="00AB275E" w:rsidRDefault="00351166" w:rsidP="00A9260A">
      <w:pPr>
        <w:pStyle w:val="Heading3"/>
      </w:pPr>
      <w:r w:rsidRPr="001F29E3">
        <w:br w:type="page"/>
      </w:r>
    </w:p>
    <w:p w:rsidR="00351166" w:rsidRPr="001F29E3" w:rsidRDefault="00D17AF1" w:rsidP="00A9260A">
      <w:pPr>
        <w:pStyle w:val="Heading3"/>
      </w:pPr>
      <w:r w:rsidRPr="001F29E3">
        <w:t xml:space="preserve">Students by Age Group </w:t>
      </w:r>
      <w:r>
        <w:t xml:space="preserve">in </w:t>
      </w:r>
      <w:r w:rsidR="00351166" w:rsidRPr="001F29E3">
        <w:t xml:space="preserve">TAFE </w:t>
      </w:r>
      <w:r w:rsidR="002757F4" w:rsidRPr="001F29E3">
        <w:t>D</w:t>
      </w:r>
      <w:r w:rsidR="00351166" w:rsidRPr="001F29E3">
        <w:t xml:space="preserve">omestic </w:t>
      </w:r>
      <w:r w:rsidR="00362E51" w:rsidRPr="001F29E3">
        <w:t>Fee for Service</w:t>
      </w:r>
      <w:r w:rsidR="00351166" w:rsidRPr="001F29E3">
        <w:t xml:space="preserve"> </w:t>
      </w:r>
    </w:p>
    <w:p w:rsidR="00351166" w:rsidRDefault="00351166" w:rsidP="00351166">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F624F2" w:rsidRPr="001F29E3" w:rsidTr="004E7369">
        <w:trPr>
          <w:trHeight w:val="1467"/>
        </w:trPr>
        <w:tc>
          <w:tcPr>
            <w:tcW w:w="9088" w:type="dxa"/>
          </w:tcPr>
          <w:p w:rsidR="00F624F2" w:rsidRDefault="00F624F2" w:rsidP="008C0A56">
            <w:pPr>
              <w:pStyle w:val="Heading3"/>
            </w:pPr>
            <w:r w:rsidRPr="001F29E3">
              <w:br w:type="page"/>
              <w:t>Key Points</w:t>
            </w:r>
          </w:p>
          <w:p w:rsidR="008C0A56" w:rsidRPr="001F29E3" w:rsidRDefault="008C0A56" w:rsidP="008C0A56"/>
          <w:p w:rsidR="00F624F2" w:rsidRPr="0047672F" w:rsidRDefault="00F624F2" w:rsidP="00F624F2">
            <w:pPr>
              <w:pStyle w:val="ListBullet"/>
              <w:numPr>
                <w:ilvl w:val="0"/>
                <w:numId w:val="7"/>
              </w:numPr>
              <w:ind w:right="113"/>
              <w:rPr>
                <w:rFonts w:cs="Arial"/>
              </w:rPr>
            </w:pPr>
            <w:r w:rsidRPr="0047672F">
              <w:rPr>
                <w:rFonts w:cs="Arial"/>
              </w:rPr>
              <w:t xml:space="preserve">The number of students enrolled in TAFE domestic fee for service at AQF </w:t>
            </w:r>
            <w:r w:rsidR="001B69B8">
              <w:rPr>
                <w:rFonts w:cs="Arial"/>
              </w:rPr>
              <w:t>Certificate</w:t>
            </w:r>
            <w:r w:rsidRPr="0047672F">
              <w:rPr>
                <w:rFonts w:cs="Arial"/>
              </w:rPr>
              <w:t xml:space="preserve"> 1 and above was </w:t>
            </w:r>
            <w:r w:rsidR="00EA271D">
              <w:rPr>
                <w:rFonts w:cs="Arial"/>
              </w:rPr>
              <w:t>96,700</w:t>
            </w:r>
            <w:r w:rsidRPr="0047672F">
              <w:rPr>
                <w:rFonts w:cs="Arial"/>
              </w:rPr>
              <w:t xml:space="preserve"> in 2013. </w:t>
            </w:r>
            <w:r w:rsidR="0047672F" w:rsidRPr="0047672F">
              <w:rPr>
                <w:rFonts w:cs="Arial"/>
              </w:rPr>
              <w:t>Thirty seven</w:t>
            </w:r>
            <w:r w:rsidRPr="0047672F">
              <w:rPr>
                <w:rFonts w:cs="Arial"/>
              </w:rPr>
              <w:t xml:space="preserve"> per cent of students were aged between 15 and 24</w:t>
            </w:r>
            <w:r w:rsidR="008C0A56" w:rsidRPr="0047672F">
              <w:rPr>
                <w:rFonts w:cs="Arial"/>
              </w:rPr>
              <w:t xml:space="preserve"> years</w:t>
            </w:r>
            <w:r w:rsidRPr="0047672F">
              <w:rPr>
                <w:rFonts w:cs="Arial"/>
              </w:rPr>
              <w:t>.</w:t>
            </w:r>
          </w:p>
          <w:p w:rsidR="00F624F2" w:rsidRPr="00D022C6" w:rsidRDefault="00F624F2" w:rsidP="00AD63C3">
            <w:pPr>
              <w:pStyle w:val="ListBullet"/>
              <w:numPr>
                <w:ilvl w:val="0"/>
                <w:numId w:val="7"/>
              </w:numPr>
              <w:ind w:right="113"/>
              <w:rPr>
                <w:rFonts w:cs="Arial"/>
              </w:rPr>
            </w:pPr>
            <w:r w:rsidRPr="0047672F">
              <w:rPr>
                <w:rFonts w:cs="Arial"/>
              </w:rPr>
              <w:t xml:space="preserve">Similar to the </w:t>
            </w:r>
            <w:r w:rsidR="004566D8" w:rsidRPr="0047672F">
              <w:rPr>
                <w:rFonts w:cs="Arial"/>
              </w:rPr>
              <w:t xml:space="preserve">trend </w:t>
            </w:r>
            <w:r w:rsidRPr="0047672F">
              <w:rPr>
                <w:rFonts w:cs="Arial"/>
              </w:rPr>
              <w:t xml:space="preserve">in government subsidised provision, </w:t>
            </w:r>
            <w:r w:rsidR="004566D8" w:rsidRPr="0047672F">
              <w:rPr>
                <w:rFonts w:cs="Arial"/>
              </w:rPr>
              <w:t xml:space="preserve">aged 15-19 is the only </w:t>
            </w:r>
            <w:r w:rsidR="00EA271D">
              <w:rPr>
                <w:rFonts w:cs="Arial"/>
              </w:rPr>
              <w:t xml:space="preserve">significant </w:t>
            </w:r>
            <w:r w:rsidR="004566D8" w:rsidRPr="0047672F">
              <w:rPr>
                <w:rFonts w:cs="Arial"/>
              </w:rPr>
              <w:t>age cohort with student numbers in 2013 lower than the corresponding numbers in 2011.</w:t>
            </w:r>
          </w:p>
        </w:tc>
      </w:tr>
    </w:tbl>
    <w:p w:rsidR="00F624F2" w:rsidRDefault="00F624F2" w:rsidP="00F624F2">
      <w:pPr>
        <w:rPr>
          <w:rFonts w:cs="Arial"/>
        </w:rPr>
      </w:pPr>
    </w:p>
    <w:p w:rsidR="00F624F2" w:rsidRDefault="00F624F2" w:rsidP="00F624F2">
      <w:pPr>
        <w:rPr>
          <w:rFonts w:cs="Arial"/>
        </w:rPr>
      </w:pPr>
    </w:p>
    <w:p w:rsidR="00351166" w:rsidRDefault="00351166" w:rsidP="00F624F2">
      <w:pPr>
        <w:pStyle w:val="Caption"/>
        <w:spacing w:after="0"/>
        <w:jc w:val="left"/>
        <w:rPr>
          <w:rFonts w:cs="Arial"/>
          <w:color w:val="365F91" w:themeColor="accent1" w:themeShade="BF"/>
        </w:rPr>
      </w:pPr>
      <w:r w:rsidRPr="00084C29">
        <w:rPr>
          <w:rFonts w:cs="Arial"/>
          <w:color w:val="365F91" w:themeColor="accent1" w:themeShade="BF"/>
        </w:rPr>
        <w:t>Table 1.</w:t>
      </w:r>
      <w:r w:rsidR="00293917">
        <w:rPr>
          <w:rFonts w:cs="Arial"/>
          <w:color w:val="365F91" w:themeColor="accent1" w:themeShade="BF"/>
        </w:rPr>
        <w:t>12</w:t>
      </w:r>
      <w:r w:rsidR="003C19A6" w:rsidRPr="00084C29">
        <w:rPr>
          <w:rFonts w:cs="Arial"/>
          <w:color w:val="365F91" w:themeColor="accent1" w:themeShade="BF"/>
        </w:rPr>
        <w:t>.1</w:t>
      </w:r>
      <w:r w:rsidRPr="00084C29">
        <w:rPr>
          <w:rFonts w:cs="Arial"/>
          <w:color w:val="365F91" w:themeColor="accent1" w:themeShade="BF"/>
        </w:rPr>
        <w:t xml:space="preserve">: </w:t>
      </w:r>
      <w:r w:rsidR="00E05A50" w:rsidRPr="00084C29">
        <w:rPr>
          <w:rFonts w:cs="Arial"/>
          <w:color w:val="365F91" w:themeColor="accent1" w:themeShade="BF"/>
        </w:rPr>
        <w:t>TAFE domestic fee for service</w:t>
      </w:r>
      <w:r w:rsidR="003C19A6" w:rsidRPr="00084C29">
        <w:rPr>
          <w:rFonts w:cs="Arial"/>
          <w:color w:val="365F91" w:themeColor="accent1" w:themeShade="BF"/>
        </w:rPr>
        <w:t xml:space="preserve"> (AQF1+)</w:t>
      </w:r>
      <w:r w:rsidR="00E05A50" w:rsidRPr="00084C29">
        <w:rPr>
          <w:rFonts w:cs="Arial"/>
          <w:color w:val="365F91" w:themeColor="accent1" w:themeShade="BF"/>
        </w:rPr>
        <w:t xml:space="preserve">: </w:t>
      </w:r>
      <w:r w:rsidR="00AD63C3">
        <w:rPr>
          <w:rFonts w:cs="Arial"/>
          <w:color w:val="365F91" w:themeColor="accent1" w:themeShade="BF"/>
        </w:rPr>
        <w:t>students by age group, 2008–2013</w:t>
      </w:r>
    </w:p>
    <w:tbl>
      <w:tblPr>
        <w:tblW w:w="928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560"/>
        <w:gridCol w:w="1120"/>
        <w:gridCol w:w="1120"/>
        <w:gridCol w:w="1120"/>
        <w:gridCol w:w="1120"/>
        <w:gridCol w:w="1120"/>
        <w:gridCol w:w="1120"/>
      </w:tblGrid>
      <w:tr w:rsidR="00084C29" w:rsidRPr="00084C29" w:rsidTr="00AD63C3">
        <w:trPr>
          <w:trHeight w:val="762"/>
        </w:trPr>
        <w:tc>
          <w:tcPr>
            <w:tcW w:w="2560" w:type="dxa"/>
            <w:shd w:val="clear" w:color="000000" w:fill="366092"/>
            <w:noWrap/>
            <w:vAlign w:val="center"/>
            <w:hideMark/>
          </w:tcPr>
          <w:p w:rsidR="00084C29" w:rsidRPr="00084C29" w:rsidRDefault="00084C29" w:rsidP="00084C29">
            <w:pPr>
              <w:spacing w:after="0" w:line="240" w:lineRule="auto"/>
              <w:jc w:val="left"/>
              <w:rPr>
                <w:rFonts w:cs="Arial"/>
                <w:b/>
                <w:bCs/>
                <w:color w:val="FFFFFF"/>
                <w:sz w:val="18"/>
                <w:szCs w:val="18"/>
                <w:lang w:eastAsia="en-AU"/>
              </w:rPr>
            </w:pPr>
            <w:r w:rsidRPr="00084C29">
              <w:rPr>
                <w:rFonts w:cs="Arial"/>
                <w:b/>
                <w:bCs/>
                <w:color w:val="FFFFFF"/>
                <w:sz w:val="18"/>
                <w:szCs w:val="18"/>
                <w:lang w:eastAsia="en-AU"/>
              </w:rPr>
              <w:t>Age group</w:t>
            </w:r>
          </w:p>
        </w:tc>
        <w:tc>
          <w:tcPr>
            <w:tcW w:w="1120" w:type="dxa"/>
            <w:shd w:val="clear" w:color="000000" w:fill="366092"/>
            <w:vAlign w:val="center"/>
            <w:hideMark/>
          </w:tcPr>
          <w:p w:rsidR="00084C29" w:rsidRPr="00084C29" w:rsidRDefault="00084C29" w:rsidP="00084C29">
            <w:pPr>
              <w:spacing w:after="0" w:line="240" w:lineRule="auto"/>
              <w:ind w:firstLineChars="100" w:firstLine="181"/>
              <w:jc w:val="right"/>
              <w:rPr>
                <w:rFonts w:cs="Arial"/>
                <w:b/>
                <w:bCs/>
                <w:color w:val="FFFFFF"/>
                <w:sz w:val="18"/>
                <w:szCs w:val="18"/>
                <w:lang w:eastAsia="en-AU"/>
              </w:rPr>
            </w:pPr>
            <w:r w:rsidRPr="00084C29">
              <w:rPr>
                <w:rFonts w:cs="Arial"/>
                <w:b/>
                <w:bCs/>
                <w:color w:val="FFFFFF"/>
                <w:sz w:val="18"/>
                <w:szCs w:val="18"/>
                <w:lang w:eastAsia="en-AU"/>
              </w:rPr>
              <w:t>2008</w:t>
            </w:r>
          </w:p>
        </w:tc>
        <w:tc>
          <w:tcPr>
            <w:tcW w:w="1120" w:type="dxa"/>
            <w:shd w:val="clear" w:color="000000" w:fill="366092"/>
            <w:vAlign w:val="center"/>
            <w:hideMark/>
          </w:tcPr>
          <w:p w:rsidR="00084C29" w:rsidRPr="00084C29" w:rsidRDefault="00084C29" w:rsidP="00084C29">
            <w:pPr>
              <w:spacing w:after="0" w:line="240" w:lineRule="auto"/>
              <w:ind w:firstLineChars="100" w:firstLine="181"/>
              <w:jc w:val="right"/>
              <w:rPr>
                <w:rFonts w:cs="Arial"/>
                <w:b/>
                <w:bCs/>
                <w:color w:val="FFFFFF"/>
                <w:sz w:val="18"/>
                <w:szCs w:val="18"/>
                <w:lang w:eastAsia="en-AU"/>
              </w:rPr>
            </w:pPr>
            <w:r w:rsidRPr="00084C29">
              <w:rPr>
                <w:rFonts w:cs="Arial"/>
                <w:b/>
                <w:bCs/>
                <w:color w:val="FFFFFF"/>
                <w:sz w:val="18"/>
                <w:szCs w:val="18"/>
                <w:lang w:eastAsia="en-AU"/>
              </w:rPr>
              <w:t>2009</w:t>
            </w:r>
          </w:p>
        </w:tc>
        <w:tc>
          <w:tcPr>
            <w:tcW w:w="1120" w:type="dxa"/>
            <w:shd w:val="clear" w:color="000000" w:fill="366092"/>
            <w:vAlign w:val="center"/>
            <w:hideMark/>
          </w:tcPr>
          <w:p w:rsidR="00084C29" w:rsidRPr="00084C29" w:rsidRDefault="00084C29" w:rsidP="00084C29">
            <w:pPr>
              <w:spacing w:after="0" w:line="240" w:lineRule="auto"/>
              <w:ind w:firstLineChars="100" w:firstLine="181"/>
              <w:jc w:val="right"/>
              <w:rPr>
                <w:rFonts w:cs="Arial"/>
                <w:b/>
                <w:bCs/>
                <w:color w:val="FFFFFF"/>
                <w:sz w:val="18"/>
                <w:szCs w:val="18"/>
                <w:lang w:eastAsia="en-AU"/>
              </w:rPr>
            </w:pPr>
            <w:r w:rsidRPr="00084C29">
              <w:rPr>
                <w:rFonts w:cs="Arial"/>
                <w:b/>
                <w:bCs/>
                <w:color w:val="FFFFFF"/>
                <w:sz w:val="18"/>
                <w:szCs w:val="18"/>
                <w:lang w:eastAsia="en-AU"/>
              </w:rPr>
              <w:t>2010</w:t>
            </w:r>
          </w:p>
        </w:tc>
        <w:tc>
          <w:tcPr>
            <w:tcW w:w="1120" w:type="dxa"/>
            <w:shd w:val="clear" w:color="000000" w:fill="366092"/>
            <w:vAlign w:val="center"/>
            <w:hideMark/>
          </w:tcPr>
          <w:p w:rsidR="00084C29" w:rsidRPr="00084C29" w:rsidRDefault="00084C29" w:rsidP="00084C29">
            <w:pPr>
              <w:spacing w:after="0" w:line="240" w:lineRule="auto"/>
              <w:ind w:firstLineChars="100" w:firstLine="181"/>
              <w:jc w:val="right"/>
              <w:rPr>
                <w:rFonts w:cs="Arial"/>
                <w:b/>
                <w:bCs/>
                <w:color w:val="FFFFFF"/>
                <w:sz w:val="18"/>
                <w:szCs w:val="18"/>
                <w:lang w:eastAsia="en-AU"/>
              </w:rPr>
            </w:pPr>
            <w:r w:rsidRPr="00084C29">
              <w:rPr>
                <w:rFonts w:cs="Arial"/>
                <w:b/>
                <w:bCs/>
                <w:color w:val="FFFFFF"/>
                <w:sz w:val="18"/>
                <w:szCs w:val="18"/>
                <w:lang w:eastAsia="en-AU"/>
              </w:rPr>
              <w:t>2011</w:t>
            </w:r>
          </w:p>
        </w:tc>
        <w:tc>
          <w:tcPr>
            <w:tcW w:w="1120" w:type="dxa"/>
            <w:shd w:val="clear" w:color="000000" w:fill="366092"/>
            <w:vAlign w:val="center"/>
            <w:hideMark/>
          </w:tcPr>
          <w:p w:rsidR="00084C29" w:rsidRPr="00084C29" w:rsidRDefault="00084C29" w:rsidP="00084C29">
            <w:pPr>
              <w:spacing w:after="0" w:line="240" w:lineRule="auto"/>
              <w:ind w:firstLineChars="100" w:firstLine="181"/>
              <w:jc w:val="right"/>
              <w:rPr>
                <w:rFonts w:cs="Arial"/>
                <w:b/>
                <w:bCs/>
                <w:color w:val="FFFFFF"/>
                <w:sz w:val="18"/>
                <w:szCs w:val="18"/>
                <w:lang w:eastAsia="en-AU"/>
              </w:rPr>
            </w:pPr>
            <w:r w:rsidRPr="00084C29">
              <w:rPr>
                <w:rFonts w:cs="Arial"/>
                <w:b/>
                <w:bCs/>
                <w:color w:val="FFFFFF"/>
                <w:sz w:val="18"/>
                <w:szCs w:val="18"/>
                <w:lang w:eastAsia="en-AU"/>
              </w:rPr>
              <w:t>2012</w:t>
            </w:r>
          </w:p>
        </w:tc>
        <w:tc>
          <w:tcPr>
            <w:tcW w:w="1120" w:type="dxa"/>
            <w:shd w:val="clear" w:color="000000" w:fill="366092"/>
            <w:vAlign w:val="center"/>
            <w:hideMark/>
          </w:tcPr>
          <w:p w:rsidR="00084C29" w:rsidRPr="00084C29" w:rsidRDefault="00084C29" w:rsidP="00084C29">
            <w:pPr>
              <w:spacing w:after="0" w:line="240" w:lineRule="auto"/>
              <w:ind w:firstLineChars="100" w:firstLine="181"/>
              <w:jc w:val="right"/>
              <w:rPr>
                <w:rFonts w:cs="Arial"/>
                <w:b/>
                <w:bCs/>
                <w:color w:val="FFFFFF"/>
                <w:sz w:val="18"/>
                <w:szCs w:val="18"/>
                <w:lang w:eastAsia="en-AU"/>
              </w:rPr>
            </w:pPr>
            <w:r w:rsidRPr="00084C29">
              <w:rPr>
                <w:rFonts w:cs="Arial"/>
                <w:b/>
                <w:bCs/>
                <w:color w:val="FFFFFF"/>
                <w:sz w:val="18"/>
                <w:szCs w:val="18"/>
                <w:lang w:eastAsia="en-AU"/>
              </w:rPr>
              <w:t>2013</w:t>
            </w:r>
          </w:p>
        </w:tc>
      </w:tr>
      <w:tr w:rsidR="00084C29" w:rsidRPr="00084C29" w:rsidTr="0019627B">
        <w:trPr>
          <w:trHeight w:val="342"/>
        </w:trPr>
        <w:tc>
          <w:tcPr>
            <w:tcW w:w="2560" w:type="dxa"/>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15 to 19</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22,900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26,400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28,800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28,300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28,900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24,800 </w:t>
            </w:r>
          </w:p>
        </w:tc>
      </w:tr>
      <w:tr w:rsidR="00084C29" w:rsidRPr="00084C29" w:rsidTr="0019627B">
        <w:trPr>
          <w:trHeight w:val="342"/>
        </w:trPr>
        <w:tc>
          <w:tcPr>
            <w:tcW w:w="2560" w:type="dxa"/>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20 to 24</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9,300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11,100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11,400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10,300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11,600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11,200 </w:t>
            </w:r>
          </w:p>
        </w:tc>
      </w:tr>
      <w:tr w:rsidR="00084C29" w:rsidRPr="00084C29" w:rsidTr="0019627B">
        <w:trPr>
          <w:trHeight w:val="342"/>
        </w:trPr>
        <w:tc>
          <w:tcPr>
            <w:tcW w:w="2560" w:type="dxa"/>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25 to 44</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29,700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34,800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34,500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34,100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40,600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38,800 </w:t>
            </w:r>
          </w:p>
        </w:tc>
      </w:tr>
      <w:tr w:rsidR="00084C29" w:rsidRPr="00084C29" w:rsidTr="0019627B">
        <w:trPr>
          <w:trHeight w:val="342"/>
        </w:trPr>
        <w:tc>
          <w:tcPr>
            <w:tcW w:w="2560" w:type="dxa"/>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45 to 64</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16,500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18,400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19,300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19,500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22,100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20,200 </w:t>
            </w:r>
          </w:p>
        </w:tc>
      </w:tr>
      <w:tr w:rsidR="00084C29" w:rsidRPr="00084C29" w:rsidTr="0019627B">
        <w:trPr>
          <w:trHeight w:val="342"/>
        </w:trPr>
        <w:tc>
          <w:tcPr>
            <w:tcW w:w="2560" w:type="dxa"/>
            <w:shd w:val="clear" w:color="000000" w:fill="FFFFFF"/>
            <w:noWrap/>
            <w:vAlign w:val="center"/>
            <w:hideMark/>
          </w:tcPr>
          <w:p w:rsidR="00084C29" w:rsidRPr="00084C29" w:rsidRDefault="00084C29" w:rsidP="0019627B">
            <w:pPr>
              <w:spacing w:after="0" w:line="240" w:lineRule="auto"/>
              <w:jc w:val="left"/>
              <w:rPr>
                <w:rFonts w:cs="Arial"/>
                <w:color w:val="366092"/>
                <w:sz w:val="18"/>
                <w:szCs w:val="18"/>
                <w:lang w:eastAsia="en-AU"/>
              </w:rPr>
            </w:pPr>
            <w:r w:rsidRPr="00084C29">
              <w:rPr>
                <w:rFonts w:cs="Arial"/>
                <w:color w:val="366092"/>
                <w:sz w:val="18"/>
                <w:szCs w:val="18"/>
                <w:lang w:eastAsia="en-AU"/>
              </w:rPr>
              <w:t>Under 15, over 64, not stated</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2,000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2,400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2,100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2,100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2,000 </w:t>
            </w:r>
          </w:p>
        </w:tc>
        <w:tc>
          <w:tcPr>
            <w:tcW w:w="1120" w:type="dxa"/>
            <w:shd w:val="clear" w:color="auto" w:fill="auto"/>
            <w:noWrap/>
            <w:vAlign w:val="center"/>
            <w:hideMark/>
          </w:tcPr>
          <w:p w:rsidR="00084C29" w:rsidRPr="00084C29" w:rsidRDefault="00084C29" w:rsidP="00084C29">
            <w:pPr>
              <w:spacing w:after="0" w:line="240" w:lineRule="auto"/>
              <w:jc w:val="right"/>
              <w:rPr>
                <w:rFonts w:cs="Arial"/>
                <w:sz w:val="18"/>
                <w:szCs w:val="18"/>
                <w:lang w:eastAsia="en-AU"/>
              </w:rPr>
            </w:pPr>
            <w:r w:rsidRPr="00084C29">
              <w:rPr>
                <w:rFonts w:cs="Arial"/>
                <w:sz w:val="18"/>
                <w:szCs w:val="18"/>
                <w:lang w:eastAsia="en-AU"/>
              </w:rPr>
              <w:t xml:space="preserve">1,800 </w:t>
            </w:r>
          </w:p>
        </w:tc>
      </w:tr>
      <w:tr w:rsidR="00084C29" w:rsidRPr="00084C29" w:rsidTr="00AD63C3">
        <w:trPr>
          <w:trHeight w:val="342"/>
        </w:trPr>
        <w:tc>
          <w:tcPr>
            <w:tcW w:w="2560" w:type="dxa"/>
            <w:shd w:val="clear" w:color="000000" w:fill="366092"/>
            <w:noWrap/>
            <w:vAlign w:val="bottom"/>
            <w:hideMark/>
          </w:tcPr>
          <w:p w:rsidR="00084C29" w:rsidRPr="00084C29" w:rsidRDefault="00084C29" w:rsidP="00084C29">
            <w:pPr>
              <w:spacing w:after="0" w:line="240" w:lineRule="auto"/>
              <w:jc w:val="left"/>
              <w:rPr>
                <w:rFonts w:cs="Arial"/>
                <w:b/>
                <w:bCs/>
                <w:color w:val="FFFFFF"/>
                <w:sz w:val="18"/>
                <w:szCs w:val="18"/>
                <w:lang w:eastAsia="en-AU"/>
              </w:rPr>
            </w:pPr>
            <w:r w:rsidRPr="00084C29">
              <w:rPr>
                <w:rFonts w:cs="Arial"/>
                <w:b/>
                <w:bCs/>
                <w:color w:val="FFFFFF"/>
                <w:sz w:val="18"/>
                <w:szCs w:val="18"/>
                <w:lang w:eastAsia="en-AU"/>
              </w:rPr>
              <w:t>Total</w:t>
            </w:r>
          </w:p>
        </w:tc>
        <w:tc>
          <w:tcPr>
            <w:tcW w:w="1120" w:type="dxa"/>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 xml:space="preserve">80,400 </w:t>
            </w:r>
          </w:p>
        </w:tc>
        <w:tc>
          <w:tcPr>
            <w:tcW w:w="1120" w:type="dxa"/>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 xml:space="preserve">93,100 </w:t>
            </w:r>
          </w:p>
        </w:tc>
        <w:tc>
          <w:tcPr>
            <w:tcW w:w="1120" w:type="dxa"/>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 xml:space="preserve">96,000 </w:t>
            </w:r>
          </w:p>
        </w:tc>
        <w:tc>
          <w:tcPr>
            <w:tcW w:w="1120" w:type="dxa"/>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 xml:space="preserve">94,200 </w:t>
            </w:r>
          </w:p>
        </w:tc>
        <w:tc>
          <w:tcPr>
            <w:tcW w:w="1120" w:type="dxa"/>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 xml:space="preserve">105,200 </w:t>
            </w:r>
          </w:p>
        </w:tc>
        <w:tc>
          <w:tcPr>
            <w:tcW w:w="1120" w:type="dxa"/>
            <w:shd w:val="clear" w:color="000000" w:fill="366092"/>
            <w:noWrap/>
            <w:vAlign w:val="center"/>
            <w:hideMark/>
          </w:tcPr>
          <w:p w:rsidR="00084C29" w:rsidRPr="00084C29" w:rsidRDefault="00084C29" w:rsidP="00084C29">
            <w:pPr>
              <w:spacing w:after="0" w:line="240" w:lineRule="auto"/>
              <w:jc w:val="right"/>
              <w:rPr>
                <w:rFonts w:cs="Arial"/>
                <w:b/>
                <w:bCs/>
                <w:color w:val="FFFFFF"/>
                <w:sz w:val="18"/>
                <w:szCs w:val="18"/>
                <w:lang w:eastAsia="en-AU"/>
              </w:rPr>
            </w:pPr>
            <w:r w:rsidRPr="00084C29">
              <w:rPr>
                <w:rFonts w:cs="Arial"/>
                <w:b/>
                <w:bCs/>
                <w:color w:val="FFFFFF"/>
                <w:sz w:val="18"/>
                <w:szCs w:val="18"/>
                <w:lang w:eastAsia="en-AU"/>
              </w:rPr>
              <w:t xml:space="preserve">96,700 </w:t>
            </w:r>
          </w:p>
        </w:tc>
      </w:tr>
    </w:tbl>
    <w:p w:rsidR="00084C29" w:rsidRDefault="00084C29" w:rsidP="00084C29"/>
    <w:p w:rsidR="00351166" w:rsidRPr="008C0A56" w:rsidRDefault="00351166" w:rsidP="00A9260A">
      <w:pPr>
        <w:pStyle w:val="Caption"/>
        <w:rPr>
          <w:rFonts w:cs="Arial"/>
          <w:color w:val="auto"/>
        </w:rPr>
      </w:pPr>
    </w:p>
    <w:p w:rsidR="003C19A6" w:rsidRPr="00084C29" w:rsidRDefault="003C19A6" w:rsidP="003C19A6">
      <w:pPr>
        <w:pStyle w:val="Caption"/>
        <w:spacing w:after="0"/>
        <w:jc w:val="left"/>
        <w:rPr>
          <w:rFonts w:cs="Arial"/>
          <w:color w:val="365F91" w:themeColor="accent1" w:themeShade="BF"/>
        </w:rPr>
      </w:pPr>
      <w:r w:rsidRPr="00084C29">
        <w:rPr>
          <w:rFonts w:cs="Arial"/>
          <w:color w:val="365F91" w:themeColor="accent1" w:themeShade="BF"/>
        </w:rPr>
        <w:t>Table 1.</w:t>
      </w:r>
      <w:r w:rsidR="004D1F77" w:rsidRPr="00084C29">
        <w:rPr>
          <w:rFonts w:cs="Arial"/>
          <w:color w:val="365F91" w:themeColor="accent1" w:themeShade="BF"/>
        </w:rPr>
        <w:t>1</w:t>
      </w:r>
      <w:r w:rsidR="00293917">
        <w:rPr>
          <w:rFonts w:cs="Arial"/>
          <w:color w:val="365F91" w:themeColor="accent1" w:themeShade="BF"/>
        </w:rPr>
        <w:t>2</w:t>
      </w:r>
      <w:r w:rsidRPr="00084C29">
        <w:rPr>
          <w:rFonts w:cs="Arial"/>
          <w:color w:val="365F91" w:themeColor="accent1" w:themeShade="BF"/>
        </w:rPr>
        <w:t>.</w:t>
      </w:r>
      <w:r w:rsidR="00BC4F64" w:rsidRPr="00084C29">
        <w:rPr>
          <w:rFonts w:cs="Arial"/>
          <w:color w:val="365F91" w:themeColor="accent1" w:themeShade="BF"/>
        </w:rPr>
        <w:t>2</w:t>
      </w:r>
      <w:r w:rsidRPr="00084C29">
        <w:rPr>
          <w:rFonts w:cs="Arial"/>
          <w:color w:val="365F91" w:themeColor="accent1" w:themeShade="BF"/>
        </w:rPr>
        <w:t xml:space="preserve">: </w:t>
      </w:r>
      <w:r w:rsidR="00084C29">
        <w:rPr>
          <w:rFonts w:cs="Arial"/>
          <w:color w:val="365F91" w:themeColor="accent1" w:themeShade="BF"/>
        </w:rPr>
        <w:t xml:space="preserve">Change in </w:t>
      </w:r>
      <w:r w:rsidRPr="00084C29">
        <w:rPr>
          <w:rFonts w:cs="Arial"/>
          <w:color w:val="365F91" w:themeColor="accent1" w:themeShade="BF"/>
        </w:rPr>
        <w:t>TAFE domestic fee for service (AQF1+): students by age group</w:t>
      </w:r>
    </w:p>
    <w:tbl>
      <w:tblPr>
        <w:tblW w:w="5920" w:type="dxa"/>
        <w:tblInd w:w="103" w:type="dxa"/>
        <w:tblLook w:val="04A0" w:firstRow="1" w:lastRow="0" w:firstColumn="1" w:lastColumn="0" w:noHBand="0" w:noVBand="1"/>
      </w:tblPr>
      <w:tblGrid>
        <w:gridCol w:w="2560"/>
        <w:gridCol w:w="1120"/>
        <w:gridCol w:w="1120"/>
        <w:gridCol w:w="1120"/>
      </w:tblGrid>
      <w:tr w:rsidR="00102BAA" w:rsidRPr="00102BAA" w:rsidTr="00102BAA">
        <w:trPr>
          <w:trHeight w:val="762"/>
        </w:trPr>
        <w:tc>
          <w:tcPr>
            <w:tcW w:w="256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102BAA" w:rsidRPr="00102BAA" w:rsidRDefault="00102BAA" w:rsidP="00102BAA">
            <w:pPr>
              <w:spacing w:after="0" w:line="240" w:lineRule="auto"/>
              <w:jc w:val="left"/>
              <w:rPr>
                <w:rFonts w:cs="Arial"/>
                <w:b/>
                <w:bCs/>
                <w:color w:val="FFFFFF"/>
                <w:sz w:val="18"/>
                <w:szCs w:val="18"/>
                <w:lang w:eastAsia="en-AU"/>
              </w:rPr>
            </w:pPr>
            <w:r w:rsidRPr="00102BAA">
              <w:rPr>
                <w:rFonts w:cs="Arial"/>
                <w:b/>
                <w:bCs/>
                <w:color w:val="FFFFFF"/>
                <w:sz w:val="18"/>
                <w:szCs w:val="18"/>
                <w:lang w:eastAsia="en-AU"/>
              </w:rPr>
              <w:t>Age group</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102BAA" w:rsidRPr="00102BAA" w:rsidRDefault="00102BAA" w:rsidP="00102BAA">
            <w:pPr>
              <w:spacing w:after="0" w:line="240" w:lineRule="auto"/>
              <w:jc w:val="right"/>
              <w:rPr>
                <w:rFonts w:cs="Arial"/>
                <w:b/>
                <w:bCs/>
                <w:color w:val="FFFFFF"/>
                <w:sz w:val="18"/>
                <w:szCs w:val="18"/>
                <w:lang w:eastAsia="en-AU"/>
              </w:rPr>
            </w:pPr>
            <w:r w:rsidRPr="00102BAA">
              <w:rPr>
                <w:rFonts w:cs="Arial"/>
                <w:b/>
                <w:bCs/>
                <w:color w:val="FFFFFF"/>
                <w:sz w:val="18"/>
                <w:szCs w:val="18"/>
                <w:lang w:eastAsia="en-AU"/>
              </w:rPr>
              <w:t>% change</w:t>
            </w:r>
            <w:r w:rsidRPr="00102BAA">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102BAA" w:rsidRPr="00102BAA" w:rsidRDefault="00102BAA" w:rsidP="00102BAA">
            <w:pPr>
              <w:spacing w:after="0" w:line="240" w:lineRule="auto"/>
              <w:jc w:val="right"/>
              <w:rPr>
                <w:rFonts w:cs="Arial"/>
                <w:b/>
                <w:bCs/>
                <w:color w:val="FFFFFF"/>
                <w:sz w:val="18"/>
                <w:szCs w:val="18"/>
                <w:lang w:eastAsia="en-AU"/>
              </w:rPr>
            </w:pPr>
            <w:r w:rsidRPr="00102BAA">
              <w:rPr>
                <w:rFonts w:cs="Arial"/>
                <w:b/>
                <w:bCs/>
                <w:color w:val="FFFFFF"/>
                <w:sz w:val="18"/>
                <w:szCs w:val="18"/>
                <w:lang w:eastAsia="en-AU"/>
              </w:rPr>
              <w:t>% change</w:t>
            </w:r>
            <w:r w:rsidRPr="00102BAA">
              <w:rPr>
                <w:rFonts w:cs="Arial"/>
                <w:b/>
                <w:bCs/>
                <w:color w:val="FFFFFF"/>
                <w:sz w:val="18"/>
                <w:szCs w:val="18"/>
                <w:lang w:eastAsia="en-AU"/>
              </w:rPr>
              <w:br/>
              <w:t>2011-2013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102BAA" w:rsidRPr="00102BAA" w:rsidRDefault="00102BAA" w:rsidP="00102BAA">
            <w:pPr>
              <w:spacing w:after="0" w:line="240" w:lineRule="auto"/>
              <w:jc w:val="right"/>
              <w:rPr>
                <w:rFonts w:cs="Arial"/>
                <w:b/>
                <w:bCs/>
                <w:color w:val="FFFFFF"/>
                <w:sz w:val="18"/>
                <w:szCs w:val="18"/>
                <w:lang w:eastAsia="en-AU"/>
              </w:rPr>
            </w:pPr>
            <w:r w:rsidRPr="00102BAA">
              <w:rPr>
                <w:rFonts w:cs="Arial"/>
                <w:b/>
                <w:bCs/>
                <w:color w:val="FFFFFF"/>
                <w:sz w:val="18"/>
                <w:szCs w:val="18"/>
                <w:lang w:eastAsia="en-AU"/>
              </w:rPr>
              <w:t>% change</w:t>
            </w:r>
            <w:r w:rsidRPr="00102BAA">
              <w:rPr>
                <w:rFonts w:cs="Arial"/>
                <w:b/>
                <w:bCs/>
                <w:color w:val="FFFFFF"/>
                <w:sz w:val="18"/>
                <w:szCs w:val="18"/>
                <w:lang w:eastAsia="en-AU"/>
              </w:rPr>
              <w:br/>
              <w:t>2012-2013</w:t>
            </w:r>
          </w:p>
        </w:tc>
      </w:tr>
      <w:tr w:rsidR="00102BAA" w:rsidRPr="00102BAA"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102BAA" w:rsidRPr="00102BAA" w:rsidRDefault="00102BAA" w:rsidP="0019627B">
            <w:pPr>
              <w:spacing w:after="0" w:line="240" w:lineRule="auto"/>
              <w:jc w:val="left"/>
              <w:rPr>
                <w:rFonts w:cs="Arial"/>
                <w:color w:val="366092"/>
                <w:sz w:val="18"/>
                <w:szCs w:val="18"/>
                <w:lang w:eastAsia="en-AU"/>
              </w:rPr>
            </w:pPr>
            <w:r w:rsidRPr="00102BAA">
              <w:rPr>
                <w:rFonts w:cs="Arial"/>
                <w:color w:val="366092"/>
                <w:sz w:val="18"/>
                <w:szCs w:val="18"/>
                <w:lang w:eastAsia="en-AU"/>
              </w:rPr>
              <w:t>15 to 19</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8%</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-12%</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-14%</w:t>
            </w:r>
          </w:p>
        </w:tc>
      </w:tr>
      <w:tr w:rsidR="00102BAA" w:rsidRPr="00102BAA"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102BAA" w:rsidRPr="00102BAA" w:rsidRDefault="00102BAA" w:rsidP="0019627B">
            <w:pPr>
              <w:spacing w:after="0" w:line="240" w:lineRule="auto"/>
              <w:jc w:val="left"/>
              <w:rPr>
                <w:rFonts w:cs="Arial"/>
                <w:color w:val="366092"/>
                <w:sz w:val="18"/>
                <w:szCs w:val="18"/>
                <w:lang w:eastAsia="en-AU"/>
              </w:rPr>
            </w:pPr>
            <w:r w:rsidRPr="00102BAA">
              <w:rPr>
                <w:rFonts w:cs="Arial"/>
                <w:color w:val="366092"/>
                <w:sz w:val="18"/>
                <w:szCs w:val="18"/>
                <w:lang w:eastAsia="en-AU"/>
              </w:rPr>
              <w:t>20 to 24</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20%</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8%</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-4%</w:t>
            </w:r>
          </w:p>
        </w:tc>
      </w:tr>
      <w:tr w:rsidR="00102BAA" w:rsidRPr="00102BAA"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102BAA" w:rsidRPr="00102BAA" w:rsidRDefault="00102BAA" w:rsidP="0019627B">
            <w:pPr>
              <w:spacing w:after="0" w:line="240" w:lineRule="auto"/>
              <w:jc w:val="left"/>
              <w:rPr>
                <w:rFonts w:cs="Arial"/>
                <w:color w:val="366092"/>
                <w:sz w:val="18"/>
                <w:szCs w:val="18"/>
                <w:lang w:eastAsia="en-AU"/>
              </w:rPr>
            </w:pPr>
            <w:r w:rsidRPr="00102BAA">
              <w:rPr>
                <w:rFonts w:cs="Arial"/>
                <w:color w:val="366092"/>
                <w:sz w:val="18"/>
                <w:szCs w:val="18"/>
                <w:lang w:eastAsia="en-AU"/>
              </w:rPr>
              <w:t>25 to 44</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31%</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14%</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-4%</w:t>
            </w:r>
          </w:p>
        </w:tc>
      </w:tr>
      <w:tr w:rsidR="00102BAA" w:rsidRPr="00102BAA"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102BAA" w:rsidRPr="00102BAA" w:rsidRDefault="00102BAA" w:rsidP="0019627B">
            <w:pPr>
              <w:spacing w:after="0" w:line="240" w:lineRule="auto"/>
              <w:jc w:val="left"/>
              <w:rPr>
                <w:rFonts w:cs="Arial"/>
                <w:color w:val="366092"/>
                <w:sz w:val="18"/>
                <w:szCs w:val="18"/>
                <w:lang w:eastAsia="en-AU"/>
              </w:rPr>
            </w:pPr>
            <w:r w:rsidRPr="00102BAA">
              <w:rPr>
                <w:rFonts w:cs="Arial"/>
                <w:color w:val="366092"/>
                <w:sz w:val="18"/>
                <w:szCs w:val="18"/>
                <w:lang w:eastAsia="en-AU"/>
              </w:rPr>
              <w:t>45 to 64</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22%</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4%</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-9%</w:t>
            </w:r>
          </w:p>
        </w:tc>
      </w:tr>
      <w:tr w:rsidR="00102BAA" w:rsidRPr="00102BAA" w:rsidTr="0019627B">
        <w:trPr>
          <w:trHeight w:val="342"/>
        </w:trPr>
        <w:tc>
          <w:tcPr>
            <w:tcW w:w="2560" w:type="dxa"/>
            <w:tcBorders>
              <w:top w:val="nil"/>
              <w:left w:val="single" w:sz="4" w:space="0" w:color="366092"/>
              <w:bottom w:val="single" w:sz="4" w:space="0" w:color="366092"/>
              <w:right w:val="single" w:sz="4" w:space="0" w:color="366092"/>
            </w:tcBorders>
            <w:shd w:val="clear" w:color="000000" w:fill="FFFFFF"/>
            <w:noWrap/>
            <w:vAlign w:val="center"/>
            <w:hideMark/>
          </w:tcPr>
          <w:p w:rsidR="00102BAA" w:rsidRPr="00102BAA" w:rsidRDefault="00102BAA" w:rsidP="0019627B">
            <w:pPr>
              <w:spacing w:after="0" w:line="240" w:lineRule="auto"/>
              <w:jc w:val="left"/>
              <w:rPr>
                <w:rFonts w:cs="Arial"/>
                <w:color w:val="366092"/>
                <w:sz w:val="18"/>
                <w:szCs w:val="18"/>
                <w:lang w:eastAsia="en-AU"/>
              </w:rPr>
            </w:pPr>
            <w:r w:rsidRPr="00102BAA">
              <w:rPr>
                <w:rFonts w:cs="Arial"/>
                <w:color w:val="366092"/>
                <w:sz w:val="18"/>
                <w:szCs w:val="18"/>
                <w:lang w:eastAsia="en-AU"/>
              </w:rPr>
              <w:t>Under 15, over 64, not stated</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-14%</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-17%</w:t>
            </w:r>
          </w:p>
        </w:tc>
        <w:tc>
          <w:tcPr>
            <w:tcW w:w="1120" w:type="dxa"/>
            <w:tcBorders>
              <w:top w:val="nil"/>
              <w:left w:val="nil"/>
              <w:bottom w:val="single" w:sz="4" w:space="0" w:color="366092"/>
              <w:right w:val="single" w:sz="4" w:space="0" w:color="366092"/>
            </w:tcBorders>
            <w:shd w:val="clear" w:color="auto" w:fill="auto"/>
            <w:noWrap/>
            <w:vAlign w:val="center"/>
            <w:hideMark/>
          </w:tcPr>
          <w:p w:rsidR="00102BAA" w:rsidRPr="00102BAA" w:rsidRDefault="00102BAA" w:rsidP="00102BAA">
            <w:pPr>
              <w:spacing w:after="0" w:line="240" w:lineRule="auto"/>
              <w:jc w:val="right"/>
              <w:rPr>
                <w:rFonts w:cs="Arial"/>
                <w:sz w:val="18"/>
                <w:szCs w:val="18"/>
                <w:lang w:eastAsia="en-AU"/>
              </w:rPr>
            </w:pPr>
            <w:r w:rsidRPr="00102BAA">
              <w:rPr>
                <w:rFonts w:cs="Arial"/>
                <w:sz w:val="18"/>
                <w:szCs w:val="18"/>
                <w:lang w:eastAsia="en-AU"/>
              </w:rPr>
              <w:t>-11%</w:t>
            </w:r>
          </w:p>
        </w:tc>
      </w:tr>
      <w:tr w:rsidR="00102BAA" w:rsidRPr="00102BAA" w:rsidTr="00102BAA">
        <w:trPr>
          <w:trHeight w:val="342"/>
        </w:trPr>
        <w:tc>
          <w:tcPr>
            <w:tcW w:w="2560" w:type="dxa"/>
            <w:tcBorders>
              <w:top w:val="nil"/>
              <w:left w:val="single" w:sz="4" w:space="0" w:color="366092"/>
              <w:bottom w:val="single" w:sz="4" w:space="0" w:color="366092"/>
              <w:right w:val="single" w:sz="4" w:space="0" w:color="366092"/>
            </w:tcBorders>
            <w:shd w:val="clear" w:color="000000" w:fill="366092"/>
            <w:noWrap/>
            <w:vAlign w:val="bottom"/>
            <w:hideMark/>
          </w:tcPr>
          <w:p w:rsidR="00102BAA" w:rsidRPr="00102BAA" w:rsidRDefault="00102BAA" w:rsidP="00102BAA">
            <w:pPr>
              <w:spacing w:after="0" w:line="240" w:lineRule="auto"/>
              <w:jc w:val="left"/>
              <w:rPr>
                <w:rFonts w:cs="Arial"/>
                <w:b/>
                <w:bCs/>
                <w:color w:val="FFFFFF"/>
                <w:sz w:val="18"/>
                <w:szCs w:val="18"/>
                <w:lang w:eastAsia="en-AU"/>
              </w:rPr>
            </w:pPr>
            <w:r w:rsidRPr="00102BAA">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102BAA" w:rsidRPr="00102BAA" w:rsidRDefault="00102BAA" w:rsidP="00102BAA">
            <w:pPr>
              <w:spacing w:after="0" w:line="240" w:lineRule="auto"/>
              <w:jc w:val="right"/>
              <w:rPr>
                <w:rFonts w:cs="Arial"/>
                <w:b/>
                <w:bCs/>
                <w:color w:val="FFFFFF"/>
                <w:sz w:val="18"/>
                <w:szCs w:val="18"/>
                <w:lang w:eastAsia="en-AU"/>
              </w:rPr>
            </w:pPr>
            <w:r w:rsidRPr="00102BAA">
              <w:rPr>
                <w:rFonts w:cs="Arial"/>
                <w:b/>
                <w:bCs/>
                <w:color w:val="FFFFFF"/>
                <w:sz w:val="18"/>
                <w:szCs w:val="18"/>
                <w:lang w:eastAsia="en-AU"/>
              </w:rPr>
              <w:t>20%</w:t>
            </w:r>
          </w:p>
        </w:tc>
        <w:tc>
          <w:tcPr>
            <w:tcW w:w="1120" w:type="dxa"/>
            <w:tcBorders>
              <w:top w:val="nil"/>
              <w:left w:val="nil"/>
              <w:bottom w:val="single" w:sz="4" w:space="0" w:color="366092"/>
              <w:right w:val="single" w:sz="4" w:space="0" w:color="366092"/>
            </w:tcBorders>
            <w:shd w:val="clear" w:color="000000" w:fill="366092"/>
            <w:noWrap/>
            <w:vAlign w:val="center"/>
            <w:hideMark/>
          </w:tcPr>
          <w:p w:rsidR="00102BAA" w:rsidRPr="00102BAA" w:rsidRDefault="00102BAA" w:rsidP="00102BAA">
            <w:pPr>
              <w:spacing w:after="0" w:line="240" w:lineRule="auto"/>
              <w:jc w:val="right"/>
              <w:rPr>
                <w:rFonts w:cs="Arial"/>
                <w:b/>
                <w:bCs/>
                <w:color w:val="FFFFFF"/>
                <w:sz w:val="18"/>
                <w:szCs w:val="18"/>
                <w:lang w:eastAsia="en-AU"/>
              </w:rPr>
            </w:pPr>
            <w:r w:rsidRPr="00102BAA">
              <w:rPr>
                <w:rFonts w:cs="Arial"/>
                <w:b/>
                <w:bCs/>
                <w:color w:val="FFFFFF"/>
                <w:sz w:val="18"/>
                <w:szCs w:val="18"/>
                <w:lang w:eastAsia="en-AU"/>
              </w:rPr>
              <w:t>3%</w:t>
            </w:r>
          </w:p>
        </w:tc>
        <w:tc>
          <w:tcPr>
            <w:tcW w:w="1120" w:type="dxa"/>
            <w:tcBorders>
              <w:top w:val="nil"/>
              <w:left w:val="nil"/>
              <w:bottom w:val="single" w:sz="4" w:space="0" w:color="366092"/>
              <w:right w:val="single" w:sz="4" w:space="0" w:color="366092"/>
            </w:tcBorders>
            <w:shd w:val="clear" w:color="000000" w:fill="366092"/>
            <w:noWrap/>
            <w:vAlign w:val="center"/>
            <w:hideMark/>
          </w:tcPr>
          <w:p w:rsidR="00102BAA" w:rsidRPr="00102BAA" w:rsidRDefault="00102BAA" w:rsidP="00102BAA">
            <w:pPr>
              <w:spacing w:after="0" w:line="240" w:lineRule="auto"/>
              <w:jc w:val="right"/>
              <w:rPr>
                <w:rFonts w:cs="Arial"/>
                <w:b/>
                <w:bCs/>
                <w:color w:val="FFFFFF"/>
                <w:sz w:val="18"/>
                <w:szCs w:val="18"/>
                <w:lang w:eastAsia="en-AU"/>
              </w:rPr>
            </w:pPr>
            <w:r w:rsidRPr="00102BAA">
              <w:rPr>
                <w:rFonts w:cs="Arial"/>
                <w:b/>
                <w:bCs/>
                <w:color w:val="FFFFFF"/>
                <w:sz w:val="18"/>
                <w:szCs w:val="18"/>
                <w:lang w:eastAsia="en-AU"/>
              </w:rPr>
              <w:t>-8%</w:t>
            </w:r>
          </w:p>
        </w:tc>
      </w:tr>
    </w:tbl>
    <w:p w:rsidR="00EA374C" w:rsidRDefault="00EA374C" w:rsidP="00EA374C"/>
    <w:p w:rsidR="00155DDB" w:rsidRDefault="00155DDB">
      <w:pPr>
        <w:spacing w:after="0" w:line="240" w:lineRule="auto"/>
        <w:jc w:val="left"/>
      </w:pPr>
      <w:r>
        <w:br w:type="page"/>
      </w:r>
    </w:p>
    <w:p w:rsidR="00155DDB" w:rsidRPr="000D420A" w:rsidRDefault="00155DDB" w:rsidP="000D420A">
      <w:pPr>
        <w:pStyle w:val="Heading2"/>
      </w:pPr>
      <w:bookmarkStart w:id="60" w:name="_Toc388340446"/>
      <w:r w:rsidRPr="000D420A">
        <w:t>Gender Profile</w:t>
      </w:r>
      <w:bookmarkEnd w:id="60"/>
    </w:p>
    <w:p w:rsidR="00155DDB" w:rsidRPr="00155DDB" w:rsidRDefault="00155DDB" w:rsidP="00155DDB">
      <w:pPr>
        <w:rPr>
          <w:rFonts w:cs="Arial"/>
        </w:rPr>
      </w:pPr>
    </w:p>
    <w:p w:rsidR="00155DDB" w:rsidRPr="00155DDB" w:rsidRDefault="00155DDB" w:rsidP="00155DDB">
      <w:pPr>
        <w:keepNext/>
        <w:spacing w:before="70" w:after="80"/>
        <w:outlineLvl w:val="2"/>
        <w:rPr>
          <w:rFonts w:cs="Arial"/>
          <w:b/>
          <w:bCs/>
          <w:color w:val="365F91" w:themeColor="accent1" w:themeShade="BF"/>
          <w:szCs w:val="19"/>
        </w:rPr>
      </w:pPr>
      <w:r w:rsidRPr="00155DDB">
        <w:rPr>
          <w:rFonts w:cs="Arial"/>
          <w:b/>
          <w:bCs/>
          <w:color w:val="365F91" w:themeColor="accent1" w:themeShade="BF"/>
          <w:szCs w:val="19"/>
        </w:rPr>
        <w:t xml:space="preserve">Vocational Training Delivery by </w:t>
      </w:r>
      <w:r>
        <w:rPr>
          <w:rFonts w:cs="Arial"/>
          <w:b/>
          <w:bCs/>
          <w:color w:val="365F91" w:themeColor="accent1" w:themeShade="BF"/>
          <w:szCs w:val="19"/>
        </w:rPr>
        <w:t>Gender</w:t>
      </w:r>
    </w:p>
    <w:p w:rsidR="00155DDB" w:rsidRPr="00155DDB" w:rsidRDefault="00155DDB" w:rsidP="00155DDB">
      <w:pPr>
        <w:rPr>
          <w:rFonts w:cs="Arial"/>
        </w:rPr>
      </w:pPr>
      <w:r w:rsidRPr="00155DDB">
        <w:rPr>
          <w:rFonts w:cs="Arial"/>
        </w:rPr>
        <w:t xml:space="preserve">The vocational training system is also focused on accessibility and gender equality, ensuring all Victorians have the same opportunity to succeed in their lives and maintain well-being through education and training. </w:t>
      </w:r>
    </w:p>
    <w:p w:rsidR="00155DDB" w:rsidRPr="00155DDB" w:rsidRDefault="00155DDB" w:rsidP="00155DDB"/>
    <w:p w:rsidR="00155DDB" w:rsidRPr="00155DDB" w:rsidRDefault="00155DDB" w:rsidP="00155DDB">
      <w:pPr>
        <w:keepNext/>
        <w:spacing w:before="70" w:after="80"/>
        <w:outlineLvl w:val="2"/>
        <w:rPr>
          <w:rFonts w:cs="Arial"/>
          <w:b/>
          <w:bCs/>
          <w:color w:val="365F91" w:themeColor="accent1" w:themeShade="BF"/>
          <w:szCs w:val="19"/>
        </w:rPr>
      </w:pPr>
      <w:r w:rsidRPr="00155DDB">
        <w:rPr>
          <w:rFonts w:cs="Arial"/>
          <w:b/>
          <w:bCs/>
          <w:color w:val="365F91" w:themeColor="accent1" w:themeShade="BF"/>
          <w:szCs w:val="19"/>
        </w:rPr>
        <w:t xml:space="preserve">Students by </w:t>
      </w:r>
      <w:r>
        <w:rPr>
          <w:rFonts w:cs="Arial"/>
          <w:b/>
          <w:bCs/>
          <w:color w:val="365F91" w:themeColor="accent1" w:themeShade="BF"/>
          <w:szCs w:val="19"/>
        </w:rPr>
        <w:t>Gender</w:t>
      </w:r>
      <w:r w:rsidRPr="00155DDB">
        <w:rPr>
          <w:rFonts w:cs="Arial"/>
          <w:b/>
          <w:bCs/>
          <w:color w:val="365F91" w:themeColor="accent1" w:themeShade="BF"/>
          <w:szCs w:val="19"/>
        </w:rPr>
        <w:t xml:space="preserve"> in Government Subsidised Training</w:t>
      </w:r>
    </w:p>
    <w:p w:rsidR="00155DDB" w:rsidRPr="00155DDB" w:rsidRDefault="00155DDB" w:rsidP="00155DDB">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155DDB" w:rsidRPr="00155DDB" w:rsidTr="00EA0BEF">
        <w:trPr>
          <w:trHeight w:val="1434"/>
        </w:trPr>
        <w:tc>
          <w:tcPr>
            <w:tcW w:w="7388" w:type="dxa"/>
          </w:tcPr>
          <w:p w:rsidR="00155DDB" w:rsidRPr="00155DDB" w:rsidRDefault="00155DDB" w:rsidP="00155DDB">
            <w:pPr>
              <w:keepNext/>
              <w:spacing w:before="70" w:after="80"/>
              <w:outlineLvl w:val="2"/>
              <w:rPr>
                <w:rFonts w:cs="Arial"/>
                <w:b/>
                <w:bCs/>
                <w:color w:val="365F91" w:themeColor="accent1" w:themeShade="BF"/>
                <w:szCs w:val="19"/>
              </w:rPr>
            </w:pPr>
            <w:r w:rsidRPr="00155DDB">
              <w:rPr>
                <w:rFonts w:cs="Arial"/>
                <w:b/>
                <w:bCs/>
                <w:color w:val="365F91" w:themeColor="accent1" w:themeShade="BF"/>
                <w:szCs w:val="19"/>
              </w:rPr>
              <w:t>Key Points</w:t>
            </w:r>
          </w:p>
          <w:p w:rsidR="00155DDB" w:rsidRPr="00155DDB" w:rsidRDefault="00155DDB" w:rsidP="00155DDB"/>
          <w:p w:rsidR="00155DDB" w:rsidRPr="00155DDB" w:rsidRDefault="00155DDB" w:rsidP="00155DDB">
            <w:pPr>
              <w:numPr>
                <w:ilvl w:val="0"/>
                <w:numId w:val="6"/>
              </w:numPr>
              <w:spacing w:after="84"/>
              <w:ind w:right="113"/>
              <w:rPr>
                <w:rFonts w:cs="Arial"/>
              </w:rPr>
            </w:pPr>
            <w:r>
              <w:rPr>
                <w:rFonts w:cs="Arial"/>
              </w:rPr>
              <w:t>The number of female and male students increased by 62 and 66 per cent respectively between 2008 and 2013.</w:t>
            </w:r>
          </w:p>
          <w:p w:rsidR="00155DDB" w:rsidRPr="00155DDB" w:rsidRDefault="00155DDB" w:rsidP="006F1F63">
            <w:pPr>
              <w:numPr>
                <w:ilvl w:val="0"/>
                <w:numId w:val="6"/>
              </w:numPr>
              <w:spacing w:after="84"/>
              <w:ind w:right="113"/>
              <w:rPr>
                <w:rFonts w:cs="Arial"/>
              </w:rPr>
            </w:pPr>
            <w:r>
              <w:rPr>
                <w:rFonts w:cs="Arial"/>
              </w:rPr>
              <w:t>Between 2012 and 2013 there was a decline of 10 per cent in the numbers of female students in governme</w:t>
            </w:r>
            <w:r w:rsidR="006F1F63">
              <w:rPr>
                <w:rFonts w:cs="Arial"/>
              </w:rPr>
              <w:t>nt subsidised training, this decline came from courses in Retail Trade, Accommodation and Food and Arts and Recreation. All areas where there was a previous oversupply of training required to meet the needs of industry.</w:t>
            </w:r>
          </w:p>
        </w:tc>
      </w:tr>
    </w:tbl>
    <w:p w:rsidR="00155DDB" w:rsidRPr="00155DDB" w:rsidRDefault="00155DDB" w:rsidP="00155DDB">
      <w:pPr>
        <w:rPr>
          <w:rFonts w:cs="Arial"/>
        </w:rPr>
      </w:pPr>
    </w:p>
    <w:p w:rsidR="00155DDB" w:rsidRPr="00155DDB" w:rsidRDefault="00155DDB" w:rsidP="00155DDB">
      <w:pPr>
        <w:rPr>
          <w:rFonts w:cs="Arial"/>
        </w:rPr>
      </w:pPr>
    </w:p>
    <w:p w:rsidR="00155DDB" w:rsidRPr="00155DDB" w:rsidRDefault="00155DDB" w:rsidP="00155DDB">
      <w:pPr>
        <w:spacing w:after="0"/>
        <w:jc w:val="left"/>
        <w:rPr>
          <w:rFonts w:cs="Arial"/>
          <w:b/>
          <w:bCs/>
          <w:color w:val="365F91" w:themeColor="accent1" w:themeShade="BF"/>
          <w:sz w:val="18"/>
          <w:szCs w:val="16"/>
        </w:rPr>
      </w:pPr>
      <w:r w:rsidRPr="00155DDB">
        <w:rPr>
          <w:rFonts w:cs="Arial"/>
          <w:b/>
          <w:bCs/>
          <w:color w:val="365F91" w:themeColor="accent1" w:themeShade="BF"/>
          <w:sz w:val="18"/>
          <w:szCs w:val="16"/>
        </w:rPr>
        <w:t>Table 1.</w:t>
      </w:r>
      <w:r>
        <w:rPr>
          <w:rFonts w:cs="Arial"/>
          <w:b/>
          <w:bCs/>
          <w:color w:val="365F91" w:themeColor="accent1" w:themeShade="BF"/>
          <w:sz w:val="18"/>
          <w:szCs w:val="16"/>
        </w:rPr>
        <w:t>1</w:t>
      </w:r>
      <w:r w:rsidR="0073027A">
        <w:rPr>
          <w:rFonts w:cs="Arial"/>
          <w:b/>
          <w:bCs/>
          <w:color w:val="365F91" w:themeColor="accent1" w:themeShade="BF"/>
          <w:sz w:val="18"/>
          <w:szCs w:val="16"/>
        </w:rPr>
        <w:t>3</w:t>
      </w:r>
      <w:r w:rsidRPr="00155DDB">
        <w:rPr>
          <w:rFonts w:cs="Arial"/>
          <w:b/>
          <w:bCs/>
          <w:color w:val="365F91" w:themeColor="accent1" w:themeShade="BF"/>
          <w:sz w:val="18"/>
          <w:szCs w:val="16"/>
        </w:rPr>
        <w:t xml:space="preserve">.1: Government subsidised students by </w:t>
      </w:r>
      <w:r>
        <w:rPr>
          <w:rFonts w:cs="Arial"/>
          <w:b/>
          <w:bCs/>
          <w:color w:val="365F91" w:themeColor="accent1" w:themeShade="BF"/>
          <w:sz w:val="18"/>
          <w:szCs w:val="16"/>
        </w:rPr>
        <w:t>gender</w:t>
      </w:r>
      <w:r w:rsidRPr="00155DDB">
        <w:rPr>
          <w:rFonts w:cs="Arial"/>
          <w:b/>
          <w:bCs/>
          <w:color w:val="365F91" w:themeColor="accent1" w:themeShade="BF"/>
          <w:sz w:val="18"/>
          <w:szCs w:val="16"/>
        </w:rPr>
        <w:t>, 2008–2013</w:t>
      </w:r>
    </w:p>
    <w:tbl>
      <w:tblPr>
        <w:tblW w:w="9077" w:type="dxa"/>
        <w:tblInd w:w="103" w:type="dxa"/>
        <w:tblLayout w:type="fixed"/>
        <w:tblLook w:val="04A0" w:firstRow="1" w:lastRow="0" w:firstColumn="1" w:lastColumn="0" w:noHBand="0" w:noVBand="1"/>
      </w:tblPr>
      <w:tblGrid>
        <w:gridCol w:w="1706"/>
        <w:gridCol w:w="1228"/>
        <w:gridCol w:w="1229"/>
        <w:gridCol w:w="1228"/>
        <w:gridCol w:w="1229"/>
        <w:gridCol w:w="1228"/>
        <w:gridCol w:w="1229"/>
      </w:tblGrid>
      <w:tr w:rsidR="00155DDB" w:rsidRPr="00155DDB" w:rsidTr="00155DDB">
        <w:trPr>
          <w:trHeight w:val="675"/>
        </w:trPr>
        <w:tc>
          <w:tcPr>
            <w:tcW w:w="1706"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left"/>
              <w:rPr>
                <w:rFonts w:cs="Arial"/>
                <w:b/>
                <w:bCs/>
                <w:color w:val="FFFFFF"/>
                <w:sz w:val="18"/>
                <w:szCs w:val="18"/>
                <w:lang w:eastAsia="en-AU"/>
              </w:rPr>
            </w:pPr>
            <w:r w:rsidRPr="00155DDB">
              <w:rPr>
                <w:rFonts w:cs="Arial"/>
                <w:b/>
                <w:bCs/>
                <w:color w:val="FFFFFF"/>
                <w:sz w:val="18"/>
                <w:szCs w:val="18"/>
                <w:lang w:eastAsia="en-AU"/>
              </w:rPr>
              <w:t>Gender</w:t>
            </w:r>
          </w:p>
        </w:tc>
        <w:tc>
          <w:tcPr>
            <w:tcW w:w="1228" w:type="dxa"/>
            <w:tcBorders>
              <w:top w:val="single" w:sz="4" w:space="0" w:color="366092"/>
              <w:left w:val="single" w:sz="4" w:space="0" w:color="366092"/>
              <w:bottom w:val="nil"/>
              <w:right w:val="nil"/>
            </w:tcBorders>
            <w:shd w:val="clear" w:color="000000" w:fill="366092"/>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2008</w:t>
            </w:r>
          </w:p>
        </w:tc>
        <w:tc>
          <w:tcPr>
            <w:tcW w:w="1229" w:type="dxa"/>
            <w:tcBorders>
              <w:top w:val="single" w:sz="4" w:space="0" w:color="366092"/>
              <w:left w:val="single" w:sz="4" w:space="0" w:color="366092"/>
              <w:bottom w:val="nil"/>
              <w:right w:val="nil"/>
            </w:tcBorders>
            <w:shd w:val="clear" w:color="000000" w:fill="366092"/>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2009</w:t>
            </w:r>
          </w:p>
        </w:tc>
        <w:tc>
          <w:tcPr>
            <w:tcW w:w="1228" w:type="dxa"/>
            <w:tcBorders>
              <w:top w:val="single" w:sz="4" w:space="0" w:color="366092"/>
              <w:left w:val="single" w:sz="4" w:space="0" w:color="366092"/>
              <w:bottom w:val="nil"/>
              <w:right w:val="nil"/>
            </w:tcBorders>
            <w:shd w:val="clear" w:color="000000" w:fill="366092"/>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2010</w:t>
            </w:r>
          </w:p>
        </w:tc>
        <w:tc>
          <w:tcPr>
            <w:tcW w:w="1229" w:type="dxa"/>
            <w:tcBorders>
              <w:top w:val="single" w:sz="4" w:space="0" w:color="366092"/>
              <w:left w:val="single" w:sz="4" w:space="0" w:color="366092"/>
              <w:bottom w:val="nil"/>
              <w:right w:val="nil"/>
            </w:tcBorders>
            <w:shd w:val="clear" w:color="000000" w:fill="366092"/>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2011</w:t>
            </w:r>
          </w:p>
        </w:tc>
        <w:tc>
          <w:tcPr>
            <w:tcW w:w="1228" w:type="dxa"/>
            <w:tcBorders>
              <w:top w:val="single" w:sz="4" w:space="0" w:color="366092"/>
              <w:left w:val="single" w:sz="4" w:space="0" w:color="366092"/>
              <w:bottom w:val="nil"/>
              <w:right w:val="nil"/>
            </w:tcBorders>
            <w:shd w:val="clear" w:color="000000" w:fill="366092"/>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2012</w:t>
            </w:r>
          </w:p>
        </w:tc>
        <w:tc>
          <w:tcPr>
            <w:tcW w:w="1229" w:type="dxa"/>
            <w:tcBorders>
              <w:top w:val="single" w:sz="4" w:space="0" w:color="366092"/>
              <w:left w:val="single" w:sz="4" w:space="0" w:color="366092"/>
              <w:bottom w:val="nil"/>
              <w:right w:val="nil"/>
            </w:tcBorders>
            <w:shd w:val="clear" w:color="000000" w:fill="366092"/>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2013</w:t>
            </w:r>
          </w:p>
        </w:tc>
      </w:tr>
      <w:tr w:rsidR="00155DDB" w:rsidRPr="00155DDB" w:rsidTr="00155DDB">
        <w:trPr>
          <w:trHeight w:val="345"/>
        </w:trPr>
        <w:tc>
          <w:tcPr>
            <w:tcW w:w="1706" w:type="dxa"/>
            <w:tcBorders>
              <w:top w:val="single" w:sz="4" w:space="0" w:color="366092"/>
              <w:left w:val="single" w:sz="4" w:space="0" w:color="366092"/>
              <w:bottom w:val="nil"/>
              <w:right w:val="nil"/>
            </w:tcBorders>
            <w:shd w:val="clear" w:color="000000" w:fill="FFFFFF"/>
            <w:noWrap/>
            <w:vAlign w:val="center"/>
            <w:hideMark/>
          </w:tcPr>
          <w:p w:rsidR="00155DDB" w:rsidRPr="00155DDB" w:rsidRDefault="00155DDB" w:rsidP="00155DDB">
            <w:pPr>
              <w:spacing w:after="0" w:line="240" w:lineRule="auto"/>
              <w:jc w:val="left"/>
              <w:rPr>
                <w:rFonts w:cs="Arial"/>
                <w:color w:val="366092"/>
                <w:sz w:val="18"/>
                <w:szCs w:val="18"/>
                <w:lang w:eastAsia="en-AU"/>
              </w:rPr>
            </w:pPr>
            <w:r w:rsidRPr="00155DDB">
              <w:rPr>
                <w:rFonts w:cs="Arial"/>
                <w:color w:val="366092"/>
                <w:sz w:val="18"/>
                <w:szCs w:val="18"/>
                <w:lang w:eastAsia="en-AU"/>
              </w:rPr>
              <w:t>Female</w:t>
            </w:r>
          </w:p>
        </w:tc>
        <w:tc>
          <w:tcPr>
            <w:tcW w:w="1228"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139,800 </w:t>
            </w:r>
          </w:p>
        </w:tc>
        <w:tc>
          <w:tcPr>
            <w:tcW w:w="1229"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140,900 </w:t>
            </w:r>
          </w:p>
        </w:tc>
        <w:tc>
          <w:tcPr>
            <w:tcW w:w="1228"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161,600 </w:t>
            </w:r>
          </w:p>
        </w:tc>
        <w:tc>
          <w:tcPr>
            <w:tcW w:w="1229"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208,500 </w:t>
            </w:r>
          </w:p>
        </w:tc>
        <w:tc>
          <w:tcPr>
            <w:tcW w:w="1228"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251,900 </w:t>
            </w:r>
          </w:p>
        </w:tc>
        <w:tc>
          <w:tcPr>
            <w:tcW w:w="1229"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226,300 </w:t>
            </w:r>
          </w:p>
        </w:tc>
      </w:tr>
      <w:tr w:rsidR="00155DDB" w:rsidRPr="00155DDB" w:rsidTr="00155DDB">
        <w:trPr>
          <w:trHeight w:val="345"/>
        </w:trPr>
        <w:tc>
          <w:tcPr>
            <w:tcW w:w="1706" w:type="dxa"/>
            <w:tcBorders>
              <w:top w:val="single" w:sz="4" w:space="0" w:color="366092"/>
              <w:left w:val="single" w:sz="4" w:space="0" w:color="366092"/>
              <w:bottom w:val="nil"/>
              <w:right w:val="nil"/>
            </w:tcBorders>
            <w:shd w:val="clear" w:color="000000" w:fill="FFFFFF"/>
            <w:noWrap/>
            <w:vAlign w:val="center"/>
            <w:hideMark/>
          </w:tcPr>
          <w:p w:rsidR="00155DDB" w:rsidRPr="00155DDB" w:rsidRDefault="00155DDB" w:rsidP="00155DDB">
            <w:pPr>
              <w:spacing w:after="0" w:line="240" w:lineRule="auto"/>
              <w:jc w:val="left"/>
              <w:rPr>
                <w:rFonts w:cs="Arial"/>
                <w:color w:val="366092"/>
                <w:sz w:val="18"/>
                <w:szCs w:val="18"/>
                <w:lang w:eastAsia="en-AU"/>
              </w:rPr>
            </w:pPr>
            <w:r w:rsidRPr="00155DDB">
              <w:rPr>
                <w:rFonts w:cs="Arial"/>
                <w:color w:val="366092"/>
                <w:sz w:val="18"/>
                <w:szCs w:val="18"/>
                <w:lang w:eastAsia="en-AU"/>
              </w:rPr>
              <w:t>Male</w:t>
            </w:r>
          </w:p>
        </w:tc>
        <w:tc>
          <w:tcPr>
            <w:tcW w:w="1228"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154,700 </w:t>
            </w:r>
          </w:p>
        </w:tc>
        <w:tc>
          <w:tcPr>
            <w:tcW w:w="1229"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157,300 </w:t>
            </w:r>
          </w:p>
        </w:tc>
        <w:tc>
          <w:tcPr>
            <w:tcW w:w="1228"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176,400 </w:t>
            </w:r>
          </w:p>
        </w:tc>
        <w:tc>
          <w:tcPr>
            <w:tcW w:w="1229"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220,700 </w:t>
            </w:r>
          </w:p>
        </w:tc>
        <w:tc>
          <w:tcPr>
            <w:tcW w:w="1228"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257,200 </w:t>
            </w:r>
          </w:p>
        </w:tc>
        <w:tc>
          <w:tcPr>
            <w:tcW w:w="1229" w:type="dxa"/>
            <w:tcBorders>
              <w:top w:val="single" w:sz="4" w:space="0" w:color="366092"/>
              <w:left w:val="single" w:sz="4" w:space="0" w:color="366092"/>
              <w:bottom w:val="nil"/>
              <w:right w:val="nil"/>
            </w:tcBorders>
            <w:shd w:val="clear" w:color="auto" w:fill="auto"/>
            <w:noWrap/>
            <w:vAlign w:val="center"/>
            <w:hideMark/>
          </w:tcPr>
          <w:p w:rsidR="00155DDB" w:rsidRPr="00155DDB" w:rsidRDefault="00155DDB" w:rsidP="00155DDB">
            <w:pPr>
              <w:spacing w:after="0" w:line="240" w:lineRule="auto"/>
              <w:jc w:val="right"/>
              <w:rPr>
                <w:rFonts w:cs="Arial"/>
                <w:sz w:val="18"/>
                <w:szCs w:val="18"/>
                <w:lang w:eastAsia="en-AU"/>
              </w:rPr>
            </w:pPr>
            <w:r w:rsidRPr="00155DDB">
              <w:rPr>
                <w:rFonts w:cs="Arial"/>
                <w:sz w:val="18"/>
                <w:szCs w:val="18"/>
                <w:lang w:eastAsia="en-AU"/>
              </w:rPr>
              <w:t xml:space="preserve">       257,400 </w:t>
            </w:r>
          </w:p>
        </w:tc>
      </w:tr>
      <w:tr w:rsidR="00155DDB" w:rsidRPr="00155DDB" w:rsidTr="00155DDB">
        <w:trPr>
          <w:trHeight w:val="345"/>
        </w:trPr>
        <w:tc>
          <w:tcPr>
            <w:tcW w:w="1706"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left"/>
              <w:rPr>
                <w:rFonts w:cs="Arial"/>
                <w:b/>
                <w:bCs/>
                <w:color w:val="FFFFFF"/>
                <w:sz w:val="18"/>
                <w:szCs w:val="18"/>
                <w:lang w:eastAsia="en-AU"/>
              </w:rPr>
            </w:pPr>
            <w:r w:rsidRPr="00155DDB">
              <w:rPr>
                <w:rFonts w:cs="Arial"/>
                <w:b/>
                <w:bCs/>
                <w:color w:val="FFFFFF"/>
                <w:sz w:val="18"/>
                <w:szCs w:val="18"/>
                <w:lang w:eastAsia="en-AU"/>
              </w:rPr>
              <w:t>Total</w:t>
            </w:r>
          </w:p>
        </w:tc>
        <w:tc>
          <w:tcPr>
            <w:tcW w:w="1228"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right"/>
              <w:rPr>
                <w:rFonts w:cs="Arial"/>
                <w:b/>
                <w:bCs/>
                <w:color w:val="FFFFFF"/>
                <w:sz w:val="18"/>
                <w:szCs w:val="18"/>
                <w:lang w:eastAsia="en-AU"/>
              </w:rPr>
            </w:pPr>
            <w:r w:rsidRPr="00155DDB">
              <w:rPr>
                <w:rFonts w:cs="Arial"/>
                <w:b/>
                <w:bCs/>
                <w:color w:val="FFFFFF"/>
                <w:sz w:val="18"/>
                <w:szCs w:val="18"/>
                <w:lang w:eastAsia="en-AU"/>
              </w:rPr>
              <w:t xml:space="preserve">       294,700 </w:t>
            </w:r>
          </w:p>
        </w:tc>
        <w:tc>
          <w:tcPr>
            <w:tcW w:w="1229"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right"/>
              <w:rPr>
                <w:rFonts w:cs="Arial"/>
                <w:b/>
                <w:bCs/>
                <w:color w:val="FFFFFF"/>
                <w:sz w:val="18"/>
                <w:szCs w:val="18"/>
                <w:lang w:eastAsia="en-AU"/>
              </w:rPr>
            </w:pPr>
            <w:r w:rsidRPr="00155DDB">
              <w:rPr>
                <w:rFonts w:cs="Arial"/>
                <w:b/>
                <w:bCs/>
                <w:color w:val="FFFFFF"/>
                <w:sz w:val="18"/>
                <w:szCs w:val="18"/>
                <w:lang w:eastAsia="en-AU"/>
              </w:rPr>
              <w:t xml:space="preserve">       299,600 </w:t>
            </w:r>
          </w:p>
        </w:tc>
        <w:tc>
          <w:tcPr>
            <w:tcW w:w="1228"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right"/>
              <w:rPr>
                <w:rFonts w:cs="Arial"/>
                <w:b/>
                <w:bCs/>
                <w:color w:val="FFFFFF"/>
                <w:sz w:val="18"/>
                <w:szCs w:val="18"/>
                <w:lang w:eastAsia="en-AU"/>
              </w:rPr>
            </w:pPr>
            <w:r w:rsidRPr="00155DDB">
              <w:rPr>
                <w:rFonts w:cs="Arial"/>
                <w:b/>
                <w:bCs/>
                <w:color w:val="FFFFFF"/>
                <w:sz w:val="18"/>
                <w:szCs w:val="18"/>
                <w:lang w:eastAsia="en-AU"/>
              </w:rPr>
              <w:t xml:space="preserve">       339,200 </w:t>
            </w:r>
          </w:p>
        </w:tc>
        <w:tc>
          <w:tcPr>
            <w:tcW w:w="1229"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right"/>
              <w:rPr>
                <w:rFonts w:cs="Arial"/>
                <w:b/>
                <w:bCs/>
                <w:color w:val="FFFFFF"/>
                <w:sz w:val="18"/>
                <w:szCs w:val="18"/>
                <w:lang w:eastAsia="en-AU"/>
              </w:rPr>
            </w:pPr>
            <w:r w:rsidRPr="00155DDB">
              <w:rPr>
                <w:rFonts w:cs="Arial"/>
                <w:b/>
                <w:bCs/>
                <w:color w:val="FFFFFF"/>
                <w:sz w:val="18"/>
                <w:szCs w:val="18"/>
                <w:lang w:eastAsia="en-AU"/>
              </w:rPr>
              <w:t xml:space="preserve">       430,300 </w:t>
            </w:r>
          </w:p>
        </w:tc>
        <w:tc>
          <w:tcPr>
            <w:tcW w:w="1228"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right"/>
              <w:rPr>
                <w:rFonts w:cs="Arial"/>
                <w:b/>
                <w:bCs/>
                <w:color w:val="FFFFFF"/>
                <w:sz w:val="18"/>
                <w:szCs w:val="18"/>
                <w:lang w:eastAsia="en-AU"/>
              </w:rPr>
            </w:pPr>
            <w:r w:rsidRPr="00155DDB">
              <w:rPr>
                <w:rFonts w:cs="Arial"/>
                <w:b/>
                <w:bCs/>
                <w:color w:val="FFFFFF"/>
                <w:sz w:val="18"/>
                <w:szCs w:val="18"/>
                <w:lang w:eastAsia="en-AU"/>
              </w:rPr>
              <w:t xml:space="preserve">       509,800 </w:t>
            </w:r>
          </w:p>
        </w:tc>
        <w:tc>
          <w:tcPr>
            <w:tcW w:w="1229" w:type="dxa"/>
            <w:tcBorders>
              <w:top w:val="single" w:sz="4" w:space="0" w:color="366092"/>
              <w:left w:val="single" w:sz="4" w:space="0" w:color="366092"/>
              <w:bottom w:val="nil"/>
              <w:right w:val="nil"/>
            </w:tcBorders>
            <w:shd w:val="clear" w:color="000000" w:fill="366092"/>
            <w:noWrap/>
            <w:vAlign w:val="center"/>
            <w:hideMark/>
          </w:tcPr>
          <w:p w:rsidR="00155DDB" w:rsidRPr="00155DDB" w:rsidRDefault="00155DDB" w:rsidP="00155DDB">
            <w:pPr>
              <w:spacing w:after="0" w:line="240" w:lineRule="auto"/>
              <w:jc w:val="right"/>
              <w:rPr>
                <w:rFonts w:cs="Arial"/>
                <w:b/>
                <w:bCs/>
                <w:color w:val="FFFFFF"/>
                <w:sz w:val="18"/>
                <w:szCs w:val="18"/>
                <w:lang w:eastAsia="en-AU"/>
              </w:rPr>
            </w:pPr>
            <w:r w:rsidRPr="00155DDB">
              <w:rPr>
                <w:rFonts w:cs="Arial"/>
                <w:b/>
                <w:bCs/>
                <w:color w:val="FFFFFF"/>
                <w:sz w:val="18"/>
                <w:szCs w:val="18"/>
                <w:lang w:eastAsia="en-AU"/>
              </w:rPr>
              <w:t xml:space="preserve">       484,300 </w:t>
            </w:r>
          </w:p>
        </w:tc>
      </w:tr>
    </w:tbl>
    <w:p w:rsidR="00155DDB" w:rsidRPr="00155DDB" w:rsidRDefault="00155DDB" w:rsidP="00155DDB"/>
    <w:p w:rsidR="00155DDB" w:rsidRPr="00155DDB" w:rsidRDefault="00155DDB" w:rsidP="00155DDB">
      <w:pPr>
        <w:rPr>
          <w:rFonts w:cs="Arial"/>
        </w:rPr>
      </w:pPr>
    </w:p>
    <w:p w:rsidR="00155DDB" w:rsidRPr="00155DDB" w:rsidRDefault="00155DDB" w:rsidP="00155DDB">
      <w:pPr>
        <w:spacing w:after="0"/>
        <w:jc w:val="left"/>
        <w:rPr>
          <w:rFonts w:cs="Arial"/>
          <w:b/>
          <w:bCs/>
          <w:color w:val="365F91" w:themeColor="accent1" w:themeShade="BF"/>
          <w:sz w:val="18"/>
          <w:szCs w:val="16"/>
        </w:rPr>
      </w:pPr>
      <w:r w:rsidRPr="00155DDB">
        <w:rPr>
          <w:rFonts w:cs="Arial"/>
          <w:b/>
          <w:bCs/>
          <w:color w:val="365F91" w:themeColor="accent1" w:themeShade="BF"/>
          <w:sz w:val="18"/>
          <w:szCs w:val="16"/>
        </w:rPr>
        <w:t>Table 1.1</w:t>
      </w:r>
      <w:r w:rsidR="0073027A">
        <w:rPr>
          <w:rFonts w:cs="Arial"/>
          <w:b/>
          <w:bCs/>
          <w:color w:val="365F91" w:themeColor="accent1" w:themeShade="BF"/>
          <w:sz w:val="18"/>
          <w:szCs w:val="16"/>
        </w:rPr>
        <w:t>3</w:t>
      </w:r>
      <w:r w:rsidRPr="00155DDB">
        <w:rPr>
          <w:rFonts w:cs="Arial"/>
          <w:b/>
          <w:bCs/>
          <w:color w:val="365F91" w:themeColor="accent1" w:themeShade="BF"/>
          <w:sz w:val="18"/>
          <w:szCs w:val="16"/>
        </w:rPr>
        <w:t xml:space="preserve">.2: Change in government subsidised students by </w:t>
      </w:r>
      <w:r>
        <w:rPr>
          <w:rFonts w:cs="Arial"/>
          <w:b/>
          <w:bCs/>
          <w:color w:val="365F91" w:themeColor="accent1" w:themeShade="BF"/>
          <w:sz w:val="18"/>
          <w:szCs w:val="16"/>
        </w:rPr>
        <w:t>gender</w:t>
      </w:r>
    </w:p>
    <w:tbl>
      <w:tblPr>
        <w:tblW w:w="5675" w:type="dxa"/>
        <w:tblInd w:w="103" w:type="dxa"/>
        <w:tblLayout w:type="fixed"/>
        <w:tblLook w:val="04A0" w:firstRow="1" w:lastRow="0" w:firstColumn="1" w:lastColumn="0" w:noHBand="0" w:noVBand="1"/>
      </w:tblPr>
      <w:tblGrid>
        <w:gridCol w:w="1706"/>
        <w:gridCol w:w="1323"/>
        <w:gridCol w:w="1323"/>
        <w:gridCol w:w="1323"/>
      </w:tblGrid>
      <w:tr w:rsidR="00155DDB" w:rsidRPr="00155DDB" w:rsidTr="00155DDB">
        <w:trPr>
          <w:trHeight w:val="720"/>
        </w:trPr>
        <w:tc>
          <w:tcPr>
            <w:tcW w:w="1706"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155DDB" w:rsidRPr="00155DDB" w:rsidRDefault="00155DDB" w:rsidP="00155DDB">
            <w:pPr>
              <w:spacing w:after="0" w:line="240" w:lineRule="auto"/>
              <w:jc w:val="left"/>
              <w:rPr>
                <w:rFonts w:cs="Arial"/>
                <w:b/>
                <w:bCs/>
                <w:color w:val="FFFFFF"/>
                <w:sz w:val="18"/>
                <w:szCs w:val="18"/>
                <w:lang w:eastAsia="en-AU"/>
              </w:rPr>
            </w:pPr>
            <w:r w:rsidRPr="00155DDB">
              <w:rPr>
                <w:rFonts w:cs="Arial"/>
                <w:b/>
                <w:bCs/>
                <w:color w:val="FFFFFF"/>
                <w:sz w:val="18"/>
                <w:szCs w:val="18"/>
                <w:lang w:eastAsia="en-AU"/>
              </w:rPr>
              <w:t>Gender</w:t>
            </w:r>
          </w:p>
        </w:tc>
        <w:tc>
          <w:tcPr>
            <w:tcW w:w="1323" w:type="dxa"/>
            <w:tcBorders>
              <w:top w:val="single" w:sz="4" w:space="0" w:color="366092"/>
              <w:left w:val="nil"/>
              <w:bottom w:val="single" w:sz="4" w:space="0" w:color="366092"/>
              <w:right w:val="single" w:sz="4" w:space="0" w:color="366092"/>
            </w:tcBorders>
            <w:shd w:val="clear" w:color="000000" w:fill="366092"/>
            <w:vAlign w:val="center"/>
            <w:hideMark/>
          </w:tcPr>
          <w:p w:rsidR="00155DDB" w:rsidRPr="00155DDB" w:rsidRDefault="00155DDB" w:rsidP="00155DDB">
            <w:pPr>
              <w:spacing w:after="0" w:line="240" w:lineRule="auto"/>
              <w:jc w:val="center"/>
              <w:rPr>
                <w:rFonts w:cs="Arial"/>
                <w:b/>
                <w:bCs/>
                <w:color w:val="FFFFFF"/>
                <w:sz w:val="18"/>
                <w:szCs w:val="18"/>
                <w:lang w:eastAsia="en-AU"/>
              </w:rPr>
            </w:pPr>
            <w:r w:rsidRPr="00155DDB">
              <w:rPr>
                <w:rFonts w:cs="Arial"/>
                <w:b/>
                <w:bCs/>
                <w:color w:val="FFFFFF"/>
                <w:sz w:val="18"/>
                <w:szCs w:val="18"/>
                <w:lang w:eastAsia="en-AU"/>
              </w:rPr>
              <w:t>% change</w:t>
            </w:r>
            <w:r w:rsidRPr="00155DDB">
              <w:rPr>
                <w:rFonts w:cs="Arial"/>
                <w:b/>
                <w:bCs/>
                <w:color w:val="FFFFFF"/>
                <w:sz w:val="18"/>
                <w:szCs w:val="18"/>
                <w:lang w:eastAsia="en-AU"/>
              </w:rPr>
              <w:br/>
              <w:t>2008-2013</w:t>
            </w:r>
          </w:p>
        </w:tc>
        <w:tc>
          <w:tcPr>
            <w:tcW w:w="1323" w:type="dxa"/>
            <w:tcBorders>
              <w:top w:val="single" w:sz="4" w:space="0" w:color="366092"/>
              <w:left w:val="nil"/>
              <w:bottom w:val="single" w:sz="4" w:space="0" w:color="366092"/>
              <w:right w:val="single" w:sz="4" w:space="0" w:color="366092"/>
            </w:tcBorders>
            <w:shd w:val="clear" w:color="000000" w:fill="366092"/>
            <w:vAlign w:val="center"/>
            <w:hideMark/>
          </w:tcPr>
          <w:p w:rsidR="00155DDB" w:rsidRPr="00155DDB" w:rsidRDefault="00155DDB" w:rsidP="00155DDB">
            <w:pPr>
              <w:spacing w:after="0" w:line="240" w:lineRule="auto"/>
              <w:jc w:val="center"/>
              <w:rPr>
                <w:rFonts w:cs="Arial"/>
                <w:b/>
                <w:bCs/>
                <w:color w:val="FFFFFF"/>
                <w:sz w:val="18"/>
                <w:szCs w:val="18"/>
                <w:lang w:eastAsia="en-AU"/>
              </w:rPr>
            </w:pPr>
            <w:r w:rsidRPr="00155DDB">
              <w:rPr>
                <w:rFonts w:cs="Arial"/>
                <w:b/>
                <w:bCs/>
                <w:color w:val="FFFFFF"/>
                <w:sz w:val="18"/>
                <w:szCs w:val="18"/>
                <w:lang w:eastAsia="en-AU"/>
              </w:rPr>
              <w:t>% change</w:t>
            </w:r>
            <w:r w:rsidRPr="00155DDB">
              <w:rPr>
                <w:rFonts w:cs="Arial"/>
                <w:b/>
                <w:bCs/>
                <w:color w:val="FFFFFF"/>
                <w:sz w:val="18"/>
                <w:szCs w:val="18"/>
                <w:lang w:eastAsia="en-AU"/>
              </w:rPr>
              <w:br/>
              <w:t>2011-2013 </w:t>
            </w:r>
          </w:p>
        </w:tc>
        <w:tc>
          <w:tcPr>
            <w:tcW w:w="1323" w:type="dxa"/>
            <w:tcBorders>
              <w:top w:val="single" w:sz="4" w:space="0" w:color="366092"/>
              <w:left w:val="nil"/>
              <w:bottom w:val="single" w:sz="4" w:space="0" w:color="366092"/>
              <w:right w:val="single" w:sz="4" w:space="0" w:color="366092"/>
            </w:tcBorders>
            <w:shd w:val="clear" w:color="000000" w:fill="366092"/>
            <w:vAlign w:val="center"/>
            <w:hideMark/>
          </w:tcPr>
          <w:p w:rsidR="00155DDB" w:rsidRPr="00155DDB" w:rsidRDefault="00155DDB" w:rsidP="00155DDB">
            <w:pPr>
              <w:spacing w:after="0" w:line="240" w:lineRule="auto"/>
              <w:jc w:val="center"/>
              <w:rPr>
                <w:rFonts w:cs="Arial"/>
                <w:b/>
                <w:bCs/>
                <w:color w:val="FFFFFF"/>
                <w:sz w:val="18"/>
                <w:szCs w:val="18"/>
                <w:lang w:eastAsia="en-AU"/>
              </w:rPr>
            </w:pPr>
            <w:r w:rsidRPr="00155DDB">
              <w:rPr>
                <w:rFonts w:cs="Arial"/>
                <w:b/>
                <w:bCs/>
                <w:color w:val="FFFFFF"/>
                <w:sz w:val="18"/>
                <w:szCs w:val="18"/>
                <w:lang w:eastAsia="en-AU"/>
              </w:rPr>
              <w:t>% change</w:t>
            </w:r>
            <w:r w:rsidRPr="00155DDB">
              <w:rPr>
                <w:rFonts w:cs="Arial"/>
                <w:b/>
                <w:bCs/>
                <w:color w:val="FFFFFF"/>
                <w:sz w:val="18"/>
                <w:szCs w:val="18"/>
                <w:lang w:eastAsia="en-AU"/>
              </w:rPr>
              <w:br/>
              <w:t>2012-2013</w:t>
            </w:r>
          </w:p>
        </w:tc>
      </w:tr>
      <w:tr w:rsidR="00155DDB" w:rsidRPr="00155DDB" w:rsidTr="00155DDB">
        <w:trPr>
          <w:trHeight w:val="345"/>
        </w:trPr>
        <w:tc>
          <w:tcPr>
            <w:tcW w:w="1706" w:type="dxa"/>
            <w:tcBorders>
              <w:top w:val="nil"/>
              <w:left w:val="single" w:sz="4" w:space="0" w:color="366092"/>
              <w:bottom w:val="single" w:sz="4" w:space="0" w:color="366092"/>
              <w:right w:val="single" w:sz="4" w:space="0" w:color="366092"/>
            </w:tcBorders>
            <w:shd w:val="clear" w:color="000000" w:fill="FFFFFF"/>
            <w:noWrap/>
            <w:vAlign w:val="center"/>
            <w:hideMark/>
          </w:tcPr>
          <w:p w:rsidR="00155DDB" w:rsidRPr="00155DDB" w:rsidRDefault="00155DDB" w:rsidP="00155DDB">
            <w:pPr>
              <w:spacing w:after="0" w:line="240" w:lineRule="auto"/>
              <w:jc w:val="left"/>
              <w:rPr>
                <w:rFonts w:cs="Arial"/>
                <w:color w:val="366092"/>
                <w:sz w:val="18"/>
                <w:szCs w:val="18"/>
                <w:lang w:eastAsia="en-AU"/>
              </w:rPr>
            </w:pPr>
            <w:r w:rsidRPr="00155DDB">
              <w:rPr>
                <w:rFonts w:cs="Arial"/>
                <w:color w:val="366092"/>
                <w:sz w:val="18"/>
                <w:szCs w:val="18"/>
                <w:lang w:eastAsia="en-AU"/>
              </w:rPr>
              <w:t>Female</w:t>
            </w:r>
          </w:p>
        </w:tc>
        <w:tc>
          <w:tcPr>
            <w:tcW w:w="1323" w:type="dxa"/>
            <w:tcBorders>
              <w:top w:val="nil"/>
              <w:left w:val="nil"/>
              <w:bottom w:val="single" w:sz="4" w:space="0" w:color="366092"/>
              <w:right w:val="single" w:sz="4" w:space="0" w:color="366092"/>
            </w:tcBorders>
            <w:shd w:val="clear" w:color="auto" w:fill="auto"/>
            <w:noWrap/>
            <w:vAlign w:val="center"/>
            <w:hideMark/>
          </w:tcPr>
          <w:p w:rsidR="00155DDB" w:rsidRPr="00155DDB" w:rsidRDefault="00155DDB" w:rsidP="00155DDB">
            <w:pPr>
              <w:spacing w:after="0" w:line="240" w:lineRule="auto"/>
              <w:ind w:firstLineChars="100" w:firstLine="180"/>
              <w:jc w:val="right"/>
              <w:rPr>
                <w:rFonts w:cs="Arial"/>
                <w:sz w:val="18"/>
                <w:szCs w:val="18"/>
                <w:lang w:eastAsia="en-AU"/>
              </w:rPr>
            </w:pPr>
            <w:r w:rsidRPr="00155DDB">
              <w:rPr>
                <w:rFonts w:cs="Arial"/>
                <w:sz w:val="18"/>
                <w:szCs w:val="18"/>
                <w:lang w:eastAsia="en-AU"/>
              </w:rPr>
              <w:t>62%</w:t>
            </w:r>
          </w:p>
        </w:tc>
        <w:tc>
          <w:tcPr>
            <w:tcW w:w="1323" w:type="dxa"/>
            <w:tcBorders>
              <w:top w:val="nil"/>
              <w:left w:val="nil"/>
              <w:bottom w:val="single" w:sz="4" w:space="0" w:color="366092"/>
              <w:right w:val="single" w:sz="4" w:space="0" w:color="366092"/>
            </w:tcBorders>
            <w:shd w:val="clear" w:color="auto" w:fill="auto"/>
            <w:noWrap/>
            <w:vAlign w:val="center"/>
            <w:hideMark/>
          </w:tcPr>
          <w:p w:rsidR="00155DDB" w:rsidRPr="00155DDB" w:rsidRDefault="00155DDB" w:rsidP="00155DDB">
            <w:pPr>
              <w:spacing w:after="0" w:line="240" w:lineRule="auto"/>
              <w:ind w:firstLineChars="100" w:firstLine="180"/>
              <w:jc w:val="right"/>
              <w:rPr>
                <w:rFonts w:cs="Arial"/>
                <w:sz w:val="18"/>
                <w:szCs w:val="18"/>
                <w:lang w:eastAsia="en-AU"/>
              </w:rPr>
            </w:pPr>
            <w:r w:rsidRPr="00155DDB">
              <w:rPr>
                <w:rFonts w:cs="Arial"/>
                <w:sz w:val="18"/>
                <w:szCs w:val="18"/>
                <w:lang w:eastAsia="en-AU"/>
              </w:rPr>
              <w:t>9%</w:t>
            </w:r>
          </w:p>
        </w:tc>
        <w:tc>
          <w:tcPr>
            <w:tcW w:w="1323" w:type="dxa"/>
            <w:tcBorders>
              <w:top w:val="nil"/>
              <w:left w:val="nil"/>
              <w:bottom w:val="single" w:sz="4" w:space="0" w:color="366092"/>
              <w:right w:val="single" w:sz="4" w:space="0" w:color="366092"/>
            </w:tcBorders>
            <w:shd w:val="clear" w:color="auto" w:fill="auto"/>
            <w:noWrap/>
            <w:vAlign w:val="center"/>
            <w:hideMark/>
          </w:tcPr>
          <w:p w:rsidR="00155DDB" w:rsidRPr="00155DDB" w:rsidRDefault="00155DDB" w:rsidP="00155DDB">
            <w:pPr>
              <w:spacing w:after="0" w:line="240" w:lineRule="auto"/>
              <w:ind w:firstLineChars="100" w:firstLine="180"/>
              <w:jc w:val="right"/>
              <w:rPr>
                <w:rFonts w:cs="Arial"/>
                <w:sz w:val="18"/>
                <w:szCs w:val="18"/>
                <w:lang w:eastAsia="en-AU"/>
              </w:rPr>
            </w:pPr>
            <w:r w:rsidRPr="00155DDB">
              <w:rPr>
                <w:rFonts w:cs="Arial"/>
                <w:sz w:val="18"/>
                <w:szCs w:val="18"/>
                <w:lang w:eastAsia="en-AU"/>
              </w:rPr>
              <w:t>-10%</w:t>
            </w:r>
          </w:p>
        </w:tc>
      </w:tr>
      <w:tr w:rsidR="00155DDB" w:rsidRPr="00155DDB" w:rsidTr="00155DDB">
        <w:trPr>
          <w:trHeight w:val="345"/>
        </w:trPr>
        <w:tc>
          <w:tcPr>
            <w:tcW w:w="1706" w:type="dxa"/>
            <w:tcBorders>
              <w:top w:val="nil"/>
              <w:left w:val="single" w:sz="4" w:space="0" w:color="366092"/>
              <w:bottom w:val="single" w:sz="4" w:space="0" w:color="366092"/>
              <w:right w:val="single" w:sz="4" w:space="0" w:color="366092"/>
            </w:tcBorders>
            <w:shd w:val="clear" w:color="000000" w:fill="FFFFFF"/>
            <w:noWrap/>
            <w:vAlign w:val="center"/>
            <w:hideMark/>
          </w:tcPr>
          <w:p w:rsidR="00155DDB" w:rsidRPr="00155DDB" w:rsidRDefault="00155DDB" w:rsidP="00155DDB">
            <w:pPr>
              <w:spacing w:after="0" w:line="240" w:lineRule="auto"/>
              <w:jc w:val="left"/>
              <w:rPr>
                <w:rFonts w:cs="Arial"/>
                <w:color w:val="366092"/>
                <w:sz w:val="18"/>
                <w:szCs w:val="18"/>
                <w:lang w:eastAsia="en-AU"/>
              </w:rPr>
            </w:pPr>
            <w:r w:rsidRPr="00155DDB">
              <w:rPr>
                <w:rFonts w:cs="Arial"/>
                <w:color w:val="366092"/>
                <w:sz w:val="18"/>
                <w:szCs w:val="18"/>
                <w:lang w:eastAsia="en-AU"/>
              </w:rPr>
              <w:t>Male</w:t>
            </w:r>
          </w:p>
        </w:tc>
        <w:tc>
          <w:tcPr>
            <w:tcW w:w="1323" w:type="dxa"/>
            <w:tcBorders>
              <w:top w:val="nil"/>
              <w:left w:val="nil"/>
              <w:bottom w:val="single" w:sz="4" w:space="0" w:color="366092"/>
              <w:right w:val="single" w:sz="4" w:space="0" w:color="366092"/>
            </w:tcBorders>
            <w:shd w:val="clear" w:color="auto" w:fill="auto"/>
            <w:noWrap/>
            <w:vAlign w:val="center"/>
            <w:hideMark/>
          </w:tcPr>
          <w:p w:rsidR="00155DDB" w:rsidRPr="00155DDB" w:rsidRDefault="00155DDB" w:rsidP="00155DDB">
            <w:pPr>
              <w:spacing w:after="0" w:line="240" w:lineRule="auto"/>
              <w:ind w:firstLineChars="100" w:firstLine="180"/>
              <w:jc w:val="right"/>
              <w:rPr>
                <w:rFonts w:cs="Arial"/>
                <w:sz w:val="18"/>
                <w:szCs w:val="18"/>
                <w:lang w:eastAsia="en-AU"/>
              </w:rPr>
            </w:pPr>
            <w:r w:rsidRPr="00155DDB">
              <w:rPr>
                <w:rFonts w:cs="Arial"/>
                <w:sz w:val="18"/>
                <w:szCs w:val="18"/>
                <w:lang w:eastAsia="en-AU"/>
              </w:rPr>
              <w:t>66%</w:t>
            </w:r>
          </w:p>
        </w:tc>
        <w:tc>
          <w:tcPr>
            <w:tcW w:w="1323" w:type="dxa"/>
            <w:tcBorders>
              <w:top w:val="nil"/>
              <w:left w:val="nil"/>
              <w:bottom w:val="single" w:sz="4" w:space="0" w:color="366092"/>
              <w:right w:val="single" w:sz="4" w:space="0" w:color="366092"/>
            </w:tcBorders>
            <w:shd w:val="clear" w:color="auto" w:fill="auto"/>
            <w:noWrap/>
            <w:vAlign w:val="center"/>
            <w:hideMark/>
          </w:tcPr>
          <w:p w:rsidR="00155DDB" w:rsidRPr="00155DDB" w:rsidRDefault="00155DDB" w:rsidP="00155DDB">
            <w:pPr>
              <w:spacing w:after="0" w:line="240" w:lineRule="auto"/>
              <w:ind w:firstLineChars="100" w:firstLine="180"/>
              <w:jc w:val="right"/>
              <w:rPr>
                <w:rFonts w:cs="Arial"/>
                <w:sz w:val="18"/>
                <w:szCs w:val="18"/>
                <w:lang w:eastAsia="en-AU"/>
              </w:rPr>
            </w:pPr>
            <w:r w:rsidRPr="00155DDB">
              <w:rPr>
                <w:rFonts w:cs="Arial"/>
                <w:sz w:val="18"/>
                <w:szCs w:val="18"/>
                <w:lang w:eastAsia="en-AU"/>
              </w:rPr>
              <w:t>17%</w:t>
            </w:r>
          </w:p>
        </w:tc>
        <w:tc>
          <w:tcPr>
            <w:tcW w:w="1323" w:type="dxa"/>
            <w:tcBorders>
              <w:top w:val="nil"/>
              <w:left w:val="nil"/>
              <w:bottom w:val="single" w:sz="4" w:space="0" w:color="366092"/>
              <w:right w:val="single" w:sz="4" w:space="0" w:color="366092"/>
            </w:tcBorders>
            <w:shd w:val="clear" w:color="auto" w:fill="auto"/>
            <w:noWrap/>
            <w:vAlign w:val="center"/>
            <w:hideMark/>
          </w:tcPr>
          <w:p w:rsidR="00155DDB" w:rsidRPr="00155DDB" w:rsidRDefault="00155DDB" w:rsidP="00155DDB">
            <w:pPr>
              <w:spacing w:after="0" w:line="240" w:lineRule="auto"/>
              <w:ind w:firstLineChars="100" w:firstLine="180"/>
              <w:jc w:val="right"/>
              <w:rPr>
                <w:rFonts w:cs="Arial"/>
                <w:sz w:val="18"/>
                <w:szCs w:val="18"/>
                <w:lang w:eastAsia="en-AU"/>
              </w:rPr>
            </w:pPr>
            <w:r w:rsidRPr="00155DDB">
              <w:rPr>
                <w:rFonts w:cs="Arial"/>
                <w:sz w:val="18"/>
                <w:szCs w:val="18"/>
                <w:lang w:eastAsia="en-AU"/>
              </w:rPr>
              <w:t>0%</w:t>
            </w:r>
          </w:p>
        </w:tc>
      </w:tr>
      <w:tr w:rsidR="00155DDB" w:rsidRPr="00155DDB" w:rsidTr="00155DDB">
        <w:trPr>
          <w:trHeight w:val="345"/>
        </w:trPr>
        <w:tc>
          <w:tcPr>
            <w:tcW w:w="1706" w:type="dxa"/>
            <w:tcBorders>
              <w:top w:val="nil"/>
              <w:left w:val="single" w:sz="4" w:space="0" w:color="366092"/>
              <w:bottom w:val="single" w:sz="4" w:space="0" w:color="366092"/>
              <w:right w:val="single" w:sz="4" w:space="0" w:color="366092"/>
            </w:tcBorders>
            <w:shd w:val="clear" w:color="000000" w:fill="366092"/>
            <w:noWrap/>
            <w:vAlign w:val="center"/>
            <w:hideMark/>
          </w:tcPr>
          <w:p w:rsidR="00155DDB" w:rsidRPr="00155DDB" w:rsidRDefault="00155DDB" w:rsidP="00155DDB">
            <w:pPr>
              <w:spacing w:after="0" w:line="240" w:lineRule="auto"/>
              <w:jc w:val="left"/>
              <w:rPr>
                <w:rFonts w:cs="Arial"/>
                <w:b/>
                <w:bCs/>
                <w:color w:val="FFFFFF"/>
                <w:sz w:val="18"/>
                <w:szCs w:val="18"/>
                <w:lang w:eastAsia="en-AU"/>
              </w:rPr>
            </w:pPr>
            <w:r w:rsidRPr="00155DDB">
              <w:rPr>
                <w:rFonts w:cs="Arial"/>
                <w:b/>
                <w:bCs/>
                <w:color w:val="FFFFFF"/>
                <w:sz w:val="18"/>
                <w:szCs w:val="18"/>
                <w:lang w:eastAsia="en-AU"/>
              </w:rPr>
              <w:t>Total</w:t>
            </w:r>
          </w:p>
        </w:tc>
        <w:tc>
          <w:tcPr>
            <w:tcW w:w="1323" w:type="dxa"/>
            <w:tcBorders>
              <w:top w:val="nil"/>
              <w:left w:val="nil"/>
              <w:bottom w:val="single" w:sz="4" w:space="0" w:color="366092"/>
              <w:right w:val="single" w:sz="4" w:space="0" w:color="366092"/>
            </w:tcBorders>
            <w:shd w:val="clear" w:color="000000" w:fill="366092"/>
            <w:noWrap/>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64%</w:t>
            </w:r>
          </w:p>
        </w:tc>
        <w:tc>
          <w:tcPr>
            <w:tcW w:w="1323" w:type="dxa"/>
            <w:tcBorders>
              <w:top w:val="nil"/>
              <w:left w:val="nil"/>
              <w:bottom w:val="single" w:sz="4" w:space="0" w:color="366092"/>
              <w:right w:val="single" w:sz="4" w:space="0" w:color="366092"/>
            </w:tcBorders>
            <w:shd w:val="clear" w:color="000000" w:fill="366092"/>
            <w:noWrap/>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13%</w:t>
            </w:r>
          </w:p>
        </w:tc>
        <w:tc>
          <w:tcPr>
            <w:tcW w:w="1323" w:type="dxa"/>
            <w:tcBorders>
              <w:top w:val="nil"/>
              <w:left w:val="nil"/>
              <w:bottom w:val="single" w:sz="4" w:space="0" w:color="366092"/>
              <w:right w:val="single" w:sz="4" w:space="0" w:color="366092"/>
            </w:tcBorders>
            <w:shd w:val="clear" w:color="000000" w:fill="366092"/>
            <w:noWrap/>
            <w:vAlign w:val="center"/>
            <w:hideMark/>
          </w:tcPr>
          <w:p w:rsidR="00155DDB" w:rsidRPr="00155DDB" w:rsidRDefault="00155DDB" w:rsidP="00155DDB">
            <w:pPr>
              <w:spacing w:after="0" w:line="240" w:lineRule="auto"/>
              <w:ind w:firstLineChars="100" w:firstLine="181"/>
              <w:jc w:val="right"/>
              <w:rPr>
                <w:rFonts w:cs="Arial"/>
                <w:b/>
                <w:bCs/>
                <w:color w:val="FFFFFF"/>
                <w:sz w:val="18"/>
                <w:szCs w:val="18"/>
                <w:lang w:eastAsia="en-AU"/>
              </w:rPr>
            </w:pPr>
            <w:r w:rsidRPr="00155DDB">
              <w:rPr>
                <w:rFonts w:cs="Arial"/>
                <w:b/>
                <w:bCs/>
                <w:color w:val="FFFFFF"/>
                <w:sz w:val="18"/>
                <w:szCs w:val="18"/>
                <w:lang w:eastAsia="en-AU"/>
              </w:rPr>
              <w:t>-5%</w:t>
            </w:r>
          </w:p>
        </w:tc>
      </w:tr>
    </w:tbl>
    <w:p w:rsidR="00EA374C" w:rsidRDefault="00EA374C">
      <w:pPr>
        <w:spacing w:after="0" w:line="240" w:lineRule="auto"/>
        <w:jc w:val="left"/>
        <w:rPr>
          <w:rFonts w:cs="Arial"/>
          <w:bCs/>
          <w:iCs/>
          <w:color w:val="76923C" w:themeColor="accent3" w:themeShade="BF"/>
          <w:sz w:val="28"/>
          <w:szCs w:val="28"/>
        </w:rPr>
      </w:pPr>
      <w:r>
        <w:br w:type="page"/>
      </w:r>
    </w:p>
    <w:p w:rsidR="00EE6BD1" w:rsidRPr="001F29E3" w:rsidRDefault="00B66680" w:rsidP="00EE6BD1">
      <w:pPr>
        <w:pStyle w:val="Heading2"/>
      </w:pPr>
      <w:bookmarkStart w:id="61" w:name="_Toc388340447"/>
      <w:r>
        <w:t>Government Subsidised A</w:t>
      </w:r>
      <w:r w:rsidR="00EE6BD1" w:rsidRPr="001F29E3">
        <w:t>ctivity</w:t>
      </w:r>
      <w:r w:rsidR="007E26D7">
        <w:t xml:space="preserve"> and Participation</w:t>
      </w:r>
      <w:r w:rsidR="005B441D">
        <w:t xml:space="preserve"> by Regions</w:t>
      </w:r>
      <w:bookmarkEnd w:id="61"/>
    </w:p>
    <w:p w:rsidR="00EE6BD1" w:rsidRPr="00FC7DCE" w:rsidRDefault="00EE6BD1" w:rsidP="00EE6BD1">
      <w:pPr>
        <w:jc w:val="left"/>
        <w:rPr>
          <w:rFonts w:cs="Arial"/>
          <w:bCs/>
        </w:rPr>
      </w:pPr>
    </w:p>
    <w:p w:rsidR="00DB5345" w:rsidRPr="001F29E3" w:rsidRDefault="00ED1F4D" w:rsidP="00DB5345">
      <w:pPr>
        <w:jc w:val="left"/>
        <w:rPr>
          <w:rFonts w:cs="Arial"/>
        </w:rPr>
      </w:pPr>
      <w:r>
        <w:rPr>
          <w:rFonts w:cs="Arial"/>
        </w:rPr>
        <w:t>F</w:t>
      </w:r>
      <w:r w:rsidRPr="00022B50">
        <w:rPr>
          <w:rFonts w:cs="Arial"/>
        </w:rPr>
        <w:t xml:space="preserve">or the purpose of providing an overview of </w:t>
      </w:r>
      <w:r>
        <w:rPr>
          <w:rFonts w:cs="Arial"/>
        </w:rPr>
        <w:t xml:space="preserve">government subsidised </w:t>
      </w:r>
      <w:r w:rsidRPr="00022B50">
        <w:rPr>
          <w:rFonts w:cs="Arial"/>
        </w:rPr>
        <w:t>training activity</w:t>
      </w:r>
      <w:r w:rsidR="005B441D">
        <w:rPr>
          <w:rFonts w:cs="Arial"/>
        </w:rPr>
        <w:t xml:space="preserve"> by region</w:t>
      </w:r>
      <w:r>
        <w:rPr>
          <w:rFonts w:cs="Arial"/>
        </w:rPr>
        <w:t xml:space="preserve">, training data </w:t>
      </w:r>
      <w:r w:rsidR="00752D53" w:rsidRPr="00022B50">
        <w:rPr>
          <w:rFonts w:cs="Arial"/>
        </w:rPr>
        <w:t>are presented for</w:t>
      </w:r>
      <w:r w:rsidR="00DA7582" w:rsidRPr="00022B50">
        <w:rPr>
          <w:rFonts w:cs="Arial"/>
        </w:rPr>
        <w:t xml:space="preserve"> the four departmental </w:t>
      </w:r>
      <w:r w:rsidR="005B441D">
        <w:rPr>
          <w:rFonts w:cs="Arial"/>
        </w:rPr>
        <w:t xml:space="preserve">administrative </w:t>
      </w:r>
      <w:r w:rsidR="00DA7582" w:rsidRPr="00022B50">
        <w:rPr>
          <w:rFonts w:cs="Arial"/>
        </w:rPr>
        <w:t>regions</w:t>
      </w:r>
      <w:r w:rsidR="00001AF8">
        <w:rPr>
          <w:rFonts w:cs="Arial"/>
        </w:rPr>
        <w:t xml:space="preserve">. </w:t>
      </w:r>
      <w:r>
        <w:rPr>
          <w:rFonts w:cs="Arial"/>
        </w:rPr>
        <w:t xml:space="preserve">In addition, </w:t>
      </w:r>
      <w:r w:rsidR="00932A44" w:rsidRPr="00022B50">
        <w:rPr>
          <w:rFonts w:cs="Arial"/>
        </w:rPr>
        <w:t xml:space="preserve">government subsidised </w:t>
      </w:r>
      <w:r>
        <w:rPr>
          <w:rFonts w:cs="Arial"/>
        </w:rPr>
        <w:t xml:space="preserve">training data </w:t>
      </w:r>
      <w:r w:rsidR="00932A44" w:rsidRPr="00022B50">
        <w:rPr>
          <w:rFonts w:cs="Arial"/>
        </w:rPr>
        <w:t xml:space="preserve">are further disaggregated into </w:t>
      </w:r>
      <w:r w:rsidR="00A326AF">
        <w:rPr>
          <w:rFonts w:cs="Arial"/>
        </w:rPr>
        <w:t xml:space="preserve">nine </w:t>
      </w:r>
      <w:r w:rsidR="000D00D1">
        <w:rPr>
          <w:rFonts w:cs="Arial"/>
        </w:rPr>
        <w:t>small</w:t>
      </w:r>
      <w:r w:rsidR="0067087F">
        <w:rPr>
          <w:rFonts w:cs="Arial"/>
        </w:rPr>
        <w:t>er geographical</w:t>
      </w:r>
      <w:r w:rsidR="00A326AF">
        <w:rPr>
          <w:rFonts w:cs="Arial"/>
        </w:rPr>
        <w:t xml:space="preserve"> areas </w:t>
      </w:r>
      <w:r w:rsidR="00467F90" w:rsidRPr="00022B50">
        <w:rPr>
          <w:rFonts w:cs="Arial"/>
        </w:rPr>
        <w:t>to provide</w:t>
      </w:r>
      <w:r w:rsidR="000A1C0E">
        <w:rPr>
          <w:rFonts w:cs="Arial"/>
        </w:rPr>
        <w:t xml:space="preserve"> </w:t>
      </w:r>
      <w:r w:rsidR="00184951">
        <w:rPr>
          <w:rFonts w:cs="Arial"/>
        </w:rPr>
        <w:t xml:space="preserve">a </w:t>
      </w:r>
      <w:r w:rsidR="000A1C0E">
        <w:rPr>
          <w:rFonts w:cs="Arial"/>
        </w:rPr>
        <w:t xml:space="preserve">more granular </w:t>
      </w:r>
      <w:r w:rsidR="00561677">
        <w:rPr>
          <w:rFonts w:cs="Arial"/>
        </w:rPr>
        <w:t>level of detail on</w:t>
      </w:r>
      <w:r w:rsidR="000D00D1">
        <w:rPr>
          <w:rFonts w:cs="Arial"/>
        </w:rPr>
        <w:t xml:space="preserve"> training delivery and participation</w:t>
      </w:r>
      <w:r w:rsidR="00EB6FFA" w:rsidRPr="00022B50">
        <w:rPr>
          <w:rFonts w:cs="Arial"/>
        </w:rPr>
        <w:t>.</w:t>
      </w:r>
    </w:p>
    <w:p w:rsidR="00932A44" w:rsidRPr="001F29E3" w:rsidRDefault="00DB5345" w:rsidP="00DB5345">
      <w:pPr>
        <w:jc w:val="left"/>
        <w:rPr>
          <w:rFonts w:cs="Arial"/>
        </w:rPr>
      </w:pPr>
      <w:r w:rsidRPr="001F29E3">
        <w:rPr>
          <w:rFonts w:cs="Arial"/>
        </w:rPr>
        <w:t>South-Western departmental region comprises Barwon South</w:t>
      </w:r>
      <w:r w:rsidR="00467F90" w:rsidRPr="001F29E3">
        <w:rPr>
          <w:rFonts w:cs="Arial"/>
        </w:rPr>
        <w:t xml:space="preserve"> </w:t>
      </w:r>
      <w:r w:rsidRPr="001F29E3">
        <w:rPr>
          <w:rFonts w:cs="Arial"/>
        </w:rPr>
        <w:t>West, Grampians and Western Metropolitan regional areas.</w:t>
      </w:r>
      <w:r w:rsidR="002C240D" w:rsidRPr="001F29E3">
        <w:rPr>
          <w:rFonts w:cs="Arial"/>
        </w:rPr>
        <w:t xml:space="preserve"> </w:t>
      </w:r>
      <w:r w:rsidRPr="001F29E3">
        <w:rPr>
          <w:rFonts w:cs="Arial"/>
        </w:rPr>
        <w:t>North-Western departmental region comprises Loddon Mallee and Northern</w:t>
      </w:r>
      <w:r w:rsidR="00DA7582" w:rsidRPr="001F29E3">
        <w:rPr>
          <w:rFonts w:cs="Arial"/>
        </w:rPr>
        <w:t xml:space="preserve"> </w:t>
      </w:r>
      <w:r w:rsidRPr="001F29E3">
        <w:rPr>
          <w:rFonts w:cs="Arial"/>
        </w:rPr>
        <w:t>Metropolitan regional areas. North-Eastern departmental region comprises Hume and Eastern Metropolitan regional areas. South-Eastern departmental region comprises Gippsland and Southern Metropolitan regional areas.</w:t>
      </w:r>
    </w:p>
    <w:p w:rsidR="000D00D1" w:rsidRDefault="000D00D1" w:rsidP="00932A44">
      <w:pPr>
        <w:rPr>
          <w:rFonts w:cs="Arial"/>
        </w:rPr>
      </w:pPr>
    </w:p>
    <w:p w:rsidR="000D00D1" w:rsidRDefault="000D00D1" w:rsidP="000D00D1">
      <w:pPr>
        <w:pStyle w:val="Heading3"/>
      </w:pPr>
      <w:r>
        <w:t>Delivery</w:t>
      </w:r>
      <w:r w:rsidR="005B441D">
        <w:t xml:space="preserve"> Region</w:t>
      </w:r>
    </w:p>
    <w:p w:rsidR="00204000" w:rsidRDefault="001777F9" w:rsidP="00932A44">
      <w:pPr>
        <w:rPr>
          <w:rFonts w:cs="Arial"/>
        </w:rPr>
      </w:pPr>
      <w:r>
        <w:rPr>
          <w:rFonts w:cs="Arial"/>
        </w:rPr>
        <w:t>T</w:t>
      </w:r>
      <w:r w:rsidR="000D00D1">
        <w:rPr>
          <w:rFonts w:cs="Arial"/>
        </w:rPr>
        <w:t xml:space="preserve">his section </w:t>
      </w:r>
      <w:r w:rsidR="00ED1F4D">
        <w:rPr>
          <w:rFonts w:cs="Arial"/>
        </w:rPr>
        <w:t>focuses on</w:t>
      </w:r>
      <w:r>
        <w:rPr>
          <w:rFonts w:cs="Arial"/>
        </w:rPr>
        <w:t xml:space="preserve"> the delivery of government subsidised </w:t>
      </w:r>
      <w:r w:rsidR="00303E17">
        <w:rPr>
          <w:rFonts w:cs="Arial"/>
        </w:rPr>
        <w:t>training</w:t>
      </w:r>
      <w:r w:rsidR="000D00D1">
        <w:rPr>
          <w:rFonts w:cs="Arial"/>
        </w:rPr>
        <w:t xml:space="preserve"> </w:t>
      </w:r>
      <w:r w:rsidR="00CD4ED8">
        <w:rPr>
          <w:rFonts w:cs="Arial"/>
        </w:rPr>
        <w:t>by</w:t>
      </w:r>
      <w:r>
        <w:rPr>
          <w:rFonts w:cs="Arial"/>
        </w:rPr>
        <w:t xml:space="preserve"> location </w:t>
      </w:r>
      <w:r w:rsidR="00275821">
        <w:rPr>
          <w:rFonts w:cs="Arial"/>
        </w:rPr>
        <w:t>as defined by four departmental</w:t>
      </w:r>
      <w:r w:rsidR="005B441D">
        <w:rPr>
          <w:rFonts w:cs="Arial"/>
        </w:rPr>
        <w:t xml:space="preserve"> administrative</w:t>
      </w:r>
      <w:r w:rsidR="00275821">
        <w:rPr>
          <w:rFonts w:cs="Arial"/>
        </w:rPr>
        <w:t xml:space="preserve"> regions or nine </w:t>
      </w:r>
      <w:r w:rsidR="005B441D">
        <w:rPr>
          <w:rFonts w:cs="Arial"/>
        </w:rPr>
        <w:t xml:space="preserve">small geographical </w:t>
      </w:r>
      <w:r w:rsidR="000D00D1">
        <w:rPr>
          <w:rFonts w:cs="Arial"/>
        </w:rPr>
        <w:t>region</w:t>
      </w:r>
      <w:r w:rsidR="00275821">
        <w:rPr>
          <w:rFonts w:cs="Arial"/>
        </w:rPr>
        <w:t>s</w:t>
      </w:r>
      <w:r w:rsidR="000D00D1">
        <w:rPr>
          <w:rFonts w:cs="Arial"/>
        </w:rPr>
        <w:t xml:space="preserve">. </w:t>
      </w:r>
      <w:r w:rsidR="00303E17">
        <w:rPr>
          <w:rFonts w:cs="Arial"/>
        </w:rPr>
        <w:t>Training c</w:t>
      </w:r>
      <w:r w:rsidR="000D00D1">
        <w:rPr>
          <w:rFonts w:cs="Arial"/>
        </w:rPr>
        <w:t xml:space="preserve">ourses </w:t>
      </w:r>
      <w:r w:rsidR="0067087F">
        <w:rPr>
          <w:rFonts w:cs="Arial"/>
        </w:rPr>
        <w:t>can</w:t>
      </w:r>
      <w:r w:rsidR="000D00D1">
        <w:rPr>
          <w:rFonts w:cs="Arial"/>
        </w:rPr>
        <w:t xml:space="preserve"> be </w:t>
      </w:r>
      <w:r w:rsidR="00CD4ED8">
        <w:rPr>
          <w:rFonts w:cs="Arial"/>
        </w:rPr>
        <w:t>undertaken by students who live</w:t>
      </w:r>
      <w:r w:rsidR="000D00D1">
        <w:rPr>
          <w:rFonts w:cs="Arial"/>
        </w:rPr>
        <w:t xml:space="preserve"> locally or outside the </w:t>
      </w:r>
      <w:r w:rsidR="0067087F">
        <w:rPr>
          <w:rFonts w:cs="Arial"/>
        </w:rPr>
        <w:t xml:space="preserve">local </w:t>
      </w:r>
      <w:r w:rsidR="00275821">
        <w:rPr>
          <w:rFonts w:cs="Arial"/>
        </w:rPr>
        <w:t>area</w:t>
      </w:r>
      <w:r w:rsidR="000D00D1">
        <w:rPr>
          <w:rFonts w:cs="Arial"/>
        </w:rPr>
        <w:t>.</w:t>
      </w:r>
      <w:r w:rsidR="00FC7DCE">
        <w:rPr>
          <w:rFonts w:cs="Arial"/>
        </w:rPr>
        <w:t xml:space="preserve"> </w:t>
      </w:r>
    </w:p>
    <w:p w:rsidR="00374ED1" w:rsidRDefault="00374ED1" w:rsidP="00932A44">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224561" w:rsidRPr="001F29E3" w:rsidTr="002F5669">
        <w:trPr>
          <w:trHeight w:val="495"/>
        </w:trPr>
        <w:tc>
          <w:tcPr>
            <w:tcW w:w="9088" w:type="dxa"/>
          </w:tcPr>
          <w:p w:rsidR="00224561" w:rsidRPr="00412973" w:rsidRDefault="00224561" w:rsidP="007F6FCA">
            <w:pPr>
              <w:pStyle w:val="Heading3"/>
            </w:pPr>
            <w:r w:rsidRPr="00412973">
              <w:t>Key Points</w:t>
            </w:r>
          </w:p>
          <w:p w:rsidR="00A326AF" w:rsidRPr="00412973" w:rsidRDefault="00A326AF" w:rsidP="00A326AF"/>
          <w:p w:rsidR="00224561" w:rsidRPr="00054B17" w:rsidRDefault="00561677" w:rsidP="00D83827">
            <w:pPr>
              <w:pStyle w:val="ListBullet"/>
              <w:numPr>
                <w:ilvl w:val="0"/>
                <w:numId w:val="33"/>
              </w:numPr>
              <w:ind w:right="113"/>
              <w:jc w:val="left"/>
              <w:rPr>
                <w:rFonts w:cs="Arial"/>
              </w:rPr>
            </w:pPr>
            <w:r w:rsidRPr="00054B17">
              <w:rPr>
                <w:rFonts w:cs="Arial"/>
              </w:rPr>
              <w:t>Similar to the overall state-wide trend, g</w:t>
            </w:r>
            <w:r w:rsidR="00224561" w:rsidRPr="00054B17">
              <w:rPr>
                <w:rFonts w:cs="Arial"/>
              </w:rPr>
              <w:t xml:space="preserve">overnment subsidised </w:t>
            </w:r>
            <w:r w:rsidR="00374ED1" w:rsidRPr="00054B17">
              <w:rPr>
                <w:rFonts w:cs="Arial"/>
              </w:rPr>
              <w:t xml:space="preserve">courses delivered </w:t>
            </w:r>
            <w:r w:rsidR="00303E17" w:rsidRPr="00054B17">
              <w:rPr>
                <w:rFonts w:cs="Arial"/>
              </w:rPr>
              <w:t xml:space="preserve">in 2013 </w:t>
            </w:r>
            <w:r w:rsidR="00B66680" w:rsidRPr="00054B17">
              <w:rPr>
                <w:rFonts w:cs="Arial"/>
              </w:rPr>
              <w:t xml:space="preserve">across four </w:t>
            </w:r>
            <w:r w:rsidR="00412973" w:rsidRPr="00054B17">
              <w:rPr>
                <w:rFonts w:cs="Arial"/>
              </w:rPr>
              <w:t xml:space="preserve">administrative </w:t>
            </w:r>
            <w:r w:rsidR="00224561" w:rsidRPr="00054B17">
              <w:rPr>
                <w:rFonts w:cs="Arial"/>
              </w:rPr>
              <w:t xml:space="preserve">regions </w:t>
            </w:r>
            <w:r w:rsidRPr="00054B17">
              <w:rPr>
                <w:rFonts w:cs="Arial"/>
              </w:rPr>
              <w:t xml:space="preserve">were lower </w:t>
            </w:r>
            <w:r w:rsidR="00224561" w:rsidRPr="00054B17">
              <w:rPr>
                <w:rFonts w:cs="Arial"/>
              </w:rPr>
              <w:t>compared to 2012</w:t>
            </w:r>
            <w:r w:rsidRPr="00054B17">
              <w:rPr>
                <w:rFonts w:cs="Arial"/>
              </w:rPr>
              <w:t>, but higher compared to 2011</w:t>
            </w:r>
            <w:r w:rsidR="000D00D1" w:rsidRPr="00054B17">
              <w:rPr>
                <w:rFonts w:cs="Arial"/>
              </w:rPr>
              <w:t>, except the North Eastern region where courses delivered in 2013 were higher than in 2012</w:t>
            </w:r>
            <w:r w:rsidR="00224561" w:rsidRPr="00054B17">
              <w:rPr>
                <w:rFonts w:cs="Arial"/>
              </w:rPr>
              <w:t xml:space="preserve">.  </w:t>
            </w:r>
          </w:p>
          <w:p w:rsidR="003423AC" w:rsidRPr="00054B17" w:rsidRDefault="00303E17" w:rsidP="00D83827">
            <w:pPr>
              <w:pStyle w:val="ListBullet"/>
              <w:numPr>
                <w:ilvl w:val="0"/>
                <w:numId w:val="33"/>
              </w:numPr>
              <w:ind w:right="113"/>
              <w:jc w:val="left"/>
              <w:rPr>
                <w:rFonts w:cs="Arial"/>
              </w:rPr>
            </w:pPr>
            <w:r w:rsidRPr="00054B17">
              <w:rPr>
                <w:rFonts w:cs="Arial"/>
              </w:rPr>
              <w:t>F</w:t>
            </w:r>
            <w:r w:rsidR="00224561" w:rsidRPr="00054B17">
              <w:rPr>
                <w:rFonts w:cs="Arial"/>
              </w:rPr>
              <w:t>urther disaggrega</w:t>
            </w:r>
            <w:r w:rsidR="003423AC" w:rsidRPr="00054B17">
              <w:rPr>
                <w:rFonts w:cs="Arial"/>
              </w:rPr>
              <w:t>t</w:t>
            </w:r>
            <w:r w:rsidRPr="00054B17">
              <w:rPr>
                <w:rFonts w:cs="Arial"/>
              </w:rPr>
              <w:t>ion of the delivery data</w:t>
            </w:r>
            <w:r w:rsidR="003423AC" w:rsidRPr="00054B17">
              <w:rPr>
                <w:rFonts w:cs="Arial"/>
              </w:rPr>
              <w:t xml:space="preserve"> </w:t>
            </w:r>
            <w:r w:rsidR="00224561" w:rsidRPr="00054B17">
              <w:rPr>
                <w:rFonts w:cs="Arial"/>
              </w:rPr>
              <w:t xml:space="preserve">into nine </w:t>
            </w:r>
            <w:r w:rsidR="005B3257">
              <w:rPr>
                <w:rFonts w:cs="Arial"/>
              </w:rPr>
              <w:t xml:space="preserve">smaller </w:t>
            </w:r>
            <w:r w:rsidR="00224561" w:rsidRPr="00054B17">
              <w:rPr>
                <w:rFonts w:cs="Arial"/>
              </w:rPr>
              <w:t>areas</w:t>
            </w:r>
            <w:r w:rsidR="00412973" w:rsidRPr="00054B17">
              <w:rPr>
                <w:rFonts w:cs="Arial"/>
              </w:rPr>
              <w:t xml:space="preserve"> or regions</w:t>
            </w:r>
            <w:r w:rsidR="00224561" w:rsidRPr="00054B17">
              <w:rPr>
                <w:rFonts w:cs="Arial"/>
              </w:rPr>
              <w:t>, show</w:t>
            </w:r>
            <w:r w:rsidR="00412973" w:rsidRPr="00054B17">
              <w:rPr>
                <w:rFonts w:cs="Arial"/>
              </w:rPr>
              <w:t>s</w:t>
            </w:r>
            <w:r w:rsidR="00224561" w:rsidRPr="00054B17">
              <w:rPr>
                <w:rFonts w:cs="Arial"/>
              </w:rPr>
              <w:t xml:space="preserve"> </w:t>
            </w:r>
            <w:r w:rsidR="003423AC" w:rsidRPr="00054B17">
              <w:rPr>
                <w:rFonts w:cs="Arial"/>
              </w:rPr>
              <w:t>that there were some regional variations against the overall state-wide trend</w:t>
            </w:r>
            <w:r w:rsidR="00013913" w:rsidRPr="00054B17">
              <w:rPr>
                <w:rFonts w:cs="Arial"/>
              </w:rPr>
              <w:t xml:space="preserve">: </w:t>
            </w:r>
          </w:p>
          <w:p w:rsidR="003423AC" w:rsidRPr="00054B17" w:rsidRDefault="00D11AB9" w:rsidP="00D83827">
            <w:pPr>
              <w:pStyle w:val="ListBullet"/>
              <w:numPr>
                <w:ilvl w:val="1"/>
                <w:numId w:val="32"/>
              </w:numPr>
              <w:ind w:right="113"/>
              <w:jc w:val="left"/>
              <w:rPr>
                <w:rFonts w:cs="Arial"/>
              </w:rPr>
            </w:pPr>
            <w:r w:rsidRPr="00054B17">
              <w:rPr>
                <w:rFonts w:cs="Arial"/>
              </w:rPr>
              <w:t>C</w:t>
            </w:r>
            <w:r w:rsidR="003423AC" w:rsidRPr="00054B17">
              <w:rPr>
                <w:rFonts w:cs="Arial"/>
              </w:rPr>
              <w:t>ourse</w:t>
            </w:r>
            <w:r w:rsidR="00303E17" w:rsidRPr="00054B17">
              <w:rPr>
                <w:rFonts w:cs="Arial"/>
              </w:rPr>
              <w:t>s</w:t>
            </w:r>
            <w:r w:rsidR="003423AC" w:rsidRPr="00054B17">
              <w:rPr>
                <w:rFonts w:cs="Arial"/>
              </w:rPr>
              <w:t xml:space="preserve"> deliver</w:t>
            </w:r>
            <w:r w:rsidR="00303E17" w:rsidRPr="00054B17">
              <w:rPr>
                <w:rFonts w:cs="Arial"/>
              </w:rPr>
              <w:t>ed</w:t>
            </w:r>
            <w:r w:rsidR="003423AC" w:rsidRPr="00054B17">
              <w:rPr>
                <w:rFonts w:cs="Arial"/>
              </w:rPr>
              <w:t xml:space="preserve"> </w:t>
            </w:r>
            <w:r w:rsidR="00790D75" w:rsidRPr="00054B17">
              <w:rPr>
                <w:rFonts w:cs="Arial"/>
              </w:rPr>
              <w:t xml:space="preserve">in Hume region </w:t>
            </w:r>
            <w:r w:rsidRPr="00054B17">
              <w:rPr>
                <w:rFonts w:cs="Arial"/>
              </w:rPr>
              <w:t>in 2013 w</w:t>
            </w:r>
            <w:r w:rsidR="00303E17" w:rsidRPr="00054B17">
              <w:rPr>
                <w:rFonts w:cs="Arial"/>
              </w:rPr>
              <w:t>ere</w:t>
            </w:r>
            <w:r w:rsidRPr="00054B17">
              <w:rPr>
                <w:rFonts w:cs="Arial"/>
              </w:rPr>
              <w:t xml:space="preserve"> higher than in 2011 and 2012</w:t>
            </w:r>
            <w:r w:rsidR="003423AC" w:rsidRPr="00054B17">
              <w:rPr>
                <w:rFonts w:cs="Arial"/>
              </w:rPr>
              <w:t>;</w:t>
            </w:r>
          </w:p>
          <w:p w:rsidR="00224561" w:rsidRPr="00054B17" w:rsidRDefault="00D11AB9" w:rsidP="00D83827">
            <w:pPr>
              <w:pStyle w:val="ListBullet"/>
              <w:numPr>
                <w:ilvl w:val="1"/>
                <w:numId w:val="32"/>
              </w:numPr>
              <w:ind w:right="113"/>
              <w:jc w:val="left"/>
              <w:rPr>
                <w:rFonts w:cs="Arial"/>
              </w:rPr>
            </w:pPr>
            <w:r w:rsidRPr="00054B17">
              <w:rPr>
                <w:rFonts w:cs="Arial"/>
              </w:rPr>
              <w:t>C</w:t>
            </w:r>
            <w:r w:rsidR="003423AC" w:rsidRPr="00054B17">
              <w:rPr>
                <w:rFonts w:cs="Arial"/>
              </w:rPr>
              <w:t>ourse</w:t>
            </w:r>
            <w:r w:rsidR="00303E17" w:rsidRPr="00054B17">
              <w:rPr>
                <w:rFonts w:cs="Arial"/>
              </w:rPr>
              <w:t>s</w:t>
            </w:r>
            <w:r w:rsidR="003423AC" w:rsidRPr="00054B17">
              <w:rPr>
                <w:rFonts w:cs="Arial"/>
              </w:rPr>
              <w:t xml:space="preserve"> deliver</w:t>
            </w:r>
            <w:r w:rsidR="00303E17" w:rsidRPr="00054B17">
              <w:rPr>
                <w:rFonts w:cs="Arial"/>
              </w:rPr>
              <w:t>ed</w:t>
            </w:r>
            <w:r w:rsidR="003423AC" w:rsidRPr="00054B17">
              <w:rPr>
                <w:rFonts w:cs="Arial"/>
              </w:rPr>
              <w:t xml:space="preserve"> </w:t>
            </w:r>
            <w:r w:rsidR="00275821" w:rsidRPr="00054B17">
              <w:rPr>
                <w:rFonts w:cs="Arial"/>
              </w:rPr>
              <w:t xml:space="preserve">in </w:t>
            </w:r>
            <w:r w:rsidR="00224561" w:rsidRPr="00054B17">
              <w:rPr>
                <w:rFonts w:cs="Arial"/>
              </w:rPr>
              <w:t>Gippsland</w:t>
            </w:r>
            <w:r w:rsidR="00054B17" w:rsidRPr="00054B17">
              <w:rPr>
                <w:rFonts w:cs="Arial"/>
              </w:rPr>
              <w:t xml:space="preserve"> and</w:t>
            </w:r>
            <w:r w:rsidR="00275821" w:rsidRPr="00054B17">
              <w:rPr>
                <w:rFonts w:cs="Arial"/>
              </w:rPr>
              <w:t xml:space="preserve"> </w:t>
            </w:r>
            <w:r w:rsidR="00224561" w:rsidRPr="00054B17">
              <w:rPr>
                <w:rFonts w:cs="Arial"/>
              </w:rPr>
              <w:t>Eastern Metropolitan</w:t>
            </w:r>
            <w:r w:rsidR="00275821" w:rsidRPr="00054B17">
              <w:rPr>
                <w:rFonts w:cs="Arial"/>
              </w:rPr>
              <w:t xml:space="preserve"> </w:t>
            </w:r>
            <w:r w:rsidR="00224561" w:rsidRPr="00054B17">
              <w:rPr>
                <w:rFonts w:cs="Arial"/>
              </w:rPr>
              <w:t xml:space="preserve">regions </w:t>
            </w:r>
            <w:r w:rsidRPr="00054B17">
              <w:rPr>
                <w:rFonts w:cs="Arial"/>
              </w:rPr>
              <w:t>w</w:t>
            </w:r>
            <w:r w:rsidR="00303E17" w:rsidRPr="00054B17">
              <w:rPr>
                <w:rFonts w:cs="Arial"/>
              </w:rPr>
              <w:t>ere</w:t>
            </w:r>
            <w:r w:rsidR="00275821" w:rsidRPr="00054B17">
              <w:rPr>
                <w:rFonts w:cs="Arial"/>
              </w:rPr>
              <w:t xml:space="preserve"> </w:t>
            </w:r>
            <w:r w:rsidR="00054B17" w:rsidRPr="00054B17">
              <w:rPr>
                <w:rFonts w:cs="Arial"/>
              </w:rPr>
              <w:t xml:space="preserve">lower </w:t>
            </w:r>
            <w:r w:rsidR="00224561" w:rsidRPr="00054B17">
              <w:rPr>
                <w:rFonts w:cs="Arial"/>
              </w:rPr>
              <w:t xml:space="preserve">in 2013 </w:t>
            </w:r>
            <w:r w:rsidR="00275821" w:rsidRPr="00054B17">
              <w:rPr>
                <w:rFonts w:cs="Arial"/>
              </w:rPr>
              <w:t xml:space="preserve">compared to </w:t>
            </w:r>
            <w:r w:rsidR="00054B17" w:rsidRPr="00054B17">
              <w:rPr>
                <w:rFonts w:cs="Arial"/>
              </w:rPr>
              <w:t>both</w:t>
            </w:r>
            <w:r w:rsidR="00224561" w:rsidRPr="00054B17">
              <w:rPr>
                <w:rFonts w:cs="Arial"/>
              </w:rPr>
              <w:t xml:space="preserve"> 2011 and 2012.</w:t>
            </w:r>
          </w:p>
          <w:p w:rsidR="00224561" w:rsidRPr="004E5359" w:rsidRDefault="00224561" w:rsidP="00D83827">
            <w:pPr>
              <w:pStyle w:val="ListBullet"/>
              <w:numPr>
                <w:ilvl w:val="0"/>
                <w:numId w:val="31"/>
              </w:numPr>
              <w:ind w:right="113"/>
              <w:jc w:val="left"/>
              <w:rPr>
                <w:rFonts w:cs="Arial"/>
              </w:rPr>
            </w:pPr>
            <w:r w:rsidRPr="004E5359">
              <w:rPr>
                <w:rFonts w:cs="Arial"/>
              </w:rPr>
              <w:t xml:space="preserve">Government subsidised </w:t>
            </w:r>
            <w:r w:rsidR="00790D75" w:rsidRPr="004E5359">
              <w:rPr>
                <w:rFonts w:cs="Arial"/>
              </w:rPr>
              <w:t xml:space="preserve">courses delivered </w:t>
            </w:r>
            <w:r w:rsidRPr="004E5359">
              <w:rPr>
                <w:rFonts w:cs="Arial"/>
              </w:rPr>
              <w:t xml:space="preserve">in Gippsland region in </w:t>
            </w:r>
            <w:r w:rsidR="006370CF" w:rsidRPr="004E5359">
              <w:rPr>
                <w:rFonts w:cs="Arial"/>
              </w:rPr>
              <w:t xml:space="preserve">2013 were </w:t>
            </w:r>
            <w:r w:rsidRPr="004E5359">
              <w:rPr>
                <w:rFonts w:cs="Arial"/>
              </w:rPr>
              <w:t>1</w:t>
            </w:r>
            <w:r w:rsidR="006370CF" w:rsidRPr="004E5359">
              <w:rPr>
                <w:rFonts w:cs="Arial"/>
              </w:rPr>
              <w:t>2</w:t>
            </w:r>
            <w:r w:rsidRPr="004E5359">
              <w:rPr>
                <w:rFonts w:cs="Arial"/>
              </w:rPr>
              <w:t xml:space="preserve"> per cent lower than 2011 and </w:t>
            </w:r>
            <w:r w:rsidR="004E5359" w:rsidRPr="004E5359">
              <w:rPr>
                <w:rFonts w:cs="Arial"/>
              </w:rPr>
              <w:t>9</w:t>
            </w:r>
            <w:r w:rsidRPr="004E5359">
              <w:rPr>
                <w:rFonts w:cs="Arial"/>
              </w:rPr>
              <w:t xml:space="preserve"> per cent lower than </w:t>
            </w:r>
            <w:r w:rsidR="00151BF0" w:rsidRPr="004E5359">
              <w:rPr>
                <w:rFonts w:cs="Arial"/>
              </w:rPr>
              <w:t xml:space="preserve">2012. </w:t>
            </w:r>
          </w:p>
          <w:p w:rsidR="00224561" w:rsidRPr="004E5359" w:rsidRDefault="00224561" w:rsidP="00D83827">
            <w:pPr>
              <w:pStyle w:val="ListBullet"/>
              <w:numPr>
                <w:ilvl w:val="0"/>
                <w:numId w:val="31"/>
              </w:numPr>
              <w:ind w:right="113"/>
              <w:jc w:val="left"/>
              <w:rPr>
                <w:rFonts w:cs="Arial"/>
              </w:rPr>
            </w:pPr>
            <w:r w:rsidRPr="004E5359">
              <w:rPr>
                <w:rFonts w:cs="Arial"/>
              </w:rPr>
              <w:t xml:space="preserve">Government subsidised </w:t>
            </w:r>
            <w:r w:rsidR="00FC664D" w:rsidRPr="004E5359">
              <w:rPr>
                <w:rFonts w:cs="Arial"/>
              </w:rPr>
              <w:t xml:space="preserve">courses delivered </w:t>
            </w:r>
            <w:r w:rsidRPr="004E5359">
              <w:rPr>
                <w:rFonts w:cs="Arial"/>
              </w:rPr>
              <w:t xml:space="preserve"> in Eastern Metropolitan region in 2013 were </w:t>
            </w:r>
            <w:r w:rsidR="005B3257">
              <w:rPr>
                <w:rFonts w:cs="Arial"/>
              </w:rPr>
              <w:t>10</w:t>
            </w:r>
            <w:r w:rsidRPr="004E5359">
              <w:rPr>
                <w:rFonts w:cs="Arial"/>
              </w:rPr>
              <w:t xml:space="preserve"> per cent </w:t>
            </w:r>
            <w:r w:rsidR="005B3257">
              <w:rPr>
                <w:rFonts w:cs="Arial"/>
              </w:rPr>
              <w:t>and 8</w:t>
            </w:r>
            <w:r w:rsidR="006370CF" w:rsidRPr="004E5359">
              <w:rPr>
                <w:rFonts w:cs="Arial"/>
              </w:rPr>
              <w:t xml:space="preserve"> per cent </w:t>
            </w:r>
            <w:r w:rsidRPr="004E5359">
              <w:rPr>
                <w:rFonts w:cs="Arial"/>
              </w:rPr>
              <w:t xml:space="preserve">lower </w:t>
            </w:r>
            <w:r w:rsidR="006370CF" w:rsidRPr="004E5359">
              <w:rPr>
                <w:rFonts w:cs="Arial"/>
              </w:rPr>
              <w:t xml:space="preserve">compared to </w:t>
            </w:r>
            <w:r w:rsidRPr="004E5359">
              <w:rPr>
                <w:rFonts w:cs="Arial"/>
              </w:rPr>
              <w:t>2011 and 2012</w:t>
            </w:r>
            <w:r w:rsidR="006370CF" w:rsidRPr="004E5359">
              <w:rPr>
                <w:rFonts w:cs="Arial"/>
              </w:rPr>
              <w:t>, respectively</w:t>
            </w:r>
            <w:r w:rsidRPr="004E5359">
              <w:rPr>
                <w:rFonts w:cs="Arial"/>
              </w:rPr>
              <w:t>.</w:t>
            </w:r>
            <w:r w:rsidR="006370CF" w:rsidRPr="004E5359">
              <w:rPr>
                <w:rFonts w:cs="Arial"/>
              </w:rPr>
              <w:t xml:space="preserve"> </w:t>
            </w:r>
          </w:p>
          <w:p w:rsidR="006370CF" w:rsidRPr="00F05562" w:rsidRDefault="006370CF" w:rsidP="004E5359">
            <w:pPr>
              <w:pStyle w:val="ListBullet"/>
              <w:numPr>
                <w:ilvl w:val="0"/>
                <w:numId w:val="0"/>
              </w:numPr>
              <w:ind w:right="113"/>
              <w:jc w:val="left"/>
              <w:rPr>
                <w:rFonts w:cs="Arial"/>
                <w:highlight w:val="yellow"/>
              </w:rPr>
            </w:pPr>
          </w:p>
        </w:tc>
      </w:tr>
    </w:tbl>
    <w:p w:rsidR="00224561" w:rsidRPr="001F29E3" w:rsidRDefault="00224561" w:rsidP="00224561">
      <w:pPr>
        <w:jc w:val="left"/>
        <w:rPr>
          <w:rFonts w:cs="Arial"/>
        </w:rPr>
      </w:pPr>
      <w:r w:rsidRPr="001F29E3">
        <w:rPr>
          <w:rFonts w:cs="Arial"/>
          <w:b/>
          <w:bCs/>
        </w:rPr>
        <w:br w:type="page"/>
      </w:r>
    </w:p>
    <w:p w:rsidR="00224561" w:rsidRDefault="00224561" w:rsidP="00932A44">
      <w:pPr>
        <w:rPr>
          <w:rFonts w:cs="Arial"/>
        </w:rPr>
      </w:pPr>
    </w:p>
    <w:p w:rsidR="00204000" w:rsidRDefault="00204000" w:rsidP="00156A0D">
      <w:pPr>
        <w:pStyle w:val="Caption"/>
        <w:spacing w:after="0"/>
        <w:jc w:val="left"/>
        <w:rPr>
          <w:rFonts w:cs="Arial"/>
          <w:color w:val="365F91" w:themeColor="accent1" w:themeShade="BF"/>
        </w:rPr>
      </w:pPr>
      <w:r w:rsidRPr="00C87D2F">
        <w:rPr>
          <w:rFonts w:cs="Arial"/>
          <w:color w:val="365F91" w:themeColor="accent1" w:themeShade="BF"/>
        </w:rPr>
        <w:t>Table 1.</w:t>
      </w:r>
      <w:r w:rsidR="00022B50" w:rsidRPr="00C87D2F">
        <w:rPr>
          <w:rFonts w:cs="Arial"/>
          <w:color w:val="365F91" w:themeColor="accent1" w:themeShade="BF"/>
        </w:rPr>
        <w:t>1</w:t>
      </w:r>
      <w:r w:rsidR="00D4000A">
        <w:rPr>
          <w:rFonts w:cs="Arial"/>
          <w:color w:val="365F91" w:themeColor="accent1" w:themeShade="BF"/>
        </w:rPr>
        <w:t>4</w:t>
      </w:r>
      <w:r w:rsidR="00001AF8" w:rsidRPr="00C87D2F">
        <w:rPr>
          <w:rFonts w:cs="Arial"/>
          <w:color w:val="365F91" w:themeColor="accent1" w:themeShade="BF"/>
        </w:rPr>
        <w:t>.1</w:t>
      </w:r>
      <w:r w:rsidRPr="00C87D2F">
        <w:rPr>
          <w:rFonts w:cs="Arial"/>
          <w:color w:val="365F91" w:themeColor="accent1" w:themeShade="BF"/>
        </w:rPr>
        <w:t>: Government subsidised enrolments by</w:t>
      </w:r>
      <w:r w:rsidR="00156A0D" w:rsidRPr="00C87D2F">
        <w:rPr>
          <w:rFonts w:cs="Arial"/>
          <w:color w:val="365F91" w:themeColor="accent1" w:themeShade="BF"/>
        </w:rPr>
        <w:t xml:space="preserve"> departmental </w:t>
      </w:r>
      <w:r w:rsidR="005B3257">
        <w:rPr>
          <w:rFonts w:cs="Arial"/>
          <w:color w:val="365F91" w:themeColor="accent1" w:themeShade="BF"/>
        </w:rPr>
        <w:t xml:space="preserve">delivery </w:t>
      </w:r>
      <w:r w:rsidR="00156A0D" w:rsidRPr="00C87D2F">
        <w:rPr>
          <w:rFonts w:cs="Arial"/>
          <w:color w:val="365F91" w:themeColor="accent1" w:themeShade="BF"/>
        </w:rPr>
        <w:t>region, 2008–2012</w:t>
      </w:r>
    </w:p>
    <w:tbl>
      <w:tblPr>
        <w:tblW w:w="908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380"/>
        <w:gridCol w:w="1120"/>
        <w:gridCol w:w="1120"/>
        <w:gridCol w:w="1120"/>
        <w:gridCol w:w="1120"/>
        <w:gridCol w:w="1120"/>
        <w:gridCol w:w="1100"/>
      </w:tblGrid>
      <w:tr w:rsidR="00C87D2F" w:rsidRPr="00C87D2F" w:rsidTr="0067087F">
        <w:trPr>
          <w:trHeight w:val="762"/>
        </w:trPr>
        <w:tc>
          <w:tcPr>
            <w:tcW w:w="2380" w:type="dxa"/>
            <w:shd w:val="clear" w:color="000000" w:fill="366092"/>
            <w:vAlign w:val="center"/>
            <w:hideMark/>
          </w:tcPr>
          <w:p w:rsidR="00C87D2F" w:rsidRPr="00C87D2F" w:rsidRDefault="00C87D2F" w:rsidP="00C87D2F">
            <w:pPr>
              <w:spacing w:after="0" w:line="240" w:lineRule="auto"/>
              <w:jc w:val="left"/>
              <w:rPr>
                <w:rFonts w:cs="Arial"/>
                <w:b/>
                <w:bCs/>
                <w:color w:val="FFFFFF"/>
                <w:sz w:val="18"/>
                <w:szCs w:val="18"/>
                <w:lang w:eastAsia="en-AU"/>
              </w:rPr>
            </w:pPr>
            <w:r w:rsidRPr="00C87D2F">
              <w:rPr>
                <w:rFonts w:cs="Arial"/>
                <w:b/>
                <w:bCs/>
                <w:color w:val="FFFFFF"/>
                <w:sz w:val="18"/>
                <w:szCs w:val="18"/>
                <w:lang w:eastAsia="en-AU"/>
              </w:rPr>
              <w:t>Delivery Location</w:t>
            </w:r>
          </w:p>
        </w:tc>
        <w:tc>
          <w:tcPr>
            <w:tcW w:w="1120" w:type="dxa"/>
            <w:shd w:val="clear" w:color="000000" w:fill="366092"/>
            <w:vAlign w:val="center"/>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2008</w:t>
            </w:r>
          </w:p>
        </w:tc>
        <w:tc>
          <w:tcPr>
            <w:tcW w:w="1120" w:type="dxa"/>
            <w:shd w:val="clear" w:color="000000" w:fill="366092"/>
            <w:vAlign w:val="center"/>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2009</w:t>
            </w:r>
          </w:p>
        </w:tc>
        <w:tc>
          <w:tcPr>
            <w:tcW w:w="1120" w:type="dxa"/>
            <w:shd w:val="clear" w:color="000000" w:fill="366092"/>
            <w:vAlign w:val="center"/>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2010</w:t>
            </w:r>
          </w:p>
        </w:tc>
        <w:tc>
          <w:tcPr>
            <w:tcW w:w="1120" w:type="dxa"/>
            <w:shd w:val="clear" w:color="000000" w:fill="366092"/>
            <w:vAlign w:val="center"/>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2011</w:t>
            </w:r>
          </w:p>
        </w:tc>
        <w:tc>
          <w:tcPr>
            <w:tcW w:w="1120" w:type="dxa"/>
            <w:shd w:val="clear" w:color="000000" w:fill="366092"/>
            <w:vAlign w:val="center"/>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2012</w:t>
            </w:r>
          </w:p>
        </w:tc>
        <w:tc>
          <w:tcPr>
            <w:tcW w:w="1100" w:type="dxa"/>
            <w:shd w:val="clear" w:color="000000" w:fill="366092"/>
            <w:vAlign w:val="center"/>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2013</w:t>
            </w:r>
          </w:p>
        </w:tc>
      </w:tr>
      <w:tr w:rsidR="00C87D2F" w:rsidRPr="00C87D2F" w:rsidTr="0067087F">
        <w:trPr>
          <w:trHeight w:val="342"/>
        </w:trPr>
        <w:tc>
          <w:tcPr>
            <w:tcW w:w="2380" w:type="dxa"/>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South-Western</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119,600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115,800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139,400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202,900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267,800 </w:t>
            </w:r>
          </w:p>
        </w:tc>
        <w:tc>
          <w:tcPr>
            <w:tcW w:w="110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253,300 </w:t>
            </w:r>
          </w:p>
        </w:tc>
      </w:tr>
      <w:tr w:rsidR="00C87D2F" w:rsidRPr="00C87D2F" w:rsidTr="0067087F">
        <w:trPr>
          <w:trHeight w:val="342"/>
        </w:trPr>
        <w:tc>
          <w:tcPr>
            <w:tcW w:w="2380" w:type="dxa"/>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North-Western</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70,500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80,300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84,700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101,500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124,400 </w:t>
            </w:r>
          </w:p>
        </w:tc>
        <w:tc>
          <w:tcPr>
            <w:tcW w:w="110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116,400 </w:t>
            </w:r>
          </w:p>
        </w:tc>
      </w:tr>
      <w:tr w:rsidR="00C87D2F" w:rsidRPr="00C87D2F" w:rsidTr="0067087F">
        <w:trPr>
          <w:trHeight w:val="342"/>
        </w:trPr>
        <w:tc>
          <w:tcPr>
            <w:tcW w:w="2380" w:type="dxa"/>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North-Eastern</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84,700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78,200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84,800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100,900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110,400 </w:t>
            </w:r>
          </w:p>
        </w:tc>
        <w:tc>
          <w:tcPr>
            <w:tcW w:w="110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115,000 </w:t>
            </w:r>
          </w:p>
        </w:tc>
      </w:tr>
      <w:tr w:rsidR="00C87D2F" w:rsidRPr="00C87D2F" w:rsidTr="0067087F">
        <w:trPr>
          <w:trHeight w:val="342"/>
        </w:trPr>
        <w:tc>
          <w:tcPr>
            <w:tcW w:w="2380" w:type="dxa"/>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South-Eastern</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90,300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90,000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104,300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128,100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157,100 </w:t>
            </w:r>
          </w:p>
        </w:tc>
        <w:tc>
          <w:tcPr>
            <w:tcW w:w="110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152,100 </w:t>
            </w:r>
          </w:p>
        </w:tc>
      </w:tr>
      <w:tr w:rsidR="00C87D2F" w:rsidRPr="00C87D2F" w:rsidTr="0067087F">
        <w:trPr>
          <w:trHeight w:val="342"/>
        </w:trPr>
        <w:tc>
          <w:tcPr>
            <w:tcW w:w="2380" w:type="dxa"/>
            <w:shd w:val="clear" w:color="000000" w:fill="366092"/>
            <w:noWrap/>
            <w:vAlign w:val="bottom"/>
            <w:hideMark/>
          </w:tcPr>
          <w:p w:rsidR="00C87D2F" w:rsidRPr="00C87D2F" w:rsidRDefault="00C87D2F" w:rsidP="00C87D2F">
            <w:pPr>
              <w:spacing w:after="0" w:line="240" w:lineRule="auto"/>
              <w:jc w:val="left"/>
              <w:rPr>
                <w:rFonts w:cs="Arial"/>
                <w:b/>
                <w:bCs/>
                <w:color w:val="FFFFFF"/>
                <w:sz w:val="18"/>
                <w:szCs w:val="18"/>
                <w:lang w:eastAsia="en-AU"/>
              </w:rPr>
            </w:pPr>
            <w:r w:rsidRPr="00C87D2F">
              <w:rPr>
                <w:rFonts w:cs="Arial"/>
                <w:b/>
                <w:bCs/>
                <w:color w:val="FFFFFF"/>
                <w:sz w:val="18"/>
                <w:szCs w:val="18"/>
                <w:lang w:eastAsia="en-AU"/>
              </w:rPr>
              <w:t>All Regions Total</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364,400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363,900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412,600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532,200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656,800 </w:t>
            </w:r>
          </w:p>
        </w:tc>
        <w:tc>
          <w:tcPr>
            <w:tcW w:w="110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634,100 </w:t>
            </w:r>
          </w:p>
        </w:tc>
      </w:tr>
      <w:tr w:rsidR="00C87D2F" w:rsidRPr="00C87D2F" w:rsidTr="0067087F">
        <w:trPr>
          <w:trHeight w:val="342"/>
        </w:trPr>
        <w:tc>
          <w:tcPr>
            <w:tcW w:w="2380" w:type="dxa"/>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Other</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17,400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13,400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15,100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17,600 </w:t>
            </w:r>
          </w:p>
        </w:tc>
        <w:tc>
          <w:tcPr>
            <w:tcW w:w="112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15,000 </w:t>
            </w:r>
          </w:p>
        </w:tc>
        <w:tc>
          <w:tcPr>
            <w:tcW w:w="1100" w:type="dxa"/>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 xml:space="preserve">12,200 </w:t>
            </w:r>
          </w:p>
        </w:tc>
      </w:tr>
      <w:tr w:rsidR="00C87D2F" w:rsidRPr="00C87D2F" w:rsidTr="0067087F">
        <w:trPr>
          <w:trHeight w:val="342"/>
        </w:trPr>
        <w:tc>
          <w:tcPr>
            <w:tcW w:w="2380" w:type="dxa"/>
            <w:shd w:val="clear" w:color="000000" w:fill="366092"/>
            <w:noWrap/>
            <w:vAlign w:val="bottom"/>
            <w:hideMark/>
          </w:tcPr>
          <w:p w:rsidR="00C87D2F" w:rsidRPr="00C87D2F" w:rsidRDefault="00C87D2F" w:rsidP="00C87D2F">
            <w:pPr>
              <w:spacing w:after="0" w:line="240" w:lineRule="auto"/>
              <w:jc w:val="left"/>
              <w:rPr>
                <w:rFonts w:cs="Arial"/>
                <w:b/>
                <w:bCs/>
                <w:color w:val="FFFFFF"/>
                <w:sz w:val="18"/>
                <w:szCs w:val="18"/>
                <w:lang w:eastAsia="en-AU"/>
              </w:rPr>
            </w:pPr>
            <w:r w:rsidRPr="00C87D2F">
              <w:rPr>
                <w:rFonts w:cs="Arial"/>
                <w:b/>
                <w:bCs/>
                <w:color w:val="FFFFFF"/>
                <w:sz w:val="18"/>
                <w:szCs w:val="18"/>
                <w:lang w:eastAsia="en-AU"/>
              </w:rPr>
              <w:t>Total VET</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381,300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376,800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426,900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548,700 </w:t>
            </w:r>
          </w:p>
        </w:tc>
        <w:tc>
          <w:tcPr>
            <w:tcW w:w="112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670,400 </w:t>
            </w:r>
          </w:p>
        </w:tc>
        <w:tc>
          <w:tcPr>
            <w:tcW w:w="1100" w:type="dxa"/>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xml:space="preserve">645,000 </w:t>
            </w:r>
          </w:p>
        </w:tc>
      </w:tr>
    </w:tbl>
    <w:p w:rsidR="00EE6BD1" w:rsidRPr="00156A0D" w:rsidRDefault="00156A0D" w:rsidP="00EE6BD1">
      <w:pPr>
        <w:jc w:val="left"/>
        <w:rPr>
          <w:rFonts w:cs="Arial"/>
          <w:bCs/>
          <w:sz w:val="16"/>
          <w:szCs w:val="16"/>
        </w:rPr>
      </w:pPr>
      <w:r w:rsidRPr="00156A0D">
        <w:rPr>
          <w:rFonts w:cs="Arial"/>
          <w:bCs/>
          <w:sz w:val="16"/>
          <w:szCs w:val="16"/>
        </w:rPr>
        <w:t>*Other: online and workplace delivery.</w:t>
      </w:r>
    </w:p>
    <w:p w:rsidR="00E30EDD" w:rsidRDefault="00EE6BD1" w:rsidP="00EE6BD1">
      <w:pPr>
        <w:jc w:val="left"/>
        <w:rPr>
          <w:rFonts w:cs="Arial"/>
        </w:rPr>
      </w:pPr>
      <w:r w:rsidRPr="001F29E3">
        <w:rPr>
          <w:rFonts w:cs="Arial"/>
        </w:rPr>
        <w:t xml:space="preserve"> </w:t>
      </w:r>
    </w:p>
    <w:p w:rsidR="00156A0D" w:rsidRPr="00C87D2F" w:rsidRDefault="00156A0D" w:rsidP="00156A0D">
      <w:pPr>
        <w:pStyle w:val="Caption"/>
        <w:spacing w:after="0"/>
        <w:jc w:val="left"/>
        <w:rPr>
          <w:rFonts w:cs="Arial"/>
          <w:color w:val="365F91" w:themeColor="accent1" w:themeShade="BF"/>
        </w:rPr>
      </w:pPr>
      <w:r w:rsidRPr="00C87D2F">
        <w:rPr>
          <w:rFonts w:cs="Arial"/>
          <w:color w:val="365F91" w:themeColor="accent1" w:themeShade="BF"/>
        </w:rPr>
        <w:t>Table 1.1</w:t>
      </w:r>
      <w:r w:rsidR="00D4000A">
        <w:rPr>
          <w:rFonts w:cs="Arial"/>
          <w:color w:val="365F91" w:themeColor="accent1" w:themeShade="BF"/>
        </w:rPr>
        <w:t>4</w:t>
      </w:r>
      <w:r w:rsidR="00001AF8" w:rsidRPr="00C87D2F">
        <w:rPr>
          <w:rFonts w:cs="Arial"/>
          <w:color w:val="365F91" w:themeColor="accent1" w:themeShade="BF"/>
        </w:rPr>
        <w:t>.2</w:t>
      </w:r>
      <w:r w:rsidR="00C87D2F">
        <w:rPr>
          <w:rFonts w:cs="Arial"/>
          <w:color w:val="365F91" w:themeColor="accent1" w:themeShade="BF"/>
        </w:rPr>
        <w:t>: Change in g</w:t>
      </w:r>
      <w:r w:rsidRPr="00C87D2F">
        <w:rPr>
          <w:rFonts w:cs="Arial"/>
          <w:color w:val="365F91" w:themeColor="accent1" w:themeShade="BF"/>
        </w:rPr>
        <w:t xml:space="preserve">overnment subsidised enrolments by departmental </w:t>
      </w:r>
      <w:r w:rsidR="005B3257">
        <w:rPr>
          <w:rFonts w:cs="Arial"/>
          <w:color w:val="365F91" w:themeColor="accent1" w:themeShade="BF"/>
        </w:rPr>
        <w:t xml:space="preserve">delivery </w:t>
      </w:r>
      <w:r w:rsidRPr="00C87D2F">
        <w:rPr>
          <w:rFonts w:cs="Arial"/>
          <w:color w:val="365F91" w:themeColor="accent1" w:themeShade="BF"/>
        </w:rPr>
        <w:t>region</w:t>
      </w:r>
    </w:p>
    <w:tbl>
      <w:tblPr>
        <w:tblW w:w="5740" w:type="dxa"/>
        <w:tblInd w:w="103" w:type="dxa"/>
        <w:tblLook w:val="04A0" w:firstRow="1" w:lastRow="0" w:firstColumn="1" w:lastColumn="0" w:noHBand="0" w:noVBand="1"/>
      </w:tblPr>
      <w:tblGrid>
        <w:gridCol w:w="2380"/>
        <w:gridCol w:w="1120"/>
        <w:gridCol w:w="1120"/>
        <w:gridCol w:w="1120"/>
      </w:tblGrid>
      <w:tr w:rsidR="00C87D2F" w:rsidRPr="00C87D2F" w:rsidTr="00C87D2F">
        <w:trPr>
          <w:trHeight w:val="762"/>
        </w:trPr>
        <w:tc>
          <w:tcPr>
            <w:tcW w:w="2380" w:type="dxa"/>
            <w:tcBorders>
              <w:top w:val="single" w:sz="4" w:space="0" w:color="366092"/>
              <w:left w:val="single" w:sz="4" w:space="0" w:color="366092"/>
              <w:bottom w:val="single" w:sz="4" w:space="0" w:color="366092"/>
              <w:right w:val="single" w:sz="4" w:space="0" w:color="366092"/>
            </w:tcBorders>
            <w:shd w:val="clear" w:color="000000" w:fill="366092"/>
            <w:vAlign w:val="center"/>
            <w:hideMark/>
          </w:tcPr>
          <w:p w:rsidR="00C87D2F" w:rsidRPr="00C87D2F" w:rsidRDefault="00C87D2F" w:rsidP="00C87D2F">
            <w:pPr>
              <w:spacing w:after="0" w:line="240" w:lineRule="auto"/>
              <w:jc w:val="left"/>
              <w:rPr>
                <w:rFonts w:cs="Arial"/>
                <w:b/>
                <w:bCs/>
                <w:color w:val="FFFFFF"/>
                <w:sz w:val="18"/>
                <w:szCs w:val="18"/>
                <w:lang w:eastAsia="en-AU"/>
              </w:rPr>
            </w:pPr>
            <w:r w:rsidRPr="00C87D2F">
              <w:rPr>
                <w:rFonts w:cs="Arial"/>
                <w:b/>
                <w:bCs/>
                <w:color w:val="FFFFFF"/>
                <w:sz w:val="18"/>
                <w:szCs w:val="18"/>
                <w:lang w:eastAsia="en-AU"/>
              </w:rPr>
              <w:t>Delivery Location</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change</w:t>
            </w:r>
            <w:r w:rsidRPr="00C87D2F">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change</w:t>
            </w:r>
            <w:r w:rsidRPr="00C87D2F">
              <w:rPr>
                <w:rFonts w:cs="Arial"/>
                <w:b/>
                <w:bCs/>
                <w:color w:val="FFFFFF"/>
                <w:sz w:val="18"/>
                <w:szCs w:val="18"/>
                <w:lang w:eastAsia="en-AU"/>
              </w:rPr>
              <w:br/>
              <w:t>2011-2013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 change</w:t>
            </w:r>
            <w:r w:rsidRPr="00C87D2F">
              <w:rPr>
                <w:rFonts w:cs="Arial"/>
                <w:b/>
                <w:bCs/>
                <w:color w:val="FFFFFF"/>
                <w:sz w:val="18"/>
                <w:szCs w:val="18"/>
                <w:lang w:eastAsia="en-AU"/>
              </w:rPr>
              <w:br/>
              <w:t>2012-2013</w:t>
            </w:r>
          </w:p>
        </w:tc>
      </w:tr>
      <w:tr w:rsidR="00C87D2F" w:rsidRPr="00C87D2F" w:rsidTr="00C87D2F">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South-Western</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112%</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25%</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-5%</w:t>
            </w:r>
          </w:p>
        </w:tc>
      </w:tr>
      <w:tr w:rsidR="00C87D2F" w:rsidRPr="00C87D2F" w:rsidTr="00C87D2F">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North-Western</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65%</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15%</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-6%</w:t>
            </w:r>
          </w:p>
        </w:tc>
      </w:tr>
      <w:tr w:rsidR="00C87D2F" w:rsidRPr="00C87D2F" w:rsidTr="00C87D2F">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North-Eastern</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36%</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14%</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4%</w:t>
            </w:r>
          </w:p>
        </w:tc>
      </w:tr>
      <w:tr w:rsidR="00C87D2F" w:rsidRPr="00C87D2F" w:rsidTr="00C87D2F">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South-Eastern</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68%</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19%</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ind w:firstLineChars="100" w:firstLine="180"/>
              <w:jc w:val="right"/>
              <w:rPr>
                <w:rFonts w:cs="Arial"/>
                <w:sz w:val="18"/>
                <w:szCs w:val="18"/>
                <w:lang w:eastAsia="en-AU"/>
              </w:rPr>
            </w:pPr>
            <w:r w:rsidRPr="00C87D2F">
              <w:rPr>
                <w:rFonts w:cs="Arial"/>
                <w:sz w:val="18"/>
                <w:szCs w:val="18"/>
                <w:lang w:eastAsia="en-AU"/>
              </w:rPr>
              <w:t>-3%</w:t>
            </w:r>
          </w:p>
        </w:tc>
      </w:tr>
      <w:tr w:rsidR="00C87D2F" w:rsidRPr="00C87D2F" w:rsidTr="00C87D2F">
        <w:trPr>
          <w:trHeight w:val="342"/>
        </w:trPr>
        <w:tc>
          <w:tcPr>
            <w:tcW w:w="2380" w:type="dxa"/>
            <w:tcBorders>
              <w:top w:val="nil"/>
              <w:left w:val="single" w:sz="4" w:space="0" w:color="366092"/>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jc w:val="left"/>
              <w:rPr>
                <w:rFonts w:cs="Arial"/>
                <w:b/>
                <w:bCs/>
                <w:color w:val="FFFFFF"/>
                <w:sz w:val="18"/>
                <w:szCs w:val="18"/>
                <w:lang w:eastAsia="en-AU"/>
              </w:rPr>
            </w:pPr>
            <w:r w:rsidRPr="00C87D2F">
              <w:rPr>
                <w:rFonts w:cs="Arial"/>
                <w:b/>
                <w:bCs/>
                <w:color w:val="FFFFFF"/>
                <w:sz w:val="18"/>
                <w:szCs w:val="18"/>
                <w:lang w:eastAsia="en-AU"/>
              </w:rPr>
              <w:t>All Regions Total</w:t>
            </w:r>
          </w:p>
        </w:tc>
        <w:tc>
          <w:tcPr>
            <w:tcW w:w="1120" w:type="dxa"/>
            <w:tcBorders>
              <w:top w:val="nil"/>
              <w:left w:val="nil"/>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74%</w:t>
            </w:r>
          </w:p>
        </w:tc>
        <w:tc>
          <w:tcPr>
            <w:tcW w:w="1120" w:type="dxa"/>
            <w:tcBorders>
              <w:top w:val="nil"/>
              <w:left w:val="nil"/>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19%</w:t>
            </w:r>
          </w:p>
        </w:tc>
        <w:tc>
          <w:tcPr>
            <w:tcW w:w="1120" w:type="dxa"/>
            <w:tcBorders>
              <w:top w:val="nil"/>
              <w:left w:val="nil"/>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ind w:firstLineChars="100" w:firstLine="181"/>
              <w:jc w:val="right"/>
              <w:rPr>
                <w:rFonts w:cs="Arial"/>
                <w:b/>
                <w:bCs/>
                <w:color w:val="FFFFFF"/>
                <w:sz w:val="18"/>
                <w:szCs w:val="18"/>
                <w:lang w:eastAsia="en-AU"/>
              </w:rPr>
            </w:pPr>
            <w:r w:rsidRPr="00C87D2F">
              <w:rPr>
                <w:rFonts w:cs="Arial"/>
                <w:b/>
                <w:bCs/>
                <w:color w:val="FFFFFF"/>
                <w:sz w:val="18"/>
                <w:szCs w:val="18"/>
                <w:lang w:eastAsia="en-AU"/>
              </w:rPr>
              <w:t>-3%</w:t>
            </w:r>
          </w:p>
        </w:tc>
      </w:tr>
      <w:tr w:rsidR="00C87D2F" w:rsidRPr="00C87D2F" w:rsidTr="00C87D2F">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C87D2F" w:rsidRPr="00C87D2F" w:rsidRDefault="00C87D2F" w:rsidP="00C87D2F">
            <w:pPr>
              <w:spacing w:after="0" w:line="240" w:lineRule="auto"/>
              <w:jc w:val="left"/>
              <w:rPr>
                <w:rFonts w:cs="Arial"/>
                <w:color w:val="366092"/>
                <w:sz w:val="18"/>
                <w:szCs w:val="18"/>
                <w:lang w:eastAsia="en-AU"/>
              </w:rPr>
            </w:pPr>
            <w:r w:rsidRPr="00C87D2F">
              <w:rPr>
                <w:rFonts w:cs="Arial"/>
                <w:color w:val="366092"/>
                <w:sz w:val="18"/>
                <w:szCs w:val="18"/>
                <w:lang w:eastAsia="en-AU"/>
              </w:rPr>
              <w:t>Other</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-30%</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-31%</w:t>
            </w:r>
          </w:p>
        </w:tc>
        <w:tc>
          <w:tcPr>
            <w:tcW w:w="1120" w:type="dxa"/>
            <w:tcBorders>
              <w:top w:val="nil"/>
              <w:left w:val="nil"/>
              <w:bottom w:val="single" w:sz="4" w:space="0" w:color="366092"/>
              <w:right w:val="single" w:sz="4" w:space="0" w:color="366092"/>
            </w:tcBorders>
            <w:shd w:val="clear" w:color="auto" w:fill="auto"/>
            <w:noWrap/>
            <w:vAlign w:val="bottom"/>
            <w:hideMark/>
          </w:tcPr>
          <w:p w:rsidR="00C87D2F" w:rsidRPr="00C87D2F" w:rsidRDefault="00C87D2F" w:rsidP="00C87D2F">
            <w:pPr>
              <w:spacing w:after="0" w:line="240" w:lineRule="auto"/>
              <w:jc w:val="right"/>
              <w:rPr>
                <w:rFonts w:cs="Arial"/>
                <w:sz w:val="18"/>
                <w:szCs w:val="18"/>
                <w:lang w:eastAsia="en-AU"/>
              </w:rPr>
            </w:pPr>
            <w:r w:rsidRPr="00C87D2F">
              <w:rPr>
                <w:rFonts w:cs="Arial"/>
                <w:sz w:val="18"/>
                <w:szCs w:val="18"/>
                <w:lang w:eastAsia="en-AU"/>
              </w:rPr>
              <w:t>-19%</w:t>
            </w:r>
          </w:p>
        </w:tc>
      </w:tr>
      <w:tr w:rsidR="00C87D2F" w:rsidRPr="00C87D2F" w:rsidTr="00C87D2F">
        <w:trPr>
          <w:trHeight w:val="342"/>
        </w:trPr>
        <w:tc>
          <w:tcPr>
            <w:tcW w:w="2380" w:type="dxa"/>
            <w:tcBorders>
              <w:top w:val="nil"/>
              <w:left w:val="single" w:sz="4" w:space="0" w:color="366092"/>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jc w:val="left"/>
              <w:rPr>
                <w:rFonts w:cs="Arial"/>
                <w:b/>
                <w:bCs/>
                <w:color w:val="FFFFFF"/>
                <w:sz w:val="18"/>
                <w:szCs w:val="18"/>
                <w:lang w:eastAsia="en-AU"/>
              </w:rPr>
            </w:pPr>
            <w:r w:rsidRPr="00C87D2F">
              <w:rPr>
                <w:rFonts w:cs="Arial"/>
                <w:b/>
                <w:bCs/>
                <w:color w:val="FFFFFF"/>
                <w:sz w:val="18"/>
                <w:szCs w:val="18"/>
                <w:lang w:eastAsia="en-AU"/>
              </w:rPr>
              <w:t>Total VET</w:t>
            </w:r>
          </w:p>
        </w:tc>
        <w:tc>
          <w:tcPr>
            <w:tcW w:w="1120" w:type="dxa"/>
            <w:tcBorders>
              <w:top w:val="nil"/>
              <w:left w:val="nil"/>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69%</w:t>
            </w:r>
          </w:p>
        </w:tc>
        <w:tc>
          <w:tcPr>
            <w:tcW w:w="1120" w:type="dxa"/>
            <w:tcBorders>
              <w:top w:val="nil"/>
              <w:left w:val="nil"/>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18%</w:t>
            </w:r>
          </w:p>
        </w:tc>
        <w:tc>
          <w:tcPr>
            <w:tcW w:w="1120" w:type="dxa"/>
            <w:tcBorders>
              <w:top w:val="nil"/>
              <w:left w:val="nil"/>
              <w:bottom w:val="single" w:sz="4" w:space="0" w:color="366092"/>
              <w:right w:val="single" w:sz="4" w:space="0" w:color="366092"/>
            </w:tcBorders>
            <w:shd w:val="clear" w:color="000000" w:fill="366092"/>
            <w:noWrap/>
            <w:vAlign w:val="bottom"/>
            <w:hideMark/>
          </w:tcPr>
          <w:p w:rsidR="00C87D2F" w:rsidRPr="00C87D2F" w:rsidRDefault="00C87D2F" w:rsidP="00C87D2F">
            <w:pPr>
              <w:spacing w:after="0" w:line="240" w:lineRule="auto"/>
              <w:jc w:val="right"/>
              <w:rPr>
                <w:rFonts w:cs="Arial"/>
                <w:b/>
                <w:bCs/>
                <w:color w:val="FFFFFF"/>
                <w:sz w:val="18"/>
                <w:szCs w:val="18"/>
                <w:lang w:eastAsia="en-AU"/>
              </w:rPr>
            </w:pPr>
            <w:r w:rsidRPr="00C87D2F">
              <w:rPr>
                <w:rFonts w:cs="Arial"/>
                <w:b/>
                <w:bCs/>
                <w:color w:val="FFFFFF"/>
                <w:sz w:val="18"/>
                <w:szCs w:val="18"/>
                <w:lang w:eastAsia="en-AU"/>
              </w:rPr>
              <w:t>-4%</w:t>
            </w:r>
          </w:p>
        </w:tc>
      </w:tr>
    </w:tbl>
    <w:p w:rsidR="00156A0D" w:rsidRPr="00156A0D" w:rsidRDefault="00156A0D" w:rsidP="00156A0D">
      <w:pPr>
        <w:jc w:val="left"/>
        <w:rPr>
          <w:rFonts w:cs="Arial"/>
          <w:bCs/>
          <w:sz w:val="16"/>
          <w:szCs w:val="16"/>
        </w:rPr>
      </w:pPr>
      <w:r w:rsidRPr="00156A0D">
        <w:rPr>
          <w:rFonts w:cs="Arial"/>
          <w:bCs/>
          <w:sz w:val="16"/>
          <w:szCs w:val="16"/>
        </w:rPr>
        <w:t>*Other: online and workplace delivery.</w:t>
      </w:r>
    </w:p>
    <w:p w:rsidR="00156A0D" w:rsidRPr="001F29E3" w:rsidRDefault="00156A0D" w:rsidP="00EE6BD1">
      <w:pPr>
        <w:jc w:val="left"/>
        <w:rPr>
          <w:rFonts w:cs="Arial"/>
        </w:rPr>
      </w:pPr>
    </w:p>
    <w:p w:rsidR="007A070F" w:rsidRDefault="007A070F">
      <w:pPr>
        <w:spacing w:after="0" w:line="240" w:lineRule="auto"/>
        <w:jc w:val="left"/>
        <w:rPr>
          <w:rFonts w:cs="Arial"/>
          <w:b/>
          <w:bCs/>
          <w:color w:val="76923C" w:themeColor="accent3" w:themeShade="BF"/>
          <w:sz w:val="18"/>
          <w:szCs w:val="16"/>
        </w:rPr>
      </w:pPr>
      <w:r>
        <w:rPr>
          <w:rFonts w:cs="Arial"/>
        </w:rPr>
        <w:br w:type="page"/>
      </w:r>
    </w:p>
    <w:p w:rsidR="00E30EDD" w:rsidRPr="00C87D2F" w:rsidRDefault="00E30EDD" w:rsidP="000A1C0E">
      <w:pPr>
        <w:pStyle w:val="Caption"/>
        <w:spacing w:after="0"/>
        <w:jc w:val="left"/>
        <w:rPr>
          <w:rFonts w:cs="Arial"/>
          <w:color w:val="365F91" w:themeColor="accent1" w:themeShade="BF"/>
        </w:rPr>
      </w:pPr>
      <w:r w:rsidRPr="00C87D2F">
        <w:rPr>
          <w:rFonts w:cs="Arial"/>
          <w:color w:val="365F91" w:themeColor="accent1" w:themeShade="BF"/>
        </w:rPr>
        <w:t>Table 1.</w:t>
      </w:r>
      <w:r w:rsidR="00022B50" w:rsidRPr="00C87D2F">
        <w:rPr>
          <w:rFonts w:cs="Arial"/>
          <w:color w:val="365F91" w:themeColor="accent1" w:themeShade="BF"/>
        </w:rPr>
        <w:t>1</w:t>
      </w:r>
      <w:r w:rsidR="008A6CD7">
        <w:rPr>
          <w:rFonts w:cs="Arial"/>
          <w:color w:val="365F91" w:themeColor="accent1" w:themeShade="BF"/>
        </w:rPr>
        <w:t>5</w:t>
      </w:r>
      <w:r w:rsidR="000A1C0E" w:rsidRPr="00C87D2F">
        <w:rPr>
          <w:rFonts w:cs="Arial"/>
          <w:color w:val="365F91" w:themeColor="accent1" w:themeShade="BF"/>
        </w:rPr>
        <w:t>.1</w:t>
      </w:r>
      <w:r w:rsidRPr="00C87D2F">
        <w:rPr>
          <w:rFonts w:cs="Arial"/>
          <w:color w:val="365F91" w:themeColor="accent1" w:themeShade="BF"/>
        </w:rPr>
        <w:t xml:space="preserve">: Government subsidised enrolments by </w:t>
      </w:r>
      <w:r w:rsidR="005B3257">
        <w:rPr>
          <w:rFonts w:cs="Arial"/>
          <w:color w:val="365F91" w:themeColor="accent1" w:themeShade="BF"/>
        </w:rPr>
        <w:t xml:space="preserve">delivery </w:t>
      </w:r>
      <w:r w:rsidRPr="00C87D2F">
        <w:rPr>
          <w:rFonts w:cs="Arial"/>
          <w:color w:val="365F91" w:themeColor="accent1" w:themeShade="BF"/>
        </w:rPr>
        <w:t>region, 2008–201</w:t>
      </w:r>
      <w:r w:rsidR="00386BD7">
        <w:rPr>
          <w:rFonts w:cs="Arial"/>
          <w:color w:val="365F91" w:themeColor="accent1" w:themeShade="BF"/>
        </w:rPr>
        <w:t>3</w:t>
      </w:r>
    </w:p>
    <w:tbl>
      <w:tblPr>
        <w:tblW w:w="908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380"/>
        <w:gridCol w:w="1120"/>
        <w:gridCol w:w="1120"/>
        <w:gridCol w:w="1120"/>
        <w:gridCol w:w="1120"/>
        <w:gridCol w:w="1120"/>
        <w:gridCol w:w="1100"/>
      </w:tblGrid>
      <w:tr w:rsidR="009A14DC" w:rsidRPr="009A14DC" w:rsidTr="0067087F">
        <w:trPr>
          <w:trHeight w:val="762"/>
        </w:trPr>
        <w:tc>
          <w:tcPr>
            <w:tcW w:w="2380" w:type="dxa"/>
            <w:shd w:val="clear" w:color="000000" w:fill="366092"/>
            <w:noWrap/>
            <w:vAlign w:val="center"/>
            <w:hideMark/>
          </w:tcPr>
          <w:p w:rsidR="009A14DC" w:rsidRPr="009A14DC" w:rsidRDefault="009A14DC" w:rsidP="009A14DC">
            <w:pPr>
              <w:spacing w:after="0" w:line="240" w:lineRule="auto"/>
              <w:jc w:val="left"/>
              <w:rPr>
                <w:rFonts w:cs="Arial"/>
                <w:b/>
                <w:bCs/>
                <w:color w:val="FFFFFF"/>
                <w:sz w:val="18"/>
                <w:szCs w:val="18"/>
                <w:lang w:eastAsia="en-AU"/>
              </w:rPr>
            </w:pPr>
            <w:r w:rsidRPr="009A14DC">
              <w:rPr>
                <w:rFonts w:cs="Arial"/>
                <w:b/>
                <w:bCs/>
                <w:color w:val="FFFFFF"/>
                <w:sz w:val="18"/>
                <w:szCs w:val="18"/>
                <w:lang w:eastAsia="en-AU"/>
              </w:rPr>
              <w:t>Delivery Location</w:t>
            </w:r>
          </w:p>
        </w:tc>
        <w:tc>
          <w:tcPr>
            <w:tcW w:w="1120" w:type="dxa"/>
            <w:shd w:val="clear" w:color="000000" w:fill="366092"/>
            <w:vAlign w:val="center"/>
            <w:hideMark/>
          </w:tcPr>
          <w:p w:rsidR="009A14DC" w:rsidRPr="009A14DC" w:rsidRDefault="009A14DC" w:rsidP="009A14DC">
            <w:pPr>
              <w:spacing w:after="0" w:line="240" w:lineRule="auto"/>
              <w:ind w:firstLineChars="100" w:firstLine="181"/>
              <w:jc w:val="right"/>
              <w:rPr>
                <w:rFonts w:cs="Arial"/>
                <w:b/>
                <w:bCs/>
                <w:color w:val="FFFFFF"/>
                <w:sz w:val="18"/>
                <w:szCs w:val="18"/>
                <w:lang w:eastAsia="en-AU"/>
              </w:rPr>
            </w:pPr>
            <w:r w:rsidRPr="009A14DC">
              <w:rPr>
                <w:rFonts w:cs="Arial"/>
                <w:b/>
                <w:bCs/>
                <w:color w:val="FFFFFF"/>
                <w:sz w:val="18"/>
                <w:szCs w:val="18"/>
                <w:lang w:eastAsia="en-AU"/>
              </w:rPr>
              <w:t>2008</w:t>
            </w:r>
          </w:p>
        </w:tc>
        <w:tc>
          <w:tcPr>
            <w:tcW w:w="1120" w:type="dxa"/>
            <w:shd w:val="clear" w:color="000000" w:fill="366092"/>
            <w:vAlign w:val="center"/>
            <w:hideMark/>
          </w:tcPr>
          <w:p w:rsidR="009A14DC" w:rsidRPr="009A14DC" w:rsidRDefault="009A14DC" w:rsidP="009A14DC">
            <w:pPr>
              <w:spacing w:after="0" w:line="240" w:lineRule="auto"/>
              <w:ind w:firstLineChars="100" w:firstLine="181"/>
              <w:jc w:val="right"/>
              <w:rPr>
                <w:rFonts w:cs="Arial"/>
                <w:b/>
                <w:bCs/>
                <w:color w:val="FFFFFF"/>
                <w:sz w:val="18"/>
                <w:szCs w:val="18"/>
                <w:lang w:eastAsia="en-AU"/>
              </w:rPr>
            </w:pPr>
            <w:r w:rsidRPr="009A14DC">
              <w:rPr>
                <w:rFonts w:cs="Arial"/>
                <w:b/>
                <w:bCs/>
                <w:color w:val="FFFFFF"/>
                <w:sz w:val="18"/>
                <w:szCs w:val="18"/>
                <w:lang w:eastAsia="en-AU"/>
              </w:rPr>
              <w:t>2009</w:t>
            </w:r>
          </w:p>
        </w:tc>
        <w:tc>
          <w:tcPr>
            <w:tcW w:w="1120" w:type="dxa"/>
            <w:shd w:val="clear" w:color="000000" w:fill="366092"/>
            <w:vAlign w:val="center"/>
            <w:hideMark/>
          </w:tcPr>
          <w:p w:rsidR="009A14DC" w:rsidRPr="009A14DC" w:rsidRDefault="009A14DC" w:rsidP="009A14DC">
            <w:pPr>
              <w:spacing w:after="0" w:line="240" w:lineRule="auto"/>
              <w:ind w:firstLineChars="100" w:firstLine="181"/>
              <w:jc w:val="right"/>
              <w:rPr>
                <w:rFonts w:cs="Arial"/>
                <w:b/>
                <w:bCs/>
                <w:color w:val="FFFFFF"/>
                <w:sz w:val="18"/>
                <w:szCs w:val="18"/>
                <w:lang w:eastAsia="en-AU"/>
              </w:rPr>
            </w:pPr>
            <w:r w:rsidRPr="009A14DC">
              <w:rPr>
                <w:rFonts w:cs="Arial"/>
                <w:b/>
                <w:bCs/>
                <w:color w:val="FFFFFF"/>
                <w:sz w:val="18"/>
                <w:szCs w:val="18"/>
                <w:lang w:eastAsia="en-AU"/>
              </w:rPr>
              <w:t>2010</w:t>
            </w:r>
          </w:p>
        </w:tc>
        <w:tc>
          <w:tcPr>
            <w:tcW w:w="1120" w:type="dxa"/>
            <w:shd w:val="clear" w:color="000000" w:fill="366092"/>
            <w:vAlign w:val="center"/>
            <w:hideMark/>
          </w:tcPr>
          <w:p w:rsidR="009A14DC" w:rsidRPr="009A14DC" w:rsidRDefault="009A14DC" w:rsidP="009A14DC">
            <w:pPr>
              <w:spacing w:after="0" w:line="240" w:lineRule="auto"/>
              <w:ind w:firstLineChars="100" w:firstLine="181"/>
              <w:jc w:val="right"/>
              <w:rPr>
                <w:rFonts w:cs="Arial"/>
                <w:b/>
                <w:bCs/>
                <w:color w:val="FFFFFF"/>
                <w:sz w:val="18"/>
                <w:szCs w:val="18"/>
                <w:lang w:eastAsia="en-AU"/>
              </w:rPr>
            </w:pPr>
            <w:r w:rsidRPr="009A14DC">
              <w:rPr>
                <w:rFonts w:cs="Arial"/>
                <w:b/>
                <w:bCs/>
                <w:color w:val="FFFFFF"/>
                <w:sz w:val="18"/>
                <w:szCs w:val="18"/>
                <w:lang w:eastAsia="en-AU"/>
              </w:rPr>
              <w:t>2011</w:t>
            </w:r>
          </w:p>
        </w:tc>
        <w:tc>
          <w:tcPr>
            <w:tcW w:w="1120" w:type="dxa"/>
            <w:shd w:val="clear" w:color="000000" w:fill="366092"/>
            <w:vAlign w:val="center"/>
            <w:hideMark/>
          </w:tcPr>
          <w:p w:rsidR="009A14DC" w:rsidRPr="009A14DC" w:rsidRDefault="009A14DC" w:rsidP="009A14DC">
            <w:pPr>
              <w:spacing w:after="0" w:line="240" w:lineRule="auto"/>
              <w:ind w:firstLineChars="100" w:firstLine="181"/>
              <w:jc w:val="right"/>
              <w:rPr>
                <w:rFonts w:cs="Arial"/>
                <w:b/>
                <w:bCs/>
                <w:color w:val="FFFFFF"/>
                <w:sz w:val="18"/>
                <w:szCs w:val="18"/>
                <w:lang w:eastAsia="en-AU"/>
              </w:rPr>
            </w:pPr>
            <w:r w:rsidRPr="009A14DC">
              <w:rPr>
                <w:rFonts w:cs="Arial"/>
                <w:b/>
                <w:bCs/>
                <w:color w:val="FFFFFF"/>
                <w:sz w:val="18"/>
                <w:szCs w:val="18"/>
                <w:lang w:eastAsia="en-AU"/>
              </w:rPr>
              <w:t>2012</w:t>
            </w:r>
          </w:p>
        </w:tc>
        <w:tc>
          <w:tcPr>
            <w:tcW w:w="1100" w:type="dxa"/>
            <w:shd w:val="clear" w:color="000000" w:fill="366092"/>
            <w:vAlign w:val="center"/>
            <w:hideMark/>
          </w:tcPr>
          <w:p w:rsidR="009A14DC" w:rsidRPr="009A14DC" w:rsidRDefault="009A14DC" w:rsidP="009A14DC">
            <w:pPr>
              <w:spacing w:after="0" w:line="240" w:lineRule="auto"/>
              <w:ind w:firstLineChars="100" w:firstLine="181"/>
              <w:jc w:val="right"/>
              <w:rPr>
                <w:rFonts w:cs="Arial"/>
                <w:b/>
                <w:bCs/>
                <w:color w:val="FFFFFF"/>
                <w:sz w:val="18"/>
                <w:szCs w:val="18"/>
                <w:lang w:eastAsia="en-AU"/>
              </w:rPr>
            </w:pPr>
            <w:r w:rsidRPr="009A14DC">
              <w:rPr>
                <w:rFonts w:cs="Arial"/>
                <w:b/>
                <w:bCs/>
                <w:color w:val="FFFFFF"/>
                <w:sz w:val="18"/>
                <w:szCs w:val="18"/>
                <w:lang w:eastAsia="en-AU"/>
              </w:rPr>
              <w:t>2013</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Barwon South West</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28,800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31,800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35,800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50,100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62,500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52,000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Grampians</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14,600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16,200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15,000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17,200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18,900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17,900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Loddon Mallee</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23,600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27,900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28,300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32,800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37,100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33,200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Hume</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29,100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26,000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24,700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27,300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34,400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47,100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Gippsland</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26,700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22,400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22,500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20,500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19,700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18,000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Eastern Metropolitan</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55,500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52,200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60,100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73,600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76,000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68,100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Western Metropolitan</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76,300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67,900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88,600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135,800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186,400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183,600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Southern Metropolitan</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63,600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67,700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81,800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107,600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137,400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134,100</w:t>
            </w:r>
          </w:p>
        </w:tc>
      </w:tr>
      <w:tr w:rsidR="009A14DC" w:rsidRPr="009A14DC" w:rsidTr="0067087F">
        <w:trPr>
          <w:trHeight w:val="342"/>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Northern Metropolitan</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46,900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52,400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56,400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68,700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87,300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83,200</w:t>
            </w:r>
          </w:p>
        </w:tc>
      </w:tr>
      <w:tr w:rsidR="009A14DC" w:rsidRPr="009A14DC" w:rsidTr="0067087F">
        <w:trPr>
          <w:trHeight w:val="342"/>
        </w:trPr>
        <w:tc>
          <w:tcPr>
            <w:tcW w:w="2380" w:type="dxa"/>
            <w:shd w:val="clear" w:color="000000" w:fill="366092"/>
            <w:noWrap/>
            <w:vAlign w:val="bottom"/>
            <w:hideMark/>
          </w:tcPr>
          <w:p w:rsidR="009A14DC" w:rsidRPr="009A14DC" w:rsidRDefault="009A14DC" w:rsidP="009A14DC">
            <w:pPr>
              <w:spacing w:after="0" w:line="240" w:lineRule="auto"/>
              <w:jc w:val="left"/>
              <w:rPr>
                <w:rFonts w:cs="Arial"/>
                <w:b/>
                <w:bCs/>
                <w:color w:val="FFFFFF"/>
                <w:sz w:val="18"/>
                <w:szCs w:val="18"/>
                <w:lang w:eastAsia="en-AU"/>
              </w:rPr>
            </w:pPr>
            <w:r w:rsidRPr="009A14DC">
              <w:rPr>
                <w:rFonts w:cs="Arial"/>
                <w:b/>
                <w:bCs/>
                <w:color w:val="FFFFFF"/>
                <w:sz w:val="18"/>
                <w:szCs w:val="18"/>
                <w:lang w:eastAsia="en-AU"/>
              </w:rPr>
              <w:t>All Regions Total</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364,400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363,900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412,600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532,200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656,800</w:t>
            </w:r>
          </w:p>
        </w:tc>
        <w:tc>
          <w:tcPr>
            <w:tcW w:w="110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634,100</w:t>
            </w:r>
          </w:p>
        </w:tc>
      </w:tr>
      <w:tr w:rsidR="009A14DC" w:rsidRPr="009A14DC" w:rsidTr="0067087F">
        <w:trPr>
          <w:trHeight w:val="300"/>
        </w:trPr>
        <w:tc>
          <w:tcPr>
            <w:tcW w:w="2380" w:type="dxa"/>
            <w:shd w:val="clear" w:color="000000" w:fill="FFFFFF"/>
            <w:noWrap/>
            <w:vAlign w:val="bottom"/>
            <w:hideMark/>
          </w:tcPr>
          <w:p w:rsidR="009A14DC" w:rsidRPr="009A14DC" w:rsidRDefault="009A14DC" w:rsidP="009A14DC">
            <w:pPr>
              <w:spacing w:after="0" w:line="240" w:lineRule="auto"/>
              <w:jc w:val="left"/>
              <w:rPr>
                <w:rFonts w:cs="Arial"/>
                <w:color w:val="366092"/>
                <w:sz w:val="18"/>
                <w:szCs w:val="18"/>
                <w:lang w:eastAsia="en-AU"/>
              </w:rPr>
            </w:pPr>
            <w:r w:rsidRPr="009A14DC">
              <w:rPr>
                <w:rFonts w:cs="Arial"/>
                <w:color w:val="366092"/>
                <w:sz w:val="18"/>
                <w:szCs w:val="18"/>
                <w:lang w:eastAsia="en-AU"/>
              </w:rPr>
              <w:t>Other</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17,400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13,400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15,100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17,600</w:t>
            </w:r>
          </w:p>
        </w:tc>
        <w:tc>
          <w:tcPr>
            <w:tcW w:w="112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15,000</w:t>
            </w:r>
          </w:p>
        </w:tc>
        <w:tc>
          <w:tcPr>
            <w:tcW w:w="1100" w:type="dxa"/>
            <w:shd w:val="clear" w:color="auto" w:fill="auto"/>
            <w:noWrap/>
            <w:vAlign w:val="center"/>
            <w:hideMark/>
          </w:tcPr>
          <w:p w:rsidR="009A14DC" w:rsidRPr="009A14DC" w:rsidRDefault="009A14DC" w:rsidP="009A14DC">
            <w:pPr>
              <w:spacing w:after="0" w:line="240" w:lineRule="auto"/>
              <w:jc w:val="right"/>
              <w:rPr>
                <w:rFonts w:cs="Arial"/>
                <w:sz w:val="18"/>
                <w:szCs w:val="18"/>
                <w:lang w:eastAsia="en-AU"/>
              </w:rPr>
            </w:pPr>
            <w:r w:rsidRPr="009A14DC">
              <w:rPr>
                <w:rFonts w:cs="Arial"/>
                <w:sz w:val="18"/>
                <w:szCs w:val="18"/>
                <w:lang w:eastAsia="en-AU"/>
              </w:rPr>
              <w:t>12,200</w:t>
            </w:r>
          </w:p>
        </w:tc>
      </w:tr>
      <w:tr w:rsidR="009A14DC" w:rsidRPr="009A14DC" w:rsidTr="0067087F">
        <w:trPr>
          <w:trHeight w:val="300"/>
        </w:trPr>
        <w:tc>
          <w:tcPr>
            <w:tcW w:w="2380" w:type="dxa"/>
            <w:shd w:val="clear" w:color="000000" w:fill="366092"/>
            <w:noWrap/>
            <w:vAlign w:val="bottom"/>
            <w:hideMark/>
          </w:tcPr>
          <w:p w:rsidR="009A14DC" w:rsidRPr="009A14DC" w:rsidRDefault="009A14DC" w:rsidP="009A14DC">
            <w:pPr>
              <w:spacing w:after="0" w:line="240" w:lineRule="auto"/>
              <w:jc w:val="left"/>
              <w:rPr>
                <w:rFonts w:cs="Arial"/>
                <w:b/>
                <w:bCs/>
                <w:color w:val="FFFFFF"/>
                <w:sz w:val="18"/>
                <w:szCs w:val="18"/>
                <w:lang w:eastAsia="en-AU"/>
              </w:rPr>
            </w:pPr>
            <w:r w:rsidRPr="009A14DC">
              <w:rPr>
                <w:rFonts w:cs="Arial"/>
                <w:b/>
                <w:bCs/>
                <w:color w:val="FFFFFF"/>
                <w:sz w:val="18"/>
                <w:szCs w:val="18"/>
                <w:lang w:eastAsia="en-AU"/>
              </w:rPr>
              <w:t>Total VET</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381,300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376,800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426,900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548,700</w:t>
            </w:r>
          </w:p>
        </w:tc>
        <w:tc>
          <w:tcPr>
            <w:tcW w:w="112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670,400</w:t>
            </w:r>
          </w:p>
        </w:tc>
        <w:tc>
          <w:tcPr>
            <w:tcW w:w="1100" w:type="dxa"/>
            <w:shd w:val="clear" w:color="000000" w:fill="366092"/>
            <w:noWrap/>
            <w:vAlign w:val="center"/>
            <w:hideMark/>
          </w:tcPr>
          <w:p w:rsidR="009A14DC" w:rsidRPr="009A14DC" w:rsidRDefault="009A14DC" w:rsidP="009A14DC">
            <w:pPr>
              <w:spacing w:after="0" w:line="240" w:lineRule="auto"/>
              <w:jc w:val="right"/>
              <w:rPr>
                <w:rFonts w:cs="Arial"/>
                <w:b/>
                <w:bCs/>
                <w:color w:val="FFFFFF"/>
                <w:sz w:val="18"/>
                <w:szCs w:val="18"/>
                <w:lang w:eastAsia="en-AU"/>
              </w:rPr>
            </w:pPr>
            <w:r w:rsidRPr="009A14DC">
              <w:rPr>
                <w:rFonts w:cs="Arial"/>
                <w:b/>
                <w:bCs/>
                <w:color w:val="FFFFFF"/>
                <w:sz w:val="18"/>
                <w:szCs w:val="18"/>
                <w:lang w:eastAsia="en-AU"/>
              </w:rPr>
              <w:t>645,000</w:t>
            </w:r>
          </w:p>
        </w:tc>
      </w:tr>
    </w:tbl>
    <w:p w:rsidR="00C87D2F" w:rsidRPr="00C87D2F" w:rsidRDefault="00C87D2F" w:rsidP="00C87D2F"/>
    <w:p w:rsidR="00E30EDD" w:rsidRPr="001F29E3" w:rsidRDefault="00E30EDD" w:rsidP="00EE6BD1">
      <w:pPr>
        <w:jc w:val="left"/>
        <w:rPr>
          <w:rFonts w:cs="Arial"/>
        </w:rPr>
      </w:pPr>
    </w:p>
    <w:p w:rsidR="00FD0A55" w:rsidRDefault="00FD0A55" w:rsidP="000A1C0E">
      <w:pPr>
        <w:pStyle w:val="Caption"/>
        <w:spacing w:after="0"/>
        <w:jc w:val="left"/>
        <w:rPr>
          <w:rFonts w:cs="Arial"/>
          <w:color w:val="365F91" w:themeColor="accent1" w:themeShade="BF"/>
        </w:rPr>
      </w:pPr>
      <w:r w:rsidRPr="009A14DC">
        <w:rPr>
          <w:rFonts w:cs="Arial"/>
          <w:color w:val="365F91" w:themeColor="accent1" w:themeShade="BF"/>
        </w:rPr>
        <w:t>Table 1.</w:t>
      </w:r>
      <w:r w:rsidR="000A1C0E" w:rsidRPr="009A14DC">
        <w:rPr>
          <w:rFonts w:cs="Arial"/>
          <w:color w:val="365F91" w:themeColor="accent1" w:themeShade="BF"/>
        </w:rPr>
        <w:t>1</w:t>
      </w:r>
      <w:r w:rsidR="008A6CD7">
        <w:rPr>
          <w:rFonts w:cs="Arial"/>
          <w:color w:val="365F91" w:themeColor="accent1" w:themeShade="BF"/>
        </w:rPr>
        <w:t>5</w:t>
      </w:r>
      <w:r w:rsidR="000A1C0E" w:rsidRPr="009A14DC">
        <w:rPr>
          <w:rFonts w:cs="Arial"/>
          <w:color w:val="365F91" w:themeColor="accent1" w:themeShade="BF"/>
        </w:rPr>
        <w:t>.2</w:t>
      </w:r>
      <w:r w:rsidR="003D475D">
        <w:rPr>
          <w:rFonts w:cs="Arial"/>
          <w:color w:val="365F91" w:themeColor="accent1" w:themeShade="BF"/>
        </w:rPr>
        <w:t>: Change in g</w:t>
      </w:r>
      <w:r w:rsidRPr="009A14DC">
        <w:rPr>
          <w:rFonts w:cs="Arial"/>
          <w:color w:val="365F91" w:themeColor="accent1" w:themeShade="BF"/>
        </w:rPr>
        <w:t xml:space="preserve">overnment subsidised enrolments by </w:t>
      </w:r>
      <w:r w:rsidR="005B3257">
        <w:rPr>
          <w:rFonts w:cs="Arial"/>
          <w:color w:val="365F91" w:themeColor="accent1" w:themeShade="BF"/>
        </w:rPr>
        <w:t xml:space="preserve">delivery </w:t>
      </w:r>
      <w:r w:rsidRPr="009A14DC">
        <w:rPr>
          <w:rFonts w:cs="Arial"/>
          <w:color w:val="365F91" w:themeColor="accent1" w:themeShade="BF"/>
        </w:rPr>
        <w:t>region</w:t>
      </w:r>
    </w:p>
    <w:tbl>
      <w:tblPr>
        <w:tblW w:w="5959" w:type="dxa"/>
        <w:tblInd w:w="103" w:type="dxa"/>
        <w:tblLayout w:type="fixed"/>
        <w:tblLook w:val="04A0" w:firstRow="1" w:lastRow="0" w:firstColumn="1" w:lastColumn="0" w:noHBand="0" w:noVBand="1"/>
      </w:tblPr>
      <w:tblGrid>
        <w:gridCol w:w="2380"/>
        <w:gridCol w:w="1193"/>
        <w:gridCol w:w="1193"/>
        <w:gridCol w:w="1193"/>
      </w:tblGrid>
      <w:tr w:rsidR="003D475D" w:rsidRPr="003D475D" w:rsidTr="008A6CD7">
        <w:trPr>
          <w:trHeight w:val="762"/>
        </w:trPr>
        <w:tc>
          <w:tcPr>
            <w:tcW w:w="238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Delivery Location</w:t>
            </w:r>
          </w:p>
        </w:tc>
        <w:tc>
          <w:tcPr>
            <w:tcW w:w="1193" w:type="dxa"/>
            <w:tcBorders>
              <w:top w:val="single" w:sz="4" w:space="0" w:color="366092"/>
              <w:left w:val="nil"/>
              <w:bottom w:val="single" w:sz="4" w:space="0" w:color="366092"/>
              <w:right w:val="single" w:sz="4" w:space="0" w:color="366092"/>
            </w:tcBorders>
            <w:shd w:val="clear" w:color="000000" w:fill="366092"/>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change</w:t>
            </w:r>
            <w:r w:rsidRPr="003D475D">
              <w:rPr>
                <w:rFonts w:cs="Arial"/>
                <w:b/>
                <w:bCs/>
                <w:color w:val="FFFFFF"/>
                <w:sz w:val="18"/>
                <w:szCs w:val="18"/>
                <w:lang w:eastAsia="en-AU"/>
              </w:rPr>
              <w:br/>
              <w:t>2008-2013</w:t>
            </w:r>
          </w:p>
        </w:tc>
        <w:tc>
          <w:tcPr>
            <w:tcW w:w="1193" w:type="dxa"/>
            <w:tcBorders>
              <w:top w:val="single" w:sz="4" w:space="0" w:color="366092"/>
              <w:left w:val="nil"/>
              <w:bottom w:val="single" w:sz="4" w:space="0" w:color="366092"/>
              <w:right w:val="single" w:sz="4" w:space="0" w:color="366092"/>
            </w:tcBorders>
            <w:shd w:val="clear" w:color="000000" w:fill="366092"/>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change</w:t>
            </w:r>
            <w:r w:rsidRPr="003D475D">
              <w:rPr>
                <w:rFonts w:cs="Arial"/>
                <w:b/>
                <w:bCs/>
                <w:color w:val="FFFFFF"/>
                <w:sz w:val="18"/>
                <w:szCs w:val="18"/>
                <w:lang w:eastAsia="en-AU"/>
              </w:rPr>
              <w:br/>
              <w:t>2011-2013 </w:t>
            </w:r>
          </w:p>
        </w:tc>
        <w:tc>
          <w:tcPr>
            <w:tcW w:w="1193" w:type="dxa"/>
            <w:tcBorders>
              <w:top w:val="single" w:sz="4" w:space="0" w:color="366092"/>
              <w:left w:val="nil"/>
              <w:bottom w:val="single" w:sz="4" w:space="0" w:color="366092"/>
              <w:right w:val="single" w:sz="4" w:space="0" w:color="366092"/>
            </w:tcBorders>
            <w:shd w:val="clear" w:color="000000" w:fill="366092"/>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change</w:t>
            </w:r>
            <w:r w:rsidRPr="003D475D">
              <w:rPr>
                <w:rFonts w:cs="Arial"/>
                <w:b/>
                <w:bCs/>
                <w:color w:val="FFFFFF"/>
                <w:sz w:val="18"/>
                <w:szCs w:val="18"/>
                <w:lang w:eastAsia="en-AU"/>
              </w:rPr>
              <w:br/>
              <w:t>2012-2013</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Barwon South West</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81%</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4%</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-17%</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Grampians</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22%</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4%</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-5%</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Loddon Mallee</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41%</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-11%</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Hume</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62%</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73%</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37%</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Gippsland</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-33%</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-12%</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-9%</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Eastern Metropolitan</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23%</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-8%</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-10%</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Western Metropolitan</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141%</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35%</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Southern Metropolitan</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111%</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25%</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Northern Metropolitan</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77%</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21%</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-5%</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All Regions Total</w:t>
            </w:r>
          </w:p>
        </w:tc>
        <w:tc>
          <w:tcPr>
            <w:tcW w:w="1193" w:type="dxa"/>
            <w:tcBorders>
              <w:top w:val="nil"/>
              <w:left w:val="nil"/>
              <w:bottom w:val="single" w:sz="4" w:space="0" w:color="366092"/>
              <w:right w:val="single" w:sz="4" w:space="0" w:color="366092"/>
            </w:tcBorders>
            <w:shd w:val="clear" w:color="000000" w:fill="366092"/>
            <w:noWrap/>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74%</w:t>
            </w:r>
          </w:p>
        </w:tc>
        <w:tc>
          <w:tcPr>
            <w:tcW w:w="1193" w:type="dxa"/>
            <w:tcBorders>
              <w:top w:val="nil"/>
              <w:left w:val="nil"/>
              <w:bottom w:val="single" w:sz="4" w:space="0" w:color="366092"/>
              <w:right w:val="single" w:sz="4" w:space="0" w:color="366092"/>
            </w:tcBorders>
            <w:shd w:val="clear" w:color="000000" w:fill="366092"/>
            <w:noWrap/>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19%</w:t>
            </w:r>
          </w:p>
        </w:tc>
        <w:tc>
          <w:tcPr>
            <w:tcW w:w="1193" w:type="dxa"/>
            <w:tcBorders>
              <w:top w:val="nil"/>
              <w:left w:val="nil"/>
              <w:bottom w:val="single" w:sz="4" w:space="0" w:color="366092"/>
              <w:right w:val="single" w:sz="4" w:space="0" w:color="366092"/>
            </w:tcBorders>
            <w:shd w:val="clear" w:color="000000" w:fill="366092"/>
            <w:noWrap/>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-3%</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7E4610" w:rsidP="003D475D">
            <w:pPr>
              <w:spacing w:after="0" w:line="240" w:lineRule="auto"/>
              <w:jc w:val="left"/>
              <w:rPr>
                <w:rFonts w:cs="Arial"/>
                <w:color w:val="366092"/>
                <w:sz w:val="18"/>
                <w:szCs w:val="18"/>
                <w:lang w:eastAsia="en-AU"/>
              </w:rPr>
            </w:pPr>
            <w:r>
              <w:rPr>
                <w:rFonts w:cs="Arial"/>
                <w:color w:val="366092"/>
                <w:sz w:val="18"/>
                <w:szCs w:val="18"/>
                <w:lang w:eastAsia="en-AU"/>
              </w:rPr>
              <w:t>Other</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-30%</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-31%</w:t>
            </w:r>
          </w:p>
        </w:tc>
        <w:tc>
          <w:tcPr>
            <w:tcW w:w="1193" w:type="dxa"/>
            <w:tcBorders>
              <w:top w:val="nil"/>
              <w:left w:val="nil"/>
              <w:bottom w:val="single" w:sz="4" w:space="0" w:color="366092"/>
              <w:right w:val="single" w:sz="4" w:space="0" w:color="366092"/>
            </w:tcBorders>
            <w:shd w:val="clear" w:color="auto" w:fill="auto"/>
            <w:noWrap/>
            <w:vAlign w:val="center"/>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-19%</w:t>
            </w:r>
          </w:p>
        </w:tc>
      </w:tr>
      <w:tr w:rsidR="003D475D" w:rsidRPr="003D475D" w:rsidTr="008A6CD7">
        <w:trPr>
          <w:trHeight w:val="342"/>
        </w:trPr>
        <w:tc>
          <w:tcPr>
            <w:tcW w:w="2380" w:type="dxa"/>
            <w:tcBorders>
              <w:top w:val="nil"/>
              <w:left w:val="single" w:sz="4" w:space="0" w:color="366092"/>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Total VET</w:t>
            </w:r>
          </w:p>
        </w:tc>
        <w:tc>
          <w:tcPr>
            <w:tcW w:w="1193" w:type="dxa"/>
            <w:tcBorders>
              <w:top w:val="nil"/>
              <w:left w:val="nil"/>
              <w:bottom w:val="single" w:sz="4" w:space="0" w:color="366092"/>
              <w:right w:val="single" w:sz="4" w:space="0" w:color="366092"/>
            </w:tcBorders>
            <w:shd w:val="clear" w:color="000000" w:fill="366092"/>
            <w:noWrap/>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69%</w:t>
            </w:r>
          </w:p>
        </w:tc>
        <w:tc>
          <w:tcPr>
            <w:tcW w:w="1193" w:type="dxa"/>
            <w:tcBorders>
              <w:top w:val="nil"/>
              <w:left w:val="nil"/>
              <w:bottom w:val="single" w:sz="4" w:space="0" w:color="366092"/>
              <w:right w:val="single" w:sz="4" w:space="0" w:color="366092"/>
            </w:tcBorders>
            <w:shd w:val="clear" w:color="000000" w:fill="366092"/>
            <w:noWrap/>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18%</w:t>
            </w:r>
          </w:p>
        </w:tc>
        <w:tc>
          <w:tcPr>
            <w:tcW w:w="1193" w:type="dxa"/>
            <w:tcBorders>
              <w:top w:val="nil"/>
              <w:left w:val="nil"/>
              <w:bottom w:val="single" w:sz="4" w:space="0" w:color="366092"/>
              <w:right w:val="single" w:sz="4" w:space="0" w:color="366092"/>
            </w:tcBorders>
            <w:shd w:val="clear" w:color="000000" w:fill="366092"/>
            <w:noWrap/>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-4%</w:t>
            </w:r>
          </w:p>
        </w:tc>
      </w:tr>
    </w:tbl>
    <w:p w:rsidR="009A14DC" w:rsidRDefault="009A14DC" w:rsidP="009A14DC"/>
    <w:p w:rsidR="009A14DC" w:rsidRPr="009A14DC" w:rsidRDefault="009A14DC" w:rsidP="009A14DC"/>
    <w:p w:rsidR="003A5E44" w:rsidRDefault="003A5E44" w:rsidP="00EE6BD1">
      <w:pPr>
        <w:jc w:val="left"/>
        <w:rPr>
          <w:rFonts w:cs="Arial"/>
        </w:rPr>
      </w:pPr>
    </w:p>
    <w:p w:rsidR="003A5E44" w:rsidRDefault="003A5E44" w:rsidP="00EE6BD1">
      <w:pPr>
        <w:jc w:val="left"/>
        <w:rPr>
          <w:rFonts w:cs="Arial"/>
        </w:rPr>
      </w:pPr>
    </w:p>
    <w:p w:rsidR="003D475D" w:rsidRDefault="003D475D">
      <w:pPr>
        <w:spacing w:after="0" w:line="240" w:lineRule="auto"/>
        <w:jc w:val="left"/>
        <w:rPr>
          <w:rFonts w:cs="Arial"/>
          <w:b/>
          <w:bCs/>
          <w:color w:val="365F91" w:themeColor="accent1" w:themeShade="BF"/>
          <w:szCs w:val="19"/>
        </w:rPr>
      </w:pPr>
      <w:r>
        <w:br w:type="page"/>
      </w:r>
    </w:p>
    <w:p w:rsidR="00194286" w:rsidRDefault="00194286" w:rsidP="00194286">
      <w:pPr>
        <w:pStyle w:val="Heading3"/>
      </w:pPr>
      <w:r>
        <w:t>Participation</w:t>
      </w:r>
    </w:p>
    <w:p w:rsidR="00194286" w:rsidRDefault="00CD4ED8" w:rsidP="00194286">
      <w:pPr>
        <w:rPr>
          <w:rFonts w:cs="Arial"/>
        </w:rPr>
      </w:pPr>
      <w:r>
        <w:rPr>
          <w:rFonts w:cs="Arial"/>
        </w:rPr>
        <w:t>T</w:t>
      </w:r>
      <w:r w:rsidR="00194286">
        <w:rPr>
          <w:rFonts w:cs="Arial"/>
        </w:rPr>
        <w:t xml:space="preserve">his section </w:t>
      </w:r>
      <w:r>
        <w:rPr>
          <w:rFonts w:cs="Arial"/>
        </w:rPr>
        <w:t xml:space="preserve">presents data on </w:t>
      </w:r>
      <w:r w:rsidR="00151BF0">
        <w:rPr>
          <w:rFonts w:cs="Arial"/>
        </w:rPr>
        <w:t>students undertaking government subsidised training</w:t>
      </w:r>
      <w:r>
        <w:rPr>
          <w:rFonts w:cs="Arial"/>
        </w:rPr>
        <w:t xml:space="preserve"> by </w:t>
      </w:r>
      <w:r w:rsidR="00736BBD">
        <w:rPr>
          <w:rFonts w:cs="Arial"/>
        </w:rPr>
        <w:t xml:space="preserve">the </w:t>
      </w:r>
      <w:r>
        <w:rPr>
          <w:rFonts w:cs="Arial"/>
        </w:rPr>
        <w:t xml:space="preserve">area where they live. Areas are defined as </w:t>
      </w:r>
      <w:r w:rsidR="00BB058F">
        <w:rPr>
          <w:rFonts w:cs="Arial"/>
        </w:rPr>
        <w:t xml:space="preserve">the </w:t>
      </w:r>
      <w:r>
        <w:rPr>
          <w:rFonts w:cs="Arial"/>
        </w:rPr>
        <w:t xml:space="preserve">four departmental </w:t>
      </w:r>
      <w:r w:rsidR="00BB058F">
        <w:rPr>
          <w:rFonts w:cs="Arial"/>
        </w:rPr>
        <w:t xml:space="preserve">administrative </w:t>
      </w:r>
      <w:r>
        <w:rPr>
          <w:rFonts w:cs="Arial"/>
        </w:rPr>
        <w:t xml:space="preserve">regions or nine </w:t>
      </w:r>
      <w:r w:rsidR="00BB058F">
        <w:rPr>
          <w:rFonts w:cs="Arial"/>
        </w:rPr>
        <w:t xml:space="preserve">smaller </w:t>
      </w:r>
      <w:r w:rsidR="0067087F">
        <w:rPr>
          <w:rFonts w:cs="Arial"/>
        </w:rPr>
        <w:t xml:space="preserve">geographical </w:t>
      </w:r>
      <w:r>
        <w:rPr>
          <w:rFonts w:cs="Arial"/>
        </w:rPr>
        <w:t xml:space="preserve">regions. </w:t>
      </w:r>
      <w:r w:rsidR="00194286">
        <w:rPr>
          <w:rFonts w:cs="Arial"/>
        </w:rPr>
        <w:t xml:space="preserve">Students may undertake their training locally or travel to locations outside their </w:t>
      </w:r>
      <w:r w:rsidR="005B3257">
        <w:rPr>
          <w:rFonts w:cs="Arial"/>
        </w:rPr>
        <w:t xml:space="preserve">local </w:t>
      </w:r>
      <w:r w:rsidR="00194286">
        <w:rPr>
          <w:rFonts w:cs="Arial"/>
        </w:rPr>
        <w:t xml:space="preserve">region. </w:t>
      </w:r>
    </w:p>
    <w:p w:rsidR="00194286" w:rsidRDefault="00194286" w:rsidP="00194286">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194286" w:rsidRPr="002B5A8D" w:rsidTr="003D475D">
        <w:trPr>
          <w:trHeight w:val="495"/>
        </w:trPr>
        <w:tc>
          <w:tcPr>
            <w:tcW w:w="9088" w:type="dxa"/>
          </w:tcPr>
          <w:p w:rsidR="00194286" w:rsidRPr="00E94245" w:rsidRDefault="00194286" w:rsidP="00194286">
            <w:pPr>
              <w:pStyle w:val="Heading3"/>
            </w:pPr>
            <w:r w:rsidRPr="00E94245">
              <w:t>Key Points</w:t>
            </w:r>
          </w:p>
          <w:p w:rsidR="00194286" w:rsidRPr="00E94245" w:rsidRDefault="00194286" w:rsidP="00194286"/>
          <w:p w:rsidR="00194286" w:rsidRDefault="00E70DE6" w:rsidP="00D83827">
            <w:pPr>
              <w:pStyle w:val="ListBullet"/>
              <w:numPr>
                <w:ilvl w:val="0"/>
                <w:numId w:val="34"/>
              </w:numPr>
              <w:ind w:right="113"/>
              <w:jc w:val="left"/>
              <w:rPr>
                <w:rFonts w:cs="Arial"/>
              </w:rPr>
            </w:pPr>
            <w:r>
              <w:rPr>
                <w:rFonts w:cs="Arial"/>
              </w:rPr>
              <w:t>In line with</w:t>
            </w:r>
            <w:r w:rsidR="00194286" w:rsidRPr="00E94245">
              <w:rPr>
                <w:rFonts w:cs="Arial"/>
              </w:rPr>
              <w:t xml:space="preserve"> the overall state-wide trend, </w:t>
            </w:r>
            <w:r w:rsidR="00CD4ED8" w:rsidRPr="00E94245">
              <w:rPr>
                <w:rFonts w:cs="Arial"/>
              </w:rPr>
              <w:t>the number</w:t>
            </w:r>
            <w:r w:rsidR="00E94245" w:rsidRPr="00E94245">
              <w:rPr>
                <w:rFonts w:cs="Arial"/>
              </w:rPr>
              <w:t>s</w:t>
            </w:r>
            <w:r w:rsidR="00CD4ED8" w:rsidRPr="00E94245">
              <w:rPr>
                <w:rFonts w:cs="Arial"/>
              </w:rPr>
              <w:t xml:space="preserve"> of students </w:t>
            </w:r>
            <w:r w:rsidR="00E94245">
              <w:rPr>
                <w:rFonts w:cs="Arial"/>
              </w:rPr>
              <w:t xml:space="preserve">who </w:t>
            </w:r>
            <w:r w:rsidR="00CD4ED8" w:rsidRPr="00E94245">
              <w:rPr>
                <w:rFonts w:cs="Arial"/>
              </w:rPr>
              <w:t xml:space="preserve">participated in government subsidised training </w:t>
            </w:r>
            <w:r w:rsidR="00194286" w:rsidRPr="00E94245">
              <w:rPr>
                <w:rFonts w:cs="Arial"/>
              </w:rPr>
              <w:t xml:space="preserve">in 2013 were lower </w:t>
            </w:r>
            <w:r>
              <w:rPr>
                <w:rFonts w:cs="Arial"/>
              </w:rPr>
              <w:t xml:space="preserve">in each of the four Departmental </w:t>
            </w:r>
            <w:r w:rsidR="005B3257">
              <w:rPr>
                <w:rFonts w:cs="Arial"/>
              </w:rPr>
              <w:t xml:space="preserve">administrative </w:t>
            </w:r>
            <w:r>
              <w:rPr>
                <w:rFonts w:cs="Arial"/>
              </w:rPr>
              <w:t xml:space="preserve">regions </w:t>
            </w:r>
            <w:r w:rsidR="00194286" w:rsidRPr="00E94245">
              <w:rPr>
                <w:rFonts w:cs="Arial"/>
              </w:rPr>
              <w:t xml:space="preserve">compared to 2012, but higher compared to 2011.  </w:t>
            </w:r>
          </w:p>
          <w:p w:rsidR="00E94245" w:rsidRPr="00BB058F" w:rsidRDefault="00E94245" w:rsidP="00D83827">
            <w:pPr>
              <w:pStyle w:val="ListBullet"/>
              <w:numPr>
                <w:ilvl w:val="0"/>
                <w:numId w:val="34"/>
              </w:numPr>
              <w:ind w:right="113"/>
              <w:jc w:val="left"/>
              <w:rPr>
                <w:rFonts w:cs="Arial"/>
              </w:rPr>
            </w:pPr>
            <w:r w:rsidRPr="00BB058F">
              <w:rPr>
                <w:rFonts w:cs="Arial"/>
              </w:rPr>
              <w:t>When data was further disaggregated into nine region</w:t>
            </w:r>
            <w:r w:rsidR="00BB058F" w:rsidRPr="00BB058F">
              <w:rPr>
                <w:rFonts w:cs="Arial"/>
              </w:rPr>
              <w:t>s</w:t>
            </w:r>
            <w:r w:rsidRPr="00BB058F">
              <w:rPr>
                <w:rFonts w:cs="Arial"/>
              </w:rPr>
              <w:t>, they show that there were some variations against the overall state-wide trend</w:t>
            </w:r>
            <w:r w:rsidR="00BB058F" w:rsidRPr="00BB058F">
              <w:rPr>
                <w:rFonts w:cs="Arial"/>
              </w:rPr>
              <w:t xml:space="preserve">. </w:t>
            </w:r>
            <w:r w:rsidR="00B46CF3" w:rsidRPr="00BB058F">
              <w:rPr>
                <w:rFonts w:cs="Arial"/>
              </w:rPr>
              <w:t xml:space="preserve">The number of </w:t>
            </w:r>
            <w:r w:rsidR="00151BF0" w:rsidRPr="00BB058F">
              <w:rPr>
                <w:rFonts w:cs="Arial"/>
              </w:rPr>
              <w:t>students undertaking government subsidised training</w:t>
            </w:r>
            <w:r w:rsidR="00B46CF3" w:rsidRPr="00BB058F">
              <w:rPr>
                <w:rFonts w:cs="Arial"/>
              </w:rPr>
              <w:t xml:space="preserve"> who lived in Gippsland region in 2013 was lower compared to </w:t>
            </w:r>
            <w:r w:rsidRPr="00BB058F">
              <w:rPr>
                <w:rFonts w:cs="Arial"/>
              </w:rPr>
              <w:t>2011</w:t>
            </w:r>
            <w:r w:rsidR="00BB058F" w:rsidRPr="00BB058F">
              <w:rPr>
                <w:rFonts w:cs="Arial"/>
              </w:rPr>
              <w:t xml:space="preserve">, </w:t>
            </w:r>
            <w:r w:rsidRPr="00BB058F">
              <w:rPr>
                <w:rFonts w:cs="Arial"/>
              </w:rPr>
              <w:t>2012</w:t>
            </w:r>
            <w:r w:rsidR="00BB058F" w:rsidRPr="00BB058F">
              <w:rPr>
                <w:rFonts w:cs="Arial"/>
              </w:rPr>
              <w:t xml:space="preserve"> and 2008</w:t>
            </w:r>
            <w:r w:rsidR="000618E6" w:rsidRPr="00BB058F">
              <w:rPr>
                <w:rFonts w:cs="Arial"/>
              </w:rPr>
              <w:t>.</w:t>
            </w:r>
          </w:p>
          <w:p w:rsidR="00194286" w:rsidRPr="000618E6" w:rsidRDefault="00BA2A7C" w:rsidP="00D83827">
            <w:pPr>
              <w:pStyle w:val="ListBullet"/>
              <w:numPr>
                <w:ilvl w:val="0"/>
                <w:numId w:val="34"/>
              </w:numPr>
              <w:ind w:right="113"/>
              <w:jc w:val="left"/>
              <w:rPr>
                <w:rFonts w:cs="Arial"/>
              </w:rPr>
            </w:pPr>
            <w:r>
              <w:rPr>
                <w:rFonts w:cs="Arial"/>
              </w:rPr>
              <w:t xml:space="preserve">In terms of </w:t>
            </w:r>
            <w:r w:rsidR="00396399">
              <w:rPr>
                <w:rFonts w:cs="Arial"/>
              </w:rPr>
              <w:t xml:space="preserve">the </w:t>
            </w:r>
            <w:r>
              <w:rPr>
                <w:rFonts w:cs="Arial"/>
              </w:rPr>
              <w:t>participation rate of students aged 15-64 in government subsidised vocational education and training i</w:t>
            </w:r>
            <w:r w:rsidR="00CD6397">
              <w:rPr>
                <w:rFonts w:cs="Arial"/>
              </w:rPr>
              <w:t xml:space="preserve">n 2013, </w:t>
            </w:r>
            <w:r w:rsidR="0029026D">
              <w:rPr>
                <w:rFonts w:cs="Arial"/>
              </w:rPr>
              <w:t>t</w:t>
            </w:r>
            <w:r w:rsidR="00BB058F">
              <w:rPr>
                <w:rFonts w:cs="Arial"/>
              </w:rPr>
              <w:t xml:space="preserve">he </w:t>
            </w:r>
            <w:r w:rsidR="00CD6397">
              <w:rPr>
                <w:rFonts w:cs="Arial"/>
              </w:rPr>
              <w:t xml:space="preserve">Hume </w:t>
            </w:r>
            <w:r w:rsidR="00BB058F">
              <w:rPr>
                <w:rFonts w:cs="Arial"/>
              </w:rPr>
              <w:t>and Barwon South West regions</w:t>
            </w:r>
            <w:r w:rsidR="00CD6397">
              <w:rPr>
                <w:rFonts w:cs="Arial"/>
              </w:rPr>
              <w:t xml:space="preserve"> had the highest </w:t>
            </w:r>
            <w:r w:rsidR="00396399">
              <w:rPr>
                <w:rFonts w:cs="Arial"/>
              </w:rPr>
              <w:t xml:space="preserve">estimated </w:t>
            </w:r>
            <w:r w:rsidR="00CD6397">
              <w:rPr>
                <w:rFonts w:cs="Arial"/>
              </w:rPr>
              <w:t>participation rate</w:t>
            </w:r>
            <w:r>
              <w:rPr>
                <w:rFonts w:cs="Arial"/>
              </w:rPr>
              <w:t xml:space="preserve">, followed by </w:t>
            </w:r>
            <w:r w:rsidR="00BB058F">
              <w:rPr>
                <w:rFonts w:cs="Arial"/>
              </w:rPr>
              <w:t>Loddon Mallee region</w:t>
            </w:r>
            <w:r>
              <w:rPr>
                <w:rFonts w:cs="Arial"/>
              </w:rPr>
              <w:t xml:space="preserve">. The lowest participation rate was in Eastern Metropolitan region.  </w:t>
            </w:r>
          </w:p>
        </w:tc>
      </w:tr>
    </w:tbl>
    <w:p w:rsidR="003D475D" w:rsidRDefault="003D475D" w:rsidP="00194286">
      <w:pPr>
        <w:jc w:val="left"/>
        <w:rPr>
          <w:rFonts w:cs="Arial"/>
          <w:b/>
          <w:bCs/>
          <w:highlight w:val="yellow"/>
        </w:rPr>
      </w:pPr>
    </w:p>
    <w:p w:rsidR="00194286" w:rsidRPr="003D475D" w:rsidRDefault="00CD4ED8" w:rsidP="00194286">
      <w:pPr>
        <w:pStyle w:val="Caption"/>
        <w:spacing w:after="0"/>
        <w:jc w:val="left"/>
        <w:rPr>
          <w:rFonts w:cs="Arial"/>
          <w:color w:val="365F91" w:themeColor="accent1" w:themeShade="BF"/>
        </w:rPr>
      </w:pPr>
      <w:r w:rsidRPr="003D475D">
        <w:rPr>
          <w:rFonts w:cs="Arial"/>
          <w:color w:val="365F91" w:themeColor="accent1" w:themeShade="BF"/>
        </w:rPr>
        <w:t>Table 1.1</w:t>
      </w:r>
      <w:r w:rsidR="00635A7B">
        <w:rPr>
          <w:rFonts w:cs="Arial"/>
          <w:color w:val="365F91" w:themeColor="accent1" w:themeShade="BF"/>
        </w:rPr>
        <w:t>6</w:t>
      </w:r>
      <w:r w:rsidR="00194286" w:rsidRPr="003D475D">
        <w:rPr>
          <w:rFonts w:cs="Arial"/>
          <w:color w:val="365F91" w:themeColor="accent1" w:themeShade="BF"/>
        </w:rPr>
        <w:t xml:space="preserve">.1: Government subsidised </w:t>
      </w:r>
      <w:r w:rsidR="00437FA9" w:rsidRPr="003D475D">
        <w:rPr>
          <w:rFonts w:cs="Arial"/>
          <w:color w:val="365F91" w:themeColor="accent1" w:themeShade="BF"/>
        </w:rPr>
        <w:t xml:space="preserve">students by residential </w:t>
      </w:r>
      <w:r w:rsidR="00786BCD" w:rsidRPr="003D475D">
        <w:rPr>
          <w:rFonts w:cs="Arial"/>
          <w:color w:val="365F91" w:themeColor="accent1" w:themeShade="BF"/>
        </w:rPr>
        <w:t>location</w:t>
      </w:r>
      <w:r w:rsidR="00437FA9" w:rsidRPr="003D475D">
        <w:rPr>
          <w:rFonts w:cs="Arial"/>
          <w:color w:val="365F91" w:themeColor="accent1" w:themeShade="BF"/>
        </w:rPr>
        <w:t xml:space="preserve"> </w:t>
      </w:r>
      <w:r w:rsidR="00786BCD" w:rsidRPr="003D475D">
        <w:rPr>
          <w:rFonts w:cs="Arial"/>
          <w:color w:val="365F91" w:themeColor="accent1" w:themeShade="BF"/>
        </w:rPr>
        <w:t xml:space="preserve">- </w:t>
      </w:r>
      <w:r w:rsidR="00BB058F">
        <w:rPr>
          <w:rFonts w:cs="Arial"/>
          <w:color w:val="365F91" w:themeColor="accent1" w:themeShade="BF"/>
        </w:rPr>
        <w:t>departmental region, 2008–2013</w:t>
      </w:r>
    </w:p>
    <w:tbl>
      <w:tblPr>
        <w:tblW w:w="910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400"/>
        <w:gridCol w:w="1120"/>
        <w:gridCol w:w="1120"/>
        <w:gridCol w:w="1120"/>
        <w:gridCol w:w="1120"/>
        <w:gridCol w:w="1120"/>
        <w:gridCol w:w="1100"/>
      </w:tblGrid>
      <w:tr w:rsidR="003D475D" w:rsidRPr="003D475D" w:rsidTr="00807C85">
        <w:trPr>
          <w:trHeight w:val="762"/>
        </w:trPr>
        <w:tc>
          <w:tcPr>
            <w:tcW w:w="2400" w:type="dxa"/>
            <w:shd w:val="clear" w:color="000000" w:fill="366092"/>
            <w:vAlign w:val="center"/>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Residential location</w:t>
            </w:r>
          </w:p>
        </w:tc>
        <w:tc>
          <w:tcPr>
            <w:tcW w:w="1120" w:type="dxa"/>
            <w:shd w:val="clear" w:color="000000" w:fill="366092"/>
            <w:vAlign w:val="center"/>
            <w:hideMark/>
          </w:tcPr>
          <w:p w:rsidR="003D475D" w:rsidRPr="003D475D" w:rsidRDefault="003D475D" w:rsidP="003D475D">
            <w:pPr>
              <w:spacing w:after="0" w:line="240" w:lineRule="auto"/>
              <w:ind w:firstLineChars="100" w:firstLine="181"/>
              <w:jc w:val="right"/>
              <w:rPr>
                <w:rFonts w:cs="Arial"/>
                <w:b/>
                <w:bCs/>
                <w:color w:val="FFFFFF"/>
                <w:sz w:val="18"/>
                <w:szCs w:val="18"/>
                <w:lang w:eastAsia="en-AU"/>
              </w:rPr>
            </w:pPr>
            <w:r w:rsidRPr="003D475D">
              <w:rPr>
                <w:rFonts w:cs="Arial"/>
                <w:b/>
                <w:bCs/>
                <w:color w:val="FFFFFF"/>
                <w:sz w:val="18"/>
                <w:szCs w:val="18"/>
                <w:lang w:eastAsia="en-AU"/>
              </w:rPr>
              <w:t>2008</w:t>
            </w:r>
          </w:p>
        </w:tc>
        <w:tc>
          <w:tcPr>
            <w:tcW w:w="1120" w:type="dxa"/>
            <w:shd w:val="clear" w:color="000000" w:fill="366092"/>
            <w:vAlign w:val="center"/>
            <w:hideMark/>
          </w:tcPr>
          <w:p w:rsidR="003D475D" w:rsidRPr="003D475D" w:rsidRDefault="003D475D" w:rsidP="003D475D">
            <w:pPr>
              <w:spacing w:after="0" w:line="240" w:lineRule="auto"/>
              <w:ind w:firstLineChars="100" w:firstLine="181"/>
              <w:jc w:val="right"/>
              <w:rPr>
                <w:rFonts w:cs="Arial"/>
                <w:b/>
                <w:bCs/>
                <w:color w:val="FFFFFF"/>
                <w:sz w:val="18"/>
                <w:szCs w:val="18"/>
                <w:lang w:eastAsia="en-AU"/>
              </w:rPr>
            </w:pPr>
            <w:r w:rsidRPr="003D475D">
              <w:rPr>
                <w:rFonts w:cs="Arial"/>
                <w:b/>
                <w:bCs/>
                <w:color w:val="FFFFFF"/>
                <w:sz w:val="18"/>
                <w:szCs w:val="18"/>
                <w:lang w:eastAsia="en-AU"/>
              </w:rPr>
              <w:t>2009</w:t>
            </w:r>
          </w:p>
        </w:tc>
        <w:tc>
          <w:tcPr>
            <w:tcW w:w="1120" w:type="dxa"/>
            <w:shd w:val="clear" w:color="000000" w:fill="366092"/>
            <w:vAlign w:val="center"/>
            <w:hideMark/>
          </w:tcPr>
          <w:p w:rsidR="003D475D" w:rsidRPr="003D475D" w:rsidRDefault="003D475D" w:rsidP="003D475D">
            <w:pPr>
              <w:spacing w:after="0" w:line="240" w:lineRule="auto"/>
              <w:ind w:firstLineChars="100" w:firstLine="181"/>
              <w:jc w:val="right"/>
              <w:rPr>
                <w:rFonts w:cs="Arial"/>
                <w:b/>
                <w:bCs/>
                <w:color w:val="FFFFFF"/>
                <w:sz w:val="18"/>
                <w:szCs w:val="18"/>
                <w:lang w:eastAsia="en-AU"/>
              </w:rPr>
            </w:pPr>
            <w:r w:rsidRPr="003D475D">
              <w:rPr>
                <w:rFonts w:cs="Arial"/>
                <w:b/>
                <w:bCs/>
                <w:color w:val="FFFFFF"/>
                <w:sz w:val="18"/>
                <w:szCs w:val="18"/>
                <w:lang w:eastAsia="en-AU"/>
              </w:rPr>
              <w:t>2010</w:t>
            </w:r>
          </w:p>
        </w:tc>
        <w:tc>
          <w:tcPr>
            <w:tcW w:w="1120" w:type="dxa"/>
            <w:shd w:val="clear" w:color="000000" w:fill="366092"/>
            <w:vAlign w:val="center"/>
            <w:hideMark/>
          </w:tcPr>
          <w:p w:rsidR="003D475D" w:rsidRPr="003D475D" w:rsidRDefault="003D475D" w:rsidP="003D475D">
            <w:pPr>
              <w:spacing w:after="0" w:line="240" w:lineRule="auto"/>
              <w:ind w:firstLineChars="100" w:firstLine="181"/>
              <w:jc w:val="right"/>
              <w:rPr>
                <w:rFonts w:cs="Arial"/>
                <w:b/>
                <w:bCs/>
                <w:color w:val="FFFFFF"/>
                <w:sz w:val="18"/>
                <w:szCs w:val="18"/>
                <w:lang w:eastAsia="en-AU"/>
              </w:rPr>
            </w:pPr>
            <w:r w:rsidRPr="003D475D">
              <w:rPr>
                <w:rFonts w:cs="Arial"/>
                <w:b/>
                <w:bCs/>
                <w:color w:val="FFFFFF"/>
                <w:sz w:val="18"/>
                <w:szCs w:val="18"/>
                <w:lang w:eastAsia="en-AU"/>
              </w:rPr>
              <w:t>2011</w:t>
            </w:r>
          </w:p>
        </w:tc>
        <w:tc>
          <w:tcPr>
            <w:tcW w:w="1120" w:type="dxa"/>
            <w:shd w:val="clear" w:color="000000" w:fill="366092"/>
            <w:vAlign w:val="center"/>
            <w:hideMark/>
          </w:tcPr>
          <w:p w:rsidR="003D475D" w:rsidRPr="003D475D" w:rsidRDefault="003D475D" w:rsidP="003D475D">
            <w:pPr>
              <w:spacing w:after="0" w:line="240" w:lineRule="auto"/>
              <w:ind w:firstLineChars="100" w:firstLine="181"/>
              <w:jc w:val="right"/>
              <w:rPr>
                <w:rFonts w:cs="Arial"/>
                <w:b/>
                <w:bCs/>
                <w:color w:val="FFFFFF"/>
                <w:sz w:val="18"/>
                <w:szCs w:val="18"/>
                <w:lang w:eastAsia="en-AU"/>
              </w:rPr>
            </w:pPr>
            <w:r w:rsidRPr="003D475D">
              <w:rPr>
                <w:rFonts w:cs="Arial"/>
                <w:b/>
                <w:bCs/>
                <w:color w:val="FFFFFF"/>
                <w:sz w:val="18"/>
                <w:szCs w:val="18"/>
                <w:lang w:eastAsia="en-AU"/>
              </w:rPr>
              <w:t>2012</w:t>
            </w:r>
          </w:p>
        </w:tc>
        <w:tc>
          <w:tcPr>
            <w:tcW w:w="1100" w:type="dxa"/>
            <w:shd w:val="clear" w:color="000000" w:fill="366092"/>
            <w:vAlign w:val="center"/>
            <w:hideMark/>
          </w:tcPr>
          <w:p w:rsidR="003D475D" w:rsidRPr="003D475D" w:rsidRDefault="003D475D" w:rsidP="003D475D">
            <w:pPr>
              <w:spacing w:after="0" w:line="240" w:lineRule="auto"/>
              <w:ind w:firstLineChars="100" w:firstLine="181"/>
              <w:jc w:val="right"/>
              <w:rPr>
                <w:rFonts w:cs="Arial"/>
                <w:b/>
                <w:bCs/>
                <w:color w:val="FFFFFF"/>
                <w:sz w:val="18"/>
                <w:szCs w:val="18"/>
                <w:lang w:eastAsia="en-AU"/>
              </w:rPr>
            </w:pPr>
            <w:r w:rsidRPr="003D475D">
              <w:rPr>
                <w:rFonts w:cs="Arial"/>
                <w:b/>
                <w:bCs/>
                <w:color w:val="FFFFFF"/>
                <w:sz w:val="18"/>
                <w:szCs w:val="18"/>
                <w:lang w:eastAsia="en-AU"/>
              </w:rPr>
              <w:t>2013</w:t>
            </w:r>
          </w:p>
        </w:tc>
      </w:tr>
      <w:tr w:rsidR="003D475D" w:rsidRPr="003D475D" w:rsidTr="00807C85">
        <w:trPr>
          <w:trHeight w:val="342"/>
        </w:trPr>
        <w:tc>
          <w:tcPr>
            <w:tcW w:w="2400" w:type="dxa"/>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South-Western</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75,700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100,900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114,200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153,900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199,200 </w:t>
            </w:r>
          </w:p>
        </w:tc>
        <w:tc>
          <w:tcPr>
            <w:tcW w:w="110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189,400 </w:t>
            </w:r>
          </w:p>
        </w:tc>
      </w:tr>
      <w:tr w:rsidR="003D475D" w:rsidRPr="003D475D" w:rsidTr="00807C85">
        <w:trPr>
          <w:trHeight w:val="342"/>
        </w:trPr>
        <w:tc>
          <w:tcPr>
            <w:tcW w:w="2400" w:type="dxa"/>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North-Western</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69,700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67,700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75,800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97,600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111,100 </w:t>
            </w:r>
          </w:p>
        </w:tc>
        <w:tc>
          <w:tcPr>
            <w:tcW w:w="110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106,100 </w:t>
            </w:r>
          </w:p>
        </w:tc>
      </w:tr>
      <w:tr w:rsidR="003D475D" w:rsidRPr="003D475D" w:rsidTr="00807C85">
        <w:trPr>
          <w:trHeight w:val="342"/>
        </w:trPr>
        <w:tc>
          <w:tcPr>
            <w:tcW w:w="2400" w:type="dxa"/>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North-Eastern</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65,500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64,800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71,600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89,000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101,700 </w:t>
            </w:r>
          </w:p>
        </w:tc>
        <w:tc>
          <w:tcPr>
            <w:tcW w:w="110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92,800 </w:t>
            </w:r>
          </w:p>
        </w:tc>
      </w:tr>
      <w:tr w:rsidR="003D475D" w:rsidRPr="003D475D" w:rsidTr="00807C85">
        <w:trPr>
          <w:trHeight w:val="342"/>
        </w:trPr>
        <w:tc>
          <w:tcPr>
            <w:tcW w:w="2400" w:type="dxa"/>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South-Eastern</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78,900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80,000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92,000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115,800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137,300 </w:t>
            </w:r>
          </w:p>
        </w:tc>
        <w:tc>
          <w:tcPr>
            <w:tcW w:w="110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132,600 </w:t>
            </w:r>
          </w:p>
        </w:tc>
      </w:tr>
      <w:tr w:rsidR="003D475D" w:rsidRPr="003D475D" w:rsidTr="00807C85">
        <w:trPr>
          <w:trHeight w:val="342"/>
        </w:trPr>
        <w:tc>
          <w:tcPr>
            <w:tcW w:w="2400" w:type="dxa"/>
            <w:shd w:val="clear" w:color="000000" w:fill="366092"/>
            <w:noWrap/>
            <w:vAlign w:val="bottom"/>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All Regions Total</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289,800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293,400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331,900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424,500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502,400 </w:t>
            </w:r>
          </w:p>
        </w:tc>
        <w:tc>
          <w:tcPr>
            <w:tcW w:w="110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477,200 </w:t>
            </w:r>
          </w:p>
        </w:tc>
      </w:tr>
      <w:tr w:rsidR="003D475D" w:rsidRPr="003D475D" w:rsidTr="00807C85">
        <w:trPr>
          <w:trHeight w:val="342"/>
        </w:trPr>
        <w:tc>
          <w:tcPr>
            <w:tcW w:w="2400" w:type="dxa"/>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Other*</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4,900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6,200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7,300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5,800 </w:t>
            </w:r>
          </w:p>
        </w:tc>
        <w:tc>
          <w:tcPr>
            <w:tcW w:w="112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7,400 </w:t>
            </w:r>
          </w:p>
        </w:tc>
        <w:tc>
          <w:tcPr>
            <w:tcW w:w="1100" w:type="dxa"/>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 xml:space="preserve">7,100 </w:t>
            </w:r>
          </w:p>
        </w:tc>
      </w:tr>
      <w:tr w:rsidR="003D475D" w:rsidRPr="003D475D" w:rsidTr="00807C85">
        <w:trPr>
          <w:trHeight w:val="342"/>
        </w:trPr>
        <w:tc>
          <w:tcPr>
            <w:tcW w:w="2400" w:type="dxa"/>
            <w:shd w:val="clear" w:color="000000" w:fill="366092"/>
            <w:noWrap/>
            <w:vAlign w:val="bottom"/>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Total students</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294,700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299,600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339,200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430,300 </w:t>
            </w:r>
          </w:p>
        </w:tc>
        <w:tc>
          <w:tcPr>
            <w:tcW w:w="112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509,800 </w:t>
            </w:r>
          </w:p>
        </w:tc>
        <w:tc>
          <w:tcPr>
            <w:tcW w:w="1100" w:type="dxa"/>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xml:space="preserve">484,300 </w:t>
            </w:r>
          </w:p>
        </w:tc>
      </w:tr>
    </w:tbl>
    <w:p w:rsidR="00115C86" w:rsidRDefault="00437FA9" w:rsidP="00115C86">
      <w:r w:rsidRPr="00115C86">
        <w:rPr>
          <w:rFonts w:cs="Arial"/>
          <w:bCs/>
          <w:sz w:val="16"/>
          <w:szCs w:val="16"/>
        </w:rPr>
        <w:t>*Other</w:t>
      </w:r>
      <w:r w:rsidR="00786BCD">
        <w:rPr>
          <w:rFonts w:cs="Arial"/>
          <w:bCs/>
          <w:sz w:val="16"/>
          <w:szCs w:val="16"/>
        </w:rPr>
        <w:t xml:space="preserve"> includes n</w:t>
      </w:r>
      <w:r w:rsidRPr="00115C86">
        <w:rPr>
          <w:rFonts w:cs="Arial"/>
          <w:bCs/>
          <w:sz w:val="16"/>
          <w:szCs w:val="16"/>
        </w:rPr>
        <w:t>ot stated</w:t>
      </w:r>
      <w:r>
        <w:rPr>
          <w:rFonts w:cs="Arial"/>
          <w:bCs/>
          <w:sz w:val="16"/>
          <w:szCs w:val="16"/>
        </w:rPr>
        <w:t xml:space="preserve">, </w:t>
      </w:r>
      <w:r w:rsidR="00786BCD">
        <w:rPr>
          <w:rFonts w:cs="Arial"/>
          <w:bCs/>
          <w:sz w:val="16"/>
          <w:szCs w:val="16"/>
        </w:rPr>
        <w:t>unknown, i</w:t>
      </w:r>
      <w:r>
        <w:rPr>
          <w:rFonts w:cs="Arial"/>
          <w:bCs/>
          <w:sz w:val="16"/>
          <w:szCs w:val="16"/>
        </w:rPr>
        <w:t>nterstate or overseas</w:t>
      </w:r>
      <w:r w:rsidRPr="00115C86">
        <w:rPr>
          <w:rFonts w:cs="Arial"/>
          <w:bCs/>
          <w:sz w:val="16"/>
          <w:szCs w:val="16"/>
        </w:rPr>
        <w:t>.</w:t>
      </w:r>
    </w:p>
    <w:p w:rsidR="00115C86" w:rsidRPr="00115C86" w:rsidRDefault="00115C86" w:rsidP="00115C86"/>
    <w:p w:rsidR="00194286" w:rsidRPr="003D475D" w:rsidRDefault="00194286" w:rsidP="00194286">
      <w:pPr>
        <w:pStyle w:val="Caption"/>
        <w:spacing w:after="0"/>
        <w:jc w:val="left"/>
        <w:rPr>
          <w:rFonts w:cs="Arial"/>
          <w:color w:val="365F91" w:themeColor="accent1" w:themeShade="BF"/>
        </w:rPr>
      </w:pPr>
      <w:r w:rsidRPr="003D475D">
        <w:rPr>
          <w:rFonts w:cs="Arial"/>
          <w:color w:val="365F91" w:themeColor="accent1" w:themeShade="BF"/>
        </w:rPr>
        <w:t>Table 1.1</w:t>
      </w:r>
      <w:r w:rsidR="00635A7B">
        <w:rPr>
          <w:rFonts w:cs="Arial"/>
          <w:color w:val="365F91" w:themeColor="accent1" w:themeShade="BF"/>
        </w:rPr>
        <w:t>6</w:t>
      </w:r>
      <w:r w:rsidRPr="003D475D">
        <w:rPr>
          <w:rFonts w:cs="Arial"/>
          <w:color w:val="365F91" w:themeColor="accent1" w:themeShade="BF"/>
        </w:rPr>
        <w:t xml:space="preserve">.2: </w:t>
      </w:r>
      <w:r w:rsidR="003D475D">
        <w:rPr>
          <w:rFonts w:cs="Arial"/>
          <w:color w:val="365F91" w:themeColor="accent1" w:themeShade="BF"/>
        </w:rPr>
        <w:t>Change in g</w:t>
      </w:r>
      <w:r w:rsidR="00437FA9" w:rsidRPr="003D475D">
        <w:rPr>
          <w:rFonts w:cs="Arial"/>
          <w:color w:val="365F91" w:themeColor="accent1" w:themeShade="BF"/>
        </w:rPr>
        <w:t xml:space="preserve">overnment subsidised </w:t>
      </w:r>
      <w:r w:rsidR="00786BCD" w:rsidRPr="003D475D">
        <w:rPr>
          <w:rFonts w:cs="Arial"/>
          <w:color w:val="365F91" w:themeColor="accent1" w:themeShade="BF"/>
        </w:rPr>
        <w:t xml:space="preserve">students by </w:t>
      </w:r>
      <w:r w:rsidR="001777F9" w:rsidRPr="003D475D">
        <w:rPr>
          <w:rFonts w:cs="Arial"/>
          <w:color w:val="365F91" w:themeColor="accent1" w:themeShade="BF"/>
        </w:rPr>
        <w:t xml:space="preserve">residential location </w:t>
      </w:r>
      <w:r w:rsidR="00786BCD" w:rsidRPr="003D475D">
        <w:rPr>
          <w:rFonts w:cs="Arial"/>
          <w:color w:val="365F91" w:themeColor="accent1" w:themeShade="BF"/>
        </w:rPr>
        <w:t xml:space="preserve">- </w:t>
      </w:r>
      <w:r w:rsidR="00437FA9" w:rsidRPr="003D475D">
        <w:rPr>
          <w:rFonts w:cs="Arial"/>
          <w:color w:val="365F91" w:themeColor="accent1" w:themeShade="BF"/>
        </w:rPr>
        <w:t>departmental region</w:t>
      </w:r>
    </w:p>
    <w:tbl>
      <w:tblPr>
        <w:tblW w:w="5959" w:type="dxa"/>
        <w:tblInd w:w="103" w:type="dxa"/>
        <w:tblLayout w:type="fixed"/>
        <w:tblLook w:val="04A0" w:firstRow="1" w:lastRow="0" w:firstColumn="1" w:lastColumn="0" w:noHBand="0" w:noVBand="1"/>
      </w:tblPr>
      <w:tblGrid>
        <w:gridCol w:w="2400"/>
        <w:gridCol w:w="1186"/>
        <w:gridCol w:w="1186"/>
        <w:gridCol w:w="1187"/>
      </w:tblGrid>
      <w:tr w:rsidR="003D475D" w:rsidRPr="003D475D" w:rsidTr="00E70DE6">
        <w:trPr>
          <w:trHeight w:val="762"/>
        </w:trPr>
        <w:tc>
          <w:tcPr>
            <w:tcW w:w="2400" w:type="dxa"/>
            <w:tcBorders>
              <w:top w:val="single" w:sz="4" w:space="0" w:color="366092"/>
              <w:left w:val="single" w:sz="4" w:space="0" w:color="366092"/>
              <w:bottom w:val="single" w:sz="4" w:space="0" w:color="366092"/>
              <w:right w:val="single" w:sz="4" w:space="0" w:color="366092"/>
            </w:tcBorders>
            <w:shd w:val="clear" w:color="000000" w:fill="366092"/>
            <w:vAlign w:val="center"/>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Residential location</w:t>
            </w:r>
          </w:p>
        </w:tc>
        <w:tc>
          <w:tcPr>
            <w:tcW w:w="1186" w:type="dxa"/>
            <w:tcBorders>
              <w:top w:val="single" w:sz="4" w:space="0" w:color="366092"/>
              <w:left w:val="nil"/>
              <w:bottom w:val="single" w:sz="4" w:space="0" w:color="366092"/>
              <w:right w:val="single" w:sz="4" w:space="0" w:color="366092"/>
            </w:tcBorders>
            <w:shd w:val="clear" w:color="000000" w:fill="366092"/>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change</w:t>
            </w:r>
            <w:r w:rsidRPr="003D475D">
              <w:rPr>
                <w:rFonts w:cs="Arial"/>
                <w:b/>
                <w:bCs/>
                <w:color w:val="FFFFFF"/>
                <w:sz w:val="18"/>
                <w:szCs w:val="18"/>
                <w:lang w:eastAsia="en-AU"/>
              </w:rPr>
              <w:br/>
              <w:t>2008-2013</w:t>
            </w:r>
          </w:p>
        </w:tc>
        <w:tc>
          <w:tcPr>
            <w:tcW w:w="1186" w:type="dxa"/>
            <w:tcBorders>
              <w:top w:val="single" w:sz="4" w:space="0" w:color="366092"/>
              <w:left w:val="nil"/>
              <w:bottom w:val="single" w:sz="4" w:space="0" w:color="366092"/>
              <w:right w:val="single" w:sz="4" w:space="0" w:color="366092"/>
            </w:tcBorders>
            <w:shd w:val="clear" w:color="000000" w:fill="366092"/>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change</w:t>
            </w:r>
            <w:r w:rsidRPr="003D475D">
              <w:rPr>
                <w:rFonts w:cs="Arial"/>
                <w:b/>
                <w:bCs/>
                <w:color w:val="FFFFFF"/>
                <w:sz w:val="18"/>
                <w:szCs w:val="18"/>
                <w:lang w:eastAsia="en-AU"/>
              </w:rPr>
              <w:br/>
              <w:t>2011-2013 </w:t>
            </w:r>
          </w:p>
        </w:tc>
        <w:tc>
          <w:tcPr>
            <w:tcW w:w="1187" w:type="dxa"/>
            <w:tcBorders>
              <w:top w:val="single" w:sz="4" w:space="0" w:color="366092"/>
              <w:left w:val="nil"/>
              <w:bottom w:val="single" w:sz="4" w:space="0" w:color="366092"/>
              <w:right w:val="single" w:sz="4" w:space="0" w:color="366092"/>
            </w:tcBorders>
            <w:shd w:val="clear" w:color="000000" w:fill="366092"/>
            <w:vAlign w:val="center"/>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 change</w:t>
            </w:r>
            <w:r w:rsidRPr="003D475D">
              <w:rPr>
                <w:rFonts w:cs="Arial"/>
                <w:b/>
                <w:bCs/>
                <w:color w:val="FFFFFF"/>
                <w:sz w:val="18"/>
                <w:szCs w:val="18"/>
                <w:lang w:eastAsia="en-AU"/>
              </w:rPr>
              <w:br/>
              <w:t>2012-2013</w:t>
            </w:r>
          </w:p>
        </w:tc>
      </w:tr>
      <w:tr w:rsidR="003D475D" w:rsidRPr="003D475D" w:rsidTr="00E70DE6">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South-Western</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150%</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23%</w:t>
            </w:r>
          </w:p>
        </w:tc>
        <w:tc>
          <w:tcPr>
            <w:tcW w:w="1187"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-5%</w:t>
            </w:r>
          </w:p>
        </w:tc>
      </w:tr>
      <w:tr w:rsidR="003D475D" w:rsidRPr="003D475D" w:rsidTr="00E70DE6">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North-Western</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52%</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9%</w:t>
            </w:r>
          </w:p>
        </w:tc>
        <w:tc>
          <w:tcPr>
            <w:tcW w:w="1187"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-4%</w:t>
            </w:r>
          </w:p>
        </w:tc>
      </w:tr>
      <w:tr w:rsidR="003D475D" w:rsidRPr="003D475D" w:rsidTr="00E70DE6">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North-Eastern</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42%</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4%</w:t>
            </w:r>
          </w:p>
        </w:tc>
        <w:tc>
          <w:tcPr>
            <w:tcW w:w="1187"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-9%</w:t>
            </w:r>
          </w:p>
        </w:tc>
      </w:tr>
      <w:tr w:rsidR="003D475D" w:rsidRPr="003D475D" w:rsidTr="00E70DE6">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South-Eastern</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68%</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14%</w:t>
            </w:r>
          </w:p>
        </w:tc>
        <w:tc>
          <w:tcPr>
            <w:tcW w:w="1187"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-3%</w:t>
            </w:r>
          </w:p>
        </w:tc>
      </w:tr>
      <w:tr w:rsidR="003D475D" w:rsidRPr="003D475D" w:rsidTr="00E70DE6">
        <w:trPr>
          <w:trHeight w:val="342"/>
        </w:trPr>
        <w:tc>
          <w:tcPr>
            <w:tcW w:w="2400" w:type="dxa"/>
            <w:tcBorders>
              <w:top w:val="nil"/>
              <w:left w:val="single" w:sz="4" w:space="0" w:color="366092"/>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All Regions Total</w:t>
            </w:r>
          </w:p>
        </w:tc>
        <w:tc>
          <w:tcPr>
            <w:tcW w:w="1186" w:type="dxa"/>
            <w:tcBorders>
              <w:top w:val="nil"/>
              <w:left w:val="nil"/>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65%</w:t>
            </w:r>
          </w:p>
        </w:tc>
        <w:tc>
          <w:tcPr>
            <w:tcW w:w="1186" w:type="dxa"/>
            <w:tcBorders>
              <w:top w:val="nil"/>
              <w:left w:val="nil"/>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12%</w:t>
            </w:r>
          </w:p>
        </w:tc>
        <w:tc>
          <w:tcPr>
            <w:tcW w:w="1187" w:type="dxa"/>
            <w:tcBorders>
              <w:top w:val="nil"/>
              <w:left w:val="nil"/>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-5%</w:t>
            </w:r>
          </w:p>
        </w:tc>
      </w:tr>
      <w:tr w:rsidR="003D475D" w:rsidRPr="003D475D" w:rsidTr="00E70DE6">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3D475D" w:rsidRPr="003D475D" w:rsidRDefault="003D475D" w:rsidP="003D475D">
            <w:pPr>
              <w:spacing w:after="0" w:line="240" w:lineRule="auto"/>
              <w:jc w:val="left"/>
              <w:rPr>
                <w:rFonts w:cs="Arial"/>
                <w:color w:val="366092"/>
                <w:sz w:val="18"/>
                <w:szCs w:val="18"/>
                <w:lang w:eastAsia="en-AU"/>
              </w:rPr>
            </w:pPr>
            <w:r w:rsidRPr="003D475D">
              <w:rPr>
                <w:rFonts w:cs="Arial"/>
                <w:color w:val="366092"/>
                <w:sz w:val="18"/>
                <w:szCs w:val="18"/>
                <w:lang w:eastAsia="en-AU"/>
              </w:rPr>
              <w:t>Other*</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46%</w:t>
            </w:r>
          </w:p>
        </w:tc>
        <w:tc>
          <w:tcPr>
            <w:tcW w:w="1186"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23%</w:t>
            </w:r>
          </w:p>
        </w:tc>
        <w:tc>
          <w:tcPr>
            <w:tcW w:w="1187" w:type="dxa"/>
            <w:tcBorders>
              <w:top w:val="nil"/>
              <w:left w:val="nil"/>
              <w:bottom w:val="single" w:sz="4" w:space="0" w:color="366092"/>
              <w:right w:val="single" w:sz="4" w:space="0" w:color="366092"/>
            </w:tcBorders>
            <w:shd w:val="clear" w:color="auto" w:fill="auto"/>
            <w:noWrap/>
            <w:vAlign w:val="bottom"/>
            <w:hideMark/>
          </w:tcPr>
          <w:p w:rsidR="003D475D" w:rsidRPr="003D475D" w:rsidRDefault="003D475D" w:rsidP="003D475D">
            <w:pPr>
              <w:spacing w:after="0" w:line="240" w:lineRule="auto"/>
              <w:jc w:val="right"/>
              <w:rPr>
                <w:rFonts w:cs="Arial"/>
                <w:sz w:val="18"/>
                <w:szCs w:val="18"/>
                <w:lang w:eastAsia="en-AU"/>
              </w:rPr>
            </w:pPr>
            <w:r w:rsidRPr="003D475D">
              <w:rPr>
                <w:rFonts w:cs="Arial"/>
                <w:sz w:val="18"/>
                <w:szCs w:val="18"/>
                <w:lang w:eastAsia="en-AU"/>
              </w:rPr>
              <w:t>-3%</w:t>
            </w:r>
          </w:p>
        </w:tc>
      </w:tr>
      <w:tr w:rsidR="003D475D" w:rsidRPr="003D475D" w:rsidTr="00E70DE6">
        <w:trPr>
          <w:trHeight w:val="342"/>
        </w:trPr>
        <w:tc>
          <w:tcPr>
            <w:tcW w:w="2400" w:type="dxa"/>
            <w:tcBorders>
              <w:top w:val="nil"/>
              <w:left w:val="single" w:sz="4" w:space="0" w:color="366092"/>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left"/>
              <w:rPr>
                <w:rFonts w:cs="Arial"/>
                <w:b/>
                <w:bCs/>
                <w:color w:val="FFFFFF"/>
                <w:sz w:val="18"/>
                <w:szCs w:val="18"/>
                <w:lang w:eastAsia="en-AU"/>
              </w:rPr>
            </w:pPr>
            <w:r w:rsidRPr="003D475D">
              <w:rPr>
                <w:rFonts w:cs="Arial"/>
                <w:b/>
                <w:bCs/>
                <w:color w:val="FFFFFF"/>
                <w:sz w:val="18"/>
                <w:szCs w:val="18"/>
                <w:lang w:eastAsia="en-AU"/>
              </w:rPr>
              <w:t>Total students</w:t>
            </w:r>
          </w:p>
        </w:tc>
        <w:tc>
          <w:tcPr>
            <w:tcW w:w="1186" w:type="dxa"/>
            <w:tcBorders>
              <w:top w:val="nil"/>
              <w:left w:val="nil"/>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64%</w:t>
            </w:r>
          </w:p>
        </w:tc>
        <w:tc>
          <w:tcPr>
            <w:tcW w:w="1186" w:type="dxa"/>
            <w:tcBorders>
              <w:top w:val="nil"/>
              <w:left w:val="nil"/>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13%</w:t>
            </w:r>
          </w:p>
        </w:tc>
        <w:tc>
          <w:tcPr>
            <w:tcW w:w="1187" w:type="dxa"/>
            <w:tcBorders>
              <w:top w:val="nil"/>
              <w:left w:val="nil"/>
              <w:bottom w:val="single" w:sz="4" w:space="0" w:color="366092"/>
              <w:right w:val="single" w:sz="4" w:space="0" w:color="366092"/>
            </w:tcBorders>
            <w:shd w:val="clear" w:color="000000" w:fill="366092"/>
            <w:noWrap/>
            <w:vAlign w:val="bottom"/>
            <w:hideMark/>
          </w:tcPr>
          <w:p w:rsidR="003D475D" w:rsidRPr="003D475D" w:rsidRDefault="003D475D" w:rsidP="003D475D">
            <w:pPr>
              <w:spacing w:after="0" w:line="240" w:lineRule="auto"/>
              <w:jc w:val="right"/>
              <w:rPr>
                <w:rFonts w:cs="Arial"/>
                <w:b/>
                <w:bCs/>
                <w:color w:val="FFFFFF"/>
                <w:sz w:val="18"/>
                <w:szCs w:val="18"/>
                <w:lang w:eastAsia="en-AU"/>
              </w:rPr>
            </w:pPr>
            <w:r w:rsidRPr="003D475D">
              <w:rPr>
                <w:rFonts w:cs="Arial"/>
                <w:b/>
                <w:bCs/>
                <w:color w:val="FFFFFF"/>
                <w:sz w:val="18"/>
                <w:szCs w:val="18"/>
                <w:lang w:eastAsia="en-AU"/>
              </w:rPr>
              <w:t>-5%</w:t>
            </w:r>
          </w:p>
        </w:tc>
      </w:tr>
    </w:tbl>
    <w:p w:rsidR="00786BCD" w:rsidRDefault="00786BCD" w:rsidP="00786BCD">
      <w:r w:rsidRPr="00115C86">
        <w:rPr>
          <w:rFonts w:cs="Arial"/>
          <w:bCs/>
          <w:sz w:val="16"/>
          <w:szCs w:val="16"/>
        </w:rPr>
        <w:t>*Other</w:t>
      </w:r>
      <w:r>
        <w:rPr>
          <w:rFonts w:cs="Arial"/>
          <w:bCs/>
          <w:sz w:val="16"/>
          <w:szCs w:val="16"/>
        </w:rPr>
        <w:t xml:space="preserve"> includes n</w:t>
      </w:r>
      <w:r w:rsidRPr="00115C86">
        <w:rPr>
          <w:rFonts w:cs="Arial"/>
          <w:bCs/>
          <w:sz w:val="16"/>
          <w:szCs w:val="16"/>
        </w:rPr>
        <w:t>ot stated</w:t>
      </w:r>
      <w:r>
        <w:rPr>
          <w:rFonts w:cs="Arial"/>
          <w:bCs/>
          <w:sz w:val="16"/>
          <w:szCs w:val="16"/>
        </w:rPr>
        <w:t>, unknown, interstate or overseas</w:t>
      </w:r>
      <w:r w:rsidRPr="00115C86">
        <w:rPr>
          <w:rFonts w:cs="Arial"/>
          <w:bCs/>
          <w:sz w:val="16"/>
          <w:szCs w:val="16"/>
        </w:rPr>
        <w:t>.</w:t>
      </w:r>
    </w:p>
    <w:p w:rsidR="00194286" w:rsidRPr="002B5A8D" w:rsidRDefault="00194286" w:rsidP="00194286">
      <w:pPr>
        <w:spacing w:after="0" w:line="240" w:lineRule="auto"/>
        <w:jc w:val="left"/>
        <w:rPr>
          <w:rFonts w:cs="Arial"/>
          <w:b/>
          <w:bCs/>
          <w:color w:val="76923C" w:themeColor="accent3" w:themeShade="BF"/>
          <w:sz w:val="18"/>
          <w:szCs w:val="16"/>
          <w:highlight w:val="yellow"/>
        </w:rPr>
      </w:pPr>
      <w:r w:rsidRPr="002B5A8D">
        <w:rPr>
          <w:rFonts w:cs="Arial"/>
          <w:highlight w:val="yellow"/>
        </w:rPr>
        <w:br w:type="page"/>
      </w:r>
    </w:p>
    <w:p w:rsidR="00194286" w:rsidRDefault="00194286" w:rsidP="00194286">
      <w:pPr>
        <w:pStyle w:val="Caption"/>
        <w:spacing w:after="0"/>
        <w:jc w:val="left"/>
        <w:rPr>
          <w:rFonts w:cs="Arial"/>
          <w:color w:val="365F91" w:themeColor="accent1" w:themeShade="BF"/>
        </w:rPr>
      </w:pPr>
      <w:r w:rsidRPr="00287A0F">
        <w:rPr>
          <w:rFonts w:cs="Arial"/>
          <w:color w:val="365F91" w:themeColor="accent1" w:themeShade="BF"/>
        </w:rPr>
        <w:t>Table 1.1</w:t>
      </w:r>
      <w:r w:rsidR="00635A7B">
        <w:rPr>
          <w:rFonts w:cs="Arial"/>
          <w:color w:val="365F91" w:themeColor="accent1" w:themeShade="BF"/>
        </w:rPr>
        <w:t>7</w:t>
      </w:r>
      <w:r w:rsidRPr="00287A0F">
        <w:rPr>
          <w:rFonts w:cs="Arial"/>
          <w:color w:val="365F91" w:themeColor="accent1" w:themeShade="BF"/>
        </w:rPr>
        <w:t xml:space="preserve">.1: </w:t>
      </w:r>
      <w:r w:rsidR="00786BCD" w:rsidRPr="00287A0F">
        <w:rPr>
          <w:rFonts w:cs="Arial"/>
          <w:color w:val="365F91" w:themeColor="accent1" w:themeShade="BF"/>
        </w:rPr>
        <w:t>Government subsidised students by residential area – region</w:t>
      </w:r>
      <w:r w:rsidR="00287A0F">
        <w:rPr>
          <w:rFonts w:cs="Arial"/>
          <w:color w:val="365F91" w:themeColor="accent1" w:themeShade="BF"/>
        </w:rPr>
        <w:t>, 2008–2013</w:t>
      </w:r>
    </w:p>
    <w:tbl>
      <w:tblPr>
        <w:tblW w:w="910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400"/>
        <w:gridCol w:w="1120"/>
        <w:gridCol w:w="1120"/>
        <w:gridCol w:w="1120"/>
        <w:gridCol w:w="1120"/>
        <w:gridCol w:w="1120"/>
        <w:gridCol w:w="1100"/>
      </w:tblGrid>
      <w:tr w:rsidR="00287A0F" w:rsidRPr="00287A0F" w:rsidTr="00807C85">
        <w:trPr>
          <w:trHeight w:val="762"/>
        </w:trPr>
        <w:tc>
          <w:tcPr>
            <w:tcW w:w="2400" w:type="dxa"/>
            <w:shd w:val="clear" w:color="000000" w:fill="366092"/>
            <w:noWrap/>
            <w:vAlign w:val="center"/>
            <w:hideMark/>
          </w:tcPr>
          <w:p w:rsidR="00287A0F" w:rsidRPr="00287A0F" w:rsidRDefault="00287A0F" w:rsidP="00287A0F">
            <w:pPr>
              <w:spacing w:after="0" w:line="240" w:lineRule="auto"/>
              <w:jc w:val="left"/>
              <w:rPr>
                <w:rFonts w:cs="Arial"/>
                <w:b/>
                <w:bCs/>
                <w:color w:val="FFFFFF"/>
                <w:sz w:val="18"/>
                <w:szCs w:val="18"/>
                <w:lang w:eastAsia="en-AU"/>
              </w:rPr>
            </w:pPr>
            <w:r w:rsidRPr="00287A0F">
              <w:rPr>
                <w:rFonts w:cs="Arial"/>
                <w:b/>
                <w:bCs/>
                <w:color w:val="FFFFFF"/>
                <w:sz w:val="18"/>
                <w:szCs w:val="18"/>
                <w:lang w:eastAsia="en-AU"/>
              </w:rPr>
              <w:t>Residential location</w:t>
            </w:r>
          </w:p>
        </w:tc>
        <w:tc>
          <w:tcPr>
            <w:tcW w:w="1120" w:type="dxa"/>
            <w:shd w:val="clear" w:color="000000" w:fill="366092"/>
            <w:vAlign w:val="center"/>
            <w:hideMark/>
          </w:tcPr>
          <w:p w:rsidR="00287A0F" w:rsidRPr="00287A0F" w:rsidRDefault="00287A0F" w:rsidP="00287A0F">
            <w:pPr>
              <w:spacing w:after="0" w:line="240" w:lineRule="auto"/>
              <w:ind w:firstLineChars="100" w:firstLine="181"/>
              <w:jc w:val="right"/>
              <w:rPr>
                <w:rFonts w:cs="Arial"/>
                <w:b/>
                <w:bCs/>
                <w:color w:val="FFFFFF"/>
                <w:sz w:val="18"/>
                <w:szCs w:val="18"/>
                <w:lang w:eastAsia="en-AU"/>
              </w:rPr>
            </w:pPr>
            <w:r w:rsidRPr="00287A0F">
              <w:rPr>
                <w:rFonts w:cs="Arial"/>
                <w:b/>
                <w:bCs/>
                <w:color w:val="FFFFFF"/>
                <w:sz w:val="18"/>
                <w:szCs w:val="18"/>
                <w:lang w:eastAsia="en-AU"/>
              </w:rPr>
              <w:t>2008</w:t>
            </w:r>
          </w:p>
        </w:tc>
        <w:tc>
          <w:tcPr>
            <w:tcW w:w="1120" w:type="dxa"/>
            <w:shd w:val="clear" w:color="000000" w:fill="366092"/>
            <w:vAlign w:val="center"/>
            <w:hideMark/>
          </w:tcPr>
          <w:p w:rsidR="00287A0F" w:rsidRPr="00287A0F" w:rsidRDefault="00287A0F" w:rsidP="00287A0F">
            <w:pPr>
              <w:spacing w:after="0" w:line="240" w:lineRule="auto"/>
              <w:ind w:firstLineChars="100" w:firstLine="181"/>
              <w:jc w:val="right"/>
              <w:rPr>
                <w:rFonts w:cs="Arial"/>
                <w:b/>
                <w:bCs/>
                <w:color w:val="FFFFFF"/>
                <w:sz w:val="18"/>
                <w:szCs w:val="18"/>
                <w:lang w:eastAsia="en-AU"/>
              </w:rPr>
            </w:pPr>
            <w:r w:rsidRPr="00287A0F">
              <w:rPr>
                <w:rFonts w:cs="Arial"/>
                <w:b/>
                <w:bCs/>
                <w:color w:val="FFFFFF"/>
                <w:sz w:val="18"/>
                <w:szCs w:val="18"/>
                <w:lang w:eastAsia="en-AU"/>
              </w:rPr>
              <w:t>2009</w:t>
            </w:r>
          </w:p>
        </w:tc>
        <w:tc>
          <w:tcPr>
            <w:tcW w:w="1120" w:type="dxa"/>
            <w:shd w:val="clear" w:color="000000" w:fill="366092"/>
            <w:vAlign w:val="center"/>
            <w:hideMark/>
          </w:tcPr>
          <w:p w:rsidR="00287A0F" w:rsidRPr="00287A0F" w:rsidRDefault="00287A0F" w:rsidP="00287A0F">
            <w:pPr>
              <w:spacing w:after="0" w:line="240" w:lineRule="auto"/>
              <w:ind w:firstLineChars="100" w:firstLine="181"/>
              <w:jc w:val="right"/>
              <w:rPr>
                <w:rFonts w:cs="Arial"/>
                <w:b/>
                <w:bCs/>
                <w:color w:val="FFFFFF"/>
                <w:sz w:val="18"/>
                <w:szCs w:val="18"/>
                <w:lang w:eastAsia="en-AU"/>
              </w:rPr>
            </w:pPr>
            <w:r w:rsidRPr="00287A0F">
              <w:rPr>
                <w:rFonts w:cs="Arial"/>
                <w:b/>
                <w:bCs/>
                <w:color w:val="FFFFFF"/>
                <w:sz w:val="18"/>
                <w:szCs w:val="18"/>
                <w:lang w:eastAsia="en-AU"/>
              </w:rPr>
              <w:t>2010</w:t>
            </w:r>
          </w:p>
        </w:tc>
        <w:tc>
          <w:tcPr>
            <w:tcW w:w="1120" w:type="dxa"/>
            <w:shd w:val="clear" w:color="000000" w:fill="366092"/>
            <w:vAlign w:val="center"/>
            <w:hideMark/>
          </w:tcPr>
          <w:p w:rsidR="00287A0F" w:rsidRPr="00287A0F" w:rsidRDefault="00287A0F" w:rsidP="00287A0F">
            <w:pPr>
              <w:spacing w:after="0" w:line="240" w:lineRule="auto"/>
              <w:ind w:firstLineChars="100" w:firstLine="181"/>
              <w:jc w:val="right"/>
              <w:rPr>
                <w:rFonts w:cs="Arial"/>
                <w:b/>
                <w:bCs/>
                <w:color w:val="FFFFFF"/>
                <w:sz w:val="18"/>
                <w:szCs w:val="18"/>
                <w:lang w:eastAsia="en-AU"/>
              </w:rPr>
            </w:pPr>
            <w:r w:rsidRPr="00287A0F">
              <w:rPr>
                <w:rFonts w:cs="Arial"/>
                <w:b/>
                <w:bCs/>
                <w:color w:val="FFFFFF"/>
                <w:sz w:val="18"/>
                <w:szCs w:val="18"/>
                <w:lang w:eastAsia="en-AU"/>
              </w:rPr>
              <w:t>2011</w:t>
            </w:r>
          </w:p>
        </w:tc>
        <w:tc>
          <w:tcPr>
            <w:tcW w:w="1120" w:type="dxa"/>
            <w:shd w:val="clear" w:color="000000" w:fill="366092"/>
            <w:vAlign w:val="center"/>
            <w:hideMark/>
          </w:tcPr>
          <w:p w:rsidR="00287A0F" w:rsidRPr="00287A0F" w:rsidRDefault="00287A0F" w:rsidP="00287A0F">
            <w:pPr>
              <w:spacing w:after="0" w:line="240" w:lineRule="auto"/>
              <w:ind w:firstLineChars="100" w:firstLine="181"/>
              <w:jc w:val="right"/>
              <w:rPr>
                <w:rFonts w:cs="Arial"/>
                <w:b/>
                <w:bCs/>
                <w:color w:val="FFFFFF"/>
                <w:sz w:val="18"/>
                <w:szCs w:val="18"/>
                <w:lang w:eastAsia="en-AU"/>
              </w:rPr>
            </w:pPr>
            <w:r w:rsidRPr="00287A0F">
              <w:rPr>
                <w:rFonts w:cs="Arial"/>
                <w:b/>
                <w:bCs/>
                <w:color w:val="FFFFFF"/>
                <w:sz w:val="18"/>
                <w:szCs w:val="18"/>
                <w:lang w:eastAsia="en-AU"/>
              </w:rPr>
              <w:t>2012</w:t>
            </w:r>
          </w:p>
        </w:tc>
        <w:tc>
          <w:tcPr>
            <w:tcW w:w="1100" w:type="dxa"/>
            <w:shd w:val="clear" w:color="000000" w:fill="366092"/>
            <w:vAlign w:val="center"/>
            <w:hideMark/>
          </w:tcPr>
          <w:p w:rsidR="00287A0F" w:rsidRPr="00287A0F" w:rsidRDefault="00287A0F" w:rsidP="00287A0F">
            <w:pPr>
              <w:spacing w:after="0" w:line="240" w:lineRule="auto"/>
              <w:ind w:firstLineChars="100" w:firstLine="181"/>
              <w:jc w:val="right"/>
              <w:rPr>
                <w:rFonts w:cs="Arial"/>
                <w:b/>
                <w:bCs/>
                <w:color w:val="FFFFFF"/>
                <w:sz w:val="18"/>
                <w:szCs w:val="18"/>
                <w:lang w:eastAsia="en-AU"/>
              </w:rPr>
            </w:pPr>
            <w:r w:rsidRPr="00287A0F">
              <w:rPr>
                <w:rFonts w:cs="Arial"/>
                <w:b/>
                <w:bCs/>
                <w:color w:val="FFFFFF"/>
                <w:sz w:val="18"/>
                <w:szCs w:val="18"/>
                <w:lang w:eastAsia="en-AU"/>
              </w:rPr>
              <w:t>2013</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Barwon South West</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24,500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26,300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29,000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36,100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41,300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36,700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Grampians</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13,900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14,400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15,400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18,400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21,400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19,800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Loddon Mallee</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20,500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21,000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21,900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27,400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31,500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28,000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Hume</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21,300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19,900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20,000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23,200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26,500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26,100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Gippsland</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21,900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19,100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20,700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21,500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21,200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20,300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Eastern Metropolitan</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44,300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44,900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51,600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65,800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75,200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66,800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Western Metropolitan</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37,200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40,300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48,200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67,500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89,700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89,100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Southern Metropolitan</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57,000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60,900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71,400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94,300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116,100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112,300</w:t>
            </w:r>
          </w:p>
        </w:tc>
      </w:tr>
      <w:tr w:rsidR="00287A0F" w:rsidRPr="00287A0F" w:rsidTr="00807C85">
        <w:trPr>
          <w:trHeight w:val="342"/>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Northern Metropolitan</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49,100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46,600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53,900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70,300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79,600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78,100</w:t>
            </w:r>
          </w:p>
        </w:tc>
      </w:tr>
      <w:tr w:rsidR="00287A0F" w:rsidRPr="00287A0F" w:rsidTr="00807C85">
        <w:trPr>
          <w:trHeight w:val="342"/>
        </w:trPr>
        <w:tc>
          <w:tcPr>
            <w:tcW w:w="2400" w:type="dxa"/>
            <w:shd w:val="clear" w:color="000000" w:fill="366092"/>
            <w:noWrap/>
            <w:vAlign w:val="bottom"/>
            <w:hideMark/>
          </w:tcPr>
          <w:p w:rsidR="00287A0F" w:rsidRPr="00287A0F" w:rsidRDefault="00287A0F" w:rsidP="00287A0F">
            <w:pPr>
              <w:spacing w:after="0" w:line="240" w:lineRule="auto"/>
              <w:jc w:val="left"/>
              <w:rPr>
                <w:rFonts w:cs="Arial"/>
                <w:b/>
                <w:bCs/>
                <w:color w:val="FFFFFF"/>
                <w:sz w:val="18"/>
                <w:szCs w:val="18"/>
                <w:lang w:eastAsia="en-AU"/>
              </w:rPr>
            </w:pPr>
            <w:r w:rsidRPr="00287A0F">
              <w:rPr>
                <w:rFonts w:cs="Arial"/>
                <w:b/>
                <w:bCs/>
                <w:color w:val="FFFFFF"/>
                <w:sz w:val="18"/>
                <w:szCs w:val="18"/>
                <w:lang w:eastAsia="en-AU"/>
              </w:rPr>
              <w:t>All Regions Total</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289,800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293,400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331,900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424,500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502,400</w:t>
            </w:r>
          </w:p>
        </w:tc>
        <w:tc>
          <w:tcPr>
            <w:tcW w:w="110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477,200</w:t>
            </w:r>
          </w:p>
        </w:tc>
      </w:tr>
      <w:tr w:rsidR="00287A0F" w:rsidRPr="00287A0F" w:rsidTr="00807C85">
        <w:trPr>
          <w:trHeight w:val="300"/>
        </w:trPr>
        <w:tc>
          <w:tcPr>
            <w:tcW w:w="2400" w:type="dxa"/>
            <w:shd w:val="clear" w:color="000000" w:fill="FFFFFF"/>
            <w:noWrap/>
            <w:vAlign w:val="bottom"/>
            <w:hideMark/>
          </w:tcPr>
          <w:p w:rsidR="00287A0F" w:rsidRPr="00287A0F" w:rsidRDefault="00287A0F" w:rsidP="00287A0F">
            <w:pPr>
              <w:spacing w:after="0" w:line="240" w:lineRule="auto"/>
              <w:jc w:val="left"/>
              <w:rPr>
                <w:rFonts w:cs="Arial"/>
                <w:color w:val="366092"/>
                <w:sz w:val="18"/>
                <w:szCs w:val="18"/>
                <w:lang w:eastAsia="en-AU"/>
              </w:rPr>
            </w:pPr>
            <w:r w:rsidRPr="00287A0F">
              <w:rPr>
                <w:rFonts w:cs="Arial"/>
                <w:color w:val="366092"/>
                <w:sz w:val="18"/>
                <w:szCs w:val="18"/>
                <w:lang w:eastAsia="en-AU"/>
              </w:rPr>
              <w:t>Other</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4,900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6,200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7,300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5,800</w:t>
            </w:r>
          </w:p>
        </w:tc>
        <w:tc>
          <w:tcPr>
            <w:tcW w:w="112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7,400</w:t>
            </w:r>
          </w:p>
        </w:tc>
        <w:tc>
          <w:tcPr>
            <w:tcW w:w="1100" w:type="dxa"/>
            <w:shd w:val="clear" w:color="auto" w:fill="auto"/>
            <w:noWrap/>
            <w:vAlign w:val="center"/>
            <w:hideMark/>
          </w:tcPr>
          <w:p w:rsidR="00287A0F" w:rsidRPr="00287A0F" w:rsidRDefault="00287A0F" w:rsidP="00287A0F">
            <w:pPr>
              <w:spacing w:after="0" w:line="240" w:lineRule="auto"/>
              <w:jc w:val="right"/>
              <w:rPr>
                <w:rFonts w:cs="Arial"/>
                <w:sz w:val="18"/>
                <w:szCs w:val="18"/>
                <w:lang w:eastAsia="en-AU"/>
              </w:rPr>
            </w:pPr>
            <w:r w:rsidRPr="00287A0F">
              <w:rPr>
                <w:rFonts w:cs="Arial"/>
                <w:sz w:val="18"/>
                <w:szCs w:val="18"/>
                <w:lang w:eastAsia="en-AU"/>
              </w:rPr>
              <w:t>7,100</w:t>
            </w:r>
          </w:p>
        </w:tc>
      </w:tr>
      <w:tr w:rsidR="00287A0F" w:rsidRPr="00287A0F" w:rsidTr="00807C85">
        <w:trPr>
          <w:trHeight w:val="300"/>
        </w:trPr>
        <w:tc>
          <w:tcPr>
            <w:tcW w:w="2400" w:type="dxa"/>
            <w:shd w:val="clear" w:color="000000" w:fill="366092"/>
            <w:noWrap/>
            <w:vAlign w:val="bottom"/>
            <w:hideMark/>
          </w:tcPr>
          <w:p w:rsidR="00287A0F" w:rsidRPr="00287A0F" w:rsidRDefault="00287A0F" w:rsidP="00287A0F">
            <w:pPr>
              <w:spacing w:after="0" w:line="240" w:lineRule="auto"/>
              <w:jc w:val="left"/>
              <w:rPr>
                <w:rFonts w:cs="Arial"/>
                <w:b/>
                <w:bCs/>
                <w:color w:val="FFFFFF"/>
                <w:sz w:val="18"/>
                <w:szCs w:val="18"/>
                <w:lang w:eastAsia="en-AU"/>
              </w:rPr>
            </w:pPr>
            <w:r w:rsidRPr="00287A0F">
              <w:rPr>
                <w:rFonts w:cs="Arial"/>
                <w:b/>
                <w:bCs/>
                <w:color w:val="FFFFFF"/>
                <w:sz w:val="18"/>
                <w:szCs w:val="18"/>
                <w:lang w:eastAsia="en-AU"/>
              </w:rPr>
              <w:t>Total students</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294,700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299,600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339,200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430,300</w:t>
            </w:r>
          </w:p>
        </w:tc>
        <w:tc>
          <w:tcPr>
            <w:tcW w:w="112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509,800</w:t>
            </w:r>
          </w:p>
        </w:tc>
        <w:tc>
          <w:tcPr>
            <w:tcW w:w="1100" w:type="dxa"/>
            <w:shd w:val="clear" w:color="000000" w:fill="366092"/>
            <w:noWrap/>
            <w:vAlign w:val="center"/>
            <w:hideMark/>
          </w:tcPr>
          <w:p w:rsidR="00287A0F" w:rsidRPr="00287A0F" w:rsidRDefault="00287A0F" w:rsidP="00287A0F">
            <w:pPr>
              <w:spacing w:after="0" w:line="240" w:lineRule="auto"/>
              <w:jc w:val="right"/>
              <w:rPr>
                <w:rFonts w:cs="Arial"/>
                <w:b/>
                <w:bCs/>
                <w:color w:val="FFFFFF"/>
                <w:sz w:val="18"/>
                <w:szCs w:val="18"/>
                <w:lang w:eastAsia="en-AU"/>
              </w:rPr>
            </w:pPr>
            <w:r w:rsidRPr="00287A0F">
              <w:rPr>
                <w:rFonts w:cs="Arial"/>
                <w:b/>
                <w:bCs/>
                <w:color w:val="FFFFFF"/>
                <w:sz w:val="18"/>
                <w:szCs w:val="18"/>
                <w:lang w:eastAsia="en-AU"/>
              </w:rPr>
              <w:t>484,300</w:t>
            </w:r>
          </w:p>
        </w:tc>
      </w:tr>
    </w:tbl>
    <w:p w:rsidR="00287A0F" w:rsidRDefault="00287A0F" w:rsidP="00287A0F"/>
    <w:p w:rsidR="00786BCD" w:rsidRDefault="00786BCD" w:rsidP="00786BCD"/>
    <w:p w:rsidR="00194286" w:rsidRDefault="00194286" w:rsidP="00194286">
      <w:pPr>
        <w:pStyle w:val="Caption"/>
        <w:spacing w:after="0"/>
        <w:jc w:val="left"/>
        <w:rPr>
          <w:rFonts w:cs="Arial"/>
          <w:color w:val="365F91" w:themeColor="accent1" w:themeShade="BF"/>
        </w:rPr>
      </w:pPr>
      <w:r w:rsidRPr="00287A0F">
        <w:rPr>
          <w:rFonts w:cs="Arial"/>
          <w:color w:val="365F91" w:themeColor="accent1" w:themeShade="BF"/>
        </w:rPr>
        <w:t>Table 1.1</w:t>
      </w:r>
      <w:r w:rsidR="00635A7B">
        <w:rPr>
          <w:rFonts w:cs="Arial"/>
          <w:color w:val="365F91" w:themeColor="accent1" w:themeShade="BF"/>
        </w:rPr>
        <w:t>7</w:t>
      </w:r>
      <w:r w:rsidR="00287A0F">
        <w:rPr>
          <w:rFonts w:cs="Arial"/>
          <w:color w:val="365F91" w:themeColor="accent1" w:themeShade="BF"/>
        </w:rPr>
        <w:t>.2: Change in g</w:t>
      </w:r>
      <w:r w:rsidRPr="00287A0F">
        <w:rPr>
          <w:rFonts w:cs="Arial"/>
          <w:color w:val="365F91" w:themeColor="accent1" w:themeShade="BF"/>
        </w:rPr>
        <w:t xml:space="preserve">overnment subsidised </w:t>
      </w:r>
      <w:r w:rsidR="001777F9" w:rsidRPr="00287A0F">
        <w:rPr>
          <w:rFonts w:cs="Arial"/>
          <w:color w:val="365F91" w:themeColor="accent1" w:themeShade="BF"/>
        </w:rPr>
        <w:t>students by residential area – region</w:t>
      </w:r>
    </w:p>
    <w:tbl>
      <w:tblPr>
        <w:tblW w:w="5760" w:type="dxa"/>
        <w:tblInd w:w="103" w:type="dxa"/>
        <w:tblLook w:val="04A0" w:firstRow="1" w:lastRow="0" w:firstColumn="1" w:lastColumn="0" w:noHBand="0" w:noVBand="1"/>
      </w:tblPr>
      <w:tblGrid>
        <w:gridCol w:w="2400"/>
        <w:gridCol w:w="1120"/>
        <w:gridCol w:w="1120"/>
        <w:gridCol w:w="1120"/>
      </w:tblGrid>
      <w:tr w:rsidR="00F10357" w:rsidRPr="00F10357" w:rsidTr="00F10357">
        <w:trPr>
          <w:trHeight w:val="762"/>
        </w:trPr>
        <w:tc>
          <w:tcPr>
            <w:tcW w:w="24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F10357" w:rsidRPr="00F10357" w:rsidRDefault="00F10357" w:rsidP="00F10357">
            <w:pPr>
              <w:spacing w:after="0" w:line="240" w:lineRule="auto"/>
              <w:jc w:val="left"/>
              <w:rPr>
                <w:rFonts w:cs="Arial"/>
                <w:b/>
                <w:bCs/>
                <w:color w:val="FFFFFF"/>
                <w:sz w:val="18"/>
                <w:szCs w:val="18"/>
                <w:lang w:eastAsia="en-AU"/>
              </w:rPr>
            </w:pPr>
            <w:r w:rsidRPr="00F10357">
              <w:rPr>
                <w:rFonts w:cs="Arial"/>
                <w:b/>
                <w:bCs/>
                <w:color w:val="FFFFFF"/>
                <w:sz w:val="18"/>
                <w:szCs w:val="18"/>
                <w:lang w:eastAsia="en-AU"/>
              </w:rPr>
              <w:t>Residential location</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 change</w:t>
            </w:r>
            <w:r w:rsidRPr="00F10357">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 change</w:t>
            </w:r>
            <w:r w:rsidRPr="00F10357">
              <w:rPr>
                <w:rFonts w:cs="Arial"/>
                <w:b/>
                <w:bCs/>
                <w:color w:val="FFFFFF"/>
                <w:sz w:val="18"/>
                <w:szCs w:val="18"/>
                <w:lang w:eastAsia="en-AU"/>
              </w:rPr>
              <w:br/>
              <w:t>2011-2013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 change</w:t>
            </w:r>
            <w:r w:rsidRPr="00F10357">
              <w:rPr>
                <w:rFonts w:cs="Arial"/>
                <w:b/>
                <w:bCs/>
                <w:color w:val="FFFFFF"/>
                <w:sz w:val="18"/>
                <w:szCs w:val="18"/>
                <w:lang w:eastAsia="en-AU"/>
              </w:rPr>
              <w:br/>
              <w:t>2012-2013</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Barwon South West</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50%</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2%</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-11%</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Grampians</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42%</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8%</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-7%</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Loddon Mallee</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36%</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2%</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-11%</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Hume</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23%</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13%</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-2%</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Gippsland</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-7%</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-5%</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-4%</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Eastern Metropolitan</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51%</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-11%</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Western Metropolitan</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139%</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32%</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Southern Metropolitan</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97%</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19%</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-3%</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Northern Metropolitan</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59%</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11%</w:t>
            </w:r>
          </w:p>
        </w:tc>
        <w:tc>
          <w:tcPr>
            <w:tcW w:w="1120" w:type="dxa"/>
            <w:tcBorders>
              <w:top w:val="nil"/>
              <w:left w:val="nil"/>
              <w:bottom w:val="single" w:sz="4" w:space="0" w:color="366092"/>
              <w:right w:val="single" w:sz="4" w:space="0" w:color="366092"/>
            </w:tcBorders>
            <w:shd w:val="clear" w:color="auto" w:fill="auto"/>
            <w:noWrap/>
            <w:vAlign w:val="center"/>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-2%</w:t>
            </w:r>
          </w:p>
        </w:tc>
      </w:tr>
      <w:tr w:rsidR="00F10357" w:rsidRPr="00F10357" w:rsidTr="00F10357">
        <w:trPr>
          <w:trHeight w:val="342"/>
        </w:trPr>
        <w:tc>
          <w:tcPr>
            <w:tcW w:w="2400" w:type="dxa"/>
            <w:tcBorders>
              <w:top w:val="nil"/>
              <w:left w:val="single" w:sz="4" w:space="0" w:color="366092"/>
              <w:bottom w:val="single" w:sz="4" w:space="0" w:color="366092"/>
              <w:right w:val="single" w:sz="4" w:space="0" w:color="366092"/>
            </w:tcBorders>
            <w:shd w:val="clear" w:color="000000" w:fill="366092"/>
            <w:noWrap/>
            <w:vAlign w:val="bottom"/>
            <w:hideMark/>
          </w:tcPr>
          <w:p w:rsidR="00F10357" w:rsidRPr="00F10357" w:rsidRDefault="00F10357" w:rsidP="00F10357">
            <w:pPr>
              <w:spacing w:after="0" w:line="240" w:lineRule="auto"/>
              <w:jc w:val="left"/>
              <w:rPr>
                <w:rFonts w:cs="Arial"/>
                <w:b/>
                <w:bCs/>
                <w:color w:val="FFFFFF"/>
                <w:sz w:val="18"/>
                <w:szCs w:val="18"/>
                <w:lang w:eastAsia="en-AU"/>
              </w:rPr>
            </w:pPr>
            <w:r w:rsidRPr="00F10357">
              <w:rPr>
                <w:rFonts w:cs="Arial"/>
                <w:b/>
                <w:bCs/>
                <w:color w:val="FFFFFF"/>
                <w:sz w:val="18"/>
                <w:szCs w:val="18"/>
                <w:lang w:eastAsia="en-AU"/>
              </w:rPr>
              <w:t>All Regions 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65%</w:t>
            </w:r>
          </w:p>
        </w:tc>
        <w:tc>
          <w:tcPr>
            <w:tcW w:w="1120" w:type="dxa"/>
            <w:tcBorders>
              <w:top w:val="nil"/>
              <w:left w:val="nil"/>
              <w:bottom w:val="single" w:sz="4" w:space="0" w:color="366092"/>
              <w:right w:val="single" w:sz="4" w:space="0" w:color="366092"/>
            </w:tcBorders>
            <w:shd w:val="clear" w:color="000000" w:fill="366092"/>
            <w:noWrap/>
            <w:vAlign w:val="center"/>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12%</w:t>
            </w:r>
          </w:p>
        </w:tc>
        <w:tc>
          <w:tcPr>
            <w:tcW w:w="1120" w:type="dxa"/>
            <w:tcBorders>
              <w:top w:val="nil"/>
              <w:left w:val="nil"/>
              <w:bottom w:val="single" w:sz="4" w:space="0" w:color="366092"/>
              <w:right w:val="single" w:sz="4" w:space="0" w:color="366092"/>
            </w:tcBorders>
            <w:shd w:val="clear" w:color="000000" w:fill="366092"/>
            <w:noWrap/>
            <w:vAlign w:val="center"/>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-5%</w:t>
            </w:r>
          </w:p>
        </w:tc>
      </w:tr>
      <w:tr w:rsidR="00F10357" w:rsidRPr="00F10357" w:rsidTr="00F10357">
        <w:trPr>
          <w:trHeight w:val="255"/>
        </w:trPr>
        <w:tc>
          <w:tcPr>
            <w:tcW w:w="2400" w:type="dxa"/>
            <w:tcBorders>
              <w:top w:val="nil"/>
              <w:left w:val="single" w:sz="4" w:space="0" w:color="366092"/>
              <w:bottom w:val="single" w:sz="4" w:space="0" w:color="366092"/>
              <w:right w:val="single" w:sz="4" w:space="0" w:color="366092"/>
            </w:tcBorders>
            <w:shd w:val="clear" w:color="000000" w:fill="FFFFFF"/>
            <w:noWrap/>
            <w:vAlign w:val="bottom"/>
            <w:hideMark/>
          </w:tcPr>
          <w:p w:rsidR="00F10357" w:rsidRPr="00F10357" w:rsidRDefault="00F10357" w:rsidP="00F10357">
            <w:pPr>
              <w:spacing w:after="0" w:line="240" w:lineRule="auto"/>
              <w:jc w:val="left"/>
              <w:rPr>
                <w:rFonts w:cs="Arial"/>
                <w:color w:val="366092"/>
                <w:sz w:val="18"/>
                <w:szCs w:val="18"/>
                <w:lang w:eastAsia="en-AU"/>
              </w:rPr>
            </w:pPr>
            <w:r w:rsidRPr="00F10357">
              <w:rPr>
                <w:rFonts w:cs="Arial"/>
                <w:color w:val="366092"/>
                <w:sz w:val="18"/>
                <w:szCs w:val="18"/>
                <w:lang w:eastAsia="en-AU"/>
              </w:rPr>
              <w:t>Other</w:t>
            </w:r>
          </w:p>
        </w:tc>
        <w:tc>
          <w:tcPr>
            <w:tcW w:w="1120" w:type="dxa"/>
            <w:tcBorders>
              <w:top w:val="nil"/>
              <w:left w:val="nil"/>
              <w:bottom w:val="single" w:sz="4" w:space="0" w:color="366092"/>
              <w:right w:val="single" w:sz="4" w:space="0" w:color="366092"/>
            </w:tcBorders>
            <w:shd w:val="clear" w:color="auto" w:fill="auto"/>
            <w:noWrap/>
            <w:vAlign w:val="bottom"/>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46%</w:t>
            </w:r>
          </w:p>
        </w:tc>
        <w:tc>
          <w:tcPr>
            <w:tcW w:w="1120" w:type="dxa"/>
            <w:tcBorders>
              <w:top w:val="nil"/>
              <w:left w:val="nil"/>
              <w:bottom w:val="single" w:sz="4" w:space="0" w:color="366092"/>
              <w:right w:val="single" w:sz="4" w:space="0" w:color="366092"/>
            </w:tcBorders>
            <w:shd w:val="clear" w:color="auto" w:fill="auto"/>
            <w:noWrap/>
            <w:vAlign w:val="bottom"/>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23%</w:t>
            </w:r>
          </w:p>
        </w:tc>
        <w:tc>
          <w:tcPr>
            <w:tcW w:w="1120" w:type="dxa"/>
            <w:tcBorders>
              <w:top w:val="nil"/>
              <w:left w:val="nil"/>
              <w:bottom w:val="single" w:sz="4" w:space="0" w:color="366092"/>
              <w:right w:val="single" w:sz="4" w:space="0" w:color="366092"/>
            </w:tcBorders>
            <w:shd w:val="clear" w:color="auto" w:fill="auto"/>
            <w:noWrap/>
            <w:vAlign w:val="bottom"/>
            <w:hideMark/>
          </w:tcPr>
          <w:p w:rsidR="00F10357" w:rsidRPr="00F10357" w:rsidRDefault="00F10357" w:rsidP="00F10357">
            <w:pPr>
              <w:spacing w:after="0" w:line="240" w:lineRule="auto"/>
              <w:jc w:val="right"/>
              <w:rPr>
                <w:rFonts w:cs="Arial"/>
                <w:sz w:val="18"/>
                <w:szCs w:val="18"/>
                <w:lang w:eastAsia="en-AU"/>
              </w:rPr>
            </w:pPr>
            <w:r w:rsidRPr="00F10357">
              <w:rPr>
                <w:rFonts w:cs="Arial"/>
                <w:sz w:val="18"/>
                <w:szCs w:val="18"/>
                <w:lang w:eastAsia="en-AU"/>
              </w:rPr>
              <w:t>-3%</w:t>
            </w:r>
          </w:p>
        </w:tc>
      </w:tr>
      <w:tr w:rsidR="00F10357" w:rsidRPr="00F10357" w:rsidTr="00F10357">
        <w:trPr>
          <w:trHeight w:val="255"/>
        </w:trPr>
        <w:tc>
          <w:tcPr>
            <w:tcW w:w="2400" w:type="dxa"/>
            <w:tcBorders>
              <w:top w:val="nil"/>
              <w:left w:val="single" w:sz="4" w:space="0" w:color="366092"/>
              <w:bottom w:val="single" w:sz="4" w:space="0" w:color="366092"/>
              <w:right w:val="single" w:sz="4" w:space="0" w:color="366092"/>
            </w:tcBorders>
            <w:shd w:val="clear" w:color="000000" w:fill="366092"/>
            <w:noWrap/>
            <w:vAlign w:val="bottom"/>
            <w:hideMark/>
          </w:tcPr>
          <w:p w:rsidR="00F10357" w:rsidRPr="00F10357" w:rsidRDefault="00F10357" w:rsidP="00F10357">
            <w:pPr>
              <w:spacing w:after="0" w:line="240" w:lineRule="auto"/>
              <w:jc w:val="left"/>
              <w:rPr>
                <w:rFonts w:cs="Arial"/>
                <w:b/>
                <w:bCs/>
                <w:color w:val="FFFFFF"/>
                <w:sz w:val="18"/>
                <w:szCs w:val="18"/>
                <w:lang w:eastAsia="en-AU"/>
              </w:rPr>
            </w:pPr>
            <w:r w:rsidRPr="00F10357">
              <w:rPr>
                <w:rFonts w:cs="Arial"/>
                <w:b/>
                <w:bCs/>
                <w:color w:val="FFFFFF"/>
                <w:sz w:val="18"/>
                <w:szCs w:val="18"/>
                <w:lang w:eastAsia="en-AU"/>
              </w:rPr>
              <w:t>Total students</w:t>
            </w:r>
          </w:p>
        </w:tc>
        <w:tc>
          <w:tcPr>
            <w:tcW w:w="1120" w:type="dxa"/>
            <w:tcBorders>
              <w:top w:val="nil"/>
              <w:left w:val="nil"/>
              <w:bottom w:val="single" w:sz="4" w:space="0" w:color="366092"/>
              <w:right w:val="single" w:sz="4" w:space="0" w:color="366092"/>
            </w:tcBorders>
            <w:shd w:val="clear" w:color="000000" w:fill="366092"/>
            <w:noWrap/>
            <w:vAlign w:val="bottom"/>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64%</w:t>
            </w:r>
          </w:p>
        </w:tc>
        <w:tc>
          <w:tcPr>
            <w:tcW w:w="1120" w:type="dxa"/>
            <w:tcBorders>
              <w:top w:val="nil"/>
              <w:left w:val="nil"/>
              <w:bottom w:val="single" w:sz="4" w:space="0" w:color="366092"/>
              <w:right w:val="single" w:sz="4" w:space="0" w:color="366092"/>
            </w:tcBorders>
            <w:shd w:val="clear" w:color="000000" w:fill="366092"/>
            <w:noWrap/>
            <w:vAlign w:val="bottom"/>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13%</w:t>
            </w:r>
          </w:p>
        </w:tc>
        <w:tc>
          <w:tcPr>
            <w:tcW w:w="1120" w:type="dxa"/>
            <w:tcBorders>
              <w:top w:val="nil"/>
              <w:left w:val="nil"/>
              <w:bottom w:val="single" w:sz="4" w:space="0" w:color="366092"/>
              <w:right w:val="single" w:sz="4" w:space="0" w:color="366092"/>
            </w:tcBorders>
            <w:shd w:val="clear" w:color="000000" w:fill="366092"/>
            <w:noWrap/>
            <w:vAlign w:val="bottom"/>
            <w:hideMark/>
          </w:tcPr>
          <w:p w:rsidR="00F10357" w:rsidRPr="00F10357" w:rsidRDefault="00F10357" w:rsidP="00F10357">
            <w:pPr>
              <w:spacing w:after="0" w:line="240" w:lineRule="auto"/>
              <w:jc w:val="right"/>
              <w:rPr>
                <w:rFonts w:cs="Arial"/>
                <w:b/>
                <w:bCs/>
                <w:color w:val="FFFFFF"/>
                <w:sz w:val="18"/>
                <w:szCs w:val="18"/>
                <w:lang w:eastAsia="en-AU"/>
              </w:rPr>
            </w:pPr>
            <w:r w:rsidRPr="00F10357">
              <w:rPr>
                <w:rFonts w:cs="Arial"/>
                <w:b/>
                <w:bCs/>
                <w:color w:val="FFFFFF"/>
                <w:sz w:val="18"/>
                <w:szCs w:val="18"/>
                <w:lang w:eastAsia="en-AU"/>
              </w:rPr>
              <w:t>-5%</w:t>
            </w:r>
          </w:p>
        </w:tc>
      </w:tr>
    </w:tbl>
    <w:p w:rsidR="00F10357" w:rsidRDefault="00F10357" w:rsidP="00F10357"/>
    <w:p w:rsidR="00F10357" w:rsidRPr="00F10357" w:rsidRDefault="00F10357" w:rsidP="00F10357"/>
    <w:p w:rsidR="001777F9" w:rsidRDefault="001777F9" w:rsidP="001777F9"/>
    <w:p w:rsidR="00CD6397" w:rsidRDefault="00CD6397" w:rsidP="00764C90">
      <w:pPr>
        <w:pStyle w:val="Caption"/>
        <w:spacing w:after="0"/>
        <w:jc w:val="left"/>
        <w:rPr>
          <w:rFonts w:cs="Arial"/>
        </w:rPr>
      </w:pPr>
    </w:p>
    <w:p w:rsidR="00CD6397" w:rsidRDefault="00CD6397">
      <w:pPr>
        <w:spacing w:after="0" w:line="240" w:lineRule="auto"/>
        <w:jc w:val="left"/>
        <w:rPr>
          <w:rFonts w:cs="Arial"/>
          <w:b/>
          <w:bCs/>
          <w:color w:val="76923C" w:themeColor="accent3" w:themeShade="BF"/>
          <w:sz w:val="18"/>
          <w:szCs w:val="16"/>
        </w:rPr>
      </w:pPr>
      <w:r>
        <w:rPr>
          <w:rFonts w:cs="Arial"/>
        </w:rPr>
        <w:br w:type="page"/>
      </w:r>
    </w:p>
    <w:p w:rsidR="001777F9" w:rsidRPr="00F10357" w:rsidRDefault="00D71749" w:rsidP="00764C90">
      <w:pPr>
        <w:pStyle w:val="Caption"/>
        <w:spacing w:after="0"/>
        <w:jc w:val="left"/>
        <w:rPr>
          <w:rFonts w:cs="Arial"/>
          <w:color w:val="365F91" w:themeColor="accent1" w:themeShade="BF"/>
        </w:rPr>
      </w:pPr>
      <w:r>
        <w:rPr>
          <w:rFonts w:cs="Arial"/>
          <w:color w:val="365F91" w:themeColor="accent1" w:themeShade="BF"/>
        </w:rPr>
        <w:t>Figure 1.6</w:t>
      </w:r>
      <w:r w:rsidR="00764C90" w:rsidRPr="00F10357">
        <w:rPr>
          <w:rFonts w:cs="Arial"/>
          <w:color w:val="365F91" w:themeColor="accent1" w:themeShade="BF"/>
        </w:rPr>
        <w:t xml:space="preserve">: </w:t>
      </w:r>
      <w:r w:rsidR="00396399" w:rsidRPr="00F10357">
        <w:rPr>
          <w:rFonts w:cs="Arial"/>
          <w:color w:val="365F91" w:themeColor="accent1" w:themeShade="BF"/>
        </w:rPr>
        <w:t>Estimated p</w:t>
      </w:r>
      <w:r w:rsidR="00764C90" w:rsidRPr="00F10357">
        <w:rPr>
          <w:rFonts w:cs="Arial"/>
          <w:color w:val="365F91" w:themeColor="accent1" w:themeShade="BF"/>
        </w:rPr>
        <w:t>articipation rate</w:t>
      </w:r>
      <w:r w:rsidR="00CD6397" w:rsidRPr="00F10357">
        <w:rPr>
          <w:rStyle w:val="FootnoteReference"/>
          <w:color w:val="365F91" w:themeColor="accent1" w:themeShade="BF"/>
        </w:rPr>
        <w:footnoteReference w:id="3"/>
      </w:r>
      <w:r w:rsidR="00764C90" w:rsidRPr="00F10357">
        <w:rPr>
          <w:rFonts w:cs="Arial"/>
          <w:color w:val="365F91" w:themeColor="accent1" w:themeShade="BF"/>
        </w:rPr>
        <w:t xml:space="preserve"> of students aged 15-64 in government subsidised training by region</w:t>
      </w:r>
      <w:r w:rsidR="00F10357" w:rsidRPr="00F10357">
        <w:rPr>
          <w:rFonts w:cs="Arial"/>
          <w:color w:val="365F91" w:themeColor="accent1" w:themeShade="BF"/>
        </w:rPr>
        <w:t>, 2013</w:t>
      </w:r>
    </w:p>
    <w:p w:rsidR="00764C90" w:rsidRDefault="00F10357" w:rsidP="00194286">
      <w:pPr>
        <w:jc w:val="left"/>
        <w:rPr>
          <w:rFonts w:cs="Arial"/>
        </w:rPr>
      </w:pPr>
      <w:r>
        <w:rPr>
          <w:rFonts w:cs="Arial"/>
          <w:noProof/>
          <w:lang w:eastAsia="en-AU"/>
        </w:rPr>
        <w:drawing>
          <wp:inline distT="0" distB="0" distL="0" distR="0" wp14:anchorId="1FEDCCB0" wp14:editId="7E252CF7">
            <wp:extent cx="5825349" cy="24765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3">
                      <a:extLst>
                        <a:ext uri="{28A0092B-C50C-407E-A947-70E740481C1C}">
                          <a14:useLocalDpi xmlns:a14="http://schemas.microsoft.com/office/drawing/2010/main" val="0"/>
                        </a:ext>
                      </a:extLst>
                    </a:blip>
                    <a:srcRect r="2492"/>
                    <a:stretch/>
                  </pic:blipFill>
                  <pic:spPr bwMode="auto">
                    <a:xfrm>
                      <a:off x="0" y="0"/>
                      <a:ext cx="5826480" cy="2476981"/>
                    </a:xfrm>
                    <a:prstGeom prst="rect">
                      <a:avLst/>
                    </a:prstGeom>
                    <a:noFill/>
                    <a:ln>
                      <a:noFill/>
                    </a:ln>
                    <a:extLst>
                      <a:ext uri="{53640926-AAD7-44D8-BBD7-CCE9431645EC}">
                        <a14:shadowObscured xmlns:a14="http://schemas.microsoft.com/office/drawing/2010/main"/>
                      </a:ext>
                    </a:extLst>
                  </pic:spPr>
                </pic:pic>
              </a:graphicData>
            </a:graphic>
          </wp:inline>
        </w:drawing>
      </w:r>
    </w:p>
    <w:p w:rsidR="003A5E44" w:rsidRDefault="003A5E44" w:rsidP="00EE6BD1">
      <w:pPr>
        <w:jc w:val="left"/>
        <w:rPr>
          <w:rFonts w:cs="Arial"/>
        </w:rPr>
      </w:pPr>
    </w:p>
    <w:p w:rsidR="003A5E44" w:rsidRDefault="003A5E44" w:rsidP="00EE6BD1">
      <w:pPr>
        <w:jc w:val="left"/>
        <w:rPr>
          <w:rFonts w:cs="Arial"/>
        </w:rPr>
      </w:pPr>
    </w:p>
    <w:p w:rsidR="002D4C03" w:rsidRPr="001F29E3" w:rsidRDefault="002D4C03" w:rsidP="00EE6BD1">
      <w:pPr>
        <w:jc w:val="left"/>
        <w:rPr>
          <w:rFonts w:cs="Arial"/>
        </w:rPr>
      </w:pPr>
      <w:r w:rsidRPr="001F29E3">
        <w:rPr>
          <w:rFonts w:cs="Arial"/>
          <w:b/>
          <w:bCs/>
        </w:rPr>
        <w:br w:type="page"/>
      </w:r>
    </w:p>
    <w:p w:rsidR="00351166" w:rsidRPr="001F29E3" w:rsidRDefault="00F31E54" w:rsidP="00A9260A">
      <w:pPr>
        <w:pStyle w:val="Heading2"/>
      </w:pPr>
      <w:bookmarkStart w:id="62" w:name="_Toc388340448"/>
      <w:r w:rsidRPr="001F29E3">
        <w:t xml:space="preserve">Government Subsidised </w:t>
      </w:r>
      <w:r w:rsidR="00A50357" w:rsidRPr="001F29E3">
        <w:t>D</w:t>
      </w:r>
      <w:r w:rsidR="00351166" w:rsidRPr="001F29E3">
        <w:t xml:space="preserve">elivery by </w:t>
      </w:r>
      <w:r w:rsidR="00A50357" w:rsidRPr="001F29E3">
        <w:t>P</w:t>
      </w:r>
      <w:r w:rsidR="00351166" w:rsidRPr="001F29E3">
        <w:t xml:space="preserve">rovider </w:t>
      </w:r>
      <w:r w:rsidR="00A50357" w:rsidRPr="001F29E3">
        <w:t>T</w:t>
      </w:r>
      <w:r w:rsidR="00351166" w:rsidRPr="001F29E3">
        <w:t>ype</w:t>
      </w:r>
      <w:bookmarkEnd w:id="62"/>
    </w:p>
    <w:p w:rsidR="00927329" w:rsidRPr="001F29E3" w:rsidRDefault="00927329" w:rsidP="00927329">
      <w:pPr>
        <w:spacing w:after="0"/>
        <w:rPr>
          <w:rFonts w:cs="Arial"/>
        </w:rPr>
      </w:pPr>
    </w:p>
    <w:p w:rsidR="007F6FCA" w:rsidRPr="001F29E3" w:rsidRDefault="007F6FCA" w:rsidP="007F6FCA">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7F6FCA" w:rsidRPr="001F29E3" w:rsidTr="00C73357">
        <w:trPr>
          <w:trHeight w:val="518"/>
        </w:trPr>
        <w:tc>
          <w:tcPr>
            <w:tcW w:w="9088" w:type="dxa"/>
          </w:tcPr>
          <w:p w:rsidR="007F6FCA" w:rsidRDefault="007F6FCA" w:rsidP="007F6FCA">
            <w:pPr>
              <w:pStyle w:val="Heading3"/>
            </w:pPr>
            <w:r w:rsidRPr="008A1997">
              <w:t>Key Points</w:t>
            </w:r>
          </w:p>
          <w:p w:rsidR="00A326AF" w:rsidRPr="00A326AF" w:rsidRDefault="00A326AF" w:rsidP="00A326AF"/>
          <w:p w:rsidR="007F6FCA" w:rsidRPr="004E28E6" w:rsidRDefault="00B866BC" w:rsidP="001D2673">
            <w:pPr>
              <w:pStyle w:val="ListBullet"/>
              <w:numPr>
                <w:ilvl w:val="0"/>
                <w:numId w:val="34"/>
              </w:numPr>
              <w:ind w:right="113"/>
              <w:jc w:val="left"/>
              <w:rPr>
                <w:rFonts w:cs="Arial"/>
              </w:rPr>
            </w:pPr>
            <w:r>
              <w:rPr>
                <w:rFonts w:cs="Arial"/>
              </w:rPr>
              <w:t xml:space="preserve">In 2013 </w:t>
            </w:r>
            <w:r w:rsidR="003F3790">
              <w:rPr>
                <w:rFonts w:cs="Arial"/>
              </w:rPr>
              <w:t xml:space="preserve">the number of </w:t>
            </w:r>
            <w:r>
              <w:rPr>
                <w:rFonts w:cs="Arial"/>
              </w:rPr>
              <w:t>government subsidised enrolments by Private RTOs represented 48 per cent of delivery by all sectors; this was up on the 2012 result of 46 per cent.</w:t>
            </w:r>
            <w:r w:rsidR="007F6FCA" w:rsidRPr="004E28E6">
              <w:rPr>
                <w:rFonts w:cs="Arial"/>
              </w:rPr>
              <w:t xml:space="preserve"> </w:t>
            </w:r>
            <w:r w:rsidR="003F3790">
              <w:rPr>
                <w:rFonts w:cs="Arial"/>
              </w:rPr>
              <w:t>TAFEs, excluding Universities, represented 32 per cent of all government subsidised enrolments.</w:t>
            </w:r>
          </w:p>
          <w:p w:rsidR="005A3E90" w:rsidRPr="005A3E90" w:rsidRDefault="005A3E90" w:rsidP="001D2673">
            <w:pPr>
              <w:pStyle w:val="ListBullet"/>
              <w:numPr>
                <w:ilvl w:val="0"/>
                <w:numId w:val="34"/>
              </w:numPr>
              <w:ind w:right="113"/>
              <w:jc w:val="left"/>
              <w:rPr>
                <w:rFonts w:cs="Arial"/>
              </w:rPr>
            </w:pPr>
            <w:r w:rsidRPr="005A3E90">
              <w:rPr>
                <w:rFonts w:cs="Arial"/>
              </w:rPr>
              <w:t xml:space="preserve">The TAFE sector, including Universities, had a larger share of government subsidised enrolments than Private RTOs in Construction; Arts and Recreation Services; Professional, Scientific and technical Services; Agriculture, Forestry and Fishing; Information media and Telecommunications; Rental, Hiring and Real Estate Services and Electricity, Gas, Water and Waste Services industries. </w:t>
            </w:r>
          </w:p>
          <w:p w:rsidR="005A3E90" w:rsidRDefault="005A3E90" w:rsidP="001D2673">
            <w:pPr>
              <w:pStyle w:val="ListBullet"/>
              <w:numPr>
                <w:ilvl w:val="0"/>
                <w:numId w:val="34"/>
              </w:numPr>
              <w:ind w:right="113"/>
              <w:jc w:val="left"/>
              <w:rPr>
                <w:rFonts w:cs="Arial"/>
              </w:rPr>
            </w:pPr>
            <w:r w:rsidRPr="005A3E90">
              <w:rPr>
                <w:rFonts w:cs="Arial"/>
              </w:rPr>
              <w:t>Private RTOs had a larger proportional share in Health Care and Social Assistance</w:t>
            </w:r>
            <w:r w:rsidR="001D2673" w:rsidRPr="005A3E90">
              <w:rPr>
                <w:rFonts w:cs="Arial"/>
              </w:rPr>
              <w:t>; Transport</w:t>
            </w:r>
            <w:r w:rsidRPr="005A3E90">
              <w:rPr>
                <w:rFonts w:cs="Arial"/>
              </w:rPr>
              <w:t>, Postal and Warehousing; Manufacturing; Accommodation and Food Services; Administrative and Support Services; Retail Trade; Education and Training; Public Administration and Safety and Financial and Insurance Services industries.</w:t>
            </w:r>
          </w:p>
          <w:p w:rsidR="00E6294B" w:rsidRPr="00414EFB" w:rsidRDefault="00E6294B" w:rsidP="001D2673">
            <w:pPr>
              <w:pStyle w:val="ListBullet"/>
              <w:numPr>
                <w:ilvl w:val="0"/>
                <w:numId w:val="34"/>
              </w:numPr>
              <w:ind w:right="113"/>
              <w:jc w:val="left"/>
              <w:rPr>
                <w:rFonts w:cs="Arial"/>
              </w:rPr>
            </w:pPr>
            <w:r w:rsidRPr="00D57A03">
              <w:rPr>
                <w:rFonts w:cs="Arial"/>
              </w:rPr>
              <w:t>TAFEs account for</w:t>
            </w:r>
            <w:r w:rsidR="00D57A03" w:rsidRPr="00D57A03">
              <w:rPr>
                <w:rFonts w:cs="Arial"/>
              </w:rPr>
              <w:t xml:space="preserve"> 57</w:t>
            </w:r>
            <w:r w:rsidRPr="00D57A03">
              <w:rPr>
                <w:rFonts w:cs="Arial"/>
              </w:rPr>
              <w:t xml:space="preserve"> per cent of the proportional share of the delivery of Foundation</w:t>
            </w:r>
            <w:r w:rsidR="00D57A03" w:rsidRPr="00D57A03">
              <w:rPr>
                <w:rFonts w:cs="Arial"/>
              </w:rPr>
              <w:t xml:space="preserve"> skills</w:t>
            </w:r>
            <w:r w:rsidRPr="00D57A03">
              <w:rPr>
                <w:rFonts w:cs="Arial"/>
              </w:rPr>
              <w:t xml:space="preserve"> course</w:t>
            </w:r>
            <w:r w:rsidR="001D2673">
              <w:rPr>
                <w:rFonts w:cs="Arial"/>
              </w:rPr>
              <w:t>s</w:t>
            </w:r>
            <w:r w:rsidRPr="00D57A03">
              <w:rPr>
                <w:rFonts w:cs="Arial"/>
              </w:rPr>
              <w:t xml:space="preserve"> of study, Private RTOs account for </w:t>
            </w:r>
            <w:r w:rsidR="00D57A03" w:rsidRPr="00D57A03">
              <w:rPr>
                <w:rFonts w:cs="Arial"/>
              </w:rPr>
              <w:t>32</w:t>
            </w:r>
            <w:r w:rsidRPr="00D57A03">
              <w:rPr>
                <w:rFonts w:cs="Arial"/>
              </w:rPr>
              <w:t xml:space="preserve"> per cent and </w:t>
            </w:r>
            <w:r w:rsidR="001D2673">
              <w:rPr>
                <w:rFonts w:cs="Arial"/>
              </w:rPr>
              <w:t>Learn Local</w:t>
            </w:r>
            <w:r w:rsidRPr="00D57A03">
              <w:rPr>
                <w:rFonts w:cs="Arial"/>
              </w:rPr>
              <w:t xml:space="preserve"> 12 per cent.</w:t>
            </w:r>
          </w:p>
        </w:tc>
      </w:tr>
    </w:tbl>
    <w:p w:rsidR="007F6FCA" w:rsidRDefault="007F6FCA" w:rsidP="00BA7BAF">
      <w:pPr>
        <w:pStyle w:val="Caption"/>
        <w:spacing w:after="0"/>
        <w:jc w:val="left"/>
        <w:rPr>
          <w:rFonts w:cs="Arial"/>
          <w:highlight w:val="yellow"/>
        </w:rPr>
      </w:pPr>
    </w:p>
    <w:p w:rsidR="008A1819" w:rsidRDefault="00B866BC" w:rsidP="00B866BC">
      <w:pPr>
        <w:rPr>
          <w:rFonts w:cs="Arial"/>
        </w:rPr>
      </w:pPr>
      <w:r>
        <w:rPr>
          <w:rFonts w:cs="Arial"/>
        </w:rPr>
        <w:t xml:space="preserve">This section provides an overview of government subsidised delivery by sector. While the introductory tables separate University (former dual sector providers) and TAFEs, for consistency with previous reporting they are combined under the </w:t>
      </w:r>
      <w:r w:rsidR="00A87A21">
        <w:rPr>
          <w:rFonts w:cs="Arial"/>
        </w:rPr>
        <w:t>group of</w:t>
      </w:r>
      <w:r>
        <w:rPr>
          <w:rFonts w:cs="Arial"/>
        </w:rPr>
        <w:t xml:space="preserve"> TAFE. </w:t>
      </w:r>
    </w:p>
    <w:p w:rsidR="00BA7BAF" w:rsidRPr="00F03785" w:rsidRDefault="00B866BC" w:rsidP="008A1819">
      <w:pPr>
        <w:rPr>
          <w:rFonts w:cs="Arial"/>
          <w:b/>
          <w:color w:val="365F91" w:themeColor="accent1" w:themeShade="BF"/>
        </w:rPr>
      </w:pPr>
      <w:r>
        <w:rPr>
          <w:rFonts w:cs="Arial"/>
          <w:color w:val="365F91" w:themeColor="accent1" w:themeShade="BF"/>
        </w:rPr>
        <w:br/>
      </w:r>
      <w:r w:rsidR="003D0C76" w:rsidRPr="00F03785">
        <w:rPr>
          <w:rFonts w:cs="Arial"/>
          <w:b/>
          <w:color w:val="365F91" w:themeColor="accent1" w:themeShade="BF"/>
        </w:rPr>
        <w:t>Table 1.1</w:t>
      </w:r>
      <w:r w:rsidR="00635A7B">
        <w:rPr>
          <w:rFonts w:cs="Arial"/>
          <w:b/>
          <w:color w:val="365F91" w:themeColor="accent1" w:themeShade="BF"/>
        </w:rPr>
        <w:t>8</w:t>
      </w:r>
      <w:r w:rsidR="003D0C76" w:rsidRPr="00F03785">
        <w:rPr>
          <w:rFonts w:cs="Arial"/>
          <w:b/>
          <w:color w:val="365F91" w:themeColor="accent1" w:themeShade="BF"/>
        </w:rPr>
        <w:t>: Government subsidised delivery by provider number</w:t>
      </w:r>
      <w:r w:rsidR="00A516C2" w:rsidRPr="00F03785">
        <w:rPr>
          <w:rFonts w:cs="Arial"/>
          <w:b/>
          <w:color w:val="365F91" w:themeColor="accent1" w:themeShade="BF"/>
        </w:rPr>
        <w:t>*</w:t>
      </w:r>
      <w:r w:rsidR="003D0C76" w:rsidRPr="00F03785">
        <w:rPr>
          <w:rFonts w:cs="Arial"/>
          <w:b/>
          <w:color w:val="365F91" w:themeColor="accent1" w:themeShade="BF"/>
        </w:rPr>
        <w:t>, 2008–2013</w:t>
      </w:r>
    </w:p>
    <w:tbl>
      <w:tblPr>
        <w:tblW w:w="8240"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120"/>
        <w:gridCol w:w="1020"/>
        <w:gridCol w:w="1020"/>
        <w:gridCol w:w="1020"/>
        <w:gridCol w:w="1020"/>
        <w:gridCol w:w="1020"/>
        <w:gridCol w:w="1020"/>
      </w:tblGrid>
      <w:tr w:rsidR="00C73357" w:rsidRPr="00F03785" w:rsidTr="006E415B">
        <w:trPr>
          <w:trHeight w:val="645"/>
        </w:trPr>
        <w:tc>
          <w:tcPr>
            <w:tcW w:w="2120" w:type="dxa"/>
            <w:shd w:val="clear" w:color="000000" w:fill="366092"/>
            <w:noWrap/>
            <w:vAlign w:val="center"/>
            <w:hideMark/>
          </w:tcPr>
          <w:p w:rsidR="00C73357" w:rsidRPr="00F03785" w:rsidRDefault="00C73357"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 </w:t>
            </w:r>
          </w:p>
        </w:tc>
        <w:tc>
          <w:tcPr>
            <w:tcW w:w="1020" w:type="dxa"/>
            <w:shd w:val="clear" w:color="000000" w:fill="366092"/>
            <w:vAlign w:val="center"/>
            <w:hideMark/>
          </w:tcPr>
          <w:p w:rsidR="00C73357" w:rsidRPr="00F03785" w:rsidRDefault="00C73357" w:rsidP="00C73357">
            <w:pPr>
              <w:spacing w:after="0" w:line="240" w:lineRule="auto"/>
              <w:jc w:val="right"/>
              <w:rPr>
                <w:rFonts w:cs="Arial"/>
                <w:b/>
                <w:bCs/>
                <w:color w:val="FFFFFF"/>
                <w:sz w:val="18"/>
                <w:szCs w:val="18"/>
                <w:lang w:eastAsia="en-AU"/>
              </w:rPr>
            </w:pPr>
            <w:r w:rsidRPr="00F03785">
              <w:rPr>
                <w:rFonts w:cs="Arial"/>
                <w:b/>
                <w:bCs/>
                <w:color w:val="FFFFFF"/>
                <w:sz w:val="18"/>
                <w:szCs w:val="18"/>
                <w:lang w:eastAsia="en-AU"/>
              </w:rPr>
              <w:t>2008</w:t>
            </w:r>
          </w:p>
        </w:tc>
        <w:tc>
          <w:tcPr>
            <w:tcW w:w="1020" w:type="dxa"/>
            <w:shd w:val="clear" w:color="000000" w:fill="366092"/>
            <w:vAlign w:val="center"/>
            <w:hideMark/>
          </w:tcPr>
          <w:p w:rsidR="00C73357" w:rsidRPr="00F03785" w:rsidRDefault="00C73357" w:rsidP="00C73357">
            <w:pPr>
              <w:spacing w:after="0" w:line="240" w:lineRule="auto"/>
              <w:jc w:val="right"/>
              <w:rPr>
                <w:rFonts w:cs="Arial"/>
                <w:b/>
                <w:bCs/>
                <w:color w:val="FFFFFF"/>
                <w:sz w:val="18"/>
                <w:szCs w:val="18"/>
                <w:lang w:eastAsia="en-AU"/>
              </w:rPr>
            </w:pPr>
            <w:r w:rsidRPr="00F03785">
              <w:rPr>
                <w:rFonts w:cs="Arial"/>
                <w:b/>
                <w:bCs/>
                <w:color w:val="FFFFFF"/>
                <w:sz w:val="18"/>
                <w:szCs w:val="18"/>
                <w:lang w:eastAsia="en-AU"/>
              </w:rPr>
              <w:t>2009</w:t>
            </w:r>
          </w:p>
        </w:tc>
        <w:tc>
          <w:tcPr>
            <w:tcW w:w="1020" w:type="dxa"/>
            <w:shd w:val="clear" w:color="000000" w:fill="366092"/>
            <w:vAlign w:val="center"/>
            <w:hideMark/>
          </w:tcPr>
          <w:p w:rsidR="00C73357" w:rsidRPr="00F03785" w:rsidRDefault="00C73357" w:rsidP="00C73357">
            <w:pPr>
              <w:spacing w:after="0" w:line="240" w:lineRule="auto"/>
              <w:jc w:val="right"/>
              <w:rPr>
                <w:rFonts w:cs="Arial"/>
                <w:b/>
                <w:bCs/>
                <w:color w:val="FFFFFF"/>
                <w:sz w:val="18"/>
                <w:szCs w:val="18"/>
                <w:lang w:eastAsia="en-AU"/>
              </w:rPr>
            </w:pPr>
            <w:r w:rsidRPr="00F03785">
              <w:rPr>
                <w:rFonts w:cs="Arial"/>
                <w:b/>
                <w:bCs/>
                <w:color w:val="FFFFFF"/>
                <w:sz w:val="18"/>
                <w:szCs w:val="18"/>
                <w:lang w:eastAsia="en-AU"/>
              </w:rPr>
              <w:t>2010</w:t>
            </w:r>
          </w:p>
        </w:tc>
        <w:tc>
          <w:tcPr>
            <w:tcW w:w="1020" w:type="dxa"/>
            <w:shd w:val="clear" w:color="000000" w:fill="366092"/>
            <w:vAlign w:val="center"/>
            <w:hideMark/>
          </w:tcPr>
          <w:p w:rsidR="00C73357" w:rsidRPr="00F03785" w:rsidRDefault="00C73357" w:rsidP="00C73357">
            <w:pPr>
              <w:spacing w:after="0" w:line="240" w:lineRule="auto"/>
              <w:jc w:val="right"/>
              <w:rPr>
                <w:rFonts w:cs="Arial"/>
                <w:b/>
                <w:bCs/>
                <w:color w:val="FFFFFF"/>
                <w:sz w:val="18"/>
                <w:szCs w:val="18"/>
                <w:lang w:eastAsia="en-AU"/>
              </w:rPr>
            </w:pPr>
            <w:r w:rsidRPr="00F03785">
              <w:rPr>
                <w:rFonts w:cs="Arial"/>
                <w:b/>
                <w:bCs/>
                <w:color w:val="FFFFFF"/>
                <w:sz w:val="18"/>
                <w:szCs w:val="18"/>
                <w:lang w:eastAsia="en-AU"/>
              </w:rPr>
              <w:t>2011</w:t>
            </w:r>
          </w:p>
        </w:tc>
        <w:tc>
          <w:tcPr>
            <w:tcW w:w="1020" w:type="dxa"/>
            <w:shd w:val="clear" w:color="000000" w:fill="366092"/>
            <w:vAlign w:val="center"/>
            <w:hideMark/>
          </w:tcPr>
          <w:p w:rsidR="00C73357" w:rsidRPr="00F03785" w:rsidRDefault="00C73357" w:rsidP="00C73357">
            <w:pPr>
              <w:spacing w:after="0" w:line="240" w:lineRule="auto"/>
              <w:jc w:val="right"/>
              <w:rPr>
                <w:rFonts w:cs="Arial"/>
                <w:b/>
                <w:bCs/>
                <w:color w:val="FFFFFF"/>
                <w:sz w:val="18"/>
                <w:szCs w:val="18"/>
                <w:lang w:eastAsia="en-AU"/>
              </w:rPr>
            </w:pPr>
            <w:r w:rsidRPr="00F03785">
              <w:rPr>
                <w:rFonts w:cs="Arial"/>
                <w:b/>
                <w:bCs/>
                <w:color w:val="FFFFFF"/>
                <w:sz w:val="18"/>
                <w:szCs w:val="18"/>
                <w:lang w:eastAsia="en-AU"/>
              </w:rPr>
              <w:t>2012</w:t>
            </w:r>
          </w:p>
        </w:tc>
        <w:tc>
          <w:tcPr>
            <w:tcW w:w="1020" w:type="dxa"/>
            <w:shd w:val="clear" w:color="000000" w:fill="366092"/>
            <w:vAlign w:val="center"/>
            <w:hideMark/>
          </w:tcPr>
          <w:p w:rsidR="00C73357" w:rsidRPr="00F03785" w:rsidRDefault="00C73357" w:rsidP="00C73357">
            <w:pPr>
              <w:spacing w:after="0" w:line="240" w:lineRule="auto"/>
              <w:jc w:val="right"/>
              <w:rPr>
                <w:rFonts w:cs="Arial"/>
                <w:b/>
                <w:bCs/>
                <w:color w:val="FFFFFF"/>
                <w:sz w:val="18"/>
                <w:szCs w:val="18"/>
                <w:lang w:eastAsia="en-AU"/>
              </w:rPr>
            </w:pPr>
            <w:r w:rsidRPr="00F03785">
              <w:rPr>
                <w:rFonts w:cs="Arial"/>
                <w:b/>
                <w:bCs/>
                <w:color w:val="FFFFFF"/>
                <w:sz w:val="18"/>
                <w:szCs w:val="18"/>
                <w:lang w:eastAsia="en-AU"/>
              </w:rPr>
              <w:t>2013</w:t>
            </w:r>
          </w:p>
        </w:tc>
      </w:tr>
      <w:tr w:rsidR="00C73357" w:rsidRPr="00F03785" w:rsidTr="006E415B">
        <w:trPr>
          <w:trHeight w:val="345"/>
        </w:trPr>
        <w:tc>
          <w:tcPr>
            <w:tcW w:w="2120" w:type="dxa"/>
            <w:shd w:val="clear" w:color="000000" w:fill="FFFFFF"/>
            <w:noWrap/>
            <w:vAlign w:val="center"/>
            <w:hideMark/>
          </w:tcPr>
          <w:p w:rsidR="00C73357" w:rsidRPr="00F03785" w:rsidRDefault="00C73357" w:rsidP="00CE7789">
            <w:pPr>
              <w:spacing w:after="0" w:line="240" w:lineRule="auto"/>
              <w:jc w:val="left"/>
              <w:rPr>
                <w:rFonts w:cs="Arial"/>
                <w:color w:val="366092"/>
                <w:sz w:val="18"/>
                <w:szCs w:val="18"/>
                <w:lang w:eastAsia="en-AU"/>
              </w:rPr>
            </w:pPr>
            <w:r w:rsidRPr="00F03785">
              <w:rPr>
                <w:rFonts w:cs="Arial"/>
                <w:color w:val="366092"/>
                <w:sz w:val="18"/>
                <w:szCs w:val="18"/>
                <w:lang w:eastAsia="en-AU"/>
              </w:rPr>
              <w:t>Learn Local</w:t>
            </w:r>
            <w:r w:rsidR="00FF201F">
              <w:rPr>
                <w:rStyle w:val="FootnoteReference"/>
                <w:color w:val="366092"/>
                <w:sz w:val="18"/>
                <w:szCs w:val="18"/>
                <w:lang w:eastAsia="en-AU"/>
              </w:rPr>
              <w:footnoteReference w:id="4"/>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342</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320</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316</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309</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298</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282</w:t>
            </w:r>
          </w:p>
        </w:tc>
      </w:tr>
      <w:tr w:rsidR="00C73357" w:rsidRPr="00F03785" w:rsidTr="006E415B">
        <w:trPr>
          <w:trHeight w:val="345"/>
        </w:trPr>
        <w:tc>
          <w:tcPr>
            <w:tcW w:w="2120" w:type="dxa"/>
            <w:shd w:val="clear" w:color="000000" w:fill="FFFFFF"/>
            <w:noWrap/>
            <w:vAlign w:val="center"/>
            <w:hideMark/>
          </w:tcPr>
          <w:p w:rsidR="00C73357" w:rsidRPr="00F03785" w:rsidRDefault="0029026D" w:rsidP="00CE7789">
            <w:pPr>
              <w:spacing w:after="0" w:line="240" w:lineRule="auto"/>
              <w:jc w:val="left"/>
              <w:rPr>
                <w:rFonts w:cs="Arial"/>
                <w:color w:val="366092"/>
                <w:sz w:val="18"/>
                <w:szCs w:val="18"/>
                <w:lang w:eastAsia="en-AU"/>
              </w:rPr>
            </w:pPr>
            <w:r w:rsidRPr="00F03785">
              <w:rPr>
                <w:rFonts w:cs="Arial"/>
                <w:color w:val="366092"/>
                <w:sz w:val="18"/>
                <w:szCs w:val="18"/>
                <w:lang w:eastAsia="en-AU"/>
              </w:rPr>
              <w:t>Private RTO</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201</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246</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344</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422</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445</w:t>
            </w:r>
          </w:p>
        </w:tc>
        <w:tc>
          <w:tcPr>
            <w:tcW w:w="1020" w:type="dxa"/>
            <w:shd w:val="clear" w:color="auto" w:fill="auto"/>
            <w:noWrap/>
            <w:vAlign w:val="center"/>
            <w:hideMark/>
          </w:tcPr>
          <w:p w:rsidR="00C73357" w:rsidRPr="00F03785" w:rsidRDefault="00C73357" w:rsidP="00C73357">
            <w:pPr>
              <w:spacing w:after="0" w:line="240" w:lineRule="auto"/>
              <w:jc w:val="right"/>
              <w:rPr>
                <w:rFonts w:cs="Arial"/>
                <w:sz w:val="18"/>
                <w:szCs w:val="18"/>
                <w:lang w:eastAsia="en-AU"/>
              </w:rPr>
            </w:pPr>
            <w:r w:rsidRPr="00F03785">
              <w:rPr>
                <w:rFonts w:cs="Arial"/>
                <w:sz w:val="18"/>
                <w:szCs w:val="18"/>
                <w:lang w:eastAsia="en-AU"/>
              </w:rPr>
              <w:t>428</w:t>
            </w:r>
          </w:p>
        </w:tc>
      </w:tr>
      <w:tr w:rsidR="00CE7789" w:rsidRPr="00F03785" w:rsidTr="006E415B">
        <w:trPr>
          <w:trHeight w:val="345"/>
        </w:trPr>
        <w:tc>
          <w:tcPr>
            <w:tcW w:w="2120" w:type="dxa"/>
            <w:shd w:val="clear" w:color="000000" w:fill="FFFFFF"/>
            <w:noWrap/>
            <w:vAlign w:val="center"/>
          </w:tcPr>
          <w:p w:rsidR="00CE7789" w:rsidRPr="00F03785" w:rsidRDefault="00CE7789" w:rsidP="00CE7789">
            <w:pPr>
              <w:spacing w:after="0" w:line="240" w:lineRule="auto"/>
              <w:jc w:val="left"/>
              <w:rPr>
                <w:rFonts w:cs="Arial"/>
                <w:color w:val="366092"/>
                <w:sz w:val="18"/>
                <w:szCs w:val="18"/>
                <w:lang w:eastAsia="en-AU"/>
              </w:rPr>
            </w:pPr>
            <w:r w:rsidRPr="00F03785">
              <w:rPr>
                <w:rFonts w:cs="Arial"/>
                <w:color w:val="366092"/>
                <w:sz w:val="18"/>
                <w:szCs w:val="18"/>
                <w:lang w:eastAsia="en-AU"/>
              </w:rPr>
              <w:t>University</w:t>
            </w:r>
          </w:p>
        </w:tc>
        <w:tc>
          <w:tcPr>
            <w:tcW w:w="1020" w:type="dxa"/>
            <w:shd w:val="clear" w:color="auto" w:fill="auto"/>
            <w:noWrap/>
            <w:vAlign w:val="center"/>
          </w:tcPr>
          <w:p w:rsidR="00CE7789"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4</w:t>
            </w:r>
          </w:p>
        </w:tc>
        <w:tc>
          <w:tcPr>
            <w:tcW w:w="1020" w:type="dxa"/>
            <w:shd w:val="clear" w:color="auto" w:fill="auto"/>
            <w:noWrap/>
            <w:vAlign w:val="center"/>
          </w:tcPr>
          <w:p w:rsidR="00CE7789"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4</w:t>
            </w:r>
          </w:p>
        </w:tc>
        <w:tc>
          <w:tcPr>
            <w:tcW w:w="1020" w:type="dxa"/>
            <w:shd w:val="clear" w:color="auto" w:fill="auto"/>
            <w:noWrap/>
            <w:vAlign w:val="center"/>
          </w:tcPr>
          <w:p w:rsidR="00CE7789"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4</w:t>
            </w:r>
          </w:p>
        </w:tc>
        <w:tc>
          <w:tcPr>
            <w:tcW w:w="1020" w:type="dxa"/>
            <w:shd w:val="clear" w:color="auto" w:fill="auto"/>
            <w:noWrap/>
            <w:vAlign w:val="center"/>
          </w:tcPr>
          <w:p w:rsidR="00CE7789"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4</w:t>
            </w:r>
          </w:p>
        </w:tc>
        <w:tc>
          <w:tcPr>
            <w:tcW w:w="1020" w:type="dxa"/>
            <w:shd w:val="clear" w:color="auto" w:fill="auto"/>
            <w:noWrap/>
            <w:vAlign w:val="center"/>
          </w:tcPr>
          <w:p w:rsidR="00CE7789"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4</w:t>
            </w:r>
          </w:p>
        </w:tc>
        <w:tc>
          <w:tcPr>
            <w:tcW w:w="1020" w:type="dxa"/>
            <w:shd w:val="clear" w:color="auto" w:fill="auto"/>
            <w:noWrap/>
            <w:vAlign w:val="center"/>
          </w:tcPr>
          <w:p w:rsidR="00CE7789"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4</w:t>
            </w:r>
          </w:p>
        </w:tc>
      </w:tr>
      <w:tr w:rsidR="00C73357" w:rsidRPr="00F03785" w:rsidTr="006E415B">
        <w:trPr>
          <w:trHeight w:val="345"/>
        </w:trPr>
        <w:tc>
          <w:tcPr>
            <w:tcW w:w="2120" w:type="dxa"/>
            <w:shd w:val="clear" w:color="000000" w:fill="FFFFFF"/>
            <w:noWrap/>
            <w:vAlign w:val="center"/>
            <w:hideMark/>
          </w:tcPr>
          <w:p w:rsidR="00C73357" w:rsidRPr="00F03785" w:rsidRDefault="00C73357" w:rsidP="00CE7789">
            <w:pPr>
              <w:spacing w:after="0" w:line="240" w:lineRule="auto"/>
              <w:jc w:val="left"/>
              <w:rPr>
                <w:rFonts w:cs="Arial"/>
                <w:color w:val="366092"/>
                <w:sz w:val="18"/>
                <w:szCs w:val="18"/>
                <w:lang w:eastAsia="en-AU"/>
              </w:rPr>
            </w:pPr>
            <w:r w:rsidRPr="00F03785">
              <w:rPr>
                <w:rFonts w:cs="Arial"/>
                <w:color w:val="366092"/>
                <w:sz w:val="18"/>
                <w:szCs w:val="18"/>
                <w:lang w:eastAsia="en-AU"/>
              </w:rPr>
              <w:t>TAFE</w:t>
            </w:r>
          </w:p>
        </w:tc>
        <w:tc>
          <w:tcPr>
            <w:tcW w:w="1020" w:type="dxa"/>
            <w:shd w:val="clear" w:color="auto" w:fill="auto"/>
            <w:noWrap/>
            <w:vAlign w:val="center"/>
            <w:hideMark/>
          </w:tcPr>
          <w:p w:rsidR="00C73357" w:rsidRPr="00F03785" w:rsidRDefault="00C73357" w:rsidP="00CE7789">
            <w:pPr>
              <w:spacing w:after="0" w:line="240" w:lineRule="auto"/>
              <w:jc w:val="right"/>
              <w:rPr>
                <w:rFonts w:cs="Arial"/>
                <w:sz w:val="18"/>
                <w:szCs w:val="18"/>
                <w:lang w:eastAsia="en-AU"/>
              </w:rPr>
            </w:pPr>
            <w:r w:rsidRPr="00F03785">
              <w:rPr>
                <w:rFonts w:cs="Arial"/>
                <w:sz w:val="18"/>
                <w:szCs w:val="18"/>
                <w:lang w:eastAsia="en-AU"/>
              </w:rPr>
              <w:t>1</w:t>
            </w:r>
            <w:r w:rsidR="00CE7789" w:rsidRPr="00F03785">
              <w:rPr>
                <w:rFonts w:cs="Arial"/>
                <w:sz w:val="18"/>
                <w:szCs w:val="18"/>
                <w:lang w:eastAsia="en-AU"/>
              </w:rPr>
              <w:t>4</w:t>
            </w:r>
          </w:p>
        </w:tc>
        <w:tc>
          <w:tcPr>
            <w:tcW w:w="1020" w:type="dxa"/>
            <w:shd w:val="clear" w:color="auto" w:fill="auto"/>
            <w:noWrap/>
            <w:vAlign w:val="center"/>
            <w:hideMark/>
          </w:tcPr>
          <w:p w:rsidR="00C73357"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14</w:t>
            </w:r>
          </w:p>
        </w:tc>
        <w:tc>
          <w:tcPr>
            <w:tcW w:w="1020" w:type="dxa"/>
            <w:shd w:val="clear" w:color="auto" w:fill="auto"/>
            <w:noWrap/>
            <w:vAlign w:val="center"/>
            <w:hideMark/>
          </w:tcPr>
          <w:p w:rsidR="00C73357"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14</w:t>
            </w:r>
          </w:p>
        </w:tc>
        <w:tc>
          <w:tcPr>
            <w:tcW w:w="1020" w:type="dxa"/>
            <w:shd w:val="clear" w:color="auto" w:fill="auto"/>
            <w:noWrap/>
            <w:vAlign w:val="center"/>
            <w:hideMark/>
          </w:tcPr>
          <w:p w:rsidR="00C73357"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14</w:t>
            </w:r>
          </w:p>
        </w:tc>
        <w:tc>
          <w:tcPr>
            <w:tcW w:w="1020" w:type="dxa"/>
            <w:shd w:val="clear" w:color="auto" w:fill="auto"/>
            <w:noWrap/>
            <w:vAlign w:val="center"/>
            <w:hideMark/>
          </w:tcPr>
          <w:p w:rsidR="00C73357"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14</w:t>
            </w:r>
          </w:p>
        </w:tc>
        <w:tc>
          <w:tcPr>
            <w:tcW w:w="1020" w:type="dxa"/>
            <w:shd w:val="clear" w:color="auto" w:fill="auto"/>
            <w:noWrap/>
            <w:vAlign w:val="center"/>
            <w:hideMark/>
          </w:tcPr>
          <w:p w:rsidR="00C73357" w:rsidRPr="00F03785" w:rsidRDefault="00CE7789" w:rsidP="00C73357">
            <w:pPr>
              <w:spacing w:after="0" w:line="240" w:lineRule="auto"/>
              <w:jc w:val="right"/>
              <w:rPr>
                <w:rFonts w:cs="Arial"/>
                <w:sz w:val="18"/>
                <w:szCs w:val="18"/>
                <w:lang w:eastAsia="en-AU"/>
              </w:rPr>
            </w:pPr>
            <w:r w:rsidRPr="00F03785">
              <w:rPr>
                <w:rFonts w:cs="Arial"/>
                <w:sz w:val="18"/>
                <w:szCs w:val="18"/>
                <w:lang w:eastAsia="en-AU"/>
              </w:rPr>
              <w:t>14</w:t>
            </w:r>
          </w:p>
        </w:tc>
      </w:tr>
    </w:tbl>
    <w:p w:rsidR="00A516C2" w:rsidRPr="001F29E3" w:rsidRDefault="00A516C2" w:rsidP="00A516C2">
      <w:pPr>
        <w:spacing w:after="0" w:line="240" w:lineRule="auto"/>
        <w:rPr>
          <w:rFonts w:cs="Arial"/>
          <w:sz w:val="16"/>
          <w:szCs w:val="16"/>
        </w:rPr>
      </w:pPr>
      <w:r w:rsidRPr="00936167">
        <w:rPr>
          <w:rFonts w:cs="Arial"/>
          <w:sz w:val="16"/>
          <w:szCs w:val="16"/>
        </w:rPr>
        <w:t>* The</w:t>
      </w:r>
      <w:r w:rsidR="002967D9" w:rsidRPr="00936167">
        <w:rPr>
          <w:rFonts w:cs="Arial"/>
          <w:sz w:val="16"/>
          <w:szCs w:val="16"/>
        </w:rPr>
        <w:t xml:space="preserve"> above providers include those providing pre-accredited and accredited subsidised </w:t>
      </w:r>
      <w:r w:rsidR="00734456" w:rsidRPr="00936167">
        <w:rPr>
          <w:rFonts w:cs="Arial"/>
          <w:sz w:val="16"/>
          <w:szCs w:val="16"/>
        </w:rPr>
        <w:t>training</w:t>
      </w:r>
      <w:r w:rsidR="002967D9" w:rsidRPr="00936167">
        <w:rPr>
          <w:rFonts w:cs="Arial"/>
          <w:sz w:val="16"/>
          <w:szCs w:val="16"/>
        </w:rPr>
        <w:t>. The number of training provider</w:t>
      </w:r>
      <w:r w:rsidR="00734456" w:rsidRPr="00936167">
        <w:rPr>
          <w:rFonts w:cs="Arial"/>
          <w:sz w:val="16"/>
          <w:szCs w:val="16"/>
        </w:rPr>
        <w:t>s</w:t>
      </w:r>
      <w:r w:rsidR="002967D9" w:rsidRPr="00936167">
        <w:rPr>
          <w:rFonts w:cs="Arial"/>
          <w:sz w:val="16"/>
          <w:szCs w:val="16"/>
        </w:rPr>
        <w:t xml:space="preserve"> with a 201</w:t>
      </w:r>
      <w:r w:rsidR="00DE1E06" w:rsidRPr="00936167">
        <w:rPr>
          <w:rFonts w:cs="Arial"/>
          <w:sz w:val="16"/>
          <w:szCs w:val="16"/>
        </w:rPr>
        <w:t>4</w:t>
      </w:r>
      <w:r w:rsidR="002967D9" w:rsidRPr="00936167">
        <w:rPr>
          <w:rFonts w:cs="Arial"/>
          <w:sz w:val="16"/>
          <w:szCs w:val="16"/>
        </w:rPr>
        <w:t xml:space="preserve"> Service Agreement </w:t>
      </w:r>
      <w:r w:rsidR="00734456" w:rsidRPr="00936167">
        <w:rPr>
          <w:rFonts w:cs="Arial"/>
          <w:sz w:val="16"/>
          <w:szCs w:val="16"/>
        </w:rPr>
        <w:t>was</w:t>
      </w:r>
      <w:r w:rsidR="00DE1E06" w:rsidRPr="00936167">
        <w:rPr>
          <w:rFonts w:cs="Arial"/>
          <w:sz w:val="16"/>
          <w:szCs w:val="16"/>
        </w:rPr>
        <w:t xml:space="preserve"> 505</w:t>
      </w:r>
      <w:r w:rsidR="002967D9" w:rsidRPr="00936167">
        <w:rPr>
          <w:rFonts w:cs="Arial"/>
          <w:sz w:val="16"/>
          <w:szCs w:val="16"/>
        </w:rPr>
        <w:t xml:space="preserve"> </w:t>
      </w:r>
      <w:r w:rsidR="00734456" w:rsidRPr="00936167">
        <w:rPr>
          <w:rFonts w:cs="Arial"/>
          <w:sz w:val="16"/>
          <w:szCs w:val="16"/>
        </w:rPr>
        <w:t xml:space="preserve">as </w:t>
      </w:r>
      <w:r w:rsidR="002967D9" w:rsidRPr="00936167">
        <w:rPr>
          <w:rFonts w:cs="Arial"/>
          <w:sz w:val="16"/>
          <w:szCs w:val="16"/>
        </w:rPr>
        <w:t xml:space="preserve">at </w:t>
      </w:r>
      <w:r w:rsidR="00DE1E06" w:rsidRPr="00936167">
        <w:rPr>
          <w:rFonts w:cs="Arial"/>
          <w:sz w:val="16"/>
          <w:szCs w:val="16"/>
        </w:rPr>
        <w:t>March 2014</w:t>
      </w:r>
      <w:r w:rsidR="00513F4D" w:rsidRPr="00936167">
        <w:rPr>
          <w:rFonts w:cs="Arial"/>
          <w:sz w:val="16"/>
          <w:szCs w:val="16"/>
        </w:rPr>
        <w:t>.</w:t>
      </w:r>
    </w:p>
    <w:p w:rsidR="00A326AF" w:rsidRDefault="00A326AF" w:rsidP="00A326AF"/>
    <w:p w:rsidR="00585E3D" w:rsidRPr="00585E3D" w:rsidRDefault="00585E3D" w:rsidP="00585E3D">
      <w:pPr>
        <w:pStyle w:val="Caption"/>
        <w:spacing w:after="0"/>
        <w:jc w:val="left"/>
        <w:rPr>
          <w:rFonts w:cs="Arial"/>
          <w:color w:val="365F91" w:themeColor="accent1" w:themeShade="BF"/>
        </w:rPr>
      </w:pPr>
      <w:r w:rsidRPr="00585E3D">
        <w:rPr>
          <w:rFonts w:cs="Arial"/>
          <w:color w:val="365F91" w:themeColor="accent1" w:themeShade="BF"/>
        </w:rPr>
        <w:t xml:space="preserve">Table </w:t>
      </w:r>
      <w:r w:rsidR="00D71749">
        <w:rPr>
          <w:rFonts w:cs="Arial"/>
          <w:color w:val="365F91" w:themeColor="accent1" w:themeShade="BF"/>
        </w:rPr>
        <w:t>1.1</w:t>
      </w:r>
      <w:r w:rsidR="00635A7B">
        <w:rPr>
          <w:rFonts w:cs="Arial"/>
          <w:color w:val="365F91" w:themeColor="accent1" w:themeShade="BF"/>
        </w:rPr>
        <w:t>9</w:t>
      </w:r>
      <w:r w:rsidR="00D71749">
        <w:rPr>
          <w:rFonts w:cs="Arial"/>
          <w:color w:val="365F91" w:themeColor="accent1" w:themeShade="BF"/>
        </w:rPr>
        <w:t>.1</w:t>
      </w:r>
      <w:r w:rsidR="00936167">
        <w:rPr>
          <w:rFonts w:cs="Arial"/>
          <w:color w:val="365F91" w:themeColor="accent1" w:themeShade="BF"/>
        </w:rPr>
        <w:t>:</w:t>
      </w:r>
      <w:r w:rsidRPr="00585E3D">
        <w:rPr>
          <w:rFonts w:cs="Arial"/>
          <w:color w:val="365F91" w:themeColor="accent1" w:themeShade="BF"/>
        </w:rPr>
        <w:t xml:space="preserve"> </w:t>
      </w:r>
      <w:r>
        <w:rPr>
          <w:rFonts w:cs="Arial"/>
          <w:color w:val="365F91" w:themeColor="accent1" w:themeShade="BF"/>
        </w:rPr>
        <w:t>Number of g</w:t>
      </w:r>
      <w:r w:rsidRPr="00585E3D">
        <w:rPr>
          <w:rFonts w:cs="Arial"/>
          <w:color w:val="365F91" w:themeColor="accent1" w:themeShade="BF"/>
        </w:rPr>
        <w:t xml:space="preserve">overnment subsidised </w:t>
      </w:r>
      <w:r w:rsidR="005351D4">
        <w:rPr>
          <w:rFonts w:cs="Arial"/>
          <w:color w:val="365F91" w:themeColor="accent1" w:themeShade="BF"/>
        </w:rPr>
        <w:t>enrolments by provider type, 2008 to 2013</w:t>
      </w:r>
    </w:p>
    <w:tbl>
      <w:tblPr>
        <w:tblW w:w="9072"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165"/>
        <w:gridCol w:w="1151"/>
        <w:gridCol w:w="1151"/>
        <w:gridCol w:w="1151"/>
        <w:gridCol w:w="1151"/>
        <w:gridCol w:w="1151"/>
        <w:gridCol w:w="1152"/>
      </w:tblGrid>
      <w:tr w:rsidR="00585E3D" w:rsidRPr="00F03785" w:rsidTr="003F3790">
        <w:trPr>
          <w:trHeight w:val="300"/>
        </w:trPr>
        <w:tc>
          <w:tcPr>
            <w:tcW w:w="2165" w:type="dxa"/>
            <w:shd w:val="clear" w:color="000000" w:fill="366092"/>
            <w:noWrap/>
            <w:vAlign w:val="center"/>
            <w:hideMark/>
          </w:tcPr>
          <w:p w:rsidR="00585E3D" w:rsidRPr="00F03785" w:rsidRDefault="00585E3D"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 </w:t>
            </w:r>
          </w:p>
        </w:tc>
        <w:tc>
          <w:tcPr>
            <w:tcW w:w="1151" w:type="dxa"/>
            <w:shd w:val="clear" w:color="000000" w:fill="366092"/>
            <w:vAlign w:val="center"/>
            <w:hideMark/>
          </w:tcPr>
          <w:p w:rsidR="00585E3D" w:rsidRPr="00F03785" w:rsidRDefault="00585E3D"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2008</w:t>
            </w:r>
          </w:p>
        </w:tc>
        <w:tc>
          <w:tcPr>
            <w:tcW w:w="1151" w:type="dxa"/>
            <w:shd w:val="clear" w:color="000000" w:fill="366092"/>
            <w:vAlign w:val="center"/>
            <w:hideMark/>
          </w:tcPr>
          <w:p w:rsidR="00585E3D" w:rsidRPr="00F03785" w:rsidRDefault="00585E3D"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2009</w:t>
            </w:r>
          </w:p>
        </w:tc>
        <w:tc>
          <w:tcPr>
            <w:tcW w:w="1151" w:type="dxa"/>
            <w:shd w:val="clear" w:color="000000" w:fill="366092"/>
            <w:vAlign w:val="center"/>
            <w:hideMark/>
          </w:tcPr>
          <w:p w:rsidR="00585E3D" w:rsidRPr="00F03785" w:rsidRDefault="00585E3D"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2010</w:t>
            </w:r>
          </w:p>
        </w:tc>
        <w:tc>
          <w:tcPr>
            <w:tcW w:w="1151" w:type="dxa"/>
            <w:shd w:val="clear" w:color="000000" w:fill="366092"/>
            <w:vAlign w:val="center"/>
            <w:hideMark/>
          </w:tcPr>
          <w:p w:rsidR="00585E3D" w:rsidRPr="00F03785" w:rsidRDefault="00585E3D"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2011</w:t>
            </w:r>
          </w:p>
        </w:tc>
        <w:tc>
          <w:tcPr>
            <w:tcW w:w="1151" w:type="dxa"/>
            <w:shd w:val="clear" w:color="000000" w:fill="366092"/>
            <w:vAlign w:val="center"/>
            <w:hideMark/>
          </w:tcPr>
          <w:p w:rsidR="00585E3D" w:rsidRPr="00F03785" w:rsidRDefault="00585E3D"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2012</w:t>
            </w:r>
          </w:p>
        </w:tc>
        <w:tc>
          <w:tcPr>
            <w:tcW w:w="1152" w:type="dxa"/>
            <w:shd w:val="clear" w:color="000000" w:fill="366092"/>
            <w:vAlign w:val="center"/>
            <w:hideMark/>
          </w:tcPr>
          <w:p w:rsidR="00585E3D" w:rsidRPr="00F03785" w:rsidRDefault="00585E3D" w:rsidP="00F03785">
            <w:pPr>
              <w:spacing w:after="0" w:line="240" w:lineRule="auto"/>
              <w:ind w:firstLineChars="100" w:firstLine="181"/>
              <w:jc w:val="left"/>
              <w:rPr>
                <w:rFonts w:cs="Arial"/>
                <w:b/>
                <w:bCs/>
                <w:color w:val="FFFFFF"/>
                <w:sz w:val="18"/>
                <w:szCs w:val="18"/>
                <w:lang w:eastAsia="en-AU"/>
              </w:rPr>
            </w:pPr>
            <w:r w:rsidRPr="00F03785">
              <w:rPr>
                <w:rFonts w:cs="Arial"/>
                <w:b/>
                <w:bCs/>
                <w:color w:val="FFFFFF"/>
                <w:sz w:val="18"/>
                <w:szCs w:val="18"/>
                <w:lang w:eastAsia="en-AU"/>
              </w:rPr>
              <w:t>2013</w:t>
            </w:r>
          </w:p>
        </w:tc>
      </w:tr>
      <w:tr w:rsidR="00585E3D" w:rsidRPr="00F03785" w:rsidTr="003F3790">
        <w:trPr>
          <w:trHeight w:val="300"/>
        </w:trPr>
        <w:tc>
          <w:tcPr>
            <w:tcW w:w="2165" w:type="dxa"/>
            <w:shd w:val="clear" w:color="000000" w:fill="FFFFFF"/>
            <w:noWrap/>
            <w:vAlign w:val="bottom"/>
            <w:hideMark/>
          </w:tcPr>
          <w:p w:rsidR="00585E3D" w:rsidRPr="00F03785" w:rsidRDefault="00585E3D" w:rsidP="00585E3D">
            <w:pPr>
              <w:spacing w:after="0" w:line="240" w:lineRule="auto"/>
              <w:jc w:val="left"/>
              <w:rPr>
                <w:rFonts w:cs="Arial"/>
                <w:color w:val="366092"/>
                <w:sz w:val="18"/>
                <w:szCs w:val="18"/>
                <w:lang w:eastAsia="en-AU"/>
              </w:rPr>
            </w:pPr>
            <w:r w:rsidRPr="00F03785">
              <w:rPr>
                <w:rFonts w:cs="Arial"/>
                <w:color w:val="366092"/>
                <w:sz w:val="18"/>
                <w:szCs w:val="18"/>
                <w:lang w:eastAsia="en-AU"/>
              </w:rPr>
              <w:t>Learn Local</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73,800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68,300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63,800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64,600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80,200 </w:t>
            </w:r>
          </w:p>
        </w:tc>
        <w:tc>
          <w:tcPr>
            <w:tcW w:w="1152"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73,500 </w:t>
            </w:r>
          </w:p>
        </w:tc>
      </w:tr>
      <w:tr w:rsidR="00585E3D" w:rsidRPr="00F03785" w:rsidTr="003F3790">
        <w:trPr>
          <w:trHeight w:val="300"/>
        </w:trPr>
        <w:tc>
          <w:tcPr>
            <w:tcW w:w="2165" w:type="dxa"/>
            <w:shd w:val="clear" w:color="000000" w:fill="FFFFFF"/>
            <w:noWrap/>
            <w:vAlign w:val="bottom"/>
            <w:hideMark/>
          </w:tcPr>
          <w:p w:rsidR="00585E3D" w:rsidRPr="00F03785" w:rsidRDefault="00585E3D" w:rsidP="00585E3D">
            <w:pPr>
              <w:spacing w:after="0" w:line="240" w:lineRule="auto"/>
              <w:jc w:val="left"/>
              <w:rPr>
                <w:rFonts w:cs="Arial"/>
                <w:color w:val="366092"/>
                <w:sz w:val="18"/>
                <w:szCs w:val="18"/>
                <w:lang w:eastAsia="en-AU"/>
              </w:rPr>
            </w:pPr>
            <w:r w:rsidRPr="00F03785">
              <w:rPr>
                <w:rFonts w:cs="Arial"/>
                <w:color w:val="366092"/>
                <w:sz w:val="18"/>
                <w:szCs w:val="18"/>
                <w:lang w:eastAsia="en-AU"/>
              </w:rPr>
              <w:t>Private RTOs</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54,000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57,400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99,800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220,700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308,800 </w:t>
            </w:r>
          </w:p>
        </w:tc>
        <w:tc>
          <w:tcPr>
            <w:tcW w:w="1152"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312,000 </w:t>
            </w:r>
          </w:p>
        </w:tc>
      </w:tr>
      <w:tr w:rsidR="00585E3D" w:rsidRPr="00F03785" w:rsidTr="003F3790">
        <w:trPr>
          <w:trHeight w:val="300"/>
        </w:trPr>
        <w:tc>
          <w:tcPr>
            <w:tcW w:w="2165" w:type="dxa"/>
            <w:shd w:val="clear" w:color="000000" w:fill="FFFFFF"/>
            <w:noWrap/>
            <w:vAlign w:val="bottom"/>
            <w:hideMark/>
          </w:tcPr>
          <w:p w:rsidR="00585E3D" w:rsidRPr="00F03785" w:rsidRDefault="00585E3D" w:rsidP="00585E3D">
            <w:pPr>
              <w:spacing w:after="0" w:line="240" w:lineRule="auto"/>
              <w:jc w:val="left"/>
              <w:rPr>
                <w:rFonts w:cs="Arial"/>
                <w:color w:val="366092"/>
                <w:sz w:val="18"/>
                <w:szCs w:val="18"/>
                <w:lang w:eastAsia="en-AU"/>
              </w:rPr>
            </w:pPr>
            <w:r w:rsidRPr="00F03785">
              <w:rPr>
                <w:rFonts w:cs="Arial"/>
                <w:color w:val="366092"/>
                <w:sz w:val="18"/>
                <w:szCs w:val="18"/>
                <w:lang w:eastAsia="en-AU"/>
              </w:rPr>
              <w:t>Universities</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72,400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68,500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76,300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69,900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68,100 </w:t>
            </w:r>
          </w:p>
        </w:tc>
        <w:tc>
          <w:tcPr>
            <w:tcW w:w="1152"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51,500 </w:t>
            </w:r>
          </w:p>
        </w:tc>
      </w:tr>
      <w:tr w:rsidR="00585E3D" w:rsidRPr="00F03785" w:rsidTr="003F3790">
        <w:trPr>
          <w:trHeight w:val="300"/>
        </w:trPr>
        <w:tc>
          <w:tcPr>
            <w:tcW w:w="2165" w:type="dxa"/>
            <w:shd w:val="clear" w:color="000000" w:fill="FFFFFF"/>
            <w:noWrap/>
            <w:vAlign w:val="bottom"/>
            <w:hideMark/>
          </w:tcPr>
          <w:p w:rsidR="00585E3D" w:rsidRPr="00F03785" w:rsidRDefault="00585E3D" w:rsidP="00585E3D">
            <w:pPr>
              <w:spacing w:after="0" w:line="240" w:lineRule="auto"/>
              <w:jc w:val="left"/>
              <w:rPr>
                <w:rFonts w:cs="Arial"/>
                <w:color w:val="366092"/>
                <w:sz w:val="18"/>
                <w:szCs w:val="18"/>
                <w:lang w:eastAsia="en-AU"/>
              </w:rPr>
            </w:pPr>
            <w:r w:rsidRPr="00F03785">
              <w:rPr>
                <w:rFonts w:cs="Arial"/>
                <w:color w:val="366092"/>
                <w:sz w:val="18"/>
                <w:szCs w:val="18"/>
                <w:lang w:eastAsia="en-AU"/>
              </w:rPr>
              <w:t>TAFE</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181,100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182,600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187,000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193,600 </w:t>
            </w:r>
          </w:p>
        </w:tc>
        <w:tc>
          <w:tcPr>
            <w:tcW w:w="1151"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213,300 </w:t>
            </w:r>
          </w:p>
        </w:tc>
        <w:tc>
          <w:tcPr>
            <w:tcW w:w="1152" w:type="dxa"/>
            <w:shd w:val="clear" w:color="auto" w:fill="auto"/>
            <w:noWrap/>
            <w:vAlign w:val="bottom"/>
            <w:hideMark/>
          </w:tcPr>
          <w:p w:rsidR="00585E3D" w:rsidRPr="00F03785" w:rsidRDefault="00585E3D" w:rsidP="00585E3D">
            <w:pPr>
              <w:spacing w:after="0" w:line="240" w:lineRule="auto"/>
              <w:jc w:val="right"/>
              <w:rPr>
                <w:rFonts w:cs="Arial"/>
                <w:sz w:val="18"/>
                <w:szCs w:val="18"/>
                <w:lang w:eastAsia="en-AU"/>
              </w:rPr>
            </w:pPr>
            <w:r w:rsidRPr="00F03785">
              <w:rPr>
                <w:rFonts w:cs="Arial"/>
                <w:sz w:val="18"/>
                <w:szCs w:val="18"/>
                <w:lang w:eastAsia="en-AU"/>
              </w:rPr>
              <w:t xml:space="preserve">207,900 </w:t>
            </w:r>
          </w:p>
        </w:tc>
      </w:tr>
    </w:tbl>
    <w:p w:rsidR="00585E3D" w:rsidRPr="00A326AF" w:rsidRDefault="00585E3D" w:rsidP="00A326AF"/>
    <w:p w:rsidR="003F3790" w:rsidRDefault="003F3790">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6E415B" w:rsidRPr="006E415B" w:rsidRDefault="00D71749" w:rsidP="006E415B">
      <w:pPr>
        <w:pStyle w:val="Caption"/>
        <w:spacing w:after="0"/>
        <w:jc w:val="left"/>
        <w:rPr>
          <w:rFonts w:cs="Arial"/>
          <w:color w:val="365F91" w:themeColor="accent1" w:themeShade="BF"/>
        </w:rPr>
      </w:pPr>
      <w:r>
        <w:rPr>
          <w:rFonts w:cs="Arial"/>
          <w:color w:val="365F91" w:themeColor="accent1" w:themeShade="BF"/>
        </w:rPr>
        <w:t>Table 1.1</w:t>
      </w:r>
      <w:r w:rsidR="00635A7B">
        <w:rPr>
          <w:rFonts w:cs="Arial"/>
          <w:color w:val="365F91" w:themeColor="accent1" w:themeShade="BF"/>
        </w:rPr>
        <w:t>9</w:t>
      </w:r>
      <w:r>
        <w:rPr>
          <w:rFonts w:cs="Arial"/>
          <w:color w:val="365F91" w:themeColor="accent1" w:themeShade="BF"/>
        </w:rPr>
        <w:t>.2</w:t>
      </w:r>
      <w:r w:rsidR="00936167">
        <w:rPr>
          <w:rFonts w:cs="Arial"/>
          <w:color w:val="365F91" w:themeColor="accent1" w:themeShade="BF"/>
        </w:rPr>
        <w:t>: Change in n</w:t>
      </w:r>
      <w:r w:rsidR="00936167" w:rsidRPr="00936167">
        <w:rPr>
          <w:rFonts w:cs="Arial"/>
          <w:color w:val="365F91" w:themeColor="accent1" w:themeShade="BF"/>
        </w:rPr>
        <w:t>umber of government subsidised enrolments by provider type</w:t>
      </w:r>
    </w:p>
    <w:tbl>
      <w:tblPr>
        <w:tblW w:w="8200" w:type="dxa"/>
        <w:tblInd w:w="9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300"/>
        <w:gridCol w:w="1180"/>
        <w:gridCol w:w="1180"/>
        <w:gridCol w:w="1180"/>
        <w:gridCol w:w="1180"/>
        <w:gridCol w:w="1180"/>
      </w:tblGrid>
      <w:tr w:rsidR="006E415B" w:rsidRPr="00000F3A" w:rsidTr="006E415B">
        <w:trPr>
          <w:trHeight w:val="450"/>
        </w:trPr>
        <w:tc>
          <w:tcPr>
            <w:tcW w:w="2300" w:type="dxa"/>
            <w:shd w:val="clear" w:color="000000" w:fill="366092"/>
            <w:vAlign w:val="center"/>
            <w:hideMark/>
          </w:tcPr>
          <w:p w:rsidR="006E415B" w:rsidRPr="00000F3A" w:rsidRDefault="006E415B" w:rsidP="00000F3A">
            <w:pPr>
              <w:spacing w:after="0" w:line="240" w:lineRule="auto"/>
              <w:ind w:firstLineChars="100" w:firstLine="181"/>
              <w:jc w:val="left"/>
              <w:rPr>
                <w:rFonts w:cs="Arial"/>
                <w:b/>
                <w:bCs/>
                <w:color w:val="FFFFFF"/>
                <w:sz w:val="18"/>
                <w:szCs w:val="18"/>
                <w:lang w:eastAsia="en-AU"/>
              </w:rPr>
            </w:pPr>
            <w:r w:rsidRPr="00000F3A">
              <w:rPr>
                <w:rFonts w:cs="Arial"/>
                <w:b/>
                <w:bCs/>
                <w:color w:val="FFFFFF"/>
                <w:sz w:val="18"/>
                <w:szCs w:val="18"/>
                <w:lang w:eastAsia="en-AU"/>
              </w:rPr>
              <w:t> </w:t>
            </w:r>
          </w:p>
        </w:tc>
        <w:tc>
          <w:tcPr>
            <w:tcW w:w="1180" w:type="dxa"/>
            <w:shd w:val="clear" w:color="000000" w:fill="366092"/>
            <w:vAlign w:val="center"/>
            <w:hideMark/>
          </w:tcPr>
          <w:p w:rsidR="006E415B" w:rsidRPr="00000F3A" w:rsidRDefault="006E415B"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 change</w:t>
            </w:r>
            <w:r w:rsidRPr="00000F3A">
              <w:rPr>
                <w:rFonts w:cs="Arial"/>
                <w:b/>
                <w:bCs/>
                <w:color w:val="FFFFFF"/>
                <w:sz w:val="18"/>
                <w:szCs w:val="18"/>
                <w:lang w:eastAsia="en-AU"/>
              </w:rPr>
              <w:br/>
              <w:t>2008-2013</w:t>
            </w:r>
          </w:p>
        </w:tc>
        <w:tc>
          <w:tcPr>
            <w:tcW w:w="1180" w:type="dxa"/>
            <w:shd w:val="clear" w:color="000000" w:fill="366092"/>
            <w:vAlign w:val="center"/>
            <w:hideMark/>
          </w:tcPr>
          <w:p w:rsidR="006E415B" w:rsidRPr="00000F3A" w:rsidRDefault="006E415B"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 change</w:t>
            </w:r>
            <w:r w:rsidRPr="00000F3A">
              <w:rPr>
                <w:rFonts w:cs="Arial"/>
                <w:b/>
                <w:bCs/>
                <w:color w:val="FFFFFF"/>
                <w:sz w:val="18"/>
                <w:szCs w:val="18"/>
                <w:lang w:eastAsia="en-AU"/>
              </w:rPr>
              <w:br/>
              <w:t>2009-2013</w:t>
            </w:r>
          </w:p>
        </w:tc>
        <w:tc>
          <w:tcPr>
            <w:tcW w:w="1180" w:type="dxa"/>
            <w:shd w:val="clear" w:color="000000" w:fill="366092"/>
            <w:vAlign w:val="center"/>
            <w:hideMark/>
          </w:tcPr>
          <w:p w:rsidR="006E415B" w:rsidRPr="00000F3A" w:rsidRDefault="006E415B"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 change</w:t>
            </w:r>
            <w:r w:rsidRPr="00000F3A">
              <w:rPr>
                <w:rFonts w:cs="Arial"/>
                <w:b/>
                <w:bCs/>
                <w:color w:val="FFFFFF"/>
                <w:sz w:val="18"/>
                <w:szCs w:val="18"/>
                <w:lang w:eastAsia="en-AU"/>
              </w:rPr>
              <w:br/>
              <w:t>2010-2013</w:t>
            </w:r>
          </w:p>
        </w:tc>
        <w:tc>
          <w:tcPr>
            <w:tcW w:w="1180" w:type="dxa"/>
            <w:shd w:val="clear" w:color="000000" w:fill="366092"/>
            <w:vAlign w:val="center"/>
            <w:hideMark/>
          </w:tcPr>
          <w:p w:rsidR="006E415B" w:rsidRPr="00000F3A" w:rsidRDefault="006E415B"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 change</w:t>
            </w:r>
            <w:r w:rsidRPr="00000F3A">
              <w:rPr>
                <w:rFonts w:cs="Arial"/>
                <w:b/>
                <w:bCs/>
                <w:color w:val="FFFFFF"/>
                <w:sz w:val="18"/>
                <w:szCs w:val="18"/>
                <w:lang w:eastAsia="en-AU"/>
              </w:rPr>
              <w:br/>
              <w:t>2011-2013</w:t>
            </w:r>
          </w:p>
        </w:tc>
        <w:tc>
          <w:tcPr>
            <w:tcW w:w="1180" w:type="dxa"/>
            <w:shd w:val="clear" w:color="000000" w:fill="366092"/>
            <w:vAlign w:val="center"/>
            <w:hideMark/>
          </w:tcPr>
          <w:p w:rsidR="006E415B" w:rsidRPr="00000F3A" w:rsidRDefault="006E415B"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 change</w:t>
            </w:r>
            <w:r w:rsidRPr="00000F3A">
              <w:rPr>
                <w:rFonts w:cs="Arial"/>
                <w:b/>
                <w:bCs/>
                <w:color w:val="FFFFFF"/>
                <w:sz w:val="18"/>
                <w:szCs w:val="18"/>
                <w:lang w:eastAsia="en-AU"/>
              </w:rPr>
              <w:br/>
              <w:t>2012-13</w:t>
            </w:r>
          </w:p>
        </w:tc>
      </w:tr>
      <w:tr w:rsidR="006E415B" w:rsidRPr="00000F3A" w:rsidTr="006E415B">
        <w:trPr>
          <w:trHeight w:val="300"/>
        </w:trPr>
        <w:tc>
          <w:tcPr>
            <w:tcW w:w="2300" w:type="dxa"/>
            <w:shd w:val="clear" w:color="000000" w:fill="FFFFFF"/>
            <w:noWrap/>
            <w:vAlign w:val="center"/>
            <w:hideMark/>
          </w:tcPr>
          <w:p w:rsidR="006E415B" w:rsidRPr="00000F3A" w:rsidRDefault="006E415B" w:rsidP="006E415B">
            <w:pPr>
              <w:spacing w:after="0" w:line="240" w:lineRule="auto"/>
              <w:jc w:val="left"/>
              <w:rPr>
                <w:rFonts w:cs="Arial"/>
                <w:color w:val="366092"/>
                <w:sz w:val="18"/>
                <w:szCs w:val="18"/>
                <w:lang w:eastAsia="en-AU"/>
              </w:rPr>
            </w:pPr>
            <w:r w:rsidRPr="00000F3A">
              <w:rPr>
                <w:rFonts w:cs="Arial"/>
                <w:color w:val="366092"/>
                <w:sz w:val="18"/>
                <w:szCs w:val="18"/>
                <w:lang w:eastAsia="en-AU"/>
              </w:rPr>
              <w:t>Learn Local</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0%</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8%</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15%</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14%</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-8%</w:t>
            </w:r>
          </w:p>
        </w:tc>
      </w:tr>
      <w:tr w:rsidR="006E415B" w:rsidRPr="00000F3A" w:rsidTr="006E415B">
        <w:trPr>
          <w:trHeight w:val="300"/>
        </w:trPr>
        <w:tc>
          <w:tcPr>
            <w:tcW w:w="2300" w:type="dxa"/>
            <w:shd w:val="clear" w:color="000000" w:fill="FFFFFF"/>
            <w:noWrap/>
            <w:vAlign w:val="center"/>
            <w:hideMark/>
          </w:tcPr>
          <w:p w:rsidR="006E415B" w:rsidRPr="00000F3A" w:rsidRDefault="0029026D" w:rsidP="006E415B">
            <w:pPr>
              <w:spacing w:after="0" w:line="240" w:lineRule="auto"/>
              <w:jc w:val="left"/>
              <w:rPr>
                <w:rFonts w:cs="Arial"/>
                <w:color w:val="366092"/>
                <w:sz w:val="18"/>
                <w:szCs w:val="18"/>
                <w:lang w:eastAsia="en-AU"/>
              </w:rPr>
            </w:pPr>
            <w:r w:rsidRPr="00000F3A">
              <w:rPr>
                <w:rFonts w:cs="Arial"/>
                <w:color w:val="366092"/>
                <w:sz w:val="18"/>
                <w:szCs w:val="18"/>
                <w:lang w:eastAsia="en-AU"/>
              </w:rPr>
              <w:t>Private RTO</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478%</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444%</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213%</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41%</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1%</w:t>
            </w:r>
          </w:p>
        </w:tc>
      </w:tr>
      <w:tr w:rsidR="006E415B" w:rsidRPr="00000F3A" w:rsidTr="006E415B">
        <w:trPr>
          <w:trHeight w:val="300"/>
        </w:trPr>
        <w:tc>
          <w:tcPr>
            <w:tcW w:w="2300" w:type="dxa"/>
            <w:shd w:val="clear" w:color="000000" w:fill="FFFFFF"/>
            <w:noWrap/>
            <w:vAlign w:val="center"/>
            <w:hideMark/>
          </w:tcPr>
          <w:p w:rsidR="006E415B" w:rsidRPr="00000F3A" w:rsidRDefault="006E415B" w:rsidP="006E415B">
            <w:pPr>
              <w:spacing w:after="0" w:line="240" w:lineRule="auto"/>
              <w:jc w:val="left"/>
              <w:rPr>
                <w:rFonts w:cs="Arial"/>
                <w:color w:val="366092"/>
                <w:sz w:val="18"/>
                <w:szCs w:val="18"/>
                <w:lang w:eastAsia="en-AU"/>
              </w:rPr>
            </w:pPr>
            <w:r w:rsidRPr="00000F3A">
              <w:rPr>
                <w:rFonts w:cs="Arial"/>
                <w:color w:val="366092"/>
                <w:sz w:val="18"/>
                <w:szCs w:val="18"/>
                <w:lang w:eastAsia="en-AU"/>
              </w:rPr>
              <w:t>Universities</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-29%</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-25%</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-33%</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-26%</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-24%</w:t>
            </w:r>
          </w:p>
        </w:tc>
      </w:tr>
      <w:tr w:rsidR="006E415B" w:rsidRPr="00000F3A" w:rsidTr="006E415B">
        <w:trPr>
          <w:trHeight w:val="300"/>
        </w:trPr>
        <w:tc>
          <w:tcPr>
            <w:tcW w:w="2300" w:type="dxa"/>
            <w:shd w:val="clear" w:color="000000" w:fill="FFFFFF"/>
            <w:noWrap/>
            <w:vAlign w:val="center"/>
            <w:hideMark/>
          </w:tcPr>
          <w:p w:rsidR="006E415B" w:rsidRPr="00000F3A" w:rsidRDefault="006E415B" w:rsidP="006E415B">
            <w:pPr>
              <w:spacing w:after="0" w:line="240" w:lineRule="auto"/>
              <w:jc w:val="left"/>
              <w:rPr>
                <w:rFonts w:cs="Arial"/>
                <w:color w:val="366092"/>
                <w:sz w:val="18"/>
                <w:szCs w:val="18"/>
                <w:lang w:eastAsia="en-AU"/>
              </w:rPr>
            </w:pPr>
            <w:r w:rsidRPr="00000F3A">
              <w:rPr>
                <w:rFonts w:cs="Arial"/>
                <w:color w:val="366092"/>
                <w:sz w:val="18"/>
                <w:szCs w:val="18"/>
                <w:lang w:eastAsia="en-AU"/>
              </w:rPr>
              <w:t>TAFE</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15%</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14%</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11%</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7%</w:t>
            </w:r>
          </w:p>
        </w:tc>
        <w:tc>
          <w:tcPr>
            <w:tcW w:w="1180" w:type="dxa"/>
            <w:shd w:val="clear" w:color="auto" w:fill="auto"/>
            <w:noWrap/>
            <w:vAlign w:val="center"/>
            <w:hideMark/>
          </w:tcPr>
          <w:p w:rsidR="006E415B" w:rsidRPr="00000F3A" w:rsidRDefault="006E415B" w:rsidP="006E415B">
            <w:pPr>
              <w:spacing w:after="0" w:line="240" w:lineRule="auto"/>
              <w:jc w:val="right"/>
              <w:rPr>
                <w:rFonts w:cs="Arial"/>
                <w:sz w:val="18"/>
                <w:szCs w:val="18"/>
                <w:lang w:eastAsia="en-AU"/>
              </w:rPr>
            </w:pPr>
            <w:r w:rsidRPr="00000F3A">
              <w:rPr>
                <w:rFonts w:cs="Arial"/>
                <w:sz w:val="18"/>
                <w:szCs w:val="18"/>
                <w:lang w:eastAsia="en-AU"/>
              </w:rPr>
              <w:t>-3%</w:t>
            </w:r>
          </w:p>
        </w:tc>
      </w:tr>
    </w:tbl>
    <w:p w:rsidR="0029026D" w:rsidRDefault="0029026D" w:rsidP="0029026D">
      <w:pPr>
        <w:pStyle w:val="Caption"/>
        <w:spacing w:after="0"/>
        <w:jc w:val="left"/>
        <w:rPr>
          <w:rFonts w:cs="Arial"/>
          <w:color w:val="365F91" w:themeColor="accent1" w:themeShade="BF"/>
        </w:rPr>
      </w:pPr>
    </w:p>
    <w:p w:rsidR="006C1B1A" w:rsidRDefault="006C1B1A" w:rsidP="0029026D">
      <w:pPr>
        <w:pStyle w:val="Caption"/>
        <w:spacing w:after="0"/>
        <w:jc w:val="left"/>
        <w:rPr>
          <w:rFonts w:cs="Arial"/>
          <w:color w:val="365F91" w:themeColor="accent1" w:themeShade="BF"/>
        </w:rPr>
      </w:pPr>
    </w:p>
    <w:p w:rsidR="003F3790" w:rsidRPr="003F3790" w:rsidRDefault="0029026D" w:rsidP="0029026D">
      <w:pPr>
        <w:pStyle w:val="Caption"/>
        <w:spacing w:after="0"/>
        <w:jc w:val="left"/>
        <w:rPr>
          <w:rFonts w:cs="Arial"/>
          <w:color w:val="365F91" w:themeColor="accent1" w:themeShade="BF"/>
        </w:rPr>
      </w:pPr>
      <w:r w:rsidRPr="0029026D">
        <w:rPr>
          <w:rFonts w:cs="Arial"/>
          <w:color w:val="365F91" w:themeColor="accent1" w:themeShade="BF"/>
        </w:rPr>
        <w:t xml:space="preserve">Table </w:t>
      </w:r>
      <w:r w:rsidR="00635A7B">
        <w:rPr>
          <w:rFonts w:cs="Arial"/>
          <w:color w:val="365F91" w:themeColor="accent1" w:themeShade="BF"/>
        </w:rPr>
        <w:t>1.20</w:t>
      </w:r>
      <w:r w:rsidRPr="0029026D">
        <w:rPr>
          <w:rFonts w:cs="Arial"/>
          <w:color w:val="365F91" w:themeColor="accent1" w:themeShade="BF"/>
        </w:rPr>
        <w:t xml:space="preserve">: </w:t>
      </w:r>
      <w:r w:rsidR="003F3790" w:rsidRPr="003F3790">
        <w:rPr>
          <w:rFonts w:cs="Arial"/>
          <w:color w:val="365F91" w:themeColor="accent1" w:themeShade="BF"/>
        </w:rPr>
        <w:t xml:space="preserve">Percentage share of government subsidised enrolments </w:t>
      </w:r>
      <w:r w:rsidR="00D71749">
        <w:rPr>
          <w:rFonts w:cs="Arial"/>
          <w:color w:val="365F91" w:themeColor="accent1" w:themeShade="BF"/>
        </w:rPr>
        <w:t xml:space="preserve">for each year </w:t>
      </w:r>
      <w:r w:rsidR="003F3790" w:rsidRPr="003F3790">
        <w:rPr>
          <w:rFonts w:cs="Arial"/>
          <w:color w:val="365F91" w:themeColor="accent1" w:themeShade="BF"/>
        </w:rPr>
        <w:t>by provider type, 2008 to 2013</w:t>
      </w:r>
    </w:p>
    <w:tbl>
      <w:tblPr>
        <w:tblW w:w="9072"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165"/>
        <w:gridCol w:w="1151"/>
        <w:gridCol w:w="1151"/>
        <w:gridCol w:w="1151"/>
        <w:gridCol w:w="1151"/>
        <w:gridCol w:w="1151"/>
        <w:gridCol w:w="1152"/>
      </w:tblGrid>
      <w:tr w:rsidR="003F3790" w:rsidRPr="00000F3A" w:rsidTr="0029026D">
        <w:trPr>
          <w:trHeight w:val="300"/>
        </w:trPr>
        <w:tc>
          <w:tcPr>
            <w:tcW w:w="2165" w:type="dxa"/>
            <w:shd w:val="clear" w:color="000000" w:fill="366092"/>
            <w:noWrap/>
            <w:vAlign w:val="center"/>
            <w:hideMark/>
          </w:tcPr>
          <w:p w:rsidR="003F3790" w:rsidRPr="00000F3A" w:rsidRDefault="003F3790" w:rsidP="00000F3A">
            <w:pPr>
              <w:spacing w:after="0" w:line="240" w:lineRule="auto"/>
              <w:ind w:firstLineChars="100" w:firstLine="181"/>
              <w:jc w:val="center"/>
              <w:rPr>
                <w:rFonts w:cs="Arial"/>
                <w:b/>
                <w:bCs/>
                <w:color w:val="FFFFFF"/>
                <w:sz w:val="18"/>
                <w:szCs w:val="18"/>
                <w:lang w:eastAsia="en-AU"/>
              </w:rPr>
            </w:pPr>
          </w:p>
        </w:tc>
        <w:tc>
          <w:tcPr>
            <w:tcW w:w="1151" w:type="dxa"/>
            <w:shd w:val="clear" w:color="000000" w:fill="366092"/>
            <w:vAlign w:val="center"/>
            <w:hideMark/>
          </w:tcPr>
          <w:p w:rsidR="003F3790" w:rsidRPr="00000F3A" w:rsidRDefault="003F3790"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2008</w:t>
            </w:r>
          </w:p>
        </w:tc>
        <w:tc>
          <w:tcPr>
            <w:tcW w:w="1151" w:type="dxa"/>
            <w:shd w:val="clear" w:color="000000" w:fill="366092"/>
            <w:vAlign w:val="center"/>
            <w:hideMark/>
          </w:tcPr>
          <w:p w:rsidR="003F3790" w:rsidRPr="00000F3A" w:rsidRDefault="003F3790"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2009</w:t>
            </w:r>
          </w:p>
        </w:tc>
        <w:tc>
          <w:tcPr>
            <w:tcW w:w="1151" w:type="dxa"/>
            <w:shd w:val="clear" w:color="000000" w:fill="366092"/>
            <w:vAlign w:val="center"/>
            <w:hideMark/>
          </w:tcPr>
          <w:p w:rsidR="003F3790" w:rsidRPr="00000F3A" w:rsidRDefault="003F3790"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2010</w:t>
            </w:r>
          </w:p>
        </w:tc>
        <w:tc>
          <w:tcPr>
            <w:tcW w:w="1151" w:type="dxa"/>
            <w:shd w:val="clear" w:color="000000" w:fill="366092"/>
            <w:vAlign w:val="center"/>
            <w:hideMark/>
          </w:tcPr>
          <w:p w:rsidR="003F3790" w:rsidRPr="00000F3A" w:rsidRDefault="003F3790"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2011</w:t>
            </w:r>
          </w:p>
        </w:tc>
        <w:tc>
          <w:tcPr>
            <w:tcW w:w="1151" w:type="dxa"/>
            <w:shd w:val="clear" w:color="000000" w:fill="366092"/>
            <w:vAlign w:val="center"/>
            <w:hideMark/>
          </w:tcPr>
          <w:p w:rsidR="003F3790" w:rsidRPr="00000F3A" w:rsidRDefault="003F3790"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2012</w:t>
            </w:r>
          </w:p>
        </w:tc>
        <w:tc>
          <w:tcPr>
            <w:tcW w:w="1152" w:type="dxa"/>
            <w:shd w:val="clear" w:color="000000" w:fill="366092"/>
            <w:vAlign w:val="center"/>
            <w:hideMark/>
          </w:tcPr>
          <w:p w:rsidR="003F3790" w:rsidRPr="00000F3A" w:rsidRDefault="003F3790" w:rsidP="00000F3A">
            <w:pPr>
              <w:spacing w:after="0" w:line="240" w:lineRule="auto"/>
              <w:ind w:firstLineChars="100" w:firstLine="181"/>
              <w:jc w:val="center"/>
              <w:rPr>
                <w:rFonts w:cs="Arial"/>
                <w:b/>
                <w:bCs/>
                <w:color w:val="FFFFFF"/>
                <w:sz w:val="18"/>
                <w:szCs w:val="18"/>
                <w:lang w:eastAsia="en-AU"/>
              </w:rPr>
            </w:pPr>
            <w:r w:rsidRPr="00000F3A">
              <w:rPr>
                <w:rFonts w:cs="Arial"/>
                <w:b/>
                <w:bCs/>
                <w:color w:val="FFFFFF"/>
                <w:sz w:val="18"/>
                <w:szCs w:val="18"/>
                <w:lang w:eastAsia="en-AU"/>
              </w:rPr>
              <w:t>2013</w:t>
            </w:r>
          </w:p>
        </w:tc>
      </w:tr>
      <w:tr w:rsidR="003F3790" w:rsidRPr="00000F3A" w:rsidTr="0029026D">
        <w:trPr>
          <w:trHeight w:val="300"/>
        </w:trPr>
        <w:tc>
          <w:tcPr>
            <w:tcW w:w="2165" w:type="dxa"/>
            <w:shd w:val="clear" w:color="000000" w:fill="FFFFFF"/>
            <w:noWrap/>
            <w:vAlign w:val="bottom"/>
            <w:hideMark/>
          </w:tcPr>
          <w:p w:rsidR="003F3790" w:rsidRPr="00000F3A" w:rsidRDefault="003F3790" w:rsidP="003F3790">
            <w:pPr>
              <w:spacing w:after="0" w:line="240" w:lineRule="auto"/>
              <w:jc w:val="left"/>
              <w:rPr>
                <w:rFonts w:cs="Arial"/>
                <w:color w:val="366092"/>
                <w:sz w:val="18"/>
                <w:szCs w:val="18"/>
                <w:lang w:eastAsia="en-AU"/>
              </w:rPr>
            </w:pPr>
            <w:r w:rsidRPr="00000F3A">
              <w:rPr>
                <w:rFonts w:cs="Arial"/>
                <w:color w:val="366092"/>
                <w:sz w:val="18"/>
                <w:szCs w:val="18"/>
                <w:lang w:eastAsia="en-AU"/>
              </w:rPr>
              <w:t>Learn Local</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19%</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18%</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15%</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12%</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12%</w:t>
            </w:r>
          </w:p>
        </w:tc>
        <w:tc>
          <w:tcPr>
            <w:tcW w:w="1152"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11%</w:t>
            </w:r>
          </w:p>
        </w:tc>
      </w:tr>
      <w:tr w:rsidR="003F3790" w:rsidRPr="00000F3A" w:rsidTr="0029026D">
        <w:trPr>
          <w:trHeight w:val="300"/>
        </w:trPr>
        <w:tc>
          <w:tcPr>
            <w:tcW w:w="2165" w:type="dxa"/>
            <w:shd w:val="clear" w:color="000000" w:fill="FFFFFF"/>
            <w:noWrap/>
            <w:vAlign w:val="bottom"/>
            <w:hideMark/>
          </w:tcPr>
          <w:p w:rsidR="003F3790" w:rsidRPr="00000F3A" w:rsidRDefault="003F3790" w:rsidP="003F3790">
            <w:pPr>
              <w:spacing w:after="0" w:line="240" w:lineRule="auto"/>
              <w:jc w:val="left"/>
              <w:rPr>
                <w:rFonts w:cs="Arial"/>
                <w:color w:val="366092"/>
                <w:sz w:val="18"/>
                <w:szCs w:val="18"/>
                <w:lang w:eastAsia="en-AU"/>
              </w:rPr>
            </w:pPr>
            <w:r w:rsidRPr="00000F3A">
              <w:rPr>
                <w:rFonts w:cs="Arial"/>
                <w:color w:val="366092"/>
                <w:sz w:val="18"/>
                <w:szCs w:val="18"/>
                <w:lang w:eastAsia="en-AU"/>
              </w:rPr>
              <w:t>Private RTOs</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14%</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15%</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23%</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40%</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46%</w:t>
            </w:r>
          </w:p>
        </w:tc>
        <w:tc>
          <w:tcPr>
            <w:tcW w:w="1152"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48%</w:t>
            </w:r>
          </w:p>
        </w:tc>
      </w:tr>
      <w:tr w:rsidR="003F3790" w:rsidRPr="00000F3A" w:rsidTr="0029026D">
        <w:trPr>
          <w:trHeight w:val="300"/>
        </w:trPr>
        <w:tc>
          <w:tcPr>
            <w:tcW w:w="2165" w:type="dxa"/>
            <w:shd w:val="clear" w:color="000000" w:fill="FFFFFF"/>
            <w:noWrap/>
            <w:vAlign w:val="bottom"/>
            <w:hideMark/>
          </w:tcPr>
          <w:p w:rsidR="003F3790" w:rsidRPr="00000F3A" w:rsidRDefault="003F3790" w:rsidP="003F3790">
            <w:pPr>
              <w:spacing w:after="0" w:line="240" w:lineRule="auto"/>
              <w:jc w:val="left"/>
              <w:rPr>
                <w:rFonts w:cs="Arial"/>
                <w:color w:val="366092"/>
                <w:sz w:val="18"/>
                <w:szCs w:val="18"/>
                <w:lang w:eastAsia="en-AU"/>
              </w:rPr>
            </w:pPr>
            <w:r w:rsidRPr="00000F3A">
              <w:rPr>
                <w:rFonts w:cs="Arial"/>
                <w:color w:val="366092"/>
                <w:sz w:val="18"/>
                <w:szCs w:val="18"/>
                <w:lang w:eastAsia="en-AU"/>
              </w:rPr>
              <w:t>Universities</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19%</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18%</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18%</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13%</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10%</w:t>
            </w:r>
          </w:p>
        </w:tc>
        <w:tc>
          <w:tcPr>
            <w:tcW w:w="1152"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8%</w:t>
            </w:r>
          </w:p>
        </w:tc>
      </w:tr>
      <w:tr w:rsidR="003F3790" w:rsidRPr="00000F3A" w:rsidTr="0029026D">
        <w:trPr>
          <w:trHeight w:val="300"/>
        </w:trPr>
        <w:tc>
          <w:tcPr>
            <w:tcW w:w="2165" w:type="dxa"/>
            <w:shd w:val="clear" w:color="000000" w:fill="FFFFFF"/>
            <w:noWrap/>
            <w:vAlign w:val="bottom"/>
            <w:hideMark/>
          </w:tcPr>
          <w:p w:rsidR="003F3790" w:rsidRPr="00000F3A" w:rsidRDefault="003F3790" w:rsidP="003F3790">
            <w:pPr>
              <w:spacing w:after="0" w:line="240" w:lineRule="auto"/>
              <w:jc w:val="left"/>
              <w:rPr>
                <w:rFonts w:cs="Arial"/>
                <w:color w:val="366092"/>
                <w:sz w:val="18"/>
                <w:szCs w:val="18"/>
                <w:lang w:eastAsia="en-AU"/>
              </w:rPr>
            </w:pPr>
            <w:r w:rsidRPr="00000F3A">
              <w:rPr>
                <w:rFonts w:cs="Arial"/>
                <w:color w:val="366092"/>
                <w:sz w:val="18"/>
                <w:szCs w:val="18"/>
                <w:lang w:eastAsia="en-AU"/>
              </w:rPr>
              <w:t>TAFE</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47%</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48%</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44%</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35%</w:t>
            </w:r>
          </w:p>
        </w:tc>
        <w:tc>
          <w:tcPr>
            <w:tcW w:w="1151"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32%</w:t>
            </w:r>
          </w:p>
        </w:tc>
        <w:tc>
          <w:tcPr>
            <w:tcW w:w="1152" w:type="dxa"/>
            <w:shd w:val="clear" w:color="auto" w:fill="auto"/>
            <w:noWrap/>
            <w:vAlign w:val="bottom"/>
            <w:hideMark/>
          </w:tcPr>
          <w:p w:rsidR="003F3790" w:rsidRPr="00000F3A" w:rsidRDefault="003F3790" w:rsidP="003F3790">
            <w:pPr>
              <w:spacing w:after="0" w:line="240" w:lineRule="auto"/>
              <w:jc w:val="right"/>
              <w:rPr>
                <w:rFonts w:cs="Arial"/>
                <w:sz w:val="18"/>
                <w:szCs w:val="18"/>
                <w:lang w:eastAsia="en-AU"/>
              </w:rPr>
            </w:pPr>
            <w:r w:rsidRPr="00000F3A">
              <w:rPr>
                <w:rFonts w:cs="Arial"/>
                <w:sz w:val="18"/>
                <w:szCs w:val="18"/>
                <w:lang w:eastAsia="en-AU"/>
              </w:rPr>
              <w:t>32%</w:t>
            </w:r>
          </w:p>
        </w:tc>
      </w:tr>
      <w:tr w:rsidR="003F3790" w:rsidRPr="00000F3A" w:rsidTr="0029026D">
        <w:trPr>
          <w:trHeight w:val="300"/>
        </w:trPr>
        <w:tc>
          <w:tcPr>
            <w:tcW w:w="2165" w:type="dxa"/>
            <w:shd w:val="clear" w:color="000000" w:fill="366092"/>
            <w:noWrap/>
            <w:vAlign w:val="bottom"/>
            <w:hideMark/>
          </w:tcPr>
          <w:p w:rsidR="003F3790" w:rsidRPr="00000F3A" w:rsidRDefault="003F3790" w:rsidP="00C062D4">
            <w:pPr>
              <w:spacing w:after="0" w:line="240" w:lineRule="auto"/>
              <w:rPr>
                <w:rFonts w:cs="Arial"/>
                <w:b/>
                <w:bCs/>
                <w:color w:val="FFFFFF"/>
                <w:sz w:val="18"/>
                <w:szCs w:val="18"/>
                <w:lang w:eastAsia="en-AU"/>
              </w:rPr>
            </w:pPr>
            <w:r w:rsidRPr="00000F3A">
              <w:rPr>
                <w:rFonts w:cs="Arial"/>
                <w:b/>
                <w:bCs/>
                <w:color w:val="FFFFFF"/>
                <w:sz w:val="18"/>
                <w:szCs w:val="18"/>
                <w:lang w:eastAsia="en-AU"/>
              </w:rPr>
              <w:t>Total</w:t>
            </w:r>
          </w:p>
        </w:tc>
        <w:tc>
          <w:tcPr>
            <w:tcW w:w="1151" w:type="dxa"/>
            <w:shd w:val="clear" w:color="000000" w:fill="366092"/>
            <w:noWrap/>
            <w:vAlign w:val="bottom"/>
            <w:hideMark/>
          </w:tcPr>
          <w:p w:rsidR="003F3790" w:rsidRPr="00000F3A" w:rsidRDefault="003F3790" w:rsidP="00C062D4">
            <w:pPr>
              <w:spacing w:after="0" w:line="240" w:lineRule="auto"/>
              <w:jc w:val="right"/>
              <w:rPr>
                <w:rFonts w:cs="Arial"/>
                <w:b/>
                <w:bCs/>
                <w:color w:val="FFFFFF"/>
                <w:sz w:val="18"/>
                <w:szCs w:val="18"/>
                <w:lang w:eastAsia="en-AU"/>
              </w:rPr>
            </w:pPr>
            <w:r w:rsidRPr="00000F3A">
              <w:rPr>
                <w:rFonts w:cs="Arial"/>
                <w:b/>
                <w:bCs/>
                <w:color w:val="FFFFFF"/>
                <w:sz w:val="18"/>
                <w:szCs w:val="18"/>
                <w:lang w:eastAsia="en-AU"/>
              </w:rPr>
              <w:t>100%</w:t>
            </w:r>
          </w:p>
        </w:tc>
        <w:tc>
          <w:tcPr>
            <w:tcW w:w="1151" w:type="dxa"/>
            <w:shd w:val="clear" w:color="000000" w:fill="366092"/>
            <w:noWrap/>
            <w:vAlign w:val="bottom"/>
            <w:hideMark/>
          </w:tcPr>
          <w:p w:rsidR="003F3790" w:rsidRPr="00000F3A" w:rsidRDefault="003F3790" w:rsidP="00C062D4">
            <w:pPr>
              <w:spacing w:after="0" w:line="240" w:lineRule="auto"/>
              <w:jc w:val="right"/>
              <w:rPr>
                <w:rFonts w:cs="Arial"/>
                <w:b/>
                <w:bCs/>
                <w:color w:val="FFFFFF"/>
                <w:sz w:val="18"/>
                <w:szCs w:val="18"/>
                <w:lang w:eastAsia="en-AU"/>
              </w:rPr>
            </w:pPr>
            <w:r w:rsidRPr="00000F3A">
              <w:rPr>
                <w:rFonts w:cs="Arial"/>
                <w:b/>
                <w:bCs/>
                <w:color w:val="FFFFFF"/>
                <w:sz w:val="18"/>
                <w:szCs w:val="18"/>
                <w:lang w:eastAsia="en-AU"/>
              </w:rPr>
              <w:t>100%</w:t>
            </w:r>
          </w:p>
        </w:tc>
        <w:tc>
          <w:tcPr>
            <w:tcW w:w="1151" w:type="dxa"/>
            <w:shd w:val="clear" w:color="000000" w:fill="366092"/>
            <w:noWrap/>
            <w:vAlign w:val="bottom"/>
            <w:hideMark/>
          </w:tcPr>
          <w:p w:rsidR="003F3790" w:rsidRPr="00000F3A" w:rsidRDefault="003F3790" w:rsidP="00C062D4">
            <w:pPr>
              <w:spacing w:after="0" w:line="240" w:lineRule="auto"/>
              <w:jc w:val="right"/>
              <w:rPr>
                <w:rFonts w:cs="Arial"/>
                <w:b/>
                <w:bCs/>
                <w:color w:val="FFFFFF"/>
                <w:sz w:val="18"/>
                <w:szCs w:val="18"/>
                <w:lang w:eastAsia="en-AU"/>
              </w:rPr>
            </w:pPr>
            <w:r w:rsidRPr="00000F3A">
              <w:rPr>
                <w:rFonts w:cs="Arial"/>
                <w:b/>
                <w:bCs/>
                <w:color w:val="FFFFFF"/>
                <w:sz w:val="18"/>
                <w:szCs w:val="18"/>
                <w:lang w:eastAsia="en-AU"/>
              </w:rPr>
              <w:t>100%</w:t>
            </w:r>
          </w:p>
        </w:tc>
        <w:tc>
          <w:tcPr>
            <w:tcW w:w="1151" w:type="dxa"/>
            <w:shd w:val="clear" w:color="000000" w:fill="366092"/>
            <w:noWrap/>
            <w:vAlign w:val="bottom"/>
            <w:hideMark/>
          </w:tcPr>
          <w:p w:rsidR="003F3790" w:rsidRPr="00000F3A" w:rsidRDefault="003F3790" w:rsidP="00C062D4">
            <w:pPr>
              <w:spacing w:after="0" w:line="240" w:lineRule="auto"/>
              <w:jc w:val="right"/>
              <w:rPr>
                <w:rFonts w:cs="Arial"/>
                <w:b/>
                <w:bCs/>
                <w:color w:val="FFFFFF"/>
                <w:sz w:val="18"/>
                <w:szCs w:val="18"/>
                <w:lang w:eastAsia="en-AU"/>
              </w:rPr>
            </w:pPr>
            <w:r w:rsidRPr="00000F3A">
              <w:rPr>
                <w:rFonts w:cs="Arial"/>
                <w:b/>
                <w:bCs/>
                <w:color w:val="FFFFFF"/>
                <w:sz w:val="18"/>
                <w:szCs w:val="18"/>
                <w:lang w:eastAsia="en-AU"/>
              </w:rPr>
              <w:t>100%</w:t>
            </w:r>
          </w:p>
        </w:tc>
        <w:tc>
          <w:tcPr>
            <w:tcW w:w="1151" w:type="dxa"/>
            <w:shd w:val="clear" w:color="000000" w:fill="366092"/>
            <w:noWrap/>
            <w:vAlign w:val="bottom"/>
            <w:hideMark/>
          </w:tcPr>
          <w:p w:rsidR="003F3790" w:rsidRPr="00000F3A" w:rsidRDefault="003F3790" w:rsidP="00C062D4">
            <w:pPr>
              <w:spacing w:after="0" w:line="240" w:lineRule="auto"/>
              <w:jc w:val="right"/>
              <w:rPr>
                <w:rFonts w:cs="Arial"/>
                <w:b/>
                <w:bCs/>
                <w:color w:val="FFFFFF"/>
                <w:sz w:val="18"/>
                <w:szCs w:val="18"/>
                <w:lang w:eastAsia="en-AU"/>
              </w:rPr>
            </w:pPr>
            <w:r w:rsidRPr="00000F3A">
              <w:rPr>
                <w:rFonts w:cs="Arial"/>
                <w:b/>
                <w:bCs/>
                <w:color w:val="FFFFFF"/>
                <w:sz w:val="18"/>
                <w:szCs w:val="18"/>
                <w:lang w:eastAsia="en-AU"/>
              </w:rPr>
              <w:t>100%</w:t>
            </w:r>
          </w:p>
        </w:tc>
        <w:tc>
          <w:tcPr>
            <w:tcW w:w="1152" w:type="dxa"/>
            <w:shd w:val="clear" w:color="000000" w:fill="366092"/>
            <w:noWrap/>
            <w:vAlign w:val="bottom"/>
            <w:hideMark/>
          </w:tcPr>
          <w:p w:rsidR="003F3790" w:rsidRPr="00000F3A" w:rsidRDefault="003F3790" w:rsidP="00C062D4">
            <w:pPr>
              <w:spacing w:after="0" w:line="240" w:lineRule="auto"/>
              <w:jc w:val="right"/>
              <w:rPr>
                <w:rFonts w:cs="Arial"/>
                <w:b/>
                <w:bCs/>
                <w:color w:val="FFFFFF"/>
                <w:sz w:val="18"/>
                <w:szCs w:val="18"/>
                <w:lang w:eastAsia="en-AU"/>
              </w:rPr>
            </w:pPr>
            <w:r w:rsidRPr="00000F3A">
              <w:rPr>
                <w:rFonts w:cs="Arial"/>
                <w:b/>
                <w:bCs/>
                <w:color w:val="FFFFFF"/>
                <w:sz w:val="18"/>
                <w:szCs w:val="18"/>
                <w:lang w:eastAsia="en-AU"/>
              </w:rPr>
              <w:t>100%</w:t>
            </w:r>
          </w:p>
        </w:tc>
      </w:tr>
    </w:tbl>
    <w:p w:rsidR="003F3790" w:rsidRPr="003F3790" w:rsidRDefault="003F3790" w:rsidP="003F3790"/>
    <w:p w:rsidR="003F3790" w:rsidRDefault="003F3790" w:rsidP="00BA7BAF">
      <w:pPr>
        <w:pStyle w:val="Caption"/>
        <w:spacing w:after="0"/>
        <w:jc w:val="left"/>
        <w:rPr>
          <w:rFonts w:cs="Arial"/>
          <w:color w:val="365F91" w:themeColor="accent1" w:themeShade="BF"/>
        </w:rPr>
      </w:pPr>
    </w:p>
    <w:p w:rsidR="00F83CAD" w:rsidRDefault="00F83CAD" w:rsidP="001A618D">
      <w:pPr>
        <w:pStyle w:val="Caption"/>
        <w:jc w:val="left"/>
        <w:rPr>
          <w:rFonts w:cs="Arial"/>
          <w:color w:val="365F91" w:themeColor="accent1" w:themeShade="BF"/>
        </w:rPr>
      </w:pPr>
    </w:p>
    <w:p w:rsidR="00F31E54" w:rsidRPr="00994396" w:rsidRDefault="00F31E54" w:rsidP="001A618D">
      <w:pPr>
        <w:pStyle w:val="Caption"/>
        <w:jc w:val="left"/>
        <w:rPr>
          <w:rFonts w:cs="Arial"/>
          <w:color w:val="365F91" w:themeColor="accent1" w:themeShade="BF"/>
        </w:rPr>
      </w:pPr>
      <w:r w:rsidRPr="00994396">
        <w:rPr>
          <w:rFonts w:cs="Arial"/>
          <w:color w:val="365F91" w:themeColor="accent1" w:themeShade="BF"/>
        </w:rPr>
        <w:t>Figure 1.</w:t>
      </w:r>
      <w:r w:rsidR="003D738C">
        <w:rPr>
          <w:rFonts w:cs="Arial"/>
          <w:color w:val="365F91" w:themeColor="accent1" w:themeShade="BF"/>
        </w:rPr>
        <w:t>7</w:t>
      </w:r>
      <w:r w:rsidR="002F07A2" w:rsidRPr="00994396">
        <w:rPr>
          <w:rFonts w:cs="Arial"/>
          <w:color w:val="365F91" w:themeColor="accent1" w:themeShade="BF"/>
        </w:rPr>
        <w:t xml:space="preserve">: </w:t>
      </w:r>
      <w:r w:rsidR="006C1B1A">
        <w:rPr>
          <w:rFonts w:cs="Arial"/>
          <w:color w:val="365F91" w:themeColor="accent1" w:themeShade="BF"/>
        </w:rPr>
        <w:t>Percentage</w:t>
      </w:r>
      <w:r w:rsidR="002F07A2" w:rsidRPr="00994396">
        <w:rPr>
          <w:rFonts w:cs="Arial"/>
          <w:color w:val="365F91" w:themeColor="accent1" w:themeShade="BF"/>
        </w:rPr>
        <w:t xml:space="preserve"> s</w:t>
      </w:r>
      <w:r w:rsidR="005C59EC" w:rsidRPr="00994396">
        <w:rPr>
          <w:rFonts w:cs="Arial"/>
          <w:color w:val="365F91" w:themeColor="accent1" w:themeShade="BF"/>
        </w:rPr>
        <w:t>hare of G</w:t>
      </w:r>
      <w:r w:rsidRPr="00994396">
        <w:rPr>
          <w:rFonts w:cs="Arial"/>
          <w:color w:val="365F91" w:themeColor="accent1" w:themeShade="BF"/>
        </w:rPr>
        <w:t>overnment subsidised enrolments by provider type</w:t>
      </w:r>
      <w:r w:rsidR="00994396">
        <w:rPr>
          <w:rFonts w:cs="Arial"/>
          <w:color w:val="365F91" w:themeColor="accent1" w:themeShade="BF"/>
        </w:rPr>
        <w:t>, 20</w:t>
      </w:r>
      <w:r w:rsidR="00612315">
        <w:rPr>
          <w:rFonts w:cs="Arial"/>
          <w:color w:val="365F91" w:themeColor="accent1" w:themeShade="BF"/>
        </w:rPr>
        <w:t>08</w:t>
      </w:r>
      <w:r w:rsidR="00994396">
        <w:rPr>
          <w:rFonts w:cs="Arial"/>
          <w:color w:val="365F91" w:themeColor="accent1" w:themeShade="BF"/>
        </w:rPr>
        <w:t xml:space="preserve"> to 2013</w:t>
      </w:r>
    </w:p>
    <w:p w:rsidR="00C53935" w:rsidRPr="001F29E3" w:rsidRDefault="00A87A21" w:rsidP="00D5609A">
      <w:pPr>
        <w:jc w:val="left"/>
        <w:rPr>
          <w:rFonts w:cs="Arial"/>
        </w:rPr>
      </w:pPr>
      <w:r>
        <w:rPr>
          <w:noProof/>
          <w:lang w:eastAsia="en-AU"/>
        </w:rPr>
        <w:drawing>
          <wp:inline distT="0" distB="0" distL="0" distR="0" wp14:anchorId="39909F6E" wp14:editId="5E6DDD30">
            <wp:extent cx="5734050" cy="31718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83CAD" w:rsidRDefault="00F83CAD">
      <w:pPr>
        <w:spacing w:after="0" w:line="240" w:lineRule="auto"/>
        <w:jc w:val="left"/>
        <w:rPr>
          <w:b/>
          <w:bCs/>
          <w:color w:val="365F91" w:themeColor="accent1" w:themeShade="BF"/>
          <w:sz w:val="18"/>
          <w:szCs w:val="16"/>
        </w:rPr>
      </w:pPr>
      <w:r>
        <w:rPr>
          <w:color w:val="365F91" w:themeColor="accent1" w:themeShade="BF"/>
        </w:rPr>
        <w:br w:type="page"/>
      </w:r>
    </w:p>
    <w:p w:rsidR="00E5780A" w:rsidRPr="00994396" w:rsidRDefault="001B6ED9" w:rsidP="00E5780A">
      <w:pPr>
        <w:pStyle w:val="Caption"/>
        <w:spacing w:before="240" w:after="0"/>
        <w:ind w:right="-11"/>
        <w:jc w:val="left"/>
        <w:rPr>
          <w:color w:val="365F91" w:themeColor="accent1" w:themeShade="BF"/>
        </w:rPr>
      </w:pPr>
      <w:r w:rsidRPr="00994396">
        <w:rPr>
          <w:color w:val="365F91" w:themeColor="accent1" w:themeShade="BF"/>
        </w:rPr>
        <w:t xml:space="preserve">Table </w:t>
      </w:r>
      <w:r w:rsidR="003D738C">
        <w:rPr>
          <w:color w:val="365F91" w:themeColor="accent1" w:themeShade="BF"/>
        </w:rPr>
        <w:t>1.2</w:t>
      </w:r>
      <w:r w:rsidR="000D420A">
        <w:rPr>
          <w:color w:val="365F91" w:themeColor="accent1" w:themeShade="BF"/>
        </w:rPr>
        <w:t>1</w:t>
      </w:r>
      <w:r w:rsidRPr="00994396">
        <w:rPr>
          <w:color w:val="365F91" w:themeColor="accent1" w:themeShade="BF"/>
        </w:rPr>
        <w:t xml:space="preserve">: Government subsidised enrolments (AQF1+), proportional </w:t>
      </w:r>
      <w:r w:rsidR="00F1035A" w:rsidRPr="00994396">
        <w:rPr>
          <w:color w:val="365F91" w:themeColor="accent1" w:themeShade="BF"/>
        </w:rPr>
        <w:t>share</w:t>
      </w:r>
      <w:r w:rsidRPr="00994396">
        <w:rPr>
          <w:color w:val="365F91" w:themeColor="accent1" w:themeShade="BF"/>
        </w:rPr>
        <w:t xml:space="preserve"> across provider types by industry</w:t>
      </w:r>
      <w:r w:rsidR="00994396" w:rsidRPr="00994396">
        <w:rPr>
          <w:color w:val="365F91" w:themeColor="accent1" w:themeShade="BF"/>
        </w:rPr>
        <w:t>, 2013</w:t>
      </w:r>
    </w:p>
    <w:tbl>
      <w:tblPr>
        <w:tblW w:w="774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3900"/>
        <w:gridCol w:w="960"/>
        <w:gridCol w:w="960"/>
        <w:gridCol w:w="960"/>
        <w:gridCol w:w="960"/>
      </w:tblGrid>
      <w:tr w:rsidR="00994396" w:rsidRPr="00994396" w:rsidTr="000C6713">
        <w:trPr>
          <w:trHeight w:val="762"/>
        </w:trPr>
        <w:tc>
          <w:tcPr>
            <w:tcW w:w="3900" w:type="dxa"/>
            <w:shd w:val="clear" w:color="000000" w:fill="366092"/>
            <w:vAlign w:val="center"/>
            <w:hideMark/>
          </w:tcPr>
          <w:p w:rsidR="00994396" w:rsidRPr="00994396" w:rsidRDefault="00994396" w:rsidP="00994396">
            <w:pPr>
              <w:spacing w:after="0" w:line="240" w:lineRule="auto"/>
              <w:ind w:firstLineChars="100" w:firstLine="161"/>
              <w:jc w:val="right"/>
              <w:rPr>
                <w:rFonts w:cs="Arial"/>
                <w:b/>
                <w:bCs/>
                <w:color w:val="FFFFFF"/>
                <w:sz w:val="16"/>
                <w:szCs w:val="16"/>
                <w:lang w:eastAsia="en-AU"/>
              </w:rPr>
            </w:pPr>
            <w:r w:rsidRPr="00994396">
              <w:rPr>
                <w:rFonts w:cs="Arial"/>
                <w:b/>
                <w:bCs/>
                <w:color w:val="FFFFFF"/>
                <w:sz w:val="16"/>
                <w:szCs w:val="16"/>
                <w:lang w:eastAsia="en-AU"/>
              </w:rPr>
              <w:t> </w:t>
            </w:r>
          </w:p>
        </w:tc>
        <w:tc>
          <w:tcPr>
            <w:tcW w:w="960" w:type="dxa"/>
            <w:shd w:val="clear" w:color="000000" w:fill="366092"/>
            <w:vAlign w:val="center"/>
            <w:hideMark/>
          </w:tcPr>
          <w:p w:rsidR="00994396" w:rsidRPr="00994396" w:rsidRDefault="00994396" w:rsidP="000C6713">
            <w:pPr>
              <w:spacing w:after="0" w:line="240" w:lineRule="auto"/>
              <w:jc w:val="center"/>
              <w:rPr>
                <w:rFonts w:cs="Arial"/>
                <w:b/>
                <w:bCs/>
                <w:color w:val="FFFFFF"/>
                <w:sz w:val="16"/>
                <w:szCs w:val="16"/>
                <w:lang w:eastAsia="en-AU"/>
              </w:rPr>
            </w:pPr>
            <w:r w:rsidRPr="00994396">
              <w:rPr>
                <w:rFonts w:cs="Arial"/>
                <w:b/>
                <w:bCs/>
                <w:color w:val="FFFFFF"/>
                <w:sz w:val="16"/>
                <w:szCs w:val="16"/>
                <w:lang w:eastAsia="en-AU"/>
              </w:rPr>
              <w:t>TAFE</w:t>
            </w:r>
          </w:p>
        </w:tc>
        <w:tc>
          <w:tcPr>
            <w:tcW w:w="960" w:type="dxa"/>
            <w:shd w:val="clear" w:color="000000" w:fill="366092"/>
            <w:vAlign w:val="center"/>
            <w:hideMark/>
          </w:tcPr>
          <w:p w:rsidR="00994396" w:rsidRPr="00994396" w:rsidRDefault="00994396" w:rsidP="000C6713">
            <w:pPr>
              <w:spacing w:after="0" w:line="240" w:lineRule="auto"/>
              <w:jc w:val="center"/>
              <w:rPr>
                <w:rFonts w:cs="Arial"/>
                <w:b/>
                <w:bCs/>
                <w:color w:val="FFFFFF"/>
                <w:sz w:val="16"/>
                <w:szCs w:val="16"/>
                <w:lang w:eastAsia="en-AU"/>
              </w:rPr>
            </w:pPr>
            <w:r w:rsidRPr="00994396">
              <w:rPr>
                <w:rFonts w:cs="Arial"/>
                <w:b/>
                <w:bCs/>
                <w:color w:val="FFFFFF"/>
                <w:sz w:val="16"/>
                <w:szCs w:val="16"/>
                <w:lang w:eastAsia="en-AU"/>
              </w:rPr>
              <w:t>Private RTOs</w:t>
            </w:r>
          </w:p>
        </w:tc>
        <w:tc>
          <w:tcPr>
            <w:tcW w:w="960" w:type="dxa"/>
            <w:shd w:val="clear" w:color="000000" w:fill="366092"/>
            <w:vAlign w:val="center"/>
            <w:hideMark/>
          </w:tcPr>
          <w:p w:rsidR="00994396" w:rsidRPr="00994396" w:rsidRDefault="00994396" w:rsidP="000C6713">
            <w:pPr>
              <w:spacing w:after="0" w:line="240" w:lineRule="auto"/>
              <w:jc w:val="center"/>
              <w:rPr>
                <w:rFonts w:cs="Arial"/>
                <w:b/>
                <w:bCs/>
                <w:color w:val="FFFFFF"/>
                <w:sz w:val="16"/>
                <w:szCs w:val="16"/>
                <w:lang w:eastAsia="en-AU"/>
              </w:rPr>
            </w:pPr>
            <w:r w:rsidRPr="00994396">
              <w:rPr>
                <w:rFonts w:cs="Arial"/>
                <w:b/>
                <w:bCs/>
                <w:color w:val="FFFFFF"/>
                <w:sz w:val="16"/>
                <w:szCs w:val="16"/>
                <w:lang w:eastAsia="en-AU"/>
              </w:rPr>
              <w:t>Learn Local</w:t>
            </w:r>
          </w:p>
        </w:tc>
        <w:tc>
          <w:tcPr>
            <w:tcW w:w="960" w:type="dxa"/>
            <w:shd w:val="clear" w:color="000000" w:fill="366092"/>
            <w:vAlign w:val="center"/>
            <w:hideMark/>
          </w:tcPr>
          <w:p w:rsidR="00994396" w:rsidRPr="00994396" w:rsidRDefault="00994396" w:rsidP="000C6713">
            <w:pPr>
              <w:spacing w:after="0" w:line="240" w:lineRule="auto"/>
              <w:jc w:val="center"/>
              <w:rPr>
                <w:rFonts w:cs="Arial"/>
                <w:b/>
                <w:bCs/>
                <w:color w:val="FFFFFF"/>
                <w:sz w:val="16"/>
                <w:szCs w:val="16"/>
                <w:lang w:eastAsia="en-AU"/>
              </w:rPr>
            </w:pPr>
            <w:r w:rsidRPr="00994396">
              <w:rPr>
                <w:rFonts w:cs="Arial"/>
                <w:b/>
                <w:bCs/>
                <w:color w:val="FFFFFF"/>
                <w:sz w:val="16"/>
                <w:szCs w:val="16"/>
                <w:lang w:eastAsia="en-AU"/>
              </w:rPr>
              <w:t>Total (number)</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A: Agriculture, Forestry and Fishing</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50%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8,300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B: Mining</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73%</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27%</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350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C: Manufacturing</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32%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68%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43,500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D: Electricity, Gas, Water and Waste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85%</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15%</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750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E: Construction</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69%</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31%</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62,700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F: Wholesale Trade</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12%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87%</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1,000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G: Retail Trade</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24%</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74%</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3%</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15,400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H: Accommodation and Food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24%</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70%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6%</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30,300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I: Transport, Postal and Warehousing</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21%</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78%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46,100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J: Information Media and Telecommunications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81%</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17%</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3,300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K: Financial and Insurance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12%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88%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3,100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L: Rental, Hiring and Real Estate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52%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1,700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M: Professional, Scientific and Technical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93%</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6%</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10,500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N: Administrative and Support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25%</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72%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3%</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15,600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O: Public Administration and Safety</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72%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8,100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P: Education and Training</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41%</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50%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12,700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Q: Health Care and Social Assistance</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28%</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62%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10%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87,300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R: Arts and Recreation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50%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46%</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15,900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S: Other Services</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51%</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46%</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21,100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T: Cross-industry</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26%</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70%</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60,300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U: Foundation Skills and LOTE</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57%</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32%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12%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144,200 </w:t>
            </w:r>
          </w:p>
        </w:tc>
      </w:tr>
      <w:tr w:rsidR="00994396" w:rsidRPr="00994396" w:rsidTr="008A1819">
        <w:trPr>
          <w:trHeight w:val="342"/>
        </w:trPr>
        <w:tc>
          <w:tcPr>
            <w:tcW w:w="3900" w:type="dxa"/>
            <w:shd w:val="clear" w:color="000000" w:fill="FFFFFF"/>
            <w:noWrap/>
            <w:vAlign w:val="bottom"/>
            <w:hideMark/>
          </w:tcPr>
          <w:p w:rsidR="00994396" w:rsidRPr="00994396" w:rsidRDefault="00994396" w:rsidP="00994396">
            <w:pPr>
              <w:spacing w:after="0" w:line="240" w:lineRule="auto"/>
              <w:jc w:val="left"/>
              <w:rPr>
                <w:rFonts w:cs="Arial"/>
                <w:color w:val="366092"/>
                <w:sz w:val="16"/>
                <w:szCs w:val="16"/>
                <w:lang w:eastAsia="en-AU"/>
              </w:rPr>
            </w:pPr>
            <w:r w:rsidRPr="00994396">
              <w:rPr>
                <w:rFonts w:cs="Arial"/>
                <w:color w:val="366092"/>
                <w:sz w:val="16"/>
                <w:szCs w:val="16"/>
                <w:lang w:eastAsia="en-AU"/>
              </w:rPr>
              <w:t>Not applicable / Unknown</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2%</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47%</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51%</w:t>
            </w:r>
          </w:p>
        </w:tc>
        <w:tc>
          <w:tcPr>
            <w:tcW w:w="960" w:type="dxa"/>
            <w:shd w:val="clear" w:color="auto" w:fill="auto"/>
            <w:noWrap/>
            <w:vAlign w:val="center"/>
            <w:hideMark/>
          </w:tcPr>
          <w:p w:rsidR="00994396" w:rsidRPr="00994396" w:rsidRDefault="00994396" w:rsidP="00994396">
            <w:pPr>
              <w:spacing w:after="0" w:line="240" w:lineRule="auto"/>
              <w:jc w:val="right"/>
              <w:rPr>
                <w:rFonts w:cs="Arial"/>
                <w:sz w:val="16"/>
                <w:szCs w:val="16"/>
                <w:lang w:eastAsia="en-AU"/>
              </w:rPr>
            </w:pPr>
            <w:r w:rsidRPr="00994396">
              <w:rPr>
                <w:rFonts w:cs="Arial"/>
                <w:sz w:val="16"/>
                <w:szCs w:val="16"/>
                <w:lang w:eastAsia="en-AU"/>
              </w:rPr>
              <w:t xml:space="preserve">50 </w:t>
            </w:r>
          </w:p>
        </w:tc>
      </w:tr>
      <w:tr w:rsidR="00994396" w:rsidRPr="00994396" w:rsidTr="008A1819">
        <w:trPr>
          <w:trHeight w:val="342"/>
        </w:trPr>
        <w:tc>
          <w:tcPr>
            <w:tcW w:w="3900" w:type="dxa"/>
            <w:shd w:val="clear" w:color="000000" w:fill="366092"/>
            <w:noWrap/>
            <w:vAlign w:val="bottom"/>
            <w:hideMark/>
          </w:tcPr>
          <w:p w:rsidR="00994396" w:rsidRPr="00994396" w:rsidRDefault="00994396" w:rsidP="00994396">
            <w:pPr>
              <w:spacing w:after="0" w:line="240" w:lineRule="auto"/>
              <w:jc w:val="left"/>
              <w:rPr>
                <w:rFonts w:cs="Arial"/>
                <w:b/>
                <w:bCs/>
                <w:color w:val="FFFFFF"/>
                <w:sz w:val="16"/>
                <w:szCs w:val="16"/>
                <w:lang w:eastAsia="en-AU"/>
              </w:rPr>
            </w:pPr>
            <w:r w:rsidRPr="00994396">
              <w:rPr>
                <w:rFonts w:cs="Arial"/>
                <w:b/>
                <w:bCs/>
                <w:color w:val="FFFFFF"/>
                <w:sz w:val="16"/>
                <w:szCs w:val="16"/>
                <w:lang w:eastAsia="en-AU"/>
              </w:rPr>
              <w:t>Total (AQF1+)</w:t>
            </w:r>
          </w:p>
        </w:tc>
        <w:tc>
          <w:tcPr>
            <w:tcW w:w="960" w:type="dxa"/>
            <w:shd w:val="clear" w:color="000000" w:fill="366092"/>
            <w:noWrap/>
            <w:vAlign w:val="center"/>
            <w:hideMark/>
          </w:tcPr>
          <w:p w:rsidR="00994396" w:rsidRPr="00994396" w:rsidRDefault="00994396" w:rsidP="00994396">
            <w:pPr>
              <w:spacing w:after="0" w:line="240" w:lineRule="auto"/>
              <w:jc w:val="right"/>
              <w:rPr>
                <w:rFonts w:cs="Arial"/>
                <w:b/>
                <w:bCs/>
                <w:color w:val="FFFFFF"/>
                <w:sz w:val="16"/>
                <w:szCs w:val="16"/>
                <w:lang w:eastAsia="en-AU"/>
              </w:rPr>
            </w:pPr>
            <w:r w:rsidRPr="00994396">
              <w:rPr>
                <w:rFonts w:cs="Arial"/>
                <w:b/>
                <w:bCs/>
                <w:color w:val="FFFFFF"/>
                <w:sz w:val="16"/>
                <w:szCs w:val="16"/>
                <w:lang w:eastAsia="en-AU"/>
              </w:rPr>
              <w:t>42%</w:t>
            </w:r>
          </w:p>
        </w:tc>
        <w:tc>
          <w:tcPr>
            <w:tcW w:w="960" w:type="dxa"/>
            <w:shd w:val="clear" w:color="000000" w:fill="366092"/>
            <w:noWrap/>
            <w:vAlign w:val="center"/>
            <w:hideMark/>
          </w:tcPr>
          <w:p w:rsidR="00994396" w:rsidRPr="00994396" w:rsidRDefault="00994396" w:rsidP="00994396">
            <w:pPr>
              <w:spacing w:after="0" w:line="240" w:lineRule="auto"/>
              <w:jc w:val="right"/>
              <w:rPr>
                <w:rFonts w:cs="Arial"/>
                <w:b/>
                <w:bCs/>
                <w:color w:val="FFFFFF"/>
                <w:sz w:val="16"/>
                <w:szCs w:val="16"/>
                <w:lang w:eastAsia="en-AU"/>
              </w:rPr>
            </w:pPr>
            <w:r w:rsidRPr="00994396">
              <w:rPr>
                <w:rFonts w:cs="Arial"/>
                <w:b/>
                <w:bCs/>
                <w:color w:val="FFFFFF"/>
                <w:sz w:val="16"/>
                <w:szCs w:val="16"/>
                <w:lang w:eastAsia="en-AU"/>
              </w:rPr>
              <w:t>52%</w:t>
            </w:r>
          </w:p>
        </w:tc>
        <w:tc>
          <w:tcPr>
            <w:tcW w:w="960" w:type="dxa"/>
            <w:shd w:val="clear" w:color="000000" w:fill="366092"/>
            <w:noWrap/>
            <w:vAlign w:val="center"/>
            <w:hideMark/>
          </w:tcPr>
          <w:p w:rsidR="00994396" w:rsidRPr="00994396" w:rsidRDefault="00994396" w:rsidP="00994396">
            <w:pPr>
              <w:spacing w:after="0" w:line="240" w:lineRule="auto"/>
              <w:jc w:val="right"/>
              <w:rPr>
                <w:rFonts w:cs="Arial"/>
                <w:b/>
                <w:bCs/>
                <w:color w:val="FFFFFF"/>
                <w:sz w:val="16"/>
                <w:szCs w:val="16"/>
                <w:lang w:eastAsia="en-AU"/>
              </w:rPr>
            </w:pPr>
            <w:r w:rsidRPr="00994396">
              <w:rPr>
                <w:rFonts w:cs="Arial"/>
                <w:b/>
                <w:bCs/>
                <w:color w:val="FFFFFF"/>
                <w:sz w:val="16"/>
                <w:szCs w:val="16"/>
                <w:lang w:eastAsia="en-AU"/>
              </w:rPr>
              <w:t>6%</w:t>
            </w:r>
          </w:p>
        </w:tc>
        <w:tc>
          <w:tcPr>
            <w:tcW w:w="960" w:type="dxa"/>
            <w:shd w:val="clear" w:color="000000" w:fill="366092"/>
            <w:noWrap/>
            <w:vAlign w:val="center"/>
            <w:hideMark/>
          </w:tcPr>
          <w:p w:rsidR="00994396" w:rsidRPr="00994396" w:rsidRDefault="00994396" w:rsidP="00994396">
            <w:pPr>
              <w:spacing w:after="0" w:line="240" w:lineRule="auto"/>
              <w:jc w:val="right"/>
              <w:rPr>
                <w:rFonts w:cs="Arial"/>
                <w:b/>
                <w:bCs/>
                <w:color w:val="FFFFFF"/>
                <w:sz w:val="16"/>
                <w:szCs w:val="16"/>
                <w:lang w:eastAsia="en-AU"/>
              </w:rPr>
            </w:pPr>
            <w:r w:rsidRPr="00994396">
              <w:rPr>
                <w:rFonts w:cs="Arial"/>
                <w:b/>
                <w:bCs/>
                <w:color w:val="FFFFFF"/>
                <w:sz w:val="16"/>
                <w:szCs w:val="16"/>
                <w:lang w:eastAsia="en-AU"/>
              </w:rPr>
              <w:t xml:space="preserve">592,300 </w:t>
            </w:r>
          </w:p>
        </w:tc>
      </w:tr>
    </w:tbl>
    <w:p w:rsidR="00D5609A" w:rsidRDefault="007F6FCA" w:rsidP="005C0406">
      <w:pPr>
        <w:spacing w:after="0" w:line="240" w:lineRule="auto"/>
        <w:jc w:val="left"/>
        <w:rPr>
          <w:b/>
          <w:color w:val="365F91" w:themeColor="accent1" w:themeShade="BF"/>
        </w:rPr>
      </w:pPr>
      <w:r>
        <w:br w:type="page"/>
      </w:r>
      <w:r w:rsidR="00D5609A" w:rsidRPr="00994396">
        <w:rPr>
          <w:b/>
          <w:color w:val="365F91" w:themeColor="accent1" w:themeShade="BF"/>
        </w:rPr>
        <w:t>Table</w:t>
      </w:r>
      <w:r w:rsidRPr="00994396">
        <w:rPr>
          <w:b/>
          <w:color w:val="365F91" w:themeColor="accent1" w:themeShade="BF"/>
        </w:rPr>
        <w:t xml:space="preserve"> 1.</w:t>
      </w:r>
      <w:r w:rsidR="003D738C">
        <w:rPr>
          <w:b/>
          <w:color w:val="365F91" w:themeColor="accent1" w:themeShade="BF"/>
        </w:rPr>
        <w:t>2</w:t>
      </w:r>
      <w:r w:rsidR="000D420A">
        <w:rPr>
          <w:b/>
          <w:color w:val="365F91" w:themeColor="accent1" w:themeShade="BF"/>
        </w:rPr>
        <w:t>2</w:t>
      </w:r>
      <w:r w:rsidR="00D5609A" w:rsidRPr="00994396">
        <w:rPr>
          <w:b/>
          <w:color w:val="365F91" w:themeColor="accent1" w:themeShade="BF"/>
        </w:rPr>
        <w:t xml:space="preserve"> </w:t>
      </w:r>
      <w:r w:rsidR="004D38C7" w:rsidRPr="00994396">
        <w:rPr>
          <w:b/>
          <w:color w:val="365F91" w:themeColor="accent1" w:themeShade="BF"/>
        </w:rPr>
        <w:t>Government subsidised enrolments (AQF1+), s</w:t>
      </w:r>
      <w:r w:rsidR="00D5609A" w:rsidRPr="00994396">
        <w:rPr>
          <w:b/>
          <w:color w:val="365F91" w:themeColor="accent1" w:themeShade="BF"/>
        </w:rPr>
        <w:t xml:space="preserve">ummary of </w:t>
      </w:r>
      <w:r w:rsidR="004D38C7" w:rsidRPr="00994396">
        <w:rPr>
          <w:b/>
          <w:color w:val="365F91" w:themeColor="accent1" w:themeShade="BF"/>
        </w:rPr>
        <w:t xml:space="preserve">selected </w:t>
      </w:r>
      <w:r w:rsidR="00D5609A" w:rsidRPr="00994396">
        <w:rPr>
          <w:b/>
          <w:color w:val="365F91" w:themeColor="accent1" w:themeShade="BF"/>
        </w:rPr>
        <w:t xml:space="preserve">characteristics </w:t>
      </w:r>
      <w:r w:rsidR="004D38C7" w:rsidRPr="00994396">
        <w:rPr>
          <w:b/>
          <w:color w:val="365F91" w:themeColor="accent1" w:themeShade="BF"/>
        </w:rPr>
        <w:t>within provider type</w:t>
      </w:r>
      <w:r w:rsidR="00D5609A" w:rsidRPr="00994396">
        <w:rPr>
          <w:b/>
          <w:color w:val="365F91" w:themeColor="accent1" w:themeShade="BF"/>
        </w:rPr>
        <w:t>, 013</w:t>
      </w:r>
    </w:p>
    <w:p w:rsidR="00947508" w:rsidRDefault="00A03902" w:rsidP="005C0406">
      <w:pPr>
        <w:spacing w:after="0" w:line="240" w:lineRule="auto"/>
        <w:jc w:val="left"/>
        <w:rPr>
          <w:b/>
          <w:color w:val="365F91" w:themeColor="accent1" w:themeShade="BF"/>
        </w:rPr>
      </w:pPr>
      <w:r w:rsidRPr="00A03902">
        <w:rPr>
          <w:noProof/>
          <w:lang w:eastAsia="en-AU"/>
        </w:rPr>
        <w:drawing>
          <wp:inline distT="0" distB="0" distL="0" distR="0" wp14:anchorId="24E27950" wp14:editId="46DF219E">
            <wp:extent cx="5760720" cy="570572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5705725"/>
                    </a:xfrm>
                    <a:prstGeom prst="rect">
                      <a:avLst/>
                    </a:prstGeom>
                    <a:noFill/>
                    <a:ln>
                      <a:noFill/>
                    </a:ln>
                  </pic:spPr>
                </pic:pic>
              </a:graphicData>
            </a:graphic>
          </wp:inline>
        </w:drawing>
      </w:r>
    </w:p>
    <w:p w:rsidR="00947508" w:rsidRPr="00994396" w:rsidRDefault="00947508" w:rsidP="005C0406">
      <w:pPr>
        <w:spacing w:after="0" w:line="240" w:lineRule="auto"/>
        <w:jc w:val="left"/>
        <w:rPr>
          <w:b/>
        </w:rPr>
      </w:pPr>
    </w:p>
    <w:p w:rsidR="00387EC4" w:rsidRDefault="00387EC4" w:rsidP="00387EC4"/>
    <w:p w:rsidR="00387EC4" w:rsidRPr="00387EC4" w:rsidRDefault="00387EC4" w:rsidP="00387EC4"/>
    <w:p w:rsidR="00D66F93" w:rsidRPr="00D66F93" w:rsidRDefault="00D66F93" w:rsidP="00D66F93"/>
    <w:p w:rsidR="00F05803" w:rsidRDefault="00F05803">
      <w:pPr>
        <w:spacing w:after="0" w:line="240" w:lineRule="auto"/>
        <w:jc w:val="left"/>
        <w:rPr>
          <w:rFonts w:cs="Arial"/>
          <w:bCs/>
          <w:iCs/>
          <w:color w:val="76923C" w:themeColor="accent3" w:themeShade="BF"/>
          <w:sz w:val="28"/>
          <w:szCs w:val="28"/>
        </w:rPr>
      </w:pPr>
      <w:bookmarkStart w:id="63" w:name="_Toc329936444"/>
      <w:r>
        <w:br w:type="page"/>
      </w:r>
    </w:p>
    <w:p w:rsidR="00446613" w:rsidRPr="001F29E3" w:rsidRDefault="00446613" w:rsidP="00446613">
      <w:pPr>
        <w:pStyle w:val="Heading2"/>
      </w:pPr>
      <w:bookmarkStart w:id="64" w:name="_Toc372613429"/>
      <w:bookmarkStart w:id="65" w:name="_Toc388340449"/>
      <w:bookmarkEnd w:id="63"/>
      <w:r>
        <w:t>Learn Local</w:t>
      </w:r>
      <w:r w:rsidRPr="001F29E3">
        <w:t xml:space="preserve"> Performance</w:t>
      </w:r>
      <w:bookmarkEnd w:id="64"/>
      <w:bookmarkEnd w:id="65"/>
      <w:r w:rsidRPr="001F29E3">
        <w:t xml:space="preserve"> </w:t>
      </w:r>
    </w:p>
    <w:p w:rsidR="00446613" w:rsidRDefault="00446613" w:rsidP="00446613">
      <w:pPr>
        <w:rPr>
          <w:rFonts w:cs="Arial"/>
        </w:rPr>
      </w:pPr>
    </w:p>
    <w:p w:rsidR="00446613" w:rsidRDefault="00446613" w:rsidP="00446613">
      <w:pPr>
        <w:pStyle w:val="Heading3"/>
      </w:pPr>
      <w:r>
        <w:t>Learn Local (ACE) Pre-accredited and Accredited training</w:t>
      </w:r>
    </w:p>
    <w:p w:rsidR="00446613" w:rsidRPr="00652033" w:rsidRDefault="00446613" w:rsidP="00446613">
      <w:pPr>
        <w:rPr>
          <w:color w:val="000000" w:themeColor="text1"/>
        </w:rPr>
      </w:pPr>
      <w:r w:rsidRPr="000E0F46">
        <w:t xml:space="preserve">Through the Adult, Community and </w:t>
      </w:r>
      <w:r w:rsidRPr="007159F9">
        <w:t xml:space="preserve">Further </w:t>
      </w:r>
      <w:r w:rsidRPr="00652033">
        <w:rPr>
          <w:color w:val="000000" w:themeColor="text1"/>
        </w:rPr>
        <w:t xml:space="preserve">Education (ACFE) Board, the Victorian Government funds 298 </w:t>
      </w:r>
      <w:hyperlink r:id="rId36" w:history="1">
        <w:r w:rsidRPr="00652033">
          <w:rPr>
            <w:color w:val="000000" w:themeColor="text1"/>
          </w:rPr>
          <w:t>Learn Local adult and community education (ACE) organisations</w:t>
        </w:r>
      </w:hyperlink>
      <w:r w:rsidRPr="00652033">
        <w:rPr>
          <w:color w:val="000000" w:themeColor="text1"/>
        </w:rPr>
        <w:t>, including two adult education institutions, the Council for Adult Education (</w:t>
      </w:r>
      <w:hyperlink r:id="rId37" w:history="1">
        <w:r w:rsidRPr="00652033">
          <w:rPr>
            <w:color w:val="000000" w:themeColor="text1"/>
          </w:rPr>
          <w:t>CAE</w:t>
        </w:r>
      </w:hyperlink>
      <w:r w:rsidRPr="00652033">
        <w:rPr>
          <w:color w:val="000000" w:themeColor="text1"/>
        </w:rPr>
        <w:t>) and Adult Multicultural Education Services (</w:t>
      </w:r>
      <w:hyperlink r:id="rId38" w:history="1">
        <w:r w:rsidRPr="00652033">
          <w:rPr>
            <w:color w:val="000000" w:themeColor="text1"/>
          </w:rPr>
          <w:t>AMES</w:t>
        </w:r>
      </w:hyperlink>
      <w:r w:rsidRPr="00652033">
        <w:rPr>
          <w:color w:val="000000" w:themeColor="text1"/>
        </w:rPr>
        <w:t>) to deliver pre-accredited training to Victorians with limited prior educational attainment and limited access to vocational education and training. Learn Local providers support learners’ personal development in the knowledge, skills and attributes necessary to participate in society and secure employment. In addition to pre-accredited program delivery, there are 117 Learn Local providers that additionally are registered training organisations (RTOs) delivering accredited provision. This chapter of the report provides a snapshot of the contribution of the Learn Local (ACE) sector to government funded vocational training in Victoria.</w:t>
      </w:r>
    </w:p>
    <w:p w:rsidR="00446613" w:rsidRDefault="00446613" w:rsidP="00446613">
      <w:r w:rsidRPr="00652033">
        <w:rPr>
          <w:color w:val="000000" w:themeColor="text1"/>
        </w:rPr>
        <w:t xml:space="preserve">The Victorian Government recently launched </w:t>
      </w:r>
      <w:r w:rsidRPr="00652033">
        <w:rPr>
          <w:i/>
          <w:color w:val="000000" w:themeColor="text1"/>
        </w:rPr>
        <w:t xml:space="preserve">Learn Local: Focusing on the </w:t>
      </w:r>
      <w:r w:rsidRPr="00C97271">
        <w:rPr>
          <w:i/>
        </w:rPr>
        <w:t>Future</w:t>
      </w:r>
      <w:r w:rsidRPr="000E0F46">
        <w:t>. This strategy has been developed by the Department of Education and Early Childhood Development and the ACFE Board in consultation with Learn Local peak bodies and providers. The strategy recognises Learn Local</w:t>
      </w:r>
      <w:r>
        <w:t xml:space="preserve"> providers’ </w:t>
      </w:r>
      <w:r w:rsidRPr="000E0F46">
        <w:t xml:space="preserve">current opportunities and challenges in the context of recent training market reforms and confirms </w:t>
      </w:r>
      <w:r>
        <w:t xml:space="preserve">their </w:t>
      </w:r>
      <w:r w:rsidRPr="000E0F46">
        <w:t xml:space="preserve">role in providing a supportive and inclusive learning environment for people to engage in high quality training. </w:t>
      </w:r>
      <w:r w:rsidRPr="00C97271">
        <w:rPr>
          <w:i/>
        </w:rPr>
        <w:t>Learn Local: Focusing on the Future</w:t>
      </w:r>
      <w:r w:rsidRPr="000E0F46">
        <w:t xml:space="preserve"> sets out the actions that government will undertake to help the sector meet its potential, sharpen its focus and improve its sustainability and responsiveness. </w:t>
      </w:r>
    </w:p>
    <w:p w:rsidR="00446613" w:rsidRPr="00807C85" w:rsidRDefault="00446613" w:rsidP="00446613">
      <w:r w:rsidRPr="00807C85">
        <w:t>The ratio between pre-accredited and accredited programs in 2013 marginally shifted from the pattern of previous years. In 2011 and 2012, Learn Local providers had delivered slightly more course enrolments into accredited than pre-accredited programs. In 2013, pre-accredited course enrolments increased to comprise fifty per cent of all course enrolments reported by Learn Local providers (36,600 pre-accredited enrolments). Accordingly, the remaining fifty per cent of all reported course enrolments were in accredited programs (36,900 accredited enrolments).</w:t>
      </w:r>
    </w:p>
    <w:p w:rsidR="00446613" w:rsidRDefault="00446613" w:rsidP="00446613">
      <w:pPr>
        <w:rPr>
          <w:rFonts w:cs="Arial"/>
          <w:b/>
          <w:bCs/>
          <w:color w:val="76923C" w:themeColor="accent3" w:themeShade="BF"/>
          <w:szCs w:val="19"/>
        </w:rPr>
      </w:pPr>
      <w:r>
        <w:rPr>
          <w:rFonts w:cs="Arial"/>
          <w:b/>
          <w:bCs/>
          <w:color w:val="76923C" w:themeColor="accent3" w:themeShade="BF"/>
          <w:szCs w:val="19"/>
        </w:rPr>
        <w:t xml:space="preserve"> </w:t>
      </w:r>
    </w:p>
    <w:p w:rsidR="00446613" w:rsidRDefault="00446613" w:rsidP="00446613">
      <w:pPr>
        <w:pStyle w:val="Heading3"/>
      </w:pPr>
      <w:r>
        <w:t>Learn Local (</w:t>
      </w:r>
      <w:r w:rsidRPr="00EE522F">
        <w:t>ACE</w:t>
      </w:r>
      <w:r>
        <w:t>)</w:t>
      </w:r>
      <w:r w:rsidRPr="00EE522F">
        <w:t xml:space="preserve"> </w:t>
      </w:r>
      <w:r>
        <w:t>Pre-accredited training</w:t>
      </w:r>
    </w:p>
    <w:p w:rsidR="00446613" w:rsidRPr="00513F4D" w:rsidRDefault="00446613" w:rsidP="00446613"/>
    <w:tbl>
      <w:tblPr>
        <w:tblStyle w:val="TableGrid"/>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180"/>
      </w:tblGrid>
      <w:tr w:rsidR="00446613" w:rsidTr="00446613">
        <w:tc>
          <w:tcPr>
            <w:tcW w:w="9180" w:type="dxa"/>
            <w:shd w:val="clear" w:color="auto" w:fill="auto"/>
          </w:tcPr>
          <w:p w:rsidR="00446613" w:rsidRPr="000321D7" w:rsidRDefault="00446613" w:rsidP="00446613">
            <w:pPr>
              <w:pStyle w:val="Heading3"/>
              <w:outlineLvl w:val="2"/>
            </w:pPr>
            <w:r w:rsidRPr="001F29E3">
              <w:t>Key Points</w:t>
            </w:r>
          </w:p>
          <w:p w:rsidR="00446613" w:rsidRPr="00807C85" w:rsidRDefault="00446613" w:rsidP="00D83827">
            <w:pPr>
              <w:pStyle w:val="ListBullet"/>
              <w:numPr>
                <w:ilvl w:val="0"/>
                <w:numId w:val="9"/>
              </w:numPr>
              <w:ind w:right="113"/>
              <w:rPr>
                <w:rFonts w:cs="Arial"/>
              </w:rPr>
            </w:pPr>
            <w:r w:rsidRPr="00807C85">
              <w:rPr>
                <w:rFonts w:cs="Arial"/>
              </w:rPr>
              <w:t xml:space="preserve">The ACFE Board purchased 1.9m hours of annual pre-accredited delivery in 2013, which represented an across the board increase in pre-accredited delivery, and included an additional delivery priority of improving the digital literacy of the Victorian workforce. </w:t>
            </w:r>
          </w:p>
          <w:p w:rsidR="00446613" w:rsidRPr="00807C85" w:rsidRDefault="00446613" w:rsidP="00D83827">
            <w:pPr>
              <w:pStyle w:val="ListBullet"/>
              <w:numPr>
                <w:ilvl w:val="0"/>
                <w:numId w:val="9"/>
              </w:numPr>
              <w:ind w:right="113"/>
              <w:rPr>
                <w:rFonts w:cs="Arial"/>
                <w:b/>
                <w:bCs/>
                <w:szCs w:val="19"/>
              </w:rPr>
            </w:pPr>
            <w:r w:rsidRPr="00807C85">
              <w:rPr>
                <w:rFonts w:cs="Arial"/>
              </w:rPr>
              <w:t>In comparison to the preceding year, the increased purchase in 2013 led to increases of 0.2m more hours (up 13 per cent), 2,100 more course enrolments (up 6 per cent to 36,600 enrolments in 2013) and 300 more students (up 1 per cent to 24,500 students) in pre-accredited training. The contrasting headline rates of more hours to marginally more students was a result of Learn Locals reporting more multiple course enrolments per student and increased course duration in 2013 than in previous years.</w:t>
            </w:r>
          </w:p>
          <w:p w:rsidR="00446613" w:rsidRPr="000F7D85" w:rsidRDefault="00446613" w:rsidP="00D83827">
            <w:pPr>
              <w:pStyle w:val="ListBullet"/>
              <w:numPr>
                <w:ilvl w:val="0"/>
                <w:numId w:val="9"/>
              </w:numPr>
              <w:ind w:right="113"/>
              <w:rPr>
                <w:rFonts w:cs="Arial"/>
                <w:color w:val="FF0000"/>
              </w:rPr>
            </w:pPr>
            <w:r w:rsidRPr="00807C85">
              <w:rPr>
                <w:rFonts w:cs="Arial"/>
              </w:rPr>
              <w:t xml:space="preserve">The marginal increase of students in 2013 was attributed to delivery in the western regions of Victoria. Pre-accredited delivery in the South Western Victoria and North Western Victoria regions increased a combined 9 per cent over 2012-2013, which contrasts to the reported 19 per cent increase in pre-accredited students in these regions over 2011-2013. In comparison, annual 2013 delivery rates to pre-accredited students in the North Eastern Victoria and South Eastern Victoria regions did not match that of the previous year (down 1 per cent). This contrasts a combined 11 per cent increase over 2011 to 2013 across these two regions. In addition, the two Adult Education Institutes (AEIs) reported over 600 fewer enrolled students in 2013 than the previous year (a 47 per cent decrease on 2012). </w:t>
            </w:r>
          </w:p>
        </w:tc>
      </w:tr>
    </w:tbl>
    <w:p w:rsidR="00446613" w:rsidRPr="001F29E3" w:rsidRDefault="00446613" w:rsidP="00446613">
      <w:pPr>
        <w:rPr>
          <w:rFonts w:cs="Arial"/>
        </w:rPr>
      </w:pPr>
    </w:p>
    <w:p w:rsidR="00446613" w:rsidRDefault="00446613" w:rsidP="00446613">
      <w:pPr>
        <w:spacing w:after="0" w:line="240" w:lineRule="auto"/>
        <w:jc w:val="left"/>
        <w:rPr>
          <w:rFonts w:cs="Arial"/>
          <w:b/>
          <w:bCs/>
          <w:color w:val="76923C" w:themeColor="accent3" w:themeShade="BF"/>
          <w:sz w:val="18"/>
          <w:szCs w:val="16"/>
        </w:rPr>
      </w:pPr>
      <w:r>
        <w:rPr>
          <w:rFonts w:cs="Arial"/>
        </w:rPr>
        <w:br w:type="page"/>
      </w:r>
    </w:p>
    <w:p w:rsidR="00446613" w:rsidRDefault="00446613" w:rsidP="00446613">
      <w:pPr>
        <w:pStyle w:val="Caption"/>
        <w:spacing w:after="0"/>
        <w:jc w:val="left"/>
        <w:rPr>
          <w:rFonts w:cs="Arial"/>
          <w:color w:val="365F91" w:themeColor="accent1" w:themeShade="BF"/>
        </w:rPr>
      </w:pPr>
    </w:p>
    <w:p w:rsidR="00446613" w:rsidRPr="00807C85" w:rsidRDefault="00446613" w:rsidP="00D83827">
      <w:pPr>
        <w:pStyle w:val="ListBullet"/>
        <w:numPr>
          <w:ilvl w:val="0"/>
          <w:numId w:val="9"/>
        </w:numPr>
        <w:pBdr>
          <w:top w:val="single" w:sz="4" w:space="1" w:color="366092"/>
          <w:left w:val="single" w:sz="4" w:space="4" w:color="366092"/>
          <w:bottom w:val="single" w:sz="4" w:space="1" w:color="366092"/>
          <w:right w:val="single" w:sz="4" w:space="4" w:color="366092"/>
        </w:pBdr>
        <w:spacing w:after="0"/>
        <w:ind w:right="113"/>
        <w:jc w:val="left"/>
        <w:rPr>
          <w:rFonts w:cs="Arial"/>
        </w:rPr>
      </w:pPr>
      <w:r w:rsidRPr="00807C85">
        <w:rPr>
          <w:rFonts w:cs="Arial"/>
          <w:lang w:eastAsia="ko-KR"/>
        </w:rPr>
        <w:t xml:space="preserve">During 2013, Learn Local (ACE) providers increased pre-accredited program delivery to the majority of ACFE Board Priority Learner groups in comparison to the preceding year. For example, students not in work were a significant priority group in pre-accredited delivery. In 2013 there were 600 more unemployed students in pre-accredited training (up 9 per cent to 6,900 students) over 2012 levels. Also, 500 more Victorians with a self-declared disability engaged in pre-accredited training than in 2012 (up 9 per cent to 6,100 students). Disengaged Youth in pre-accredited training experienced the greatest rate of increase over 2012-2013, but from a relatively low base (up 16 per cent to 1,000 students). </w:t>
      </w:r>
      <w:r w:rsidRPr="00807C85">
        <w:rPr>
          <w:rFonts w:cs="Arial"/>
        </w:rPr>
        <w:t>The increases on 2012-2013 reported delivery across the majority of ACFE Board Priority Learner groups contrast to the 2011-2013 results where, for example, 1,300 more Victorians with a self-declared disability studied in pre-accredited programs than in 2011 (a 29 per cent increase). In summary, ACFE Board Priority Learners generally participated in pre-accredited training at rates above the headline rate of all student involvement.</w:t>
      </w:r>
      <w:r w:rsidRPr="00807C85">
        <w:rPr>
          <w:rFonts w:cs="Arial"/>
          <w:lang w:eastAsia="ko-KR"/>
        </w:rPr>
        <w:t xml:space="preserve"> It must be noted that the priority learner categories are not mutually exclusive and reported students may self-identify in any one or a combination of these categories.</w:t>
      </w:r>
    </w:p>
    <w:p w:rsidR="00446613" w:rsidRDefault="00446613" w:rsidP="00446613">
      <w:pPr>
        <w:pStyle w:val="Caption"/>
        <w:spacing w:after="0"/>
        <w:jc w:val="left"/>
        <w:rPr>
          <w:rFonts w:cs="Arial"/>
          <w:color w:val="365F91" w:themeColor="accent1" w:themeShade="BF"/>
        </w:rPr>
      </w:pPr>
    </w:p>
    <w:p w:rsidR="00446613" w:rsidRDefault="003D738C" w:rsidP="00446613">
      <w:pPr>
        <w:pStyle w:val="Caption"/>
        <w:spacing w:after="0"/>
        <w:jc w:val="left"/>
        <w:rPr>
          <w:rFonts w:cs="Arial"/>
          <w:color w:val="365F91" w:themeColor="accent1" w:themeShade="BF"/>
        </w:rPr>
      </w:pPr>
      <w:r>
        <w:rPr>
          <w:rFonts w:cs="Arial"/>
          <w:color w:val="365F91" w:themeColor="accent1" w:themeShade="BF"/>
        </w:rPr>
        <w:t>Table 1.2</w:t>
      </w:r>
      <w:r w:rsidR="000D420A">
        <w:rPr>
          <w:rFonts w:cs="Arial"/>
          <w:color w:val="365F91" w:themeColor="accent1" w:themeShade="BF"/>
        </w:rPr>
        <w:t>3</w:t>
      </w:r>
      <w:r w:rsidR="00446613" w:rsidRPr="002727C9">
        <w:rPr>
          <w:rFonts w:cs="Arial"/>
          <w:color w:val="365F91" w:themeColor="accent1" w:themeShade="BF"/>
        </w:rPr>
        <w:t>.1: Government subsidised pre-accredited training, Learn Local (ACE) providers, 2008-201</w:t>
      </w:r>
      <w:r w:rsidR="00446613">
        <w:rPr>
          <w:rFonts w:cs="Arial"/>
          <w:color w:val="365F91" w:themeColor="accent1" w:themeShade="BF"/>
        </w:rPr>
        <w:t>3</w:t>
      </w:r>
    </w:p>
    <w:tbl>
      <w:tblPr>
        <w:tblW w:w="9180" w:type="dxa"/>
        <w:tblInd w:w="108" w:type="dxa"/>
        <w:tblLayout w:type="fixed"/>
        <w:tblLook w:val="04A0" w:firstRow="1" w:lastRow="0" w:firstColumn="1" w:lastColumn="0" w:noHBand="0" w:noVBand="1"/>
      </w:tblPr>
      <w:tblGrid>
        <w:gridCol w:w="3060"/>
        <w:gridCol w:w="1020"/>
        <w:gridCol w:w="1020"/>
        <w:gridCol w:w="1020"/>
        <w:gridCol w:w="1020"/>
        <w:gridCol w:w="1020"/>
        <w:gridCol w:w="1020"/>
      </w:tblGrid>
      <w:tr w:rsidR="00446613" w:rsidRPr="00946C85" w:rsidTr="00446613">
        <w:trPr>
          <w:trHeight w:val="762"/>
        </w:trPr>
        <w:tc>
          <w:tcPr>
            <w:tcW w:w="3060" w:type="dxa"/>
            <w:tcBorders>
              <w:top w:val="single" w:sz="4" w:space="0" w:color="366092"/>
              <w:left w:val="single" w:sz="4" w:space="0" w:color="366092"/>
              <w:bottom w:val="single" w:sz="4" w:space="0" w:color="365F91" w:themeColor="accent1" w:themeShade="BF"/>
              <w:right w:val="nil"/>
            </w:tcBorders>
            <w:shd w:val="clear" w:color="000000" w:fill="366092"/>
            <w:noWrap/>
            <w:vAlign w:val="center"/>
            <w:hideMark/>
          </w:tcPr>
          <w:p w:rsidR="00446613" w:rsidRPr="00946C85" w:rsidRDefault="00446613" w:rsidP="00446613">
            <w:pPr>
              <w:spacing w:after="0" w:line="240" w:lineRule="auto"/>
              <w:ind w:firstLineChars="100" w:firstLine="181"/>
              <w:jc w:val="left"/>
              <w:rPr>
                <w:rFonts w:cs="Arial"/>
                <w:b/>
                <w:bCs/>
                <w:color w:val="FFFFFF"/>
                <w:sz w:val="18"/>
                <w:szCs w:val="18"/>
                <w:lang w:eastAsia="en-AU"/>
              </w:rPr>
            </w:pPr>
            <w:r w:rsidRPr="00946C85">
              <w:rPr>
                <w:rFonts w:cs="Arial"/>
                <w:b/>
                <w:bCs/>
                <w:color w:val="FFFFFF"/>
                <w:sz w:val="18"/>
                <w:szCs w:val="18"/>
                <w:lang w:eastAsia="en-AU"/>
              </w:rPr>
              <w:t> </w:t>
            </w:r>
          </w:p>
        </w:tc>
        <w:tc>
          <w:tcPr>
            <w:tcW w:w="1020" w:type="dxa"/>
            <w:tcBorders>
              <w:top w:val="single" w:sz="4" w:space="0" w:color="366092"/>
              <w:left w:val="single" w:sz="4" w:space="0" w:color="366092"/>
              <w:bottom w:val="single" w:sz="4" w:space="0" w:color="365F91" w:themeColor="accent1" w:themeShade="BF"/>
              <w:right w:val="nil"/>
            </w:tcBorders>
            <w:shd w:val="clear" w:color="000000" w:fill="366092"/>
            <w:vAlign w:val="center"/>
            <w:hideMark/>
          </w:tcPr>
          <w:p w:rsidR="00446613" w:rsidRPr="00946C85" w:rsidRDefault="00446613" w:rsidP="00446613">
            <w:pPr>
              <w:spacing w:after="0" w:line="240" w:lineRule="auto"/>
              <w:ind w:firstLineChars="100" w:firstLine="181"/>
              <w:jc w:val="right"/>
              <w:rPr>
                <w:rFonts w:cs="Arial"/>
                <w:b/>
                <w:bCs/>
                <w:color w:val="FFFFFF"/>
                <w:sz w:val="18"/>
                <w:szCs w:val="18"/>
                <w:lang w:eastAsia="en-AU"/>
              </w:rPr>
            </w:pPr>
            <w:r w:rsidRPr="00946C85">
              <w:rPr>
                <w:rFonts w:cs="Arial"/>
                <w:b/>
                <w:bCs/>
                <w:color w:val="FFFFFF"/>
                <w:sz w:val="18"/>
                <w:szCs w:val="18"/>
                <w:lang w:eastAsia="en-AU"/>
              </w:rPr>
              <w:t>2008</w:t>
            </w:r>
          </w:p>
        </w:tc>
        <w:tc>
          <w:tcPr>
            <w:tcW w:w="1020" w:type="dxa"/>
            <w:tcBorders>
              <w:top w:val="single" w:sz="4" w:space="0" w:color="366092"/>
              <w:left w:val="single" w:sz="4" w:space="0" w:color="366092"/>
              <w:bottom w:val="single" w:sz="4" w:space="0" w:color="365F91" w:themeColor="accent1" w:themeShade="BF"/>
              <w:right w:val="nil"/>
            </w:tcBorders>
            <w:shd w:val="clear" w:color="000000" w:fill="366092"/>
            <w:vAlign w:val="center"/>
            <w:hideMark/>
          </w:tcPr>
          <w:p w:rsidR="00446613" w:rsidRPr="00946C85" w:rsidRDefault="00446613" w:rsidP="00446613">
            <w:pPr>
              <w:spacing w:after="0" w:line="240" w:lineRule="auto"/>
              <w:ind w:firstLineChars="100" w:firstLine="181"/>
              <w:jc w:val="right"/>
              <w:rPr>
                <w:rFonts w:cs="Arial"/>
                <w:b/>
                <w:bCs/>
                <w:color w:val="FFFFFF"/>
                <w:sz w:val="18"/>
                <w:szCs w:val="18"/>
                <w:lang w:eastAsia="en-AU"/>
              </w:rPr>
            </w:pPr>
            <w:r w:rsidRPr="00946C85">
              <w:rPr>
                <w:rFonts w:cs="Arial"/>
                <w:b/>
                <w:bCs/>
                <w:color w:val="FFFFFF"/>
                <w:sz w:val="18"/>
                <w:szCs w:val="18"/>
                <w:lang w:eastAsia="en-AU"/>
              </w:rPr>
              <w:t>2009</w:t>
            </w:r>
          </w:p>
        </w:tc>
        <w:tc>
          <w:tcPr>
            <w:tcW w:w="1020" w:type="dxa"/>
            <w:tcBorders>
              <w:top w:val="single" w:sz="4" w:space="0" w:color="366092"/>
              <w:left w:val="single" w:sz="4" w:space="0" w:color="366092"/>
              <w:bottom w:val="single" w:sz="4" w:space="0" w:color="365F91" w:themeColor="accent1" w:themeShade="BF"/>
              <w:right w:val="nil"/>
            </w:tcBorders>
            <w:shd w:val="clear" w:color="000000" w:fill="366092"/>
            <w:vAlign w:val="center"/>
            <w:hideMark/>
          </w:tcPr>
          <w:p w:rsidR="00446613" w:rsidRPr="00946C85" w:rsidRDefault="00446613" w:rsidP="00446613">
            <w:pPr>
              <w:spacing w:after="0" w:line="240" w:lineRule="auto"/>
              <w:ind w:firstLineChars="100" w:firstLine="181"/>
              <w:jc w:val="right"/>
              <w:rPr>
                <w:rFonts w:cs="Arial"/>
                <w:b/>
                <w:bCs/>
                <w:color w:val="FFFFFF"/>
                <w:sz w:val="18"/>
                <w:szCs w:val="18"/>
                <w:lang w:eastAsia="en-AU"/>
              </w:rPr>
            </w:pPr>
            <w:r w:rsidRPr="00946C85">
              <w:rPr>
                <w:rFonts w:cs="Arial"/>
                <w:b/>
                <w:bCs/>
                <w:color w:val="FFFFFF"/>
                <w:sz w:val="18"/>
                <w:szCs w:val="18"/>
                <w:lang w:eastAsia="en-AU"/>
              </w:rPr>
              <w:t>2010</w:t>
            </w:r>
          </w:p>
        </w:tc>
        <w:tc>
          <w:tcPr>
            <w:tcW w:w="1020" w:type="dxa"/>
            <w:tcBorders>
              <w:top w:val="single" w:sz="4" w:space="0" w:color="366092"/>
              <w:left w:val="single" w:sz="4" w:space="0" w:color="366092"/>
              <w:bottom w:val="single" w:sz="4" w:space="0" w:color="365F91" w:themeColor="accent1" w:themeShade="BF"/>
              <w:right w:val="nil"/>
            </w:tcBorders>
            <w:shd w:val="clear" w:color="000000" w:fill="366092"/>
            <w:vAlign w:val="center"/>
            <w:hideMark/>
          </w:tcPr>
          <w:p w:rsidR="00446613" w:rsidRPr="00946C85" w:rsidRDefault="00446613" w:rsidP="00446613">
            <w:pPr>
              <w:spacing w:after="0" w:line="240" w:lineRule="auto"/>
              <w:ind w:firstLineChars="100" w:firstLine="181"/>
              <w:jc w:val="right"/>
              <w:rPr>
                <w:rFonts w:cs="Arial"/>
                <w:b/>
                <w:bCs/>
                <w:color w:val="FFFFFF"/>
                <w:sz w:val="18"/>
                <w:szCs w:val="18"/>
                <w:lang w:eastAsia="en-AU"/>
              </w:rPr>
            </w:pPr>
            <w:r w:rsidRPr="00946C85">
              <w:rPr>
                <w:rFonts w:cs="Arial"/>
                <w:b/>
                <w:bCs/>
                <w:color w:val="FFFFFF"/>
                <w:sz w:val="18"/>
                <w:szCs w:val="18"/>
                <w:lang w:eastAsia="en-AU"/>
              </w:rPr>
              <w:t>2011</w:t>
            </w:r>
          </w:p>
        </w:tc>
        <w:tc>
          <w:tcPr>
            <w:tcW w:w="1020" w:type="dxa"/>
            <w:tcBorders>
              <w:top w:val="single" w:sz="4" w:space="0" w:color="366092"/>
              <w:left w:val="single" w:sz="4" w:space="0" w:color="366092"/>
              <w:bottom w:val="single" w:sz="4" w:space="0" w:color="365F91" w:themeColor="accent1" w:themeShade="BF"/>
              <w:right w:val="nil"/>
            </w:tcBorders>
            <w:shd w:val="clear" w:color="000000" w:fill="366092"/>
            <w:vAlign w:val="center"/>
            <w:hideMark/>
          </w:tcPr>
          <w:p w:rsidR="00446613" w:rsidRPr="00946C85" w:rsidRDefault="00446613" w:rsidP="00446613">
            <w:pPr>
              <w:spacing w:after="0" w:line="240" w:lineRule="auto"/>
              <w:ind w:firstLineChars="100" w:firstLine="181"/>
              <w:jc w:val="right"/>
              <w:rPr>
                <w:rFonts w:cs="Arial"/>
                <w:b/>
                <w:bCs/>
                <w:color w:val="FFFFFF"/>
                <w:sz w:val="18"/>
                <w:szCs w:val="18"/>
                <w:lang w:eastAsia="en-AU"/>
              </w:rPr>
            </w:pPr>
            <w:r w:rsidRPr="00946C85">
              <w:rPr>
                <w:rFonts w:cs="Arial"/>
                <w:b/>
                <w:bCs/>
                <w:color w:val="FFFFFF"/>
                <w:sz w:val="18"/>
                <w:szCs w:val="18"/>
                <w:lang w:eastAsia="en-AU"/>
              </w:rPr>
              <w:t>2012</w:t>
            </w:r>
          </w:p>
        </w:tc>
        <w:tc>
          <w:tcPr>
            <w:tcW w:w="1020" w:type="dxa"/>
            <w:tcBorders>
              <w:top w:val="single" w:sz="4" w:space="0" w:color="366092"/>
              <w:left w:val="single" w:sz="4" w:space="0" w:color="366092"/>
              <w:bottom w:val="single" w:sz="4" w:space="0" w:color="365F91" w:themeColor="accent1" w:themeShade="BF"/>
              <w:right w:val="nil"/>
            </w:tcBorders>
            <w:shd w:val="clear" w:color="000000" w:fill="366092"/>
            <w:vAlign w:val="center"/>
            <w:hideMark/>
          </w:tcPr>
          <w:p w:rsidR="00446613" w:rsidRPr="00946C85" w:rsidRDefault="00446613" w:rsidP="00446613">
            <w:pPr>
              <w:spacing w:after="0" w:line="240" w:lineRule="auto"/>
              <w:ind w:firstLineChars="100" w:firstLine="181"/>
              <w:jc w:val="right"/>
              <w:rPr>
                <w:rFonts w:cs="Arial"/>
                <w:b/>
                <w:bCs/>
                <w:color w:val="FFFFFF"/>
                <w:sz w:val="18"/>
                <w:szCs w:val="18"/>
                <w:lang w:eastAsia="en-AU"/>
              </w:rPr>
            </w:pPr>
            <w:r w:rsidRPr="00946C85">
              <w:rPr>
                <w:rFonts w:cs="Arial"/>
                <w:b/>
                <w:bCs/>
                <w:color w:val="FFFFFF"/>
                <w:sz w:val="18"/>
                <w:szCs w:val="18"/>
                <w:lang w:eastAsia="en-AU"/>
              </w:rPr>
              <w:t>2013</w:t>
            </w:r>
          </w:p>
        </w:tc>
      </w:tr>
      <w:tr w:rsidR="00446613" w:rsidRPr="00946C85" w:rsidTr="00446613">
        <w:trPr>
          <w:trHeight w:val="342"/>
        </w:trPr>
        <w:tc>
          <w:tcPr>
            <w:tcW w:w="30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FFFFFF"/>
            <w:noWrap/>
            <w:vAlign w:val="center"/>
            <w:hideMark/>
          </w:tcPr>
          <w:p w:rsidR="00446613" w:rsidRPr="00946C85" w:rsidRDefault="00446613" w:rsidP="00446613">
            <w:pPr>
              <w:spacing w:after="0" w:line="240" w:lineRule="auto"/>
              <w:jc w:val="left"/>
              <w:rPr>
                <w:rFonts w:cs="Arial"/>
                <w:color w:val="366092"/>
                <w:sz w:val="18"/>
                <w:szCs w:val="18"/>
                <w:lang w:eastAsia="en-AU"/>
              </w:rPr>
            </w:pPr>
            <w:r w:rsidRPr="00946C85">
              <w:rPr>
                <w:rFonts w:cs="Arial"/>
                <w:color w:val="366092"/>
                <w:sz w:val="18"/>
                <w:szCs w:val="18"/>
                <w:lang w:eastAsia="en-AU"/>
              </w:rPr>
              <w:t>Course Enrolments</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45,800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38,100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36,700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31,200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34,500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36,600 </w:t>
            </w:r>
          </w:p>
        </w:tc>
      </w:tr>
      <w:tr w:rsidR="00446613" w:rsidRPr="00946C85" w:rsidTr="00446613">
        <w:trPr>
          <w:trHeight w:val="342"/>
        </w:trPr>
        <w:tc>
          <w:tcPr>
            <w:tcW w:w="30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FFFFFF"/>
            <w:noWrap/>
            <w:vAlign w:val="center"/>
            <w:hideMark/>
          </w:tcPr>
          <w:p w:rsidR="00446613" w:rsidRPr="00946C85" w:rsidRDefault="00446613" w:rsidP="00446613">
            <w:pPr>
              <w:spacing w:after="0" w:line="240" w:lineRule="auto"/>
              <w:jc w:val="left"/>
              <w:rPr>
                <w:rFonts w:cs="Arial"/>
                <w:color w:val="366092"/>
                <w:sz w:val="18"/>
                <w:szCs w:val="18"/>
                <w:lang w:eastAsia="en-AU"/>
              </w:rPr>
            </w:pPr>
            <w:r w:rsidRPr="00946C85">
              <w:rPr>
                <w:rFonts w:cs="Arial"/>
                <w:color w:val="366092"/>
                <w:sz w:val="18"/>
                <w:szCs w:val="18"/>
                <w:lang w:eastAsia="en-AU"/>
              </w:rPr>
              <w:t>Student Contact Hours</w:t>
            </w:r>
            <w:r>
              <w:rPr>
                <w:rFonts w:cs="Arial"/>
                <w:color w:val="366092"/>
                <w:sz w:val="18"/>
                <w:szCs w:val="18"/>
                <w:lang w:eastAsia="en-AU"/>
              </w:rPr>
              <w:t xml:space="preserve"> </w:t>
            </w:r>
            <w:r w:rsidRPr="00946C85">
              <w:rPr>
                <w:rFonts w:cs="Arial"/>
                <w:color w:val="366092"/>
                <w:sz w:val="18"/>
                <w:szCs w:val="18"/>
                <w:lang w:eastAsia="en-AU"/>
              </w:rPr>
              <w:t>(millions)</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1.7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1.6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1.9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1.5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1.7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1.9 </w:t>
            </w:r>
          </w:p>
        </w:tc>
      </w:tr>
      <w:tr w:rsidR="00446613" w:rsidRPr="00946C85" w:rsidTr="00446613">
        <w:trPr>
          <w:trHeight w:val="342"/>
        </w:trPr>
        <w:tc>
          <w:tcPr>
            <w:tcW w:w="306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FFFFFF"/>
            <w:noWrap/>
            <w:vAlign w:val="center"/>
            <w:hideMark/>
          </w:tcPr>
          <w:p w:rsidR="00446613" w:rsidRPr="00946C85" w:rsidRDefault="00446613" w:rsidP="00446613">
            <w:pPr>
              <w:spacing w:after="0" w:line="240" w:lineRule="auto"/>
              <w:jc w:val="left"/>
              <w:rPr>
                <w:rFonts w:cs="Arial"/>
                <w:color w:val="366092"/>
                <w:sz w:val="18"/>
                <w:szCs w:val="18"/>
                <w:lang w:eastAsia="en-AU"/>
              </w:rPr>
            </w:pPr>
            <w:r w:rsidRPr="00946C85">
              <w:rPr>
                <w:rFonts w:cs="Arial"/>
                <w:color w:val="366092"/>
                <w:sz w:val="18"/>
                <w:szCs w:val="18"/>
                <w:lang w:eastAsia="en-AU"/>
              </w:rPr>
              <w:t>Students</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28,000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23,600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23,900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21,400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24,200 </w:t>
            </w:r>
          </w:p>
        </w:tc>
        <w:tc>
          <w:tcPr>
            <w:tcW w:w="102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rsidR="00446613" w:rsidRPr="00946C85" w:rsidRDefault="00446613" w:rsidP="00446613">
            <w:pPr>
              <w:spacing w:after="0" w:line="240" w:lineRule="auto"/>
              <w:jc w:val="right"/>
              <w:rPr>
                <w:rFonts w:cs="Arial"/>
                <w:sz w:val="18"/>
                <w:szCs w:val="18"/>
                <w:lang w:eastAsia="en-AU"/>
              </w:rPr>
            </w:pPr>
            <w:r w:rsidRPr="00946C85">
              <w:rPr>
                <w:rFonts w:cs="Arial"/>
                <w:sz w:val="18"/>
                <w:szCs w:val="18"/>
                <w:lang w:eastAsia="en-AU"/>
              </w:rPr>
              <w:t xml:space="preserve">24,500 </w:t>
            </w:r>
          </w:p>
        </w:tc>
      </w:tr>
    </w:tbl>
    <w:p w:rsidR="00446613" w:rsidRDefault="00446613" w:rsidP="00446613"/>
    <w:p w:rsidR="00446613" w:rsidRPr="00946C85" w:rsidRDefault="003D738C" w:rsidP="00446613">
      <w:pPr>
        <w:pStyle w:val="Caption"/>
        <w:spacing w:after="0"/>
        <w:jc w:val="left"/>
        <w:rPr>
          <w:rFonts w:cs="Arial"/>
          <w:color w:val="365F91" w:themeColor="accent1" w:themeShade="BF"/>
        </w:rPr>
      </w:pPr>
      <w:r>
        <w:rPr>
          <w:rFonts w:cs="Arial"/>
          <w:color w:val="365F91" w:themeColor="accent1" w:themeShade="BF"/>
        </w:rPr>
        <w:t>Table 1.2</w:t>
      </w:r>
      <w:r w:rsidR="000D420A">
        <w:rPr>
          <w:rFonts w:cs="Arial"/>
          <w:color w:val="365F91" w:themeColor="accent1" w:themeShade="BF"/>
        </w:rPr>
        <w:t>3</w:t>
      </w:r>
      <w:r w:rsidR="00446613" w:rsidRPr="00946C85">
        <w:rPr>
          <w:rFonts w:cs="Arial"/>
          <w:color w:val="365F91" w:themeColor="accent1" w:themeShade="BF"/>
        </w:rPr>
        <w:t>.2: Change in government subsidised pre-accredited training</w:t>
      </w:r>
    </w:p>
    <w:tbl>
      <w:tblPr>
        <w:tblW w:w="6801" w:type="dxa"/>
        <w:tblInd w:w="108" w:type="dxa"/>
        <w:tblLook w:val="04A0" w:firstRow="1" w:lastRow="0" w:firstColumn="1" w:lastColumn="0" w:noHBand="0" w:noVBand="1"/>
      </w:tblPr>
      <w:tblGrid>
        <w:gridCol w:w="3060"/>
        <w:gridCol w:w="1247"/>
        <w:gridCol w:w="1247"/>
        <w:gridCol w:w="1247"/>
      </w:tblGrid>
      <w:tr w:rsidR="00446613" w:rsidRPr="0023164B" w:rsidTr="00446613">
        <w:trPr>
          <w:trHeight w:val="509"/>
        </w:trPr>
        <w:tc>
          <w:tcPr>
            <w:tcW w:w="306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46613" w:rsidRPr="0023164B" w:rsidRDefault="00446613" w:rsidP="00446613">
            <w:pPr>
              <w:spacing w:after="0" w:line="240" w:lineRule="auto"/>
              <w:ind w:firstLineChars="100" w:firstLine="181"/>
              <w:jc w:val="left"/>
              <w:rPr>
                <w:rFonts w:cs="Arial"/>
                <w:b/>
                <w:bCs/>
                <w:color w:val="FFFFFF"/>
                <w:sz w:val="18"/>
                <w:szCs w:val="18"/>
                <w:lang w:eastAsia="en-AU"/>
              </w:rPr>
            </w:pPr>
            <w:r w:rsidRPr="0023164B">
              <w:rPr>
                <w:rFonts w:cs="Arial"/>
                <w:b/>
                <w:bCs/>
                <w:color w:val="FFFFFF"/>
                <w:sz w:val="18"/>
                <w:szCs w:val="18"/>
                <w:lang w:eastAsia="en-AU"/>
              </w:rPr>
              <w:t> </w:t>
            </w:r>
          </w:p>
        </w:tc>
        <w:tc>
          <w:tcPr>
            <w:tcW w:w="1247"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 change 2008-2013</w:t>
            </w:r>
          </w:p>
        </w:tc>
        <w:tc>
          <w:tcPr>
            <w:tcW w:w="1247"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 change 2011-2013</w:t>
            </w:r>
          </w:p>
        </w:tc>
        <w:tc>
          <w:tcPr>
            <w:tcW w:w="1247"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 change 2012 - 2013</w:t>
            </w:r>
          </w:p>
        </w:tc>
      </w:tr>
      <w:tr w:rsidR="00446613" w:rsidRPr="0023164B" w:rsidTr="00446613">
        <w:trPr>
          <w:trHeight w:val="342"/>
        </w:trPr>
        <w:tc>
          <w:tcPr>
            <w:tcW w:w="3060" w:type="dxa"/>
            <w:tcBorders>
              <w:top w:val="nil"/>
              <w:left w:val="single" w:sz="4" w:space="0" w:color="366092"/>
              <w:bottom w:val="single" w:sz="4" w:space="0" w:color="366092"/>
              <w:right w:val="single" w:sz="4" w:space="0" w:color="366092"/>
            </w:tcBorders>
            <w:shd w:val="clear" w:color="000000" w:fill="FFFFFF"/>
            <w:noWrap/>
            <w:vAlign w:val="center"/>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Course Enrolments</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-20%</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17%</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6%</w:t>
            </w:r>
          </w:p>
        </w:tc>
      </w:tr>
      <w:tr w:rsidR="00446613" w:rsidRPr="0023164B" w:rsidTr="00446613">
        <w:trPr>
          <w:trHeight w:val="342"/>
        </w:trPr>
        <w:tc>
          <w:tcPr>
            <w:tcW w:w="3060" w:type="dxa"/>
            <w:tcBorders>
              <w:top w:val="nil"/>
              <w:left w:val="single" w:sz="4" w:space="0" w:color="366092"/>
              <w:bottom w:val="single" w:sz="4" w:space="0" w:color="366092"/>
              <w:right w:val="single" w:sz="4" w:space="0" w:color="366092"/>
            </w:tcBorders>
            <w:shd w:val="clear" w:color="000000" w:fill="FFFFFF"/>
            <w:noWrap/>
            <w:vAlign w:val="center"/>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Student Contact Hours</w:t>
            </w:r>
            <w:r>
              <w:rPr>
                <w:rFonts w:cs="Arial"/>
                <w:color w:val="366092"/>
                <w:sz w:val="18"/>
                <w:szCs w:val="18"/>
                <w:lang w:eastAsia="en-AU"/>
              </w:rPr>
              <w:t xml:space="preserve"> </w:t>
            </w:r>
            <w:r w:rsidRPr="0023164B">
              <w:rPr>
                <w:rFonts w:cs="Arial"/>
                <w:color w:val="366092"/>
                <w:sz w:val="18"/>
                <w:szCs w:val="18"/>
                <w:lang w:eastAsia="en-AU"/>
              </w:rPr>
              <w:t>(millions)</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13%</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32%</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13%</w:t>
            </w:r>
          </w:p>
        </w:tc>
      </w:tr>
      <w:tr w:rsidR="00446613" w:rsidRPr="0023164B" w:rsidTr="00446613">
        <w:trPr>
          <w:trHeight w:val="342"/>
        </w:trPr>
        <w:tc>
          <w:tcPr>
            <w:tcW w:w="3060" w:type="dxa"/>
            <w:tcBorders>
              <w:top w:val="nil"/>
              <w:left w:val="single" w:sz="4" w:space="0" w:color="366092"/>
              <w:bottom w:val="single" w:sz="4" w:space="0" w:color="366092"/>
              <w:right w:val="single" w:sz="4" w:space="0" w:color="366092"/>
            </w:tcBorders>
            <w:shd w:val="clear" w:color="000000" w:fill="FFFFFF"/>
            <w:noWrap/>
            <w:vAlign w:val="center"/>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Students</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-12%</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15%</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1%</w:t>
            </w:r>
          </w:p>
        </w:tc>
      </w:tr>
    </w:tbl>
    <w:p w:rsidR="00446613" w:rsidRDefault="00446613" w:rsidP="00446613"/>
    <w:p w:rsidR="00446613" w:rsidRDefault="00446613" w:rsidP="00446613">
      <w:pPr>
        <w:spacing w:after="0" w:line="240" w:lineRule="auto"/>
        <w:jc w:val="left"/>
        <w:rPr>
          <w:rFonts w:cs="Arial"/>
          <w:b/>
          <w:bCs/>
          <w:color w:val="76923C" w:themeColor="accent3" w:themeShade="BF"/>
          <w:sz w:val="18"/>
          <w:szCs w:val="16"/>
        </w:rPr>
      </w:pPr>
    </w:p>
    <w:p w:rsidR="00446613" w:rsidRDefault="00446613" w:rsidP="00446613">
      <w:pPr>
        <w:pStyle w:val="Caption"/>
        <w:spacing w:after="0"/>
        <w:jc w:val="left"/>
        <w:rPr>
          <w:rFonts w:cs="Arial"/>
          <w:color w:val="365F91" w:themeColor="accent1" w:themeShade="BF"/>
        </w:rPr>
      </w:pPr>
      <w:r w:rsidRPr="0023164B">
        <w:rPr>
          <w:rFonts w:cs="Arial"/>
          <w:color w:val="365F91" w:themeColor="accent1" w:themeShade="BF"/>
        </w:rPr>
        <w:t>Table 1.2</w:t>
      </w:r>
      <w:r w:rsidR="000D420A">
        <w:rPr>
          <w:rFonts w:cs="Arial"/>
          <w:color w:val="365F91" w:themeColor="accent1" w:themeShade="BF"/>
        </w:rPr>
        <w:t>4</w:t>
      </w:r>
      <w:r w:rsidRPr="0023164B">
        <w:rPr>
          <w:rFonts w:cs="Arial"/>
          <w:color w:val="365F91" w:themeColor="accent1" w:themeShade="BF"/>
        </w:rPr>
        <w:t>.1: Government subsidised students in pre-accredited training with Learn Local (ACE) providers by departmental region, 2008-2013</w:t>
      </w:r>
    </w:p>
    <w:tbl>
      <w:tblPr>
        <w:tblW w:w="9056" w:type="dxa"/>
        <w:tblInd w:w="103" w:type="dxa"/>
        <w:tblLayout w:type="fixed"/>
        <w:tblLook w:val="04A0" w:firstRow="1" w:lastRow="0" w:firstColumn="1" w:lastColumn="0" w:noHBand="0" w:noVBand="1"/>
      </w:tblPr>
      <w:tblGrid>
        <w:gridCol w:w="2252"/>
        <w:gridCol w:w="1134"/>
        <w:gridCol w:w="1134"/>
        <w:gridCol w:w="1134"/>
        <w:gridCol w:w="1134"/>
        <w:gridCol w:w="1134"/>
        <w:gridCol w:w="1134"/>
      </w:tblGrid>
      <w:tr w:rsidR="00446613" w:rsidRPr="0023164B" w:rsidTr="00446613">
        <w:trPr>
          <w:trHeight w:val="480"/>
        </w:trPr>
        <w:tc>
          <w:tcPr>
            <w:tcW w:w="2252" w:type="dxa"/>
            <w:tcBorders>
              <w:top w:val="single" w:sz="4" w:space="0" w:color="366092"/>
              <w:left w:val="single" w:sz="4" w:space="0" w:color="366092"/>
              <w:bottom w:val="nil"/>
              <w:right w:val="nil"/>
            </w:tcBorders>
            <w:shd w:val="clear" w:color="000000" w:fill="366092"/>
            <w:noWrap/>
            <w:vAlign w:val="center"/>
            <w:hideMark/>
          </w:tcPr>
          <w:p w:rsidR="00446613" w:rsidRPr="0023164B" w:rsidRDefault="00446613" w:rsidP="00446613">
            <w:pPr>
              <w:spacing w:after="0" w:line="240" w:lineRule="auto"/>
              <w:jc w:val="left"/>
              <w:rPr>
                <w:rFonts w:cs="Arial"/>
                <w:b/>
                <w:bCs/>
                <w:color w:val="FFFFFF"/>
                <w:sz w:val="18"/>
                <w:szCs w:val="18"/>
                <w:lang w:eastAsia="en-AU"/>
              </w:rPr>
            </w:pPr>
            <w:r w:rsidRPr="0023164B">
              <w:rPr>
                <w:rFonts w:cs="Arial"/>
                <w:b/>
                <w:bCs/>
                <w:color w:val="FFFFFF"/>
                <w:sz w:val="18"/>
                <w:szCs w:val="18"/>
                <w:lang w:eastAsia="en-AU"/>
              </w:rPr>
              <w:t>Delivery Location</w:t>
            </w:r>
          </w:p>
        </w:tc>
        <w:tc>
          <w:tcPr>
            <w:tcW w:w="1134" w:type="dxa"/>
            <w:tcBorders>
              <w:top w:val="single" w:sz="4" w:space="0" w:color="366092"/>
              <w:left w:val="single" w:sz="4" w:space="0" w:color="366092"/>
              <w:bottom w:val="nil"/>
              <w:right w:val="nil"/>
            </w:tcBorders>
            <w:shd w:val="clear" w:color="000000" w:fill="366092"/>
            <w:vAlign w:val="center"/>
            <w:hideMark/>
          </w:tcPr>
          <w:p w:rsidR="00446613" w:rsidRPr="0023164B" w:rsidRDefault="00446613" w:rsidP="00446613">
            <w:pPr>
              <w:spacing w:after="0" w:line="240" w:lineRule="auto"/>
              <w:ind w:firstLineChars="100" w:firstLine="181"/>
              <w:jc w:val="right"/>
              <w:rPr>
                <w:rFonts w:cs="Arial"/>
                <w:b/>
                <w:bCs/>
                <w:color w:val="FFFFFF"/>
                <w:sz w:val="18"/>
                <w:szCs w:val="18"/>
                <w:lang w:eastAsia="en-AU"/>
              </w:rPr>
            </w:pPr>
            <w:r w:rsidRPr="0023164B">
              <w:rPr>
                <w:rFonts w:cs="Arial"/>
                <w:b/>
                <w:bCs/>
                <w:color w:val="FFFFFF"/>
                <w:sz w:val="18"/>
                <w:szCs w:val="18"/>
                <w:lang w:eastAsia="en-AU"/>
              </w:rPr>
              <w:t>2008</w:t>
            </w:r>
          </w:p>
        </w:tc>
        <w:tc>
          <w:tcPr>
            <w:tcW w:w="1134" w:type="dxa"/>
            <w:tcBorders>
              <w:top w:val="single" w:sz="4" w:space="0" w:color="366092"/>
              <w:left w:val="single" w:sz="4" w:space="0" w:color="366092"/>
              <w:bottom w:val="nil"/>
              <w:right w:val="nil"/>
            </w:tcBorders>
            <w:shd w:val="clear" w:color="000000" w:fill="366092"/>
            <w:vAlign w:val="center"/>
            <w:hideMark/>
          </w:tcPr>
          <w:p w:rsidR="00446613" w:rsidRPr="0023164B" w:rsidRDefault="00446613" w:rsidP="00446613">
            <w:pPr>
              <w:spacing w:after="0" w:line="240" w:lineRule="auto"/>
              <w:ind w:firstLineChars="100" w:firstLine="181"/>
              <w:jc w:val="right"/>
              <w:rPr>
                <w:rFonts w:cs="Arial"/>
                <w:b/>
                <w:bCs/>
                <w:color w:val="FFFFFF"/>
                <w:sz w:val="18"/>
                <w:szCs w:val="18"/>
                <w:lang w:eastAsia="en-AU"/>
              </w:rPr>
            </w:pPr>
            <w:r w:rsidRPr="0023164B">
              <w:rPr>
                <w:rFonts w:cs="Arial"/>
                <w:b/>
                <w:bCs/>
                <w:color w:val="FFFFFF"/>
                <w:sz w:val="18"/>
                <w:szCs w:val="18"/>
                <w:lang w:eastAsia="en-AU"/>
              </w:rPr>
              <w:t>2009</w:t>
            </w:r>
          </w:p>
        </w:tc>
        <w:tc>
          <w:tcPr>
            <w:tcW w:w="1134" w:type="dxa"/>
            <w:tcBorders>
              <w:top w:val="single" w:sz="4" w:space="0" w:color="366092"/>
              <w:left w:val="single" w:sz="4" w:space="0" w:color="366092"/>
              <w:bottom w:val="nil"/>
              <w:right w:val="nil"/>
            </w:tcBorders>
            <w:shd w:val="clear" w:color="000000" w:fill="366092"/>
            <w:vAlign w:val="center"/>
            <w:hideMark/>
          </w:tcPr>
          <w:p w:rsidR="00446613" w:rsidRPr="0023164B" w:rsidRDefault="00446613" w:rsidP="00446613">
            <w:pPr>
              <w:spacing w:after="0" w:line="240" w:lineRule="auto"/>
              <w:ind w:firstLineChars="100" w:firstLine="181"/>
              <w:jc w:val="right"/>
              <w:rPr>
                <w:rFonts w:cs="Arial"/>
                <w:b/>
                <w:bCs/>
                <w:color w:val="FFFFFF"/>
                <w:sz w:val="18"/>
                <w:szCs w:val="18"/>
                <w:lang w:eastAsia="en-AU"/>
              </w:rPr>
            </w:pPr>
            <w:r w:rsidRPr="0023164B">
              <w:rPr>
                <w:rFonts w:cs="Arial"/>
                <w:b/>
                <w:bCs/>
                <w:color w:val="FFFFFF"/>
                <w:sz w:val="18"/>
                <w:szCs w:val="18"/>
                <w:lang w:eastAsia="en-AU"/>
              </w:rPr>
              <w:t>2010</w:t>
            </w:r>
          </w:p>
        </w:tc>
        <w:tc>
          <w:tcPr>
            <w:tcW w:w="1134" w:type="dxa"/>
            <w:tcBorders>
              <w:top w:val="single" w:sz="4" w:space="0" w:color="366092"/>
              <w:left w:val="single" w:sz="4" w:space="0" w:color="366092"/>
              <w:bottom w:val="nil"/>
              <w:right w:val="nil"/>
            </w:tcBorders>
            <w:shd w:val="clear" w:color="000000" w:fill="366092"/>
            <w:vAlign w:val="center"/>
            <w:hideMark/>
          </w:tcPr>
          <w:p w:rsidR="00446613" w:rsidRPr="0023164B" w:rsidRDefault="00446613" w:rsidP="00446613">
            <w:pPr>
              <w:spacing w:after="0" w:line="240" w:lineRule="auto"/>
              <w:ind w:firstLineChars="100" w:firstLine="181"/>
              <w:jc w:val="right"/>
              <w:rPr>
                <w:rFonts w:cs="Arial"/>
                <w:b/>
                <w:bCs/>
                <w:color w:val="FFFFFF"/>
                <w:sz w:val="18"/>
                <w:szCs w:val="18"/>
                <w:lang w:eastAsia="en-AU"/>
              </w:rPr>
            </w:pPr>
            <w:r w:rsidRPr="0023164B">
              <w:rPr>
                <w:rFonts w:cs="Arial"/>
                <w:b/>
                <w:bCs/>
                <w:color w:val="FFFFFF"/>
                <w:sz w:val="18"/>
                <w:szCs w:val="18"/>
                <w:lang w:eastAsia="en-AU"/>
              </w:rPr>
              <w:t>2011</w:t>
            </w:r>
          </w:p>
        </w:tc>
        <w:tc>
          <w:tcPr>
            <w:tcW w:w="1134" w:type="dxa"/>
            <w:tcBorders>
              <w:top w:val="single" w:sz="4" w:space="0" w:color="366092"/>
              <w:left w:val="single" w:sz="4" w:space="0" w:color="366092"/>
              <w:bottom w:val="nil"/>
              <w:right w:val="nil"/>
            </w:tcBorders>
            <w:shd w:val="clear" w:color="000000" w:fill="366092"/>
            <w:vAlign w:val="center"/>
            <w:hideMark/>
          </w:tcPr>
          <w:p w:rsidR="00446613" w:rsidRPr="0023164B" w:rsidRDefault="00446613" w:rsidP="00446613">
            <w:pPr>
              <w:spacing w:after="0" w:line="240" w:lineRule="auto"/>
              <w:ind w:firstLineChars="100" w:firstLine="181"/>
              <w:jc w:val="right"/>
              <w:rPr>
                <w:rFonts w:cs="Arial"/>
                <w:b/>
                <w:bCs/>
                <w:color w:val="FFFFFF"/>
                <w:sz w:val="18"/>
                <w:szCs w:val="18"/>
                <w:lang w:eastAsia="en-AU"/>
              </w:rPr>
            </w:pPr>
            <w:r w:rsidRPr="0023164B">
              <w:rPr>
                <w:rFonts w:cs="Arial"/>
                <w:b/>
                <w:bCs/>
                <w:color w:val="FFFFFF"/>
                <w:sz w:val="18"/>
                <w:szCs w:val="18"/>
                <w:lang w:eastAsia="en-AU"/>
              </w:rPr>
              <w:t>2012</w:t>
            </w:r>
          </w:p>
        </w:tc>
        <w:tc>
          <w:tcPr>
            <w:tcW w:w="1134" w:type="dxa"/>
            <w:tcBorders>
              <w:top w:val="single" w:sz="4" w:space="0" w:color="366092"/>
              <w:left w:val="single" w:sz="4" w:space="0" w:color="366092"/>
              <w:bottom w:val="single" w:sz="4" w:space="0" w:color="366092"/>
              <w:right w:val="nil"/>
            </w:tcBorders>
            <w:shd w:val="clear" w:color="000000" w:fill="366092"/>
            <w:vAlign w:val="center"/>
            <w:hideMark/>
          </w:tcPr>
          <w:p w:rsidR="00446613" w:rsidRPr="0023164B" w:rsidRDefault="00446613" w:rsidP="00446613">
            <w:pPr>
              <w:spacing w:after="0" w:line="240" w:lineRule="auto"/>
              <w:ind w:firstLineChars="100" w:firstLine="181"/>
              <w:jc w:val="right"/>
              <w:rPr>
                <w:rFonts w:cs="Arial"/>
                <w:b/>
                <w:bCs/>
                <w:color w:val="FFFFFF"/>
                <w:sz w:val="18"/>
                <w:szCs w:val="18"/>
                <w:lang w:eastAsia="en-AU"/>
              </w:rPr>
            </w:pPr>
            <w:r w:rsidRPr="0023164B">
              <w:rPr>
                <w:rFonts w:cs="Arial"/>
                <w:b/>
                <w:bCs/>
                <w:color w:val="FFFFFF"/>
                <w:sz w:val="18"/>
                <w:szCs w:val="18"/>
                <w:lang w:eastAsia="en-AU"/>
              </w:rPr>
              <w:t>2013</w:t>
            </w:r>
          </w:p>
        </w:tc>
      </w:tr>
      <w:tr w:rsidR="00446613" w:rsidRPr="0023164B" w:rsidTr="00446613">
        <w:trPr>
          <w:trHeight w:val="255"/>
        </w:trPr>
        <w:tc>
          <w:tcPr>
            <w:tcW w:w="2252" w:type="dxa"/>
            <w:tcBorders>
              <w:top w:val="single" w:sz="4" w:space="0" w:color="366092"/>
              <w:left w:val="single" w:sz="4" w:space="0" w:color="366092"/>
              <w:bottom w:val="nil"/>
              <w:right w:val="nil"/>
            </w:tcBorders>
            <w:shd w:val="clear" w:color="000000" w:fill="FFFFFF"/>
            <w:noWrap/>
            <w:vAlign w:val="bottom"/>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South-Western</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5,800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5,500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6,000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5,500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6,100 </w:t>
            </w:r>
          </w:p>
        </w:tc>
        <w:tc>
          <w:tcPr>
            <w:tcW w:w="1134"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6,800 </w:t>
            </w:r>
          </w:p>
        </w:tc>
      </w:tr>
      <w:tr w:rsidR="00446613" w:rsidRPr="0023164B" w:rsidTr="00446613">
        <w:trPr>
          <w:trHeight w:val="255"/>
        </w:trPr>
        <w:tc>
          <w:tcPr>
            <w:tcW w:w="2252" w:type="dxa"/>
            <w:tcBorders>
              <w:top w:val="single" w:sz="4" w:space="0" w:color="366092"/>
              <w:left w:val="single" w:sz="4" w:space="0" w:color="366092"/>
              <w:bottom w:val="nil"/>
              <w:right w:val="nil"/>
            </w:tcBorders>
            <w:shd w:val="clear" w:color="000000" w:fill="FFFFFF"/>
            <w:noWrap/>
            <w:vAlign w:val="bottom"/>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North-Western</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5,300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4,800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5,300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4,800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5,200 </w:t>
            </w:r>
          </w:p>
        </w:tc>
        <w:tc>
          <w:tcPr>
            <w:tcW w:w="1134"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5,500 </w:t>
            </w:r>
          </w:p>
        </w:tc>
      </w:tr>
      <w:tr w:rsidR="00446613" w:rsidRPr="0023164B" w:rsidTr="00446613">
        <w:trPr>
          <w:trHeight w:val="255"/>
        </w:trPr>
        <w:tc>
          <w:tcPr>
            <w:tcW w:w="2252" w:type="dxa"/>
            <w:tcBorders>
              <w:top w:val="single" w:sz="4" w:space="0" w:color="366092"/>
              <w:left w:val="single" w:sz="4" w:space="0" w:color="366092"/>
              <w:bottom w:val="nil"/>
              <w:right w:val="nil"/>
            </w:tcBorders>
            <w:shd w:val="clear" w:color="000000" w:fill="FFFFFF"/>
            <w:noWrap/>
            <w:vAlign w:val="bottom"/>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North-Eastern</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6,900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5,600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5,300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4,500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5,000 </w:t>
            </w:r>
          </w:p>
        </w:tc>
        <w:tc>
          <w:tcPr>
            <w:tcW w:w="1134"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5,000 </w:t>
            </w:r>
          </w:p>
        </w:tc>
      </w:tr>
      <w:tr w:rsidR="00446613" w:rsidRPr="0023164B" w:rsidTr="00446613">
        <w:trPr>
          <w:trHeight w:val="300"/>
        </w:trPr>
        <w:tc>
          <w:tcPr>
            <w:tcW w:w="2252" w:type="dxa"/>
            <w:tcBorders>
              <w:top w:val="single" w:sz="4" w:space="0" w:color="366092"/>
              <w:left w:val="single" w:sz="4" w:space="0" w:color="366092"/>
              <w:bottom w:val="nil"/>
              <w:right w:val="nil"/>
            </w:tcBorders>
            <w:shd w:val="clear" w:color="000000" w:fill="FFFFFF"/>
            <w:noWrap/>
            <w:vAlign w:val="bottom"/>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South-Eastern</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10,000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7,700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6,500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5,900 </w:t>
            </w:r>
          </w:p>
        </w:tc>
        <w:tc>
          <w:tcPr>
            <w:tcW w:w="1134" w:type="dxa"/>
            <w:tcBorders>
              <w:top w:val="single" w:sz="4" w:space="0" w:color="366092"/>
              <w:left w:val="single" w:sz="4" w:space="0" w:color="366092"/>
              <w:bottom w:val="nil"/>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6,500 </w:t>
            </w:r>
          </w:p>
        </w:tc>
        <w:tc>
          <w:tcPr>
            <w:tcW w:w="1134"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6,500 </w:t>
            </w:r>
          </w:p>
        </w:tc>
      </w:tr>
      <w:tr w:rsidR="00446613" w:rsidRPr="0023164B" w:rsidTr="00446613">
        <w:trPr>
          <w:trHeight w:val="300"/>
        </w:trPr>
        <w:tc>
          <w:tcPr>
            <w:tcW w:w="2252" w:type="dxa"/>
            <w:tcBorders>
              <w:top w:val="single" w:sz="4" w:space="0" w:color="366092"/>
              <w:left w:val="single" w:sz="4" w:space="0" w:color="366092"/>
              <w:bottom w:val="single" w:sz="4" w:space="0" w:color="366092"/>
              <w:right w:val="nil"/>
            </w:tcBorders>
            <w:shd w:val="clear" w:color="000000" w:fill="FFFFFF"/>
            <w:noWrap/>
            <w:vAlign w:val="bottom"/>
            <w:hideMark/>
          </w:tcPr>
          <w:p w:rsidR="00446613" w:rsidRPr="0023164B" w:rsidRDefault="00446613" w:rsidP="00446613">
            <w:pPr>
              <w:spacing w:after="0" w:line="240" w:lineRule="auto"/>
              <w:jc w:val="left"/>
              <w:rPr>
                <w:rFonts w:cs="Arial"/>
                <w:color w:val="366092"/>
                <w:sz w:val="18"/>
                <w:szCs w:val="18"/>
                <w:lang w:eastAsia="en-AU"/>
              </w:rPr>
            </w:pPr>
            <w:r w:rsidRPr="0023164B">
              <w:rPr>
                <w:rFonts w:cs="Arial"/>
                <w:color w:val="366092"/>
                <w:sz w:val="18"/>
                <w:szCs w:val="18"/>
                <w:lang w:eastAsia="en-AU"/>
              </w:rPr>
              <w:t>AEIs</w:t>
            </w:r>
          </w:p>
        </w:tc>
        <w:tc>
          <w:tcPr>
            <w:tcW w:w="1134"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60 </w:t>
            </w:r>
          </w:p>
        </w:tc>
        <w:tc>
          <w:tcPr>
            <w:tcW w:w="1134"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60 </w:t>
            </w:r>
          </w:p>
        </w:tc>
        <w:tc>
          <w:tcPr>
            <w:tcW w:w="1134"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750 </w:t>
            </w:r>
          </w:p>
        </w:tc>
        <w:tc>
          <w:tcPr>
            <w:tcW w:w="1134"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650 </w:t>
            </w:r>
          </w:p>
        </w:tc>
        <w:tc>
          <w:tcPr>
            <w:tcW w:w="1134"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1,350 </w:t>
            </w:r>
          </w:p>
        </w:tc>
        <w:tc>
          <w:tcPr>
            <w:tcW w:w="1134"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3164B" w:rsidRDefault="00446613" w:rsidP="00446613">
            <w:pPr>
              <w:spacing w:after="0" w:line="240" w:lineRule="auto"/>
              <w:jc w:val="right"/>
              <w:rPr>
                <w:rFonts w:cs="Arial"/>
                <w:sz w:val="18"/>
                <w:szCs w:val="18"/>
                <w:lang w:eastAsia="en-AU"/>
              </w:rPr>
            </w:pPr>
            <w:r w:rsidRPr="0023164B">
              <w:rPr>
                <w:rFonts w:cs="Arial"/>
                <w:sz w:val="18"/>
                <w:szCs w:val="18"/>
                <w:lang w:eastAsia="en-AU"/>
              </w:rPr>
              <w:t xml:space="preserve">710 </w:t>
            </w:r>
          </w:p>
        </w:tc>
      </w:tr>
      <w:tr w:rsidR="00446613" w:rsidRPr="0023164B" w:rsidTr="00446613">
        <w:trPr>
          <w:trHeight w:val="300"/>
        </w:trPr>
        <w:tc>
          <w:tcPr>
            <w:tcW w:w="2252" w:type="dxa"/>
            <w:tcBorders>
              <w:top w:val="single" w:sz="4" w:space="0" w:color="366092"/>
              <w:left w:val="single" w:sz="4" w:space="0" w:color="366092"/>
              <w:bottom w:val="single" w:sz="4" w:space="0" w:color="366092"/>
              <w:right w:val="nil"/>
            </w:tcBorders>
            <w:shd w:val="clear" w:color="000000" w:fill="366092"/>
            <w:noWrap/>
            <w:vAlign w:val="bottom"/>
            <w:hideMark/>
          </w:tcPr>
          <w:p w:rsidR="00446613" w:rsidRPr="0023164B" w:rsidRDefault="00446613" w:rsidP="00446613">
            <w:pPr>
              <w:spacing w:after="0" w:line="240" w:lineRule="auto"/>
              <w:jc w:val="left"/>
              <w:rPr>
                <w:rFonts w:cs="Arial"/>
                <w:b/>
                <w:bCs/>
                <w:color w:val="FFFFFF"/>
                <w:sz w:val="18"/>
                <w:szCs w:val="18"/>
                <w:lang w:eastAsia="en-AU"/>
              </w:rPr>
            </w:pPr>
            <w:r w:rsidRPr="0023164B">
              <w:rPr>
                <w:rFonts w:cs="Arial"/>
                <w:b/>
                <w:bCs/>
                <w:color w:val="FFFFFF"/>
                <w:sz w:val="18"/>
                <w:szCs w:val="18"/>
                <w:lang w:eastAsia="en-AU"/>
              </w:rPr>
              <w:t>Total</w:t>
            </w:r>
          </w:p>
        </w:tc>
        <w:tc>
          <w:tcPr>
            <w:tcW w:w="1134" w:type="dxa"/>
            <w:tcBorders>
              <w:top w:val="single" w:sz="4" w:space="0" w:color="366092"/>
              <w:left w:val="single" w:sz="4" w:space="0" w:color="366092"/>
              <w:bottom w:val="single" w:sz="4" w:space="0" w:color="366092"/>
              <w:right w:val="nil"/>
            </w:tcBorders>
            <w:shd w:val="clear" w:color="000000" w:fill="366092"/>
            <w:noWrap/>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28,000</w:t>
            </w:r>
          </w:p>
        </w:tc>
        <w:tc>
          <w:tcPr>
            <w:tcW w:w="1134" w:type="dxa"/>
            <w:tcBorders>
              <w:top w:val="single" w:sz="4" w:space="0" w:color="366092"/>
              <w:left w:val="single" w:sz="4" w:space="0" w:color="366092"/>
              <w:bottom w:val="single" w:sz="4" w:space="0" w:color="366092"/>
              <w:right w:val="nil"/>
            </w:tcBorders>
            <w:shd w:val="clear" w:color="000000" w:fill="366092"/>
            <w:noWrap/>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23,600</w:t>
            </w:r>
          </w:p>
        </w:tc>
        <w:tc>
          <w:tcPr>
            <w:tcW w:w="1134" w:type="dxa"/>
            <w:tcBorders>
              <w:top w:val="single" w:sz="4" w:space="0" w:color="366092"/>
              <w:left w:val="single" w:sz="4" w:space="0" w:color="366092"/>
              <w:bottom w:val="single" w:sz="4" w:space="0" w:color="366092"/>
              <w:right w:val="nil"/>
            </w:tcBorders>
            <w:shd w:val="clear" w:color="000000" w:fill="366092"/>
            <w:noWrap/>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23,900</w:t>
            </w:r>
          </w:p>
        </w:tc>
        <w:tc>
          <w:tcPr>
            <w:tcW w:w="1134" w:type="dxa"/>
            <w:tcBorders>
              <w:top w:val="single" w:sz="4" w:space="0" w:color="366092"/>
              <w:left w:val="single" w:sz="4" w:space="0" w:color="366092"/>
              <w:bottom w:val="single" w:sz="4" w:space="0" w:color="366092"/>
              <w:right w:val="nil"/>
            </w:tcBorders>
            <w:shd w:val="clear" w:color="000000" w:fill="366092"/>
            <w:noWrap/>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21,400</w:t>
            </w:r>
          </w:p>
        </w:tc>
        <w:tc>
          <w:tcPr>
            <w:tcW w:w="1134" w:type="dxa"/>
            <w:tcBorders>
              <w:top w:val="single" w:sz="4" w:space="0" w:color="366092"/>
              <w:left w:val="single" w:sz="4" w:space="0" w:color="366092"/>
              <w:bottom w:val="single" w:sz="4" w:space="0" w:color="366092"/>
              <w:right w:val="nil"/>
            </w:tcBorders>
            <w:shd w:val="clear" w:color="000000" w:fill="366092"/>
            <w:noWrap/>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24,200</w:t>
            </w:r>
          </w:p>
        </w:tc>
        <w:tc>
          <w:tcPr>
            <w:tcW w:w="1134"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46613" w:rsidRPr="0023164B" w:rsidRDefault="00446613" w:rsidP="00446613">
            <w:pPr>
              <w:spacing w:after="0" w:line="240" w:lineRule="auto"/>
              <w:jc w:val="right"/>
              <w:rPr>
                <w:rFonts w:cs="Arial"/>
                <w:b/>
                <w:bCs/>
                <w:color w:val="FFFFFF"/>
                <w:sz w:val="18"/>
                <w:szCs w:val="18"/>
                <w:lang w:eastAsia="en-AU"/>
              </w:rPr>
            </w:pPr>
            <w:r w:rsidRPr="0023164B">
              <w:rPr>
                <w:rFonts w:cs="Arial"/>
                <w:b/>
                <w:bCs/>
                <w:color w:val="FFFFFF"/>
                <w:sz w:val="18"/>
                <w:szCs w:val="18"/>
                <w:lang w:eastAsia="en-AU"/>
              </w:rPr>
              <w:t>24,500</w:t>
            </w:r>
          </w:p>
        </w:tc>
      </w:tr>
    </w:tbl>
    <w:p w:rsidR="00446613" w:rsidRPr="001F29E3" w:rsidRDefault="00446613" w:rsidP="00446613">
      <w:pPr>
        <w:rPr>
          <w:rFonts w:cs="Arial"/>
          <w:sz w:val="16"/>
          <w:szCs w:val="16"/>
        </w:rPr>
      </w:pPr>
      <w:r w:rsidRPr="001F29E3">
        <w:rPr>
          <w:rFonts w:cs="Arial"/>
          <w:sz w:val="16"/>
          <w:szCs w:val="16"/>
        </w:rPr>
        <w:t>AEIs: Adult Education Institutes</w:t>
      </w:r>
    </w:p>
    <w:p w:rsidR="00446613" w:rsidRDefault="00446613" w:rsidP="00446613">
      <w:pPr>
        <w:pStyle w:val="Caption"/>
        <w:jc w:val="left"/>
        <w:rPr>
          <w:rFonts w:cs="Arial"/>
        </w:rPr>
      </w:pPr>
    </w:p>
    <w:p w:rsidR="00D57A03" w:rsidRDefault="00D57A03">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446613" w:rsidRDefault="00446613" w:rsidP="00446613">
      <w:pPr>
        <w:pStyle w:val="Caption"/>
        <w:spacing w:after="0"/>
        <w:jc w:val="left"/>
        <w:rPr>
          <w:rFonts w:cs="Arial"/>
          <w:color w:val="365F91" w:themeColor="accent1" w:themeShade="BF"/>
        </w:rPr>
      </w:pPr>
      <w:r w:rsidRPr="008D3738">
        <w:rPr>
          <w:rFonts w:cs="Arial"/>
          <w:color w:val="365F91" w:themeColor="accent1" w:themeShade="BF"/>
        </w:rPr>
        <w:t>Table 1</w:t>
      </w:r>
      <w:r w:rsidRPr="003D738C">
        <w:rPr>
          <w:rFonts w:cs="Arial"/>
          <w:color w:val="365F91" w:themeColor="accent1" w:themeShade="BF"/>
        </w:rPr>
        <w:t>.2</w:t>
      </w:r>
      <w:r w:rsidR="000D420A">
        <w:rPr>
          <w:rFonts w:cs="Arial"/>
          <w:color w:val="365F91" w:themeColor="accent1" w:themeShade="BF"/>
        </w:rPr>
        <w:t>4</w:t>
      </w:r>
      <w:r w:rsidRPr="003D738C">
        <w:rPr>
          <w:rFonts w:cs="Arial"/>
          <w:color w:val="365F91" w:themeColor="accent1" w:themeShade="BF"/>
        </w:rPr>
        <w:t>.2: Change in government subsidised students in pre-accredited training with Learn Local (ACE) providers by departm</w:t>
      </w:r>
      <w:r w:rsidRPr="008D3738">
        <w:rPr>
          <w:rFonts w:cs="Arial"/>
          <w:color w:val="365F91" w:themeColor="accent1" w:themeShade="BF"/>
        </w:rPr>
        <w:t>ental region</w:t>
      </w:r>
    </w:p>
    <w:tbl>
      <w:tblPr>
        <w:tblW w:w="6981" w:type="dxa"/>
        <w:tblInd w:w="103" w:type="dxa"/>
        <w:tblLook w:val="04A0" w:firstRow="1" w:lastRow="0" w:firstColumn="1" w:lastColumn="0" w:noHBand="0" w:noVBand="1"/>
      </w:tblPr>
      <w:tblGrid>
        <w:gridCol w:w="3240"/>
        <w:gridCol w:w="1247"/>
        <w:gridCol w:w="1247"/>
        <w:gridCol w:w="1247"/>
      </w:tblGrid>
      <w:tr w:rsidR="00446613" w:rsidRPr="008D3738" w:rsidTr="00446613">
        <w:trPr>
          <w:trHeight w:val="480"/>
        </w:trPr>
        <w:tc>
          <w:tcPr>
            <w:tcW w:w="3240" w:type="dxa"/>
            <w:tcBorders>
              <w:top w:val="single" w:sz="4" w:space="0" w:color="366092"/>
              <w:left w:val="single" w:sz="4" w:space="0" w:color="366092"/>
              <w:bottom w:val="nil"/>
              <w:right w:val="nil"/>
            </w:tcBorders>
            <w:shd w:val="clear" w:color="000000" w:fill="366092"/>
            <w:noWrap/>
            <w:vAlign w:val="center"/>
            <w:hideMark/>
          </w:tcPr>
          <w:p w:rsidR="00446613" w:rsidRPr="008D3738" w:rsidRDefault="00446613" w:rsidP="00446613">
            <w:pPr>
              <w:spacing w:after="0" w:line="240" w:lineRule="auto"/>
              <w:jc w:val="left"/>
              <w:rPr>
                <w:rFonts w:cs="Arial"/>
                <w:b/>
                <w:bCs/>
                <w:color w:val="FFFFFF"/>
                <w:sz w:val="18"/>
                <w:szCs w:val="18"/>
                <w:lang w:eastAsia="en-AU"/>
              </w:rPr>
            </w:pPr>
            <w:r w:rsidRPr="008D3738">
              <w:rPr>
                <w:rFonts w:cs="Arial"/>
                <w:b/>
                <w:bCs/>
                <w:color w:val="FFFFFF"/>
                <w:sz w:val="18"/>
                <w:szCs w:val="18"/>
                <w:lang w:eastAsia="en-AU"/>
              </w:rPr>
              <w:t>Delivery Location</w:t>
            </w:r>
          </w:p>
        </w:tc>
        <w:tc>
          <w:tcPr>
            <w:tcW w:w="1247" w:type="dxa"/>
            <w:tcBorders>
              <w:top w:val="single" w:sz="4" w:space="0" w:color="366092"/>
              <w:left w:val="single" w:sz="4" w:space="0" w:color="366092"/>
              <w:bottom w:val="single" w:sz="4" w:space="0" w:color="366092"/>
              <w:right w:val="single" w:sz="4" w:space="0" w:color="366092"/>
            </w:tcBorders>
            <w:shd w:val="clear" w:color="000000" w:fill="366092"/>
            <w:vAlign w:val="center"/>
            <w:hideMark/>
          </w:tcPr>
          <w:p w:rsidR="00446613" w:rsidRPr="008D3738" w:rsidRDefault="00446613" w:rsidP="00446613">
            <w:pPr>
              <w:spacing w:after="0" w:line="240" w:lineRule="auto"/>
              <w:jc w:val="right"/>
              <w:rPr>
                <w:rFonts w:cs="Arial"/>
                <w:b/>
                <w:bCs/>
                <w:color w:val="FFFFFF"/>
                <w:sz w:val="18"/>
                <w:szCs w:val="18"/>
                <w:lang w:eastAsia="en-AU"/>
              </w:rPr>
            </w:pPr>
            <w:r w:rsidRPr="008D3738">
              <w:rPr>
                <w:rFonts w:cs="Arial"/>
                <w:b/>
                <w:bCs/>
                <w:color w:val="FFFFFF"/>
                <w:sz w:val="18"/>
                <w:szCs w:val="18"/>
                <w:lang w:eastAsia="en-AU"/>
              </w:rPr>
              <w:t>% change 2008-2012</w:t>
            </w:r>
          </w:p>
        </w:tc>
        <w:tc>
          <w:tcPr>
            <w:tcW w:w="1247"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8D3738" w:rsidRDefault="00446613" w:rsidP="00446613">
            <w:pPr>
              <w:spacing w:after="0" w:line="240" w:lineRule="auto"/>
              <w:jc w:val="right"/>
              <w:rPr>
                <w:rFonts w:cs="Arial"/>
                <w:b/>
                <w:bCs/>
                <w:color w:val="FFFFFF"/>
                <w:sz w:val="18"/>
                <w:szCs w:val="18"/>
                <w:lang w:eastAsia="en-AU"/>
              </w:rPr>
            </w:pPr>
            <w:r w:rsidRPr="008D3738">
              <w:rPr>
                <w:rFonts w:cs="Arial"/>
                <w:b/>
                <w:bCs/>
                <w:color w:val="FFFFFF"/>
                <w:sz w:val="18"/>
                <w:szCs w:val="18"/>
                <w:lang w:eastAsia="en-AU"/>
              </w:rPr>
              <w:t>% change 2011-2013</w:t>
            </w:r>
          </w:p>
        </w:tc>
        <w:tc>
          <w:tcPr>
            <w:tcW w:w="1247"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8D3738" w:rsidRDefault="00446613" w:rsidP="00446613">
            <w:pPr>
              <w:spacing w:after="0" w:line="240" w:lineRule="auto"/>
              <w:jc w:val="right"/>
              <w:rPr>
                <w:rFonts w:cs="Arial"/>
                <w:b/>
                <w:bCs/>
                <w:color w:val="FFFFFF"/>
                <w:sz w:val="18"/>
                <w:szCs w:val="18"/>
                <w:lang w:eastAsia="en-AU"/>
              </w:rPr>
            </w:pPr>
            <w:r w:rsidRPr="008D3738">
              <w:rPr>
                <w:rFonts w:cs="Arial"/>
                <w:b/>
                <w:bCs/>
                <w:color w:val="FFFFFF"/>
                <w:sz w:val="18"/>
                <w:szCs w:val="18"/>
                <w:lang w:eastAsia="en-AU"/>
              </w:rPr>
              <w:t>% change 2012 - 2013</w:t>
            </w:r>
          </w:p>
        </w:tc>
      </w:tr>
      <w:tr w:rsidR="00446613" w:rsidRPr="008D3738" w:rsidTr="00446613">
        <w:trPr>
          <w:trHeight w:val="342"/>
        </w:trPr>
        <w:tc>
          <w:tcPr>
            <w:tcW w:w="3240" w:type="dxa"/>
            <w:tcBorders>
              <w:top w:val="single" w:sz="4" w:space="0" w:color="366092"/>
              <w:left w:val="single" w:sz="4" w:space="0" w:color="366092"/>
              <w:bottom w:val="nil"/>
              <w:right w:val="nil"/>
            </w:tcBorders>
            <w:shd w:val="clear" w:color="000000" w:fill="FFFFFF"/>
            <w:noWrap/>
            <w:vAlign w:val="bottom"/>
            <w:hideMark/>
          </w:tcPr>
          <w:p w:rsidR="00446613" w:rsidRPr="008D3738" w:rsidRDefault="00446613" w:rsidP="00446613">
            <w:pPr>
              <w:spacing w:after="0" w:line="240" w:lineRule="auto"/>
              <w:jc w:val="left"/>
              <w:rPr>
                <w:rFonts w:cs="Arial"/>
                <w:color w:val="366092"/>
                <w:sz w:val="18"/>
                <w:szCs w:val="18"/>
                <w:lang w:eastAsia="en-AU"/>
              </w:rPr>
            </w:pPr>
            <w:r w:rsidRPr="008D3738">
              <w:rPr>
                <w:rFonts w:cs="Arial"/>
                <w:color w:val="366092"/>
                <w:sz w:val="18"/>
                <w:szCs w:val="18"/>
                <w:lang w:eastAsia="en-AU"/>
              </w:rPr>
              <w:t>South-Western</w:t>
            </w:r>
          </w:p>
        </w:tc>
        <w:tc>
          <w:tcPr>
            <w:tcW w:w="1247" w:type="dxa"/>
            <w:tcBorders>
              <w:top w:val="nil"/>
              <w:left w:val="single" w:sz="4" w:space="0" w:color="366092"/>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18%</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12%</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11%</w:t>
            </w:r>
          </w:p>
        </w:tc>
      </w:tr>
      <w:tr w:rsidR="00446613" w:rsidRPr="008D3738" w:rsidTr="00446613">
        <w:trPr>
          <w:trHeight w:val="342"/>
        </w:trPr>
        <w:tc>
          <w:tcPr>
            <w:tcW w:w="3240" w:type="dxa"/>
            <w:tcBorders>
              <w:top w:val="single" w:sz="4" w:space="0" w:color="366092"/>
              <w:left w:val="single" w:sz="4" w:space="0" w:color="366092"/>
              <w:bottom w:val="nil"/>
              <w:right w:val="nil"/>
            </w:tcBorders>
            <w:shd w:val="clear" w:color="000000" w:fill="FFFFFF"/>
            <w:noWrap/>
            <w:vAlign w:val="bottom"/>
            <w:hideMark/>
          </w:tcPr>
          <w:p w:rsidR="00446613" w:rsidRPr="008D3738" w:rsidRDefault="00446613" w:rsidP="00446613">
            <w:pPr>
              <w:spacing w:after="0" w:line="240" w:lineRule="auto"/>
              <w:jc w:val="left"/>
              <w:rPr>
                <w:rFonts w:cs="Arial"/>
                <w:color w:val="366092"/>
                <w:sz w:val="18"/>
                <w:szCs w:val="18"/>
                <w:lang w:eastAsia="en-AU"/>
              </w:rPr>
            </w:pPr>
            <w:r w:rsidRPr="008D3738">
              <w:rPr>
                <w:rFonts w:cs="Arial"/>
                <w:color w:val="366092"/>
                <w:sz w:val="18"/>
                <w:szCs w:val="18"/>
                <w:lang w:eastAsia="en-AU"/>
              </w:rPr>
              <w:t>North-Western</w:t>
            </w:r>
          </w:p>
        </w:tc>
        <w:tc>
          <w:tcPr>
            <w:tcW w:w="1247" w:type="dxa"/>
            <w:tcBorders>
              <w:top w:val="nil"/>
              <w:left w:val="single" w:sz="4" w:space="0" w:color="366092"/>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4%</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8%</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6%</w:t>
            </w:r>
          </w:p>
        </w:tc>
      </w:tr>
      <w:tr w:rsidR="00446613" w:rsidRPr="008D3738" w:rsidTr="00446613">
        <w:trPr>
          <w:trHeight w:val="342"/>
        </w:trPr>
        <w:tc>
          <w:tcPr>
            <w:tcW w:w="3240" w:type="dxa"/>
            <w:tcBorders>
              <w:top w:val="single" w:sz="4" w:space="0" w:color="366092"/>
              <w:left w:val="single" w:sz="4" w:space="0" w:color="366092"/>
              <w:bottom w:val="nil"/>
              <w:right w:val="nil"/>
            </w:tcBorders>
            <w:shd w:val="clear" w:color="000000" w:fill="FFFFFF"/>
            <w:noWrap/>
            <w:vAlign w:val="bottom"/>
            <w:hideMark/>
          </w:tcPr>
          <w:p w:rsidR="00446613" w:rsidRPr="008D3738" w:rsidRDefault="00446613" w:rsidP="00446613">
            <w:pPr>
              <w:spacing w:after="0" w:line="240" w:lineRule="auto"/>
              <w:jc w:val="left"/>
              <w:rPr>
                <w:rFonts w:cs="Arial"/>
                <w:color w:val="366092"/>
                <w:sz w:val="18"/>
                <w:szCs w:val="18"/>
                <w:lang w:eastAsia="en-AU"/>
              </w:rPr>
            </w:pPr>
            <w:r w:rsidRPr="008D3738">
              <w:rPr>
                <w:rFonts w:cs="Arial"/>
                <w:color w:val="366092"/>
                <w:sz w:val="18"/>
                <w:szCs w:val="18"/>
                <w:lang w:eastAsia="en-AU"/>
              </w:rPr>
              <w:t>North-Eastern</w:t>
            </w:r>
          </w:p>
        </w:tc>
        <w:tc>
          <w:tcPr>
            <w:tcW w:w="1247" w:type="dxa"/>
            <w:tcBorders>
              <w:top w:val="nil"/>
              <w:left w:val="single" w:sz="4" w:space="0" w:color="366092"/>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-27%</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10%</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2%</w:t>
            </w:r>
          </w:p>
        </w:tc>
      </w:tr>
      <w:tr w:rsidR="00446613" w:rsidRPr="008D3738" w:rsidTr="00446613">
        <w:trPr>
          <w:trHeight w:val="342"/>
        </w:trPr>
        <w:tc>
          <w:tcPr>
            <w:tcW w:w="3240" w:type="dxa"/>
            <w:tcBorders>
              <w:top w:val="single" w:sz="4" w:space="0" w:color="366092"/>
              <w:left w:val="single" w:sz="4" w:space="0" w:color="366092"/>
              <w:bottom w:val="nil"/>
              <w:right w:val="nil"/>
            </w:tcBorders>
            <w:shd w:val="clear" w:color="000000" w:fill="FFFFFF"/>
            <w:noWrap/>
            <w:vAlign w:val="bottom"/>
            <w:hideMark/>
          </w:tcPr>
          <w:p w:rsidR="00446613" w:rsidRPr="008D3738" w:rsidRDefault="00446613" w:rsidP="00446613">
            <w:pPr>
              <w:spacing w:after="0" w:line="240" w:lineRule="auto"/>
              <w:jc w:val="left"/>
              <w:rPr>
                <w:rFonts w:cs="Arial"/>
                <w:color w:val="366092"/>
                <w:sz w:val="18"/>
                <w:szCs w:val="18"/>
                <w:lang w:eastAsia="en-AU"/>
              </w:rPr>
            </w:pPr>
            <w:r w:rsidRPr="008D3738">
              <w:rPr>
                <w:rFonts w:cs="Arial"/>
                <w:color w:val="366092"/>
                <w:sz w:val="18"/>
                <w:szCs w:val="18"/>
                <w:lang w:eastAsia="en-AU"/>
              </w:rPr>
              <w:t>South-Eastern</w:t>
            </w:r>
          </w:p>
        </w:tc>
        <w:tc>
          <w:tcPr>
            <w:tcW w:w="1247" w:type="dxa"/>
            <w:tcBorders>
              <w:top w:val="nil"/>
              <w:left w:val="single" w:sz="4" w:space="0" w:color="366092"/>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-35%</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10%</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-1%</w:t>
            </w:r>
          </w:p>
        </w:tc>
      </w:tr>
      <w:tr w:rsidR="00446613" w:rsidRPr="008D3738" w:rsidTr="00446613">
        <w:trPr>
          <w:trHeight w:val="342"/>
        </w:trPr>
        <w:tc>
          <w:tcPr>
            <w:tcW w:w="3240" w:type="dxa"/>
            <w:tcBorders>
              <w:top w:val="single" w:sz="4" w:space="0" w:color="366092"/>
              <w:left w:val="single" w:sz="4" w:space="0" w:color="366092"/>
              <w:bottom w:val="single" w:sz="4" w:space="0" w:color="366092"/>
              <w:right w:val="nil"/>
            </w:tcBorders>
            <w:shd w:val="clear" w:color="000000" w:fill="FFFFFF"/>
            <w:noWrap/>
            <w:vAlign w:val="bottom"/>
            <w:hideMark/>
          </w:tcPr>
          <w:p w:rsidR="00446613" w:rsidRPr="008D3738" w:rsidRDefault="00446613" w:rsidP="00446613">
            <w:pPr>
              <w:spacing w:after="0" w:line="240" w:lineRule="auto"/>
              <w:jc w:val="left"/>
              <w:rPr>
                <w:rFonts w:cs="Arial"/>
                <w:color w:val="366092"/>
                <w:sz w:val="18"/>
                <w:szCs w:val="18"/>
                <w:lang w:eastAsia="en-AU"/>
              </w:rPr>
            </w:pPr>
            <w:r w:rsidRPr="008D3738">
              <w:rPr>
                <w:rFonts w:cs="Arial"/>
                <w:color w:val="366092"/>
                <w:sz w:val="18"/>
                <w:szCs w:val="18"/>
                <w:lang w:eastAsia="en-AU"/>
              </w:rPr>
              <w:t>AEIs</w:t>
            </w:r>
          </w:p>
        </w:tc>
        <w:tc>
          <w:tcPr>
            <w:tcW w:w="1247" w:type="dxa"/>
            <w:tcBorders>
              <w:top w:val="nil"/>
              <w:left w:val="single" w:sz="4" w:space="0" w:color="366092"/>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1042%</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8%</w:t>
            </w:r>
          </w:p>
        </w:tc>
        <w:tc>
          <w:tcPr>
            <w:tcW w:w="1247" w:type="dxa"/>
            <w:tcBorders>
              <w:top w:val="nil"/>
              <w:left w:val="nil"/>
              <w:bottom w:val="single" w:sz="4" w:space="0" w:color="366092"/>
              <w:right w:val="single" w:sz="4" w:space="0" w:color="366092"/>
            </w:tcBorders>
            <w:shd w:val="clear" w:color="auto" w:fill="auto"/>
            <w:noWrap/>
            <w:vAlign w:val="center"/>
            <w:hideMark/>
          </w:tcPr>
          <w:p w:rsidR="00446613" w:rsidRPr="008D3738" w:rsidRDefault="00446613" w:rsidP="00446613">
            <w:pPr>
              <w:spacing w:after="0" w:line="240" w:lineRule="auto"/>
              <w:jc w:val="right"/>
              <w:rPr>
                <w:rFonts w:cs="Arial"/>
                <w:sz w:val="18"/>
                <w:szCs w:val="18"/>
                <w:lang w:eastAsia="en-AU"/>
              </w:rPr>
            </w:pPr>
            <w:r w:rsidRPr="008D3738">
              <w:rPr>
                <w:rFonts w:cs="Arial"/>
                <w:sz w:val="18"/>
                <w:szCs w:val="18"/>
                <w:lang w:eastAsia="en-AU"/>
              </w:rPr>
              <w:t>-47%</w:t>
            </w:r>
          </w:p>
        </w:tc>
      </w:tr>
      <w:tr w:rsidR="00446613" w:rsidRPr="008D3738" w:rsidTr="00446613">
        <w:trPr>
          <w:trHeight w:val="342"/>
        </w:trPr>
        <w:tc>
          <w:tcPr>
            <w:tcW w:w="3240" w:type="dxa"/>
            <w:tcBorders>
              <w:top w:val="single" w:sz="4" w:space="0" w:color="366092"/>
              <w:left w:val="single" w:sz="4" w:space="0" w:color="366092"/>
              <w:bottom w:val="single" w:sz="4" w:space="0" w:color="366092"/>
              <w:right w:val="nil"/>
            </w:tcBorders>
            <w:shd w:val="clear" w:color="000000" w:fill="366092"/>
            <w:noWrap/>
            <w:vAlign w:val="bottom"/>
            <w:hideMark/>
          </w:tcPr>
          <w:p w:rsidR="00446613" w:rsidRPr="008D3738" w:rsidRDefault="00446613" w:rsidP="00446613">
            <w:pPr>
              <w:spacing w:after="0" w:line="240" w:lineRule="auto"/>
              <w:jc w:val="left"/>
              <w:rPr>
                <w:rFonts w:cs="Arial"/>
                <w:b/>
                <w:bCs/>
                <w:color w:val="FFFFFF"/>
                <w:sz w:val="18"/>
                <w:szCs w:val="18"/>
                <w:lang w:eastAsia="en-AU"/>
              </w:rPr>
            </w:pPr>
            <w:r w:rsidRPr="008D3738">
              <w:rPr>
                <w:rFonts w:cs="Arial"/>
                <w:b/>
                <w:bCs/>
                <w:color w:val="FFFFFF"/>
                <w:sz w:val="18"/>
                <w:szCs w:val="18"/>
                <w:lang w:eastAsia="en-AU"/>
              </w:rPr>
              <w:t>Total</w:t>
            </w:r>
          </w:p>
        </w:tc>
        <w:tc>
          <w:tcPr>
            <w:tcW w:w="1247" w:type="dxa"/>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446613" w:rsidRPr="008D3738" w:rsidRDefault="00446613" w:rsidP="00446613">
            <w:pPr>
              <w:spacing w:after="0" w:line="240" w:lineRule="auto"/>
              <w:jc w:val="right"/>
              <w:rPr>
                <w:rFonts w:cs="Arial"/>
                <w:b/>
                <w:bCs/>
                <w:color w:val="FFFFFF"/>
                <w:sz w:val="18"/>
                <w:szCs w:val="18"/>
                <w:lang w:eastAsia="en-AU"/>
              </w:rPr>
            </w:pPr>
            <w:r w:rsidRPr="008D3738">
              <w:rPr>
                <w:rFonts w:cs="Arial"/>
                <w:b/>
                <w:bCs/>
                <w:color w:val="FFFFFF"/>
                <w:sz w:val="18"/>
                <w:szCs w:val="18"/>
                <w:lang w:eastAsia="en-AU"/>
              </w:rPr>
              <w:t>-12%</w:t>
            </w:r>
          </w:p>
        </w:tc>
        <w:tc>
          <w:tcPr>
            <w:tcW w:w="1247" w:type="dxa"/>
            <w:tcBorders>
              <w:top w:val="single" w:sz="4" w:space="0" w:color="366092"/>
              <w:left w:val="nil"/>
              <w:bottom w:val="single" w:sz="4" w:space="0" w:color="366092"/>
              <w:right w:val="single" w:sz="4" w:space="0" w:color="366092"/>
            </w:tcBorders>
            <w:shd w:val="clear" w:color="000000" w:fill="366092"/>
            <w:noWrap/>
            <w:vAlign w:val="bottom"/>
            <w:hideMark/>
          </w:tcPr>
          <w:p w:rsidR="00446613" w:rsidRPr="008D3738" w:rsidRDefault="00446613" w:rsidP="00446613">
            <w:pPr>
              <w:spacing w:after="0" w:line="240" w:lineRule="auto"/>
              <w:jc w:val="right"/>
              <w:rPr>
                <w:rFonts w:cs="Arial"/>
                <w:b/>
                <w:bCs/>
                <w:color w:val="FFFFFF"/>
                <w:sz w:val="18"/>
                <w:szCs w:val="18"/>
                <w:lang w:eastAsia="en-AU"/>
              </w:rPr>
            </w:pPr>
            <w:r w:rsidRPr="008D3738">
              <w:rPr>
                <w:rFonts w:cs="Arial"/>
                <w:b/>
                <w:bCs/>
                <w:color w:val="FFFFFF"/>
                <w:sz w:val="18"/>
                <w:szCs w:val="18"/>
                <w:lang w:eastAsia="en-AU"/>
              </w:rPr>
              <w:t>15%</w:t>
            </w:r>
          </w:p>
        </w:tc>
        <w:tc>
          <w:tcPr>
            <w:tcW w:w="1247" w:type="dxa"/>
            <w:tcBorders>
              <w:top w:val="single" w:sz="4" w:space="0" w:color="366092"/>
              <w:left w:val="nil"/>
              <w:bottom w:val="single" w:sz="4" w:space="0" w:color="366092"/>
              <w:right w:val="single" w:sz="4" w:space="0" w:color="366092"/>
            </w:tcBorders>
            <w:shd w:val="clear" w:color="000000" w:fill="366092"/>
            <w:noWrap/>
            <w:vAlign w:val="bottom"/>
            <w:hideMark/>
          </w:tcPr>
          <w:p w:rsidR="00446613" w:rsidRPr="008D3738" w:rsidRDefault="00446613" w:rsidP="00446613">
            <w:pPr>
              <w:spacing w:after="0" w:line="240" w:lineRule="auto"/>
              <w:jc w:val="right"/>
              <w:rPr>
                <w:rFonts w:cs="Arial"/>
                <w:b/>
                <w:bCs/>
                <w:color w:val="FFFFFF"/>
                <w:sz w:val="18"/>
                <w:szCs w:val="18"/>
                <w:lang w:eastAsia="en-AU"/>
              </w:rPr>
            </w:pPr>
            <w:r w:rsidRPr="008D3738">
              <w:rPr>
                <w:rFonts w:cs="Arial"/>
                <w:b/>
                <w:bCs/>
                <w:color w:val="FFFFFF"/>
                <w:sz w:val="18"/>
                <w:szCs w:val="18"/>
                <w:lang w:eastAsia="en-AU"/>
              </w:rPr>
              <w:t>1%</w:t>
            </w:r>
          </w:p>
        </w:tc>
      </w:tr>
    </w:tbl>
    <w:p w:rsidR="00446613" w:rsidRDefault="00446613" w:rsidP="00446613">
      <w:pPr>
        <w:rPr>
          <w:rFonts w:cs="Arial"/>
          <w:sz w:val="16"/>
          <w:szCs w:val="16"/>
        </w:rPr>
      </w:pPr>
      <w:r w:rsidRPr="001F29E3">
        <w:rPr>
          <w:rFonts w:cs="Arial"/>
          <w:sz w:val="16"/>
          <w:szCs w:val="16"/>
        </w:rPr>
        <w:t>AEIs: Adult Education Institutes</w:t>
      </w:r>
    </w:p>
    <w:p w:rsidR="00446613" w:rsidRDefault="00446613" w:rsidP="00446613">
      <w:pPr>
        <w:rPr>
          <w:rFonts w:cs="Arial"/>
          <w:sz w:val="16"/>
          <w:szCs w:val="16"/>
        </w:rPr>
      </w:pPr>
    </w:p>
    <w:p w:rsidR="00446613" w:rsidRDefault="00446613" w:rsidP="00446613">
      <w:pPr>
        <w:spacing w:after="0" w:line="240" w:lineRule="auto"/>
        <w:jc w:val="left"/>
        <w:rPr>
          <w:rFonts w:cs="Arial"/>
          <w:b/>
          <w:bCs/>
          <w:color w:val="76923C" w:themeColor="accent3" w:themeShade="BF"/>
          <w:sz w:val="18"/>
          <w:szCs w:val="16"/>
        </w:rPr>
      </w:pPr>
    </w:p>
    <w:p w:rsidR="00446613" w:rsidRPr="008D3738" w:rsidRDefault="003D738C" w:rsidP="00446613">
      <w:pPr>
        <w:pStyle w:val="Caption"/>
        <w:spacing w:after="0"/>
        <w:jc w:val="left"/>
        <w:rPr>
          <w:rFonts w:cs="Arial"/>
          <w:color w:val="365F91" w:themeColor="accent1" w:themeShade="BF"/>
        </w:rPr>
      </w:pPr>
      <w:r>
        <w:rPr>
          <w:rFonts w:cs="Arial"/>
          <w:color w:val="365F91" w:themeColor="accent1" w:themeShade="BF"/>
        </w:rPr>
        <w:t>Figure 1.8</w:t>
      </w:r>
      <w:r w:rsidR="00446613" w:rsidRPr="008D3738">
        <w:rPr>
          <w:rFonts w:cs="Arial"/>
          <w:color w:val="365F91" w:themeColor="accent1" w:themeShade="BF"/>
        </w:rPr>
        <w:t>: Government subsidised students in pre-accredited training with Learn Local (ACE) providers by regional area</w:t>
      </w:r>
      <w:r w:rsidR="00446613">
        <w:rPr>
          <w:rFonts w:cs="Arial"/>
          <w:color w:val="365F91" w:themeColor="accent1" w:themeShade="BF"/>
        </w:rPr>
        <w:t>, 2011, 2012, 2013</w:t>
      </w:r>
    </w:p>
    <w:p w:rsidR="00446613" w:rsidRDefault="00446613" w:rsidP="00446613">
      <w:r>
        <w:rPr>
          <w:noProof/>
          <w:lang w:eastAsia="en-AU"/>
        </w:rPr>
        <w:drawing>
          <wp:inline distT="0" distB="0" distL="0" distR="0" wp14:anchorId="43577960" wp14:editId="0DD821FC">
            <wp:extent cx="5853502" cy="231457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78396" cy="2324419"/>
                    </a:xfrm>
                    <a:prstGeom prst="rect">
                      <a:avLst/>
                    </a:prstGeom>
                    <a:noFill/>
                  </pic:spPr>
                </pic:pic>
              </a:graphicData>
            </a:graphic>
          </wp:inline>
        </w:drawing>
      </w:r>
    </w:p>
    <w:tbl>
      <w:tblPr>
        <w:tblW w:w="4938" w:type="pct"/>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993"/>
        <w:gridCol w:w="1842"/>
        <w:gridCol w:w="851"/>
        <w:gridCol w:w="1806"/>
        <w:gridCol w:w="901"/>
        <w:gridCol w:w="2780"/>
      </w:tblGrid>
      <w:tr w:rsidR="00446613" w:rsidRPr="008D3738" w:rsidTr="00446613">
        <w:trPr>
          <w:trHeight w:val="255"/>
        </w:trPr>
        <w:tc>
          <w:tcPr>
            <w:tcW w:w="993"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BSW</w:t>
            </w:r>
          </w:p>
        </w:tc>
        <w:tc>
          <w:tcPr>
            <w:tcW w:w="1842"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Barwon South West</w:t>
            </w:r>
          </w:p>
        </w:tc>
        <w:tc>
          <w:tcPr>
            <w:tcW w:w="851"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HUM</w:t>
            </w:r>
          </w:p>
        </w:tc>
        <w:tc>
          <w:tcPr>
            <w:tcW w:w="1806"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Hume</w:t>
            </w:r>
          </w:p>
        </w:tc>
        <w:tc>
          <w:tcPr>
            <w:tcW w:w="901"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NWM</w:t>
            </w:r>
          </w:p>
        </w:tc>
        <w:tc>
          <w:tcPr>
            <w:tcW w:w="2780"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North Western Metropolitan</w:t>
            </w:r>
          </w:p>
        </w:tc>
      </w:tr>
      <w:tr w:rsidR="00446613" w:rsidRPr="008D3738" w:rsidTr="00446613">
        <w:trPr>
          <w:trHeight w:val="255"/>
        </w:trPr>
        <w:tc>
          <w:tcPr>
            <w:tcW w:w="993"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GRA</w:t>
            </w:r>
          </w:p>
        </w:tc>
        <w:tc>
          <w:tcPr>
            <w:tcW w:w="1842"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Grampians</w:t>
            </w:r>
          </w:p>
        </w:tc>
        <w:tc>
          <w:tcPr>
            <w:tcW w:w="851"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GIP</w:t>
            </w:r>
          </w:p>
        </w:tc>
        <w:tc>
          <w:tcPr>
            <w:tcW w:w="1806"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Gippsland</w:t>
            </w:r>
          </w:p>
        </w:tc>
        <w:tc>
          <w:tcPr>
            <w:tcW w:w="901"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SM</w:t>
            </w:r>
          </w:p>
        </w:tc>
        <w:tc>
          <w:tcPr>
            <w:tcW w:w="2780"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Southern Metropolitan</w:t>
            </w:r>
          </w:p>
        </w:tc>
      </w:tr>
      <w:tr w:rsidR="00446613" w:rsidRPr="008D3738" w:rsidTr="00446613">
        <w:trPr>
          <w:trHeight w:val="255"/>
        </w:trPr>
        <w:tc>
          <w:tcPr>
            <w:tcW w:w="993"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LMR</w:t>
            </w:r>
          </w:p>
        </w:tc>
        <w:tc>
          <w:tcPr>
            <w:tcW w:w="1842"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Loddon Mallee</w:t>
            </w:r>
          </w:p>
        </w:tc>
        <w:tc>
          <w:tcPr>
            <w:tcW w:w="851"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EM</w:t>
            </w:r>
          </w:p>
        </w:tc>
        <w:tc>
          <w:tcPr>
            <w:tcW w:w="1806"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Eastern Metropolitan</w:t>
            </w:r>
          </w:p>
        </w:tc>
        <w:tc>
          <w:tcPr>
            <w:tcW w:w="901"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AEIs</w:t>
            </w:r>
          </w:p>
        </w:tc>
        <w:tc>
          <w:tcPr>
            <w:tcW w:w="2780" w:type="dxa"/>
            <w:shd w:val="clear" w:color="000000" w:fill="FFFFFF"/>
            <w:noWrap/>
            <w:vAlign w:val="bottom"/>
            <w:hideMark/>
          </w:tcPr>
          <w:p w:rsidR="00446613" w:rsidRPr="008D3738" w:rsidRDefault="00446613" w:rsidP="00446613">
            <w:pPr>
              <w:spacing w:after="0" w:line="240" w:lineRule="auto"/>
              <w:jc w:val="left"/>
              <w:rPr>
                <w:rFonts w:cs="Arial"/>
                <w:color w:val="365F91" w:themeColor="accent1" w:themeShade="BF"/>
                <w:sz w:val="16"/>
                <w:szCs w:val="16"/>
                <w:lang w:eastAsia="en-AU"/>
              </w:rPr>
            </w:pPr>
            <w:r w:rsidRPr="008D3738">
              <w:rPr>
                <w:rFonts w:cs="Arial"/>
                <w:color w:val="365F91" w:themeColor="accent1" w:themeShade="BF"/>
                <w:sz w:val="16"/>
                <w:szCs w:val="16"/>
                <w:lang w:eastAsia="en-AU"/>
              </w:rPr>
              <w:t>Adult Education Institutes</w:t>
            </w:r>
          </w:p>
        </w:tc>
      </w:tr>
    </w:tbl>
    <w:p w:rsidR="00446613" w:rsidRDefault="00446613" w:rsidP="00446613">
      <w:pPr>
        <w:spacing w:after="0" w:line="240" w:lineRule="auto"/>
        <w:jc w:val="left"/>
      </w:pPr>
    </w:p>
    <w:p w:rsidR="00446613" w:rsidRDefault="00446613" w:rsidP="00446613">
      <w:pPr>
        <w:pStyle w:val="Caption"/>
        <w:spacing w:after="0" w:line="240" w:lineRule="auto"/>
        <w:jc w:val="left"/>
        <w:rPr>
          <w:rFonts w:cs="Arial"/>
        </w:rPr>
      </w:pPr>
    </w:p>
    <w:p w:rsidR="00446613" w:rsidRPr="00140F38" w:rsidRDefault="00446613" w:rsidP="00446613">
      <w:pPr>
        <w:pStyle w:val="Caption"/>
        <w:spacing w:after="0" w:line="240" w:lineRule="auto"/>
        <w:jc w:val="left"/>
        <w:rPr>
          <w:rFonts w:cs="Arial"/>
          <w:color w:val="365F91" w:themeColor="accent1" w:themeShade="BF"/>
        </w:rPr>
      </w:pPr>
      <w:r w:rsidRPr="00140F38">
        <w:rPr>
          <w:rFonts w:cs="Arial"/>
          <w:color w:val="365F91" w:themeColor="accent1" w:themeShade="BF"/>
        </w:rPr>
        <w:t>Table 1.2</w:t>
      </w:r>
      <w:r w:rsidR="000D420A">
        <w:rPr>
          <w:rFonts w:cs="Arial"/>
          <w:color w:val="365F91" w:themeColor="accent1" w:themeShade="BF"/>
        </w:rPr>
        <w:t>5</w:t>
      </w:r>
      <w:r w:rsidRPr="00140F38">
        <w:rPr>
          <w:rFonts w:cs="Arial"/>
          <w:color w:val="365F91" w:themeColor="accent1" w:themeShade="BF"/>
        </w:rPr>
        <w:t>.1: Government subsidised ACFE Board Priority Learners enrolled in pre-accredited programs with Learn Local (ACE) providers, 2008-201</w:t>
      </w:r>
      <w:r>
        <w:rPr>
          <w:rFonts w:cs="Arial"/>
          <w:color w:val="365F91" w:themeColor="accent1" w:themeShade="BF"/>
        </w:rPr>
        <w:t>3</w:t>
      </w:r>
    </w:p>
    <w:tbl>
      <w:tblPr>
        <w:tblW w:w="9220" w:type="dxa"/>
        <w:tblInd w:w="103" w:type="dxa"/>
        <w:tblLayout w:type="fixed"/>
        <w:tblLook w:val="04A0" w:firstRow="1" w:lastRow="0" w:firstColumn="1" w:lastColumn="0" w:noHBand="0" w:noVBand="1"/>
      </w:tblPr>
      <w:tblGrid>
        <w:gridCol w:w="2274"/>
        <w:gridCol w:w="1157"/>
        <w:gridCol w:w="1158"/>
        <w:gridCol w:w="1158"/>
        <w:gridCol w:w="1157"/>
        <w:gridCol w:w="1158"/>
        <w:gridCol w:w="1158"/>
      </w:tblGrid>
      <w:tr w:rsidR="00446613" w:rsidRPr="00140F38" w:rsidTr="00446613">
        <w:trPr>
          <w:trHeight w:val="762"/>
        </w:trPr>
        <w:tc>
          <w:tcPr>
            <w:tcW w:w="2274" w:type="dxa"/>
            <w:tcBorders>
              <w:top w:val="single" w:sz="4" w:space="0" w:color="366092"/>
              <w:left w:val="single" w:sz="4" w:space="0" w:color="366092"/>
              <w:bottom w:val="nil"/>
              <w:right w:val="nil"/>
            </w:tcBorders>
            <w:shd w:val="clear" w:color="000000" w:fill="366092"/>
            <w:noWrap/>
            <w:vAlign w:val="center"/>
            <w:hideMark/>
          </w:tcPr>
          <w:p w:rsidR="00446613" w:rsidRPr="00140F38" w:rsidRDefault="00446613" w:rsidP="00446613">
            <w:pPr>
              <w:spacing w:after="0" w:line="240" w:lineRule="auto"/>
              <w:jc w:val="left"/>
              <w:rPr>
                <w:rFonts w:cs="Arial"/>
                <w:b/>
                <w:bCs/>
                <w:color w:val="FFFFFF"/>
                <w:sz w:val="18"/>
                <w:szCs w:val="18"/>
                <w:lang w:eastAsia="en-AU"/>
              </w:rPr>
            </w:pPr>
            <w:r w:rsidRPr="00140F38">
              <w:rPr>
                <w:rFonts w:cs="Arial"/>
                <w:b/>
                <w:bCs/>
                <w:color w:val="FFFFFF"/>
                <w:sz w:val="18"/>
                <w:szCs w:val="18"/>
                <w:lang w:eastAsia="en-AU"/>
              </w:rPr>
              <w:t> </w:t>
            </w:r>
          </w:p>
        </w:tc>
        <w:tc>
          <w:tcPr>
            <w:tcW w:w="1157" w:type="dxa"/>
            <w:tcBorders>
              <w:top w:val="single" w:sz="4" w:space="0" w:color="366092"/>
              <w:left w:val="single" w:sz="4" w:space="0" w:color="366092"/>
              <w:bottom w:val="nil"/>
              <w:right w:val="nil"/>
            </w:tcBorders>
            <w:shd w:val="clear" w:color="000000" w:fill="366092"/>
            <w:vAlign w:val="center"/>
            <w:hideMark/>
          </w:tcPr>
          <w:p w:rsidR="00446613" w:rsidRPr="00140F38" w:rsidRDefault="00446613" w:rsidP="00446613">
            <w:pPr>
              <w:spacing w:after="0" w:line="240" w:lineRule="auto"/>
              <w:ind w:firstLineChars="100" w:firstLine="181"/>
              <w:jc w:val="right"/>
              <w:rPr>
                <w:rFonts w:cs="Arial"/>
                <w:b/>
                <w:bCs/>
                <w:color w:val="FFFFFF"/>
                <w:sz w:val="18"/>
                <w:szCs w:val="18"/>
                <w:lang w:eastAsia="en-AU"/>
              </w:rPr>
            </w:pPr>
            <w:r w:rsidRPr="00140F38">
              <w:rPr>
                <w:rFonts w:cs="Arial"/>
                <w:b/>
                <w:bCs/>
                <w:color w:val="FFFFFF"/>
                <w:sz w:val="18"/>
                <w:szCs w:val="18"/>
                <w:lang w:eastAsia="en-AU"/>
              </w:rPr>
              <w:t>2008</w:t>
            </w:r>
          </w:p>
        </w:tc>
        <w:tc>
          <w:tcPr>
            <w:tcW w:w="1158" w:type="dxa"/>
            <w:tcBorders>
              <w:top w:val="single" w:sz="4" w:space="0" w:color="366092"/>
              <w:left w:val="single" w:sz="4" w:space="0" w:color="366092"/>
              <w:bottom w:val="nil"/>
              <w:right w:val="nil"/>
            </w:tcBorders>
            <w:shd w:val="clear" w:color="000000" w:fill="366092"/>
            <w:vAlign w:val="center"/>
            <w:hideMark/>
          </w:tcPr>
          <w:p w:rsidR="00446613" w:rsidRPr="00140F38" w:rsidRDefault="00446613" w:rsidP="00446613">
            <w:pPr>
              <w:spacing w:after="0" w:line="240" w:lineRule="auto"/>
              <w:ind w:firstLineChars="100" w:firstLine="181"/>
              <w:jc w:val="right"/>
              <w:rPr>
                <w:rFonts w:cs="Arial"/>
                <w:b/>
                <w:bCs/>
                <w:color w:val="FFFFFF"/>
                <w:sz w:val="18"/>
                <w:szCs w:val="18"/>
                <w:lang w:eastAsia="en-AU"/>
              </w:rPr>
            </w:pPr>
            <w:r w:rsidRPr="00140F38">
              <w:rPr>
                <w:rFonts w:cs="Arial"/>
                <w:b/>
                <w:bCs/>
                <w:color w:val="FFFFFF"/>
                <w:sz w:val="18"/>
                <w:szCs w:val="18"/>
                <w:lang w:eastAsia="en-AU"/>
              </w:rPr>
              <w:t>2009</w:t>
            </w:r>
          </w:p>
        </w:tc>
        <w:tc>
          <w:tcPr>
            <w:tcW w:w="1158" w:type="dxa"/>
            <w:tcBorders>
              <w:top w:val="single" w:sz="4" w:space="0" w:color="366092"/>
              <w:left w:val="single" w:sz="4" w:space="0" w:color="366092"/>
              <w:bottom w:val="nil"/>
              <w:right w:val="nil"/>
            </w:tcBorders>
            <w:shd w:val="clear" w:color="000000" w:fill="366092"/>
            <w:vAlign w:val="center"/>
            <w:hideMark/>
          </w:tcPr>
          <w:p w:rsidR="00446613" w:rsidRPr="00140F38" w:rsidRDefault="00446613" w:rsidP="00446613">
            <w:pPr>
              <w:spacing w:after="0" w:line="240" w:lineRule="auto"/>
              <w:ind w:firstLineChars="100" w:firstLine="181"/>
              <w:jc w:val="right"/>
              <w:rPr>
                <w:rFonts w:cs="Arial"/>
                <w:b/>
                <w:bCs/>
                <w:color w:val="FFFFFF"/>
                <w:sz w:val="18"/>
                <w:szCs w:val="18"/>
                <w:lang w:eastAsia="en-AU"/>
              </w:rPr>
            </w:pPr>
            <w:r w:rsidRPr="00140F38">
              <w:rPr>
                <w:rFonts w:cs="Arial"/>
                <w:b/>
                <w:bCs/>
                <w:color w:val="FFFFFF"/>
                <w:sz w:val="18"/>
                <w:szCs w:val="18"/>
                <w:lang w:eastAsia="en-AU"/>
              </w:rPr>
              <w:t>2010</w:t>
            </w:r>
          </w:p>
        </w:tc>
        <w:tc>
          <w:tcPr>
            <w:tcW w:w="1157" w:type="dxa"/>
            <w:tcBorders>
              <w:top w:val="single" w:sz="4" w:space="0" w:color="366092"/>
              <w:left w:val="single" w:sz="4" w:space="0" w:color="366092"/>
              <w:bottom w:val="nil"/>
              <w:right w:val="nil"/>
            </w:tcBorders>
            <w:shd w:val="clear" w:color="000000" w:fill="366092"/>
            <w:vAlign w:val="center"/>
            <w:hideMark/>
          </w:tcPr>
          <w:p w:rsidR="00446613" w:rsidRPr="00140F38" w:rsidRDefault="00446613" w:rsidP="00446613">
            <w:pPr>
              <w:spacing w:after="0" w:line="240" w:lineRule="auto"/>
              <w:ind w:firstLineChars="100" w:firstLine="181"/>
              <w:jc w:val="right"/>
              <w:rPr>
                <w:rFonts w:cs="Arial"/>
                <w:b/>
                <w:bCs/>
                <w:color w:val="FFFFFF"/>
                <w:sz w:val="18"/>
                <w:szCs w:val="18"/>
                <w:lang w:eastAsia="en-AU"/>
              </w:rPr>
            </w:pPr>
            <w:r w:rsidRPr="00140F38">
              <w:rPr>
                <w:rFonts w:cs="Arial"/>
                <w:b/>
                <w:bCs/>
                <w:color w:val="FFFFFF"/>
                <w:sz w:val="18"/>
                <w:szCs w:val="18"/>
                <w:lang w:eastAsia="en-AU"/>
              </w:rPr>
              <w:t>2011</w:t>
            </w:r>
          </w:p>
        </w:tc>
        <w:tc>
          <w:tcPr>
            <w:tcW w:w="1158" w:type="dxa"/>
            <w:tcBorders>
              <w:top w:val="single" w:sz="4" w:space="0" w:color="366092"/>
              <w:left w:val="single" w:sz="4" w:space="0" w:color="366092"/>
              <w:bottom w:val="nil"/>
              <w:right w:val="nil"/>
            </w:tcBorders>
            <w:shd w:val="clear" w:color="000000" w:fill="366092"/>
            <w:vAlign w:val="center"/>
            <w:hideMark/>
          </w:tcPr>
          <w:p w:rsidR="00446613" w:rsidRPr="00140F38" w:rsidRDefault="00446613" w:rsidP="00446613">
            <w:pPr>
              <w:spacing w:after="0" w:line="240" w:lineRule="auto"/>
              <w:ind w:firstLineChars="100" w:firstLine="181"/>
              <w:jc w:val="right"/>
              <w:rPr>
                <w:rFonts w:cs="Arial"/>
                <w:b/>
                <w:bCs/>
                <w:color w:val="FFFFFF"/>
                <w:sz w:val="18"/>
                <w:szCs w:val="18"/>
                <w:lang w:eastAsia="en-AU"/>
              </w:rPr>
            </w:pPr>
            <w:r w:rsidRPr="00140F38">
              <w:rPr>
                <w:rFonts w:cs="Arial"/>
                <w:b/>
                <w:bCs/>
                <w:color w:val="FFFFFF"/>
                <w:sz w:val="18"/>
                <w:szCs w:val="18"/>
                <w:lang w:eastAsia="en-AU"/>
              </w:rPr>
              <w:t>2012</w:t>
            </w:r>
          </w:p>
        </w:tc>
        <w:tc>
          <w:tcPr>
            <w:tcW w:w="1158" w:type="dxa"/>
            <w:tcBorders>
              <w:top w:val="single" w:sz="4" w:space="0" w:color="366092"/>
              <w:left w:val="single" w:sz="4" w:space="0" w:color="366092"/>
              <w:bottom w:val="single" w:sz="4" w:space="0" w:color="366092"/>
              <w:right w:val="nil"/>
            </w:tcBorders>
            <w:shd w:val="clear" w:color="000000" w:fill="366092"/>
            <w:vAlign w:val="center"/>
            <w:hideMark/>
          </w:tcPr>
          <w:p w:rsidR="00446613" w:rsidRPr="00140F38" w:rsidRDefault="00446613" w:rsidP="00446613">
            <w:pPr>
              <w:spacing w:after="0" w:line="240" w:lineRule="auto"/>
              <w:ind w:firstLineChars="100" w:firstLine="181"/>
              <w:jc w:val="right"/>
              <w:rPr>
                <w:rFonts w:cs="Arial"/>
                <w:b/>
                <w:bCs/>
                <w:color w:val="FFFFFF"/>
                <w:sz w:val="18"/>
                <w:szCs w:val="18"/>
                <w:lang w:eastAsia="en-AU"/>
              </w:rPr>
            </w:pPr>
            <w:r w:rsidRPr="00140F38">
              <w:rPr>
                <w:rFonts w:cs="Arial"/>
                <w:b/>
                <w:bCs/>
                <w:color w:val="FFFFFF"/>
                <w:sz w:val="18"/>
                <w:szCs w:val="18"/>
                <w:lang w:eastAsia="en-AU"/>
              </w:rPr>
              <w:t>2013</w:t>
            </w:r>
          </w:p>
        </w:tc>
      </w:tr>
      <w:tr w:rsidR="00446613" w:rsidRPr="00140F38" w:rsidTr="00446613">
        <w:trPr>
          <w:trHeight w:val="342"/>
        </w:trPr>
        <w:tc>
          <w:tcPr>
            <w:tcW w:w="2274" w:type="dxa"/>
            <w:tcBorders>
              <w:top w:val="single" w:sz="4" w:space="0" w:color="366092"/>
              <w:left w:val="single" w:sz="4" w:space="0" w:color="366092"/>
              <w:bottom w:val="nil"/>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CALD (LOTE)</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4,100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4,300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4,900 </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5,700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6,800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6,600 </w:t>
            </w:r>
          </w:p>
        </w:tc>
      </w:tr>
      <w:tr w:rsidR="00446613" w:rsidRPr="00140F38" w:rsidTr="00446613">
        <w:trPr>
          <w:trHeight w:val="342"/>
        </w:trPr>
        <w:tc>
          <w:tcPr>
            <w:tcW w:w="2274" w:type="dxa"/>
            <w:tcBorders>
              <w:top w:val="single" w:sz="4" w:space="0" w:color="366092"/>
              <w:left w:val="single" w:sz="4" w:space="0" w:color="366092"/>
              <w:bottom w:val="nil"/>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Disability</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4,600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4,200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4,900 </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4,800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5,600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6,100 </w:t>
            </w:r>
          </w:p>
        </w:tc>
      </w:tr>
      <w:tr w:rsidR="00446613" w:rsidRPr="00140F38" w:rsidTr="00446613">
        <w:trPr>
          <w:trHeight w:val="342"/>
        </w:trPr>
        <w:tc>
          <w:tcPr>
            <w:tcW w:w="2274" w:type="dxa"/>
            <w:tcBorders>
              <w:top w:val="single" w:sz="4" w:space="0" w:color="366092"/>
              <w:left w:val="single" w:sz="4" w:space="0" w:color="366092"/>
              <w:bottom w:val="nil"/>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Disengaged Youth</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900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1,000 </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600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900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1,000 </w:t>
            </w:r>
          </w:p>
        </w:tc>
      </w:tr>
      <w:tr w:rsidR="00446613" w:rsidRPr="00140F38" w:rsidTr="00446613">
        <w:trPr>
          <w:trHeight w:val="338"/>
        </w:trPr>
        <w:tc>
          <w:tcPr>
            <w:tcW w:w="2274" w:type="dxa"/>
            <w:tcBorders>
              <w:top w:val="single" w:sz="4" w:space="0" w:color="366092"/>
              <w:left w:val="single" w:sz="4" w:space="0" w:color="366092"/>
              <w:bottom w:val="nil"/>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Early school leavers</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7,400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6,000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5,900 </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4,900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5,200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5,300 </w:t>
            </w:r>
          </w:p>
        </w:tc>
      </w:tr>
      <w:tr w:rsidR="00446613" w:rsidRPr="00140F38" w:rsidTr="00446613">
        <w:trPr>
          <w:trHeight w:val="342"/>
        </w:trPr>
        <w:tc>
          <w:tcPr>
            <w:tcW w:w="2274" w:type="dxa"/>
            <w:tcBorders>
              <w:top w:val="single" w:sz="4" w:space="0" w:color="366092"/>
              <w:left w:val="single" w:sz="4" w:space="0" w:color="366092"/>
              <w:bottom w:val="nil"/>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Indigenous</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220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340 </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340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410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450 </w:t>
            </w:r>
          </w:p>
        </w:tc>
      </w:tr>
      <w:tr w:rsidR="00446613" w:rsidRPr="00140F38" w:rsidTr="00446613">
        <w:trPr>
          <w:trHeight w:val="342"/>
        </w:trPr>
        <w:tc>
          <w:tcPr>
            <w:tcW w:w="2274" w:type="dxa"/>
            <w:tcBorders>
              <w:top w:val="single" w:sz="4" w:space="0" w:color="366092"/>
              <w:left w:val="single" w:sz="4" w:space="0" w:color="366092"/>
              <w:bottom w:val="nil"/>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Males 45 to 64</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2,800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2,500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2,700 </w:t>
            </w:r>
          </w:p>
        </w:tc>
        <w:tc>
          <w:tcPr>
            <w:tcW w:w="1157"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2,400 </w:t>
            </w:r>
          </w:p>
        </w:tc>
        <w:tc>
          <w:tcPr>
            <w:tcW w:w="1158" w:type="dxa"/>
            <w:tcBorders>
              <w:top w:val="single" w:sz="4" w:space="0" w:color="366092"/>
              <w:left w:val="single" w:sz="4" w:space="0" w:color="366092"/>
              <w:bottom w:val="nil"/>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2,700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2,600 </w:t>
            </w:r>
          </w:p>
        </w:tc>
      </w:tr>
      <w:tr w:rsidR="00446613" w:rsidRPr="00140F38" w:rsidTr="00446613">
        <w:trPr>
          <w:trHeight w:val="342"/>
        </w:trPr>
        <w:tc>
          <w:tcPr>
            <w:tcW w:w="2274" w:type="dxa"/>
            <w:tcBorders>
              <w:top w:val="single" w:sz="4" w:space="0" w:color="366092"/>
              <w:left w:val="single" w:sz="4" w:space="0" w:color="366092"/>
              <w:bottom w:val="single" w:sz="4" w:space="0" w:color="366092"/>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Unemployed</w:t>
            </w:r>
          </w:p>
        </w:tc>
        <w:tc>
          <w:tcPr>
            <w:tcW w:w="1157"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5,400 </w:t>
            </w:r>
          </w:p>
        </w:tc>
        <w:tc>
          <w:tcPr>
            <w:tcW w:w="1158"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5,200 </w:t>
            </w:r>
          </w:p>
        </w:tc>
        <w:tc>
          <w:tcPr>
            <w:tcW w:w="1158"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5,700 </w:t>
            </w:r>
          </w:p>
        </w:tc>
        <w:tc>
          <w:tcPr>
            <w:tcW w:w="1157"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5,300 </w:t>
            </w:r>
          </w:p>
        </w:tc>
        <w:tc>
          <w:tcPr>
            <w:tcW w:w="1158"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6,300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6,900 </w:t>
            </w:r>
          </w:p>
        </w:tc>
      </w:tr>
      <w:tr w:rsidR="00446613" w:rsidRPr="00140F38" w:rsidTr="00446613">
        <w:trPr>
          <w:trHeight w:val="342"/>
        </w:trPr>
        <w:tc>
          <w:tcPr>
            <w:tcW w:w="2274" w:type="dxa"/>
            <w:tcBorders>
              <w:top w:val="single" w:sz="4" w:space="0" w:color="366092"/>
              <w:left w:val="single" w:sz="4" w:space="0" w:color="366092"/>
              <w:bottom w:val="single" w:sz="4" w:space="0" w:color="366092"/>
              <w:right w:val="nil"/>
            </w:tcBorders>
            <w:shd w:val="clear" w:color="000000" w:fill="FFFFFF"/>
            <w:noWrap/>
            <w:vAlign w:val="bottom"/>
            <w:hideMark/>
          </w:tcPr>
          <w:p w:rsidR="00446613" w:rsidRPr="00140F38" w:rsidRDefault="00446613" w:rsidP="00446613">
            <w:pPr>
              <w:spacing w:after="0" w:line="240" w:lineRule="auto"/>
              <w:jc w:val="left"/>
              <w:rPr>
                <w:rFonts w:cs="Arial"/>
                <w:color w:val="366092"/>
                <w:sz w:val="18"/>
                <w:szCs w:val="18"/>
                <w:lang w:eastAsia="en-AU"/>
              </w:rPr>
            </w:pPr>
            <w:r w:rsidRPr="00140F38">
              <w:rPr>
                <w:rFonts w:cs="Arial"/>
                <w:color w:val="366092"/>
                <w:sz w:val="18"/>
                <w:szCs w:val="18"/>
                <w:lang w:eastAsia="en-AU"/>
              </w:rPr>
              <w:t>Vulnerable workers</w:t>
            </w:r>
          </w:p>
        </w:tc>
        <w:tc>
          <w:tcPr>
            <w:tcW w:w="1157"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5,300 </w:t>
            </w:r>
          </w:p>
        </w:tc>
        <w:tc>
          <w:tcPr>
            <w:tcW w:w="1158"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4,400 </w:t>
            </w:r>
          </w:p>
        </w:tc>
        <w:tc>
          <w:tcPr>
            <w:tcW w:w="1158"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5,100 </w:t>
            </w:r>
          </w:p>
        </w:tc>
        <w:tc>
          <w:tcPr>
            <w:tcW w:w="1157"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4,900 </w:t>
            </w:r>
          </w:p>
        </w:tc>
        <w:tc>
          <w:tcPr>
            <w:tcW w:w="1158" w:type="dxa"/>
            <w:tcBorders>
              <w:top w:val="single" w:sz="4" w:space="0" w:color="366092"/>
              <w:left w:val="single" w:sz="4" w:space="0" w:color="366092"/>
              <w:bottom w:val="single" w:sz="4" w:space="0" w:color="366092"/>
              <w:right w:val="nil"/>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5,700 </w:t>
            </w:r>
          </w:p>
        </w:tc>
        <w:tc>
          <w:tcPr>
            <w:tcW w:w="1158"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446613" w:rsidRPr="00140F38" w:rsidRDefault="00446613" w:rsidP="00446613">
            <w:pPr>
              <w:spacing w:after="0" w:line="240" w:lineRule="auto"/>
              <w:jc w:val="right"/>
              <w:rPr>
                <w:rFonts w:cs="Arial"/>
                <w:sz w:val="18"/>
                <w:szCs w:val="18"/>
                <w:lang w:eastAsia="en-AU"/>
              </w:rPr>
            </w:pPr>
            <w:r w:rsidRPr="00140F38">
              <w:rPr>
                <w:rFonts w:cs="Arial"/>
                <w:sz w:val="18"/>
                <w:szCs w:val="18"/>
                <w:lang w:eastAsia="en-AU"/>
              </w:rPr>
              <w:t xml:space="preserve">5,500 </w:t>
            </w:r>
          </w:p>
        </w:tc>
      </w:tr>
    </w:tbl>
    <w:p w:rsidR="00446613" w:rsidRPr="00150CC4" w:rsidRDefault="00446613" w:rsidP="00446613">
      <w:pPr>
        <w:spacing w:after="0" w:line="240" w:lineRule="auto"/>
        <w:jc w:val="left"/>
        <w:rPr>
          <w:rFonts w:cs="Arial"/>
          <w:sz w:val="16"/>
          <w:szCs w:val="16"/>
        </w:rPr>
      </w:pPr>
      <w:r w:rsidRPr="001F29E3">
        <w:rPr>
          <w:rFonts w:cs="Arial"/>
          <w:sz w:val="16"/>
          <w:szCs w:val="16"/>
        </w:rPr>
        <w:t xml:space="preserve">Note: </w:t>
      </w:r>
      <w:r>
        <w:rPr>
          <w:rFonts w:cs="Arial"/>
          <w:sz w:val="16"/>
          <w:szCs w:val="16"/>
        </w:rPr>
        <w:t xml:space="preserve">ACFE Board Priority Learner categories </w:t>
      </w:r>
      <w:r w:rsidRPr="001F29E3">
        <w:rPr>
          <w:rFonts w:cs="Arial"/>
          <w:sz w:val="16"/>
          <w:szCs w:val="16"/>
        </w:rPr>
        <w:t>are not mutually exclusive.</w:t>
      </w:r>
      <w:r w:rsidRPr="00C171CC">
        <w:rPr>
          <w:rFonts w:cs="Arial"/>
          <w:sz w:val="16"/>
          <w:szCs w:val="16"/>
        </w:rPr>
        <w:t xml:space="preserve"> </w:t>
      </w:r>
      <w:r>
        <w:rPr>
          <w:rFonts w:cs="Arial"/>
          <w:sz w:val="16"/>
          <w:szCs w:val="16"/>
        </w:rPr>
        <w:t xml:space="preserve"> </w:t>
      </w:r>
      <w:r w:rsidRPr="00150CC4">
        <w:rPr>
          <w:rFonts w:cs="Arial"/>
          <w:sz w:val="16"/>
          <w:szCs w:val="16"/>
        </w:rPr>
        <w:t xml:space="preserve">Detail on these categories is available at: </w:t>
      </w:r>
      <w:hyperlink r:id="rId40" w:history="1">
        <w:r w:rsidRPr="00150CC4">
          <w:rPr>
            <w:rStyle w:val="Hyperlink"/>
            <w:rFonts w:cs="Arial"/>
            <w:sz w:val="16"/>
            <w:szCs w:val="16"/>
          </w:rPr>
          <w:t>www.education.vic.gov.au/Documents/about/research/acfepublications/hardtoreachlearn.pdf</w:t>
        </w:r>
      </w:hyperlink>
    </w:p>
    <w:p w:rsidR="00446613" w:rsidRPr="001F29E3" w:rsidRDefault="00446613" w:rsidP="00446613">
      <w:pPr>
        <w:rPr>
          <w:rFonts w:cs="Arial"/>
          <w:sz w:val="16"/>
          <w:szCs w:val="16"/>
        </w:rPr>
      </w:pPr>
    </w:p>
    <w:p w:rsidR="00D57A03" w:rsidRDefault="00D57A03">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446613" w:rsidRDefault="00446613" w:rsidP="00446613">
      <w:pPr>
        <w:pStyle w:val="Caption"/>
        <w:spacing w:after="0"/>
        <w:jc w:val="left"/>
        <w:rPr>
          <w:rFonts w:cs="Arial"/>
          <w:color w:val="365F91" w:themeColor="accent1" w:themeShade="BF"/>
        </w:rPr>
      </w:pPr>
      <w:r w:rsidRPr="00A629DF">
        <w:rPr>
          <w:rFonts w:cs="Arial"/>
          <w:color w:val="365F91" w:themeColor="accent1" w:themeShade="BF"/>
        </w:rPr>
        <w:t>Table 1.2</w:t>
      </w:r>
      <w:r w:rsidR="000D420A">
        <w:rPr>
          <w:rFonts w:cs="Arial"/>
          <w:color w:val="365F91" w:themeColor="accent1" w:themeShade="BF"/>
        </w:rPr>
        <w:t>5</w:t>
      </w:r>
      <w:r w:rsidRPr="00A629DF">
        <w:rPr>
          <w:rFonts w:cs="Arial"/>
          <w:color w:val="365F91" w:themeColor="accent1" w:themeShade="BF"/>
        </w:rPr>
        <w:t xml:space="preserve">.2: </w:t>
      </w:r>
      <w:r>
        <w:rPr>
          <w:rFonts w:cs="Arial"/>
          <w:color w:val="365F91" w:themeColor="accent1" w:themeShade="BF"/>
        </w:rPr>
        <w:t>Change in g</w:t>
      </w:r>
      <w:r w:rsidRPr="00A629DF">
        <w:rPr>
          <w:rFonts w:cs="Arial"/>
          <w:color w:val="365F91" w:themeColor="accent1" w:themeShade="BF"/>
        </w:rPr>
        <w:t>overnment subsidised ACFE Board Priority Learners enrolled in pre-accredited programs with Learn Local (ACE) providers</w:t>
      </w:r>
    </w:p>
    <w:tbl>
      <w:tblPr>
        <w:tblW w:w="6668" w:type="dxa"/>
        <w:tblInd w:w="103" w:type="dxa"/>
        <w:tblLook w:val="04A0" w:firstRow="1" w:lastRow="0" w:firstColumn="1" w:lastColumn="0" w:noHBand="0" w:noVBand="1"/>
      </w:tblPr>
      <w:tblGrid>
        <w:gridCol w:w="3240"/>
        <w:gridCol w:w="1120"/>
        <w:gridCol w:w="1120"/>
        <w:gridCol w:w="1188"/>
      </w:tblGrid>
      <w:tr w:rsidR="00446613" w:rsidRPr="002C3968" w:rsidTr="00446613">
        <w:trPr>
          <w:trHeight w:val="554"/>
        </w:trPr>
        <w:tc>
          <w:tcPr>
            <w:tcW w:w="324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46613" w:rsidRPr="002C3968" w:rsidRDefault="00446613" w:rsidP="00446613">
            <w:pPr>
              <w:spacing w:after="0" w:line="240" w:lineRule="auto"/>
              <w:jc w:val="left"/>
              <w:rPr>
                <w:rFonts w:cs="Arial"/>
                <w:b/>
                <w:bCs/>
                <w:color w:val="FFFFFF"/>
                <w:sz w:val="18"/>
                <w:szCs w:val="18"/>
                <w:lang w:eastAsia="en-AU"/>
              </w:rPr>
            </w:pPr>
            <w:r w:rsidRPr="002C3968">
              <w:rPr>
                <w:rFonts w:cs="Arial"/>
                <w:b/>
                <w:bCs/>
                <w:color w:val="FFFFFF"/>
                <w:sz w:val="18"/>
                <w:szCs w:val="18"/>
                <w:lang w:eastAsia="en-AU"/>
              </w:rPr>
              <w:t>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2C3968" w:rsidRDefault="00446613" w:rsidP="00446613">
            <w:pPr>
              <w:spacing w:after="0" w:line="240" w:lineRule="auto"/>
              <w:jc w:val="right"/>
              <w:rPr>
                <w:rFonts w:cs="Arial"/>
                <w:b/>
                <w:bCs/>
                <w:color w:val="FFFFFF"/>
                <w:sz w:val="18"/>
                <w:szCs w:val="18"/>
                <w:lang w:eastAsia="en-AU"/>
              </w:rPr>
            </w:pPr>
            <w:r w:rsidRPr="002C3968">
              <w:rPr>
                <w:rFonts w:cs="Arial"/>
                <w:b/>
                <w:bCs/>
                <w:color w:val="FFFFFF"/>
                <w:sz w:val="18"/>
                <w:szCs w:val="18"/>
                <w:lang w:eastAsia="en-AU"/>
              </w:rPr>
              <w:t>% change 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2C3968" w:rsidRDefault="00446613" w:rsidP="00446613">
            <w:pPr>
              <w:spacing w:after="0" w:line="240" w:lineRule="auto"/>
              <w:jc w:val="right"/>
              <w:rPr>
                <w:rFonts w:cs="Arial"/>
                <w:b/>
                <w:bCs/>
                <w:color w:val="FFFFFF"/>
                <w:sz w:val="18"/>
                <w:szCs w:val="18"/>
                <w:lang w:eastAsia="en-AU"/>
              </w:rPr>
            </w:pPr>
            <w:r w:rsidRPr="002C3968">
              <w:rPr>
                <w:rFonts w:cs="Arial"/>
                <w:b/>
                <w:bCs/>
                <w:color w:val="FFFFFF"/>
                <w:sz w:val="18"/>
                <w:szCs w:val="18"/>
                <w:lang w:eastAsia="en-AU"/>
              </w:rPr>
              <w:t>% change 2011-2013</w:t>
            </w:r>
          </w:p>
        </w:tc>
        <w:tc>
          <w:tcPr>
            <w:tcW w:w="1188"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2C3968" w:rsidRDefault="00446613" w:rsidP="00446613">
            <w:pPr>
              <w:spacing w:after="0" w:line="240" w:lineRule="auto"/>
              <w:jc w:val="right"/>
              <w:rPr>
                <w:rFonts w:cs="Arial"/>
                <w:b/>
                <w:bCs/>
                <w:color w:val="FFFFFF"/>
                <w:sz w:val="18"/>
                <w:szCs w:val="18"/>
                <w:lang w:eastAsia="en-AU"/>
              </w:rPr>
            </w:pPr>
            <w:r w:rsidRPr="002C3968">
              <w:rPr>
                <w:rFonts w:cs="Arial"/>
                <w:b/>
                <w:bCs/>
                <w:color w:val="FFFFFF"/>
                <w:sz w:val="18"/>
                <w:szCs w:val="18"/>
                <w:lang w:eastAsia="en-AU"/>
              </w:rPr>
              <w:t>% change 2012 - 2013</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CALD (LOTE)</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62%</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16%</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-3%</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Disability</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32%</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29%</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9%</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Disengaged Youth</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16%</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70%</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16%</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Early school leavers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-28%</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8%</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2%</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Indigenous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12%</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33%</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8%</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Males 45 to 64</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-9%</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6%</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-4%</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Unemployed</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26%</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29%</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9%</w:t>
            </w:r>
          </w:p>
        </w:tc>
      </w:tr>
      <w:tr w:rsidR="00446613" w:rsidRPr="002C3968"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Vulnerable workers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3%</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11%</w:t>
            </w:r>
          </w:p>
        </w:tc>
        <w:tc>
          <w:tcPr>
            <w:tcW w:w="1188" w:type="dxa"/>
            <w:tcBorders>
              <w:top w:val="nil"/>
              <w:left w:val="nil"/>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-3%</w:t>
            </w:r>
          </w:p>
        </w:tc>
      </w:tr>
    </w:tbl>
    <w:p w:rsidR="00446613" w:rsidRPr="00150CC4" w:rsidRDefault="00446613" w:rsidP="00446613">
      <w:pPr>
        <w:spacing w:after="0" w:line="240" w:lineRule="auto"/>
        <w:jc w:val="left"/>
        <w:rPr>
          <w:rFonts w:cs="Arial"/>
          <w:sz w:val="16"/>
          <w:szCs w:val="16"/>
        </w:rPr>
      </w:pPr>
      <w:r w:rsidRPr="001F29E3">
        <w:rPr>
          <w:rFonts w:cs="Arial"/>
          <w:sz w:val="16"/>
          <w:szCs w:val="16"/>
        </w:rPr>
        <w:t xml:space="preserve">Note: </w:t>
      </w:r>
      <w:r>
        <w:rPr>
          <w:rFonts w:cs="Arial"/>
          <w:sz w:val="16"/>
          <w:szCs w:val="16"/>
        </w:rPr>
        <w:t xml:space="preserve">ACFE Board Priority Learner categories </w:t>
      </w:r>
      <w:r w:rsidRPr="001F29E3">
        <w:rPr>
          <w:rFonts w:cs="Arial"/>
          <w:sz w:val="16"/>
          <w:szCs w:val="16"/>
        </w:rPr>
        <w:t>are not mutually exclusive.</w:t>
      </w:r>
      <w:r>
        <w:rPr>
          <w:rFonts w:cs="Arial"/>
          <w:sz w:val="16"/>
          <w:szCs w:val="16"/>
        </w:rPr>
        <w:t xml:space="preserve"> </w:t>
      </w:r>
      <w:r w:rsidRPr="00150CC4">
        <w:rPr>
          <w:rFonts w:cs="Arial"/>
          <w:sz w:val="16"/>
          <w:szCs w:val="16"/>
        </w:rPr>
        <w:t xml:space="preserve">Detail on these categories is available at: </w:t>
      </w:r>
      <w:hyperlink r:id="rId41" w:history="1">
        <w:r w:rsidRPr="00150CC4">
          <w:rPr>
            <w:rStyle w:val="Hyperlink"/>
            <w:rFonts w:cs="Arial"/>
            <w:sz w:val="16"/>
            <w:szCs w:val="16"/>
          </w:rPr>
          <w:t>www.education.vic.gov.au/Documents/about/research/acfepublications/hardtoreachlearn.pdf</w:t>
        </w:r>
      </w:hyperlink>
    </w:p>
    <w:p w:rsidR="00446613" w:rsidRPr="001F29E3" w:rsidRDefault="00446613" w:rsidP="00446613">
      <w:pPr>
        <w:rPr>
          <w:rFonts w:cs="Arial"/>
          <w:sz w:val="16"/>
          <w:szCs w:val="16"/>
        </w:rPr>
      </w:pPr>
    </w:p>
    <w:p w:rsidR="00446613" w:rsidRDefault="00446613" w:rsidP="00446613">
      <w:pPr>
        <w:pStyle w:val="Heading3"/>
      </w:pPr>
      <w:r>
        <w:t>Learn Local (ACE) Accredited training</w:t>
      </w:r>
    </w:p>
    <w:tbl>
      <w:tblPr>
        <w:tblStyle w:val="TableGrid"/>
        <w:tblW w:w="9288" w:type="dxa"/>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288"/>
      </w:tblGrid>
      <w:tr w:rsidR="00446613" w:rsidTr="00446613">
        <w:tc>
          <w:tcPr>
            <w:tcW w:w="9288" w:type="dxa"/>
            <w:shd w:val="clear" w:color="auto" w:fill="auto"/>
          </w:tcPr>
          <w:p w:rsidR="00446613" w:rsidRPr="00F00040" w:rsidRDefault="00446613" w:rsidP="00446613">
            <w:pPr>
              <w:pStyle w:val="Heading3"/>
              <w:outlineLvl w:val="2"/>
            </w:pPr>
            <w:r w:rsidRPr="001F29E3">
              <w:t>Key Points</w:t>
            </w:r>
          </w:p>
          <w:p w:rsidR="00446613" w:rsidRPr="00807C85" w:rsidRDefault="00446613" w:rsidP="00D83827">
            <w:pPr>
              <w:pStyle w:val="ListBullet"/>
              <w:numPr>
                <w:ilvl w:val="0"/>
                <w:numId w:val="17"/>
              </w:numPr>
              <w:ind w:right="113"/>
              <w:rPr>
                <w:rFonts w:cs="Arial"/>
              </w:rPr>
            </w:pPr>
            <w:r w:rsidRPr="00807C85">
              <w:rPr>
                <w:rFonts w:cs="Arial"/>
              </w:rPr>
              <w:t xml:space="preserve">Learn Local providers’ accredited program delivery has increased over 2011 to 2013. Learn Locals reported an overall 8 per cent increase in students taking accredited programs over 2011 to 2013 (an additional 2,200 students). In contrast, there were 6,600 fewer students (-18 per cent) reported over 2012 (36,300 students) to 2013 (29,700 students). </w:t>
            </w:r>
          </w:p>
          <w:p w:rsidR="00446613" w:rsidRPr="00807C85" w:rsidRDefault="00446613" w:rsidP="00D83827">
            <w:pPr>
              <w:pStyle w:val="ListBullet"/>
              <w:numPr>
                <w:ilvl w:val="0"/>
                <w:numId w:val="17"/>
              </w:numPr>
              <w:ind w:right="113"/>
              <w:rPr>
                <w:rFonts w:cs="Arial"/>
                <w:b/>
                <w:bCs/>
                <w:szCs w:val="19"/>
              </w:rPr>
            </w:pPr>
            <w:r w:rsidRPr="00807C85">
              <w:rPr>
                <w:rFonts w:cs="Arial"/>
              </w:rPr>
              <w:t xml:space="preserve">The general trend for accredited delivery into regional Victoria over 2011 to 2013 was a decrease in reported student numbers. The exception to this trend was in regional North West Victoria, which experienced a five per cent increase in students. In contrast, the general trend for metropolitan Melbourne regional areas was increased accredited students over 2011 to 2013. The exception to this trend was metropolitan sections of North Eastern Victoria which experienced reduced student numbers (a 15 per cent reduction). The Adult Education Institutes reported a 2 per cent increase (100 additional students) in accredited delivery over 2011 to 2013. This contrasts a 13 per cent reduction in accredited numbers between 2012 and 2013. </w:t>
            </w:r>
          </w:p>
          <w:p w:rsidR="00446613" w:rsidRDefault="00446613" w:rsidP="00D83827">
            <w:pPr>
              <w:pStyle w:val="ListBullet"/>
              <w:numPr>
                <w:ilvl w:val="0"/>
                <w:numId w:val="17"/>
              </w:numPr>
              <w:ind w:right="113"/>
              <w:rPr>
                <w:rFonts w:cs="Arial"/>
                <w:b/>
                <w:bCs/>
                <w:color w:val="76923C" w:themeColor="accent3" w:themeShade="BF"/>
                <w:szCs w:val="19"/>
              </w:rPr>
            </w:pPr>
            <w:r w:rsidRPr="00807C85">
              <w:rPr>
                <w:rFonts w:cs="Arial"/>
              </w:rPr>
              <w:t>In nearly all cases, there were significant increases in accredited students identified by the ACFE Board Priority Learner group categories over 2011 to 2013. For example, Learn Local delivery of accredited courses to Culturally and Linguistically Diverse (CALD) students increased by 1,900 over 2011 to 2013 (up 28 per cent). Similarly, there were 1,700 more Unemployed Victorians in accredited training with Learn Local providers over 2011 to 2013 (up 18 per cent). More vulnerable workers</w:t>
            </w:r>
            <w:r w:rsidRPr="00807C85">
              <w:rPr>
                <w:rStyle w:val="FootnoteReference"/>
              </w:rPr>
              <w:footnoteReference w:id="5"/>
            </w:r>
            <w:r w:rsidRPr="00807C85">
              <w:rPr>
                <w:rFonts w:cs="Arial"/>
              </w:rPr>
              <w:t xml:space="preserve"> underwent accredited training in 2013 than in 2011 (up 26 per cent to 7,300 students in 2013). The increases on 2011 reported delivery across the majority of ACFE Board Priority Learner groups contrast to twelve-month results for 2012-2013 where, for example, Early School Leavers enrolled in nationally accredited courses with Learn Local providers reported a single decrease of 2,200 enrolled learners between 2012 and 2013 (-24 per cent). In summary, the increased ACFE Board priority group students between 2011 and 2013 represented a significant uptake of these learner types into Learn Local (ACE) settings.</w:t>
            </w:r>
          </w:p>
        </w:tc>
      </w:tr>
    </w:tbl>
    <w:p w:rsidR="00446613" w:rsidRDefault="00446613" w:rsidP="00446613">
      <w:pPr>
        <w:pStyle w:val="Caption"/>
        <w:spacing w:after="0"/>
        <w:jc w:val="left"/>
        <w:rPr>
          <w:rFonts w:cs="Arial"/>
        </w:rPr>
      </w:pPr>
    </w:p>
    <w:p w:rsidR="00446613" w:rsidRDefault="00446613" w:rsidP="00446613">
      <w:pPr>
        <w:pStyle w:val="Caption"/>
        <w:spacing w:after="0"/>
        <w:jc w:val="left"/>
        <w:rPr>
          <w:rFonts w:cs="Arial"/>
        </w:rPr>
      </w:pPr>
    </w:p>
    <w:p w:rsidR="00D57A03" w:rsidRDefault="00D57A03">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446613" w:rsidRPr="002C3968" w:rsidRDefault="00446613" w:rsidP="00446613">
      <w:pPr>
        <w:pStyle w:val="Caption"/>
        <w:spacing w:after="0"/>
        <w:jc w:val="left"/>
        <w:rPr>
          <w:rFonts w:cs="Arial"/>
          <w:color w:val="365F91" w:themeColor="accent1" w:themeShade="BF"/>
        </w:rPr>
      </w:pPr>
      <w:r w:rsidRPr="002C3968">
        <w:rPr>
          <w:rFonts w:cs="Arial"/>
          <w:color w:val="365F91" w:themeColor="accent1" w:themeShade="BF"/>
        </w:rPr>
        <w:t>Table 1.2</w:t>
      </w:r>
      <w:r w:rsidR="000D420A">
        <w:rPr>
          <w:rFonts w:cs="Arial"/>
          <w:color w:val="365F91" w:themeColor="accent1" w:themeShade="BF"/>
        </w:rPr>
        <w:t>6</w:t>
      </w:r>
      <w:r w:rsidRPr="002C3968">
        <w:rPr>
          <w:rFonts w:cs="Arial"/>
          <w:color w:val="365F91" w:themeColor="accent1" w:themeShade="BF"/>
        </w:rPr>
        <w:t>.1: Government subsidised accredited training, Learn Local (ACE) providers, 2008-201</w:t>
      </w:r>
      <w:r>
        <w:rPr>
          <w:rFonts w:cs="Arial"/>
          <w:color w:val="365F91" w:themeColor="accent1" w:themeShade="BF"/>
        </w:rPr>
        <w:t>3</w:t>
      </w:r>
    </w:p>
    <w:tbl>
      <w:tblPr>
        <w:tblW w:w="9214" w:type="dxa"/>
        <w:tblInd w:w="108" w:type="dxa"/>
        <w:tblLayout w:type="fixed"/>
        <w:tblLook w:val="04A0" w:firstRow="1" w:lastRow="0" w:firstColumn="1" w:lastColumn="0" w:noHBand="0" w:noVBand="1"/>
      </w:tblPr>
      <w:tblGrid>
        <w:gridCol w:w="2552"/>
        <w:gridCol w:w="1110"/>
        <w:gridCol w:w="1110"/>
        <w:gridCol w:w="1111"/>
        <w:gridCol w:w="1110"/>
        <w:gridCol w:w="1110"/>
        <w:gridCol w:w="1111"/>
      </w:tblGrid>
      <w:tr w:rsidR="00446613" w:rsidRPr="002C3968" w:rsidTr="00446613">
        <w:trPr>
          <w:trHeight w:val="762"/>
        </w:trPr>
        <w:tc>
          <w:tcPr>
            <w:tcW w:w="2552" w:type="dxa"/>
            <w:tcBorders>
              <w:top w:val="single" w:sz="4" w:space="0" w:color="366092"/>
              <w:left w:val="single" w:sz="4" w:space="0" w:color="366092"/>
              <w:bottom w:val="nil"/>
              <w:right w:val="nil"/>
            </w:tcBorders>
            <w:shd w:val="clear" w:color="000000" w:fill="366092"/>
            <w:noWrap/>
            <w:vAlign w:val="center"/>
            <w:hideMark/>
          </w:tcPr>
          <w:p w:rsidR="00446613" w:rsidRPr="002C3968" w:rsidRDefault="00446613" w:rsidP="00446613">
            <w:pPr>
              <w:spacing w:after="0" w:line="240" w:lineRule="auto"/>
              <w:ind w:firstLineChars="100" w:firstLine="181"/>
              <w:jc w:val="left"/>
              <w:rPr>
                <w:rFonts w:cs="Arial"/>
                <w:b/>
                <w:bCs/>
                <w:color w:val="FFFFFF"/>
                <w:sz w:val="18"/>
                <w:szCs w:val="18"/>
                <w:lang w:eastAsia="en-AU"/>
              </w:rPr>
            </w:pPr>
            <w:r w:rsidRPr="002C3968">
              <w:rPr>
                <w:rFonts w:cs="Arial"/>
                <w:b/>
                <w:bCs/>
                <w:color w:val="FFFFFF"/>
                <w:sz w:val="18"/>
                <w:szCs w:val="18"/>
                <w:lang w:eastAsia="en-AU"/>
              </w:rPr>
              <w:t> </w:t>
            </w:r>
          </w:p>
        </w:tc>
        <w:tc>
          <w:tcPr>
            <w:tcW w:w="1110" w:type="dxa"/>
            <w:tcBorders>
              <w:top w:val="single" w:sz="4" w:space="0" w:color="366092"/>
              <w:left w:val="single" w:sz="4" w:space="0" w:color="366092"/>
              <w:bottom w:val="nil"/>
              <w:right w:val="nil"/>
            </w:tcBorders>
            <w:shd w:val="clear" w:color="000000" w:fill="366092"/>
            <w:vAlign w:val="center"/>
            <w:hideMark/>
          </w:tcPr>
          <w:p w:rsidR="00446613" w:rsidRPr="002C3968" w:rsidRDefault="00446613" w:rsidP="00446613">
            <w:pPr>
              <w:spacing w:after="0" w:line="240" w:lineRule="auto"/>
              <w:ind w:firstLineChars="100" w:firstLine="181"/>
              <w:jc w:val="right"/>
              <w:rPr>
                <w:rFonts w:cs="Arial"/>
                <w:b/>
                <w:bCs/>
                <w:color w:val="FFFFFF"/>
                <w:sz w:val="18"/>
                <w:szCs w:val="18"/>
                <w:lang w:eastAsia="en-AU"/>
              </w:rPr>
            </w:pPr>
            <w:r w:rsidRPr="002C3968">
              <w:rPr>
                <w:rFonts w:cs="Arial"/>
                <w:b/>
                <w:bCs/>
                <w:color w:val="FFFFFF"/>
                <w:sz w:val="18"/>
                <w:szCs w:val="18"/>
                <w:lang w:eastAsia="en-AU"/>
              </w:rPr>
              <w:t>2008</w:t>
            </w:r>
          </w:p>
        </w:tc>
        <w:tc>
          <w:tcPr>
            <w:tcW w:w="1110" w:type="dxa"/>
            <w:tcBorders>
              <w:top w:val="single" w:sz="4" w:space="0" w:color="366092"/>
              <w:left w:val="single" w:sz="4" w:space="0" w:color="366092"/>
              <w:bottom w:val="nil"/>
              <w:right w:val="nil"/>
            </w:tcBorders>
            <w:shd w:val="clear" w:color="000000" w:fill="366092"/>
            <w:vAlign w:val="center"/>
            <w:hideMark/>
          </w:tcPr>
          <w:p w:rsidR="00446613" w:rsidRPr="002C3968" w:rsidRDefault="00446613" w:rsidP="00446613">
            <w:pPr>
              <w:spacing w:after="0" w:line="240" w:lineRule="auto"/>
              <w:ind w:firstLineChars="100" w:firstLine="181"/>
              <w:jc w:val="right"/>
              <w:rPr>
                <w:rFonts w:cs="Arial"/>
                <w:b/>
                <w:bCs/>
                <w:color w:val="FFFFFF"/>
                <w:sz w:val="18"/>
                <w:szCs w:val="18"/>
                <w:lang w:eastAsia="en-AU"/>
              </w:rPr>
            </w:pPr>
            <w:r w:rsidRPr="002C3968">
              <w:rPr>
                <w:rFonts w:cs="Arial"/>
                <w:b/>
                <w:bCs/>
                <w:color w:val="FFFFFF"/>
                <w:sz w:val="18"/>
                <w:szCs w:val="18"/>
                <w:lang w:eastAsia="en-AU"/>
              </w:rPr>
              <w:t>2009</w:t>
            </w:r>
          </w:p>
        </w:tc>
        <w:tc>
          <w:tcPr>
            <w:tcW w:w="1111" w:type="dxa"/>
            <w:tcBorders>
              <w:top w:val="single" w:sz="4" w:space="0" w:color="366092"/>
              <w:left w:val="single" w:sz="4" w:space="0" w:color="366092"/>
              <w:bottom w:val="nil"/>
              <w:right w:val="nil"/>
            </w:tcBorders>
            <w:shd w:val="clear" w:color="000000" w:fill="366092"/>
            <w:vAlign w:val="center"/>
            <w:hideMark/>
          </w:tcPr>
          <w:p w:rsidR="00446613" w:rsidRPr="002C3968" w:rsidRDefault="00446613" w:rsidP="00446613">
            <w:pPr>
              <w:spacing w:after="0" w:line="240" w:lineRule="auto"/>
              <w:ind w:firstLineChars="100" w:firstLine="181"/>
              <w:jc w:val="right"/>
              <w:rPr>
                <w:rFonts w:cs="Arial"/>
                <w:b/>
                <w:bCs/>
                <w:color w:val="FFFFFF"/>
                <w:sz w:val="18"/>
                <w:szCs w:val="18"/>
                <w:lang w:eastAsia="en-AU"/>
              </w:rPr>
            </w:pPr>
            <w:r w:rsidRPr="002C3968">
              <w:rPr>
                <w:rFonts w:cs="Arial"/>
                <w:b/>
                <w:bCs/>
                <w:color w:val="FFFFFF"/>
                <w:sz w:val="18"/>
                <w:szCs w:val="18"/>
                <w:lang w:eastAsia="en-AU"/>
              </w:rPr>
              <w:t>2010</w:t>
            </w:r>
          </w:p>
        </w:tc>
        <w:tc>
          <w:tcPr>
            <w:tcW w:w="1110" w:type="dxa"/>
            <w:tcBorders>
              <w:top w:val="single" w:sz="4" w:space="0" w:color="366092"/>
              <w:left w:val="single" w:sz="4" w:space="0" w:color="366092"/>
              <w:bottom w:val="nil"/>
              <w:right w:val="nil"/>
            </w:tcBorders>
            <w:shd w:val="clear" w:color="000000" w:fill="366092"/>
            <w:vAlign w:val="center"/>
            <w:hideMark/>
          </w:tcPr>
          <w:p w:rsidR="00446613" w:rsidRPr="002C3968" w:rsidRDefault="00446613" w:rsidP="00446613">
            <w:pPr>
              <w:spacing w:after="0" w:line="240" w:lineRule="auto"/>
              <w:ind w:firstLineChars="100" w:firstLine="181"/>
              <w:jc w:val="right"/>
              <w:rPr>
                <w:rFonts w:cs="Arial"/>
                <w:b/>
                <w:bCs/>
                <w:color w:val="FFFFFF"/>
                <w:sz w:val="18"/>
                <w:szCs w:val="18"/>
                <w:lang w:eastAsia="en-AU"/>
              </w:rPr>
            </w:pPr>
            <w:r w:rsidRPr="002C3968">
              <w:rPr>
                <w:rFonts w:cs="Arial"/>
                <w:b/>
                <w:bCs/>
                <w:color w:val="FFFFFF"/>
                <w:sz w:val="18"/>
                <w:szCs w:val="18"/>
                <w:lang w:eastAsia="en-AU"/>
              </w:rPr>
              <w:t>2011</w:t>
            </w:r>
          </w:p>
        </w:tc>
        <w:tc>
          <w:tcPr>
            <w:tcW w:w="1110" w:type="dxa"/>
            <w:tcBorders>
              <w:top w:val="single" w:sz="4" w:space="0" w:color="366092"/>
              <w:left w:val="single" w:sz="4" w:space="0" w:color="366092"/>
              <w:bottom w:val="nil"/>
              <w:right w:val="nil"/>
            </w:tcBorders>
            <w:shd w:val="clear" w:color="000000" w:fill="366092"/>
            <w:vAlign w:val="center"/>
            <w:hideMark/>
          </w:tcPr>
          <w:p w:rsidR="00446613" w:rsidRPr="002C3968" w:rsidRDefault="00446613" w:rsidP="00446613">
            <w:pPr>
              <w:spacing w:after="0" w:line="240" w:lineRule="auto"/>
              <w:ind w:firstLineChars="100" w:firstLine="181"/>
              <w:jc w:val="right"/>
              <w:rPr>
                <w:rFonts w:cs="Arial"/>
                <w:b/>
                <w:bCs/>
                <w:color w:val="FFFFFF"/>
                <w:sz w:val="18"/>
                <w:szCs w:val="18"/>
                <w:lang w:eastAsia="en-AU"/>
              </w:rPr>
            </w:pPr>
            <w:r w:rsidRPr="002C3968">
              <w:rPr>
                <w:rFonts w:cs="Arial"/>
                <w:b/>
                <w:bCs/>
                <w:color w:val="FFFFFF"/>
                <w:sz w:val="18"/>
                <w:szCs w:val="18"/>
                <w:lang w:eastAsia="en-AU"/>
              </w:rPr>
              <w:t>2012</w:t>
            </w:r>
          </w:p>
        </w:tc>
        <w:tc>
          <w:tcPr>
            <w:tcW w:w="1111" w:type="dxa"/>
            <w:tcBorders>
              <w:top w:val="single" w:sz="4" w:space="0" w:color="366092"/>
              <w:left w:val="single" w:sz="4" w:space="0" w:color="366092"/>
              <w:bottom w:val="single" w:sz="4" w:space="0" w:color="366092"/>
              <w:right w:val="nil"/>
            </w:tcBorders>
            <w:shd w:val="clear" w:color="000000" w:fill="366092"/>
            <w:vAlign w:val="center"/>
            <w:hideMark/>
          </w:tcPr>
          <w:p w:rsidR="00446613" w:rsidRPr="002C3968" w:rsidRDefault="00446613" w:rsidP="00446613">
            <w:pPr>
              <w:spacing w:after="0" w:line="240" w:lineRule="auto"/>
              <w:ind w:firstLineChars="100" w:firstLine="181"/>
              <w:jc w:val="right"/>
              <w:rPr>
                <w:rFonts w:cs="Arial"/>
                <w:b/>
                <w:bCs/>
                <w:color w:val="FFFFFF"/>
                <w:sz w:val="18"/>
                <w:szCs w:val="18"/>
                <w:lang w:eastAsia="en-AU"/>
              </w:rPr>
            </w:pPr>
            <w:r w:rsidRPr="002C3968">
              <w:rPr>
                <w:rFonts w:cs="Arial"/>
                <w:b/>
                <w:bCs/>
                <w:color w:val="FFFFFF"/>
                <w:sz w:val="18"/>
                <w:szCs w:val="18"/>
                <w:lang w:eastAsia="en-AU"/>
              </w:rPr>
              <w:t>2013</w:t>
            </w:r>
          </w:p>
        </w:tc>
      </w:tr>
      <w:tr w:rsidR="00446613" w:rsidRPr="002C3968" w:rsidTr="00446613">
        <w:trPr>
          <w:trHeight w:val="398"/>
        </w:trPr>
        <w:tc>
          <w:tcPr>
            <w:tcW w:w="2552" w:type="dxa"/>
            <w:tcBorders>
              <w:top w:val="single" w:sz="4" w:space="0" w:color="366092"/>
              <w:left w:val="single" w:sz="4" w:space="0" w:color="366092"/>
              <w:bottom w:val="nil"/>
              <w:right w:val="nil"/>
            </w:tcBorders>
            <w:shd w:val="clear" w:color="000000" w:fill="FFFFFF"/>
            <w:noWrap/>
            <w:vAlign w:val="center"/>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Course Enrolments</w:t>
            </w:r>
          </w:p>
        </w:tc>
        <w:tc>
          <w:tcPr>
            <w:tcW w:w="1110" w:type="dxa"/>
            <w:tcBorders>
              <w:top w:val="single" w:sz="4" w:space="0" w:color="366092"/>
              <w:left w:val="single" w:sz="4" w:space="0" w:color="366092"/>
              <w:bottom w:val="nil"/>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27,900 </w:t>
            </w:r>
          </w:p>
        </w:tc>
        <w:tc>
          <w:tcPr>
            <w:tcW w:w="1110" w:type="dxa"/>
            <w:tcBorders>
              <w:top w:val="single" w:sz="4" w:space="0" w:color="366092"/>
              <w:left w:val="single" w:sz="4" w:space="0" w:color="366092"/>
              <w:bottom w:val="nil"/>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30,200 </w:t>
            </w:r>
          </w:p>
        </w:tc>
        <w:tc>
          <w:tcPr>
            <w:tcW w:w="1111" w:type="dxa"/>
            <w:tcBorders>
              <w:top w:val="single" w:sz="4" w:space="0" w:color="366092"/>
              <w:left w:val="single" w:sz="4" w:space="0" w:color="366092"/>
              <w:bottom w:val="nil"/>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27,100 </w:t>
            </w:r>
          </w:p>
        </w:tc>
        <w:tc>
          <w:tcPr>
            <w:tcW w:w="1110" w:type="dxa"/>
            <w:tcBorders>
              <w:top w:val="single" w:sz="4" w:space="0" w:color="366092"/>
              <w:left w:val="single" w:sz="4" w:space="0" w:color="366092"/>
              <w:bottom w:val="nil"/>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33,300 </w:t>
            </w:r>
          </w:p>
        </w:tc>
        <w:tc>
          <w:tcPr>
            <w:tcW w:w="1110" w:type="dxa"/>
            <w:tcBorders>
              <w:top w:val="single" w:sz="4" w:space="0" w:color="366092"/>
              <w:left w:val="single" w:sz="4" w:space="0" w:color="366092"/>
              <w:bottom w:val="nil"/>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45,800 </w:t>
            </w:r>
          </w:p>
        </w:tc>
        <w:tc>
          <w:tcPr>
            <w:tcW w:w="1111"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36,900 </w:t>
            </w:r>
          </w:p>
        </w:tc>
      </w:tr>
      <w:tr w:rsidR="00446613" w:rsidRPr="002C3968" w:rsidTr="00446613">
        <w:trPr>
          <w:trHeight w:val="342"/>
        </w:trPr>
        <w:tc>
          <w:tcPr>
            <w:tcW w:w="2552" w:type="dxa"/>
            <w:tcBorders>
              <w:top w:val="single" w:sz="4" w:space="0" w:color="366092"/>
              <w:left w:val="single" w:sz="4" w:space="0" w:color="366092"/>
              <w:bottom w:val="single" w:sz="4" w:space="0" w:color="366092"/>
              <w:right w:val="nil"/>
            </w:tcBorders>
            <w:shd w:val="clear" w:color="000000" w:fill="FFFFFF"/>
            <w:noWrap/>
            <w:vAlign w:val="center"/>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Student Contact Hours(millions)</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5.4 </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6.6 </w:t>
            </w:r>
          </w:p>
        </w:tc>
        <w:tc>
          <w:tcPr>
            <w:tcW w:w="1111"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6.7 </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8.5 </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11.9 </w:t>
            </w:r>
          </w:p>
        </w:tc>
        <w:tc>
          <w:tcPr>
            <w:tcW w:w="1111"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9.6 </w:t>
            </w:r>
          </w:p>
        </w:tc>
      </w:tr>
      <w:tr w:rsidR="00446613" w:rsidRPr="002C3968" w:rsidTr="00446613">
        <w:trPr>
          <w:trHeight w:val="342"/>
        </w:trPr>
        <w:tc>
          <w:tcPr>
            <w:tcW w:w="2552" w:type="dxa"/>
            <w:tcBorders>
              <w:top w:val="single" w:sz="4" w:space="0" w:color="366092"/>
              <w:left w:val="single" w:sz="4" w:space="0" w:color="366092"/>
              <w:bottom w:val="single" w:sz="4" w:space="0" w:color="366092"/>
              <w:right w:val="nil"/>
            </w:tcBorders>
            <w:shd w:val="clear" w:color="000000" w:fill="FFFFFF"/>
            <w:noWrap/>
            <w:vAlign w:val="center"/>
            <w:hideMark/>
          </w:tcPr>
          <w:p w:rsidR="00446613" w:rsidRPr="002C3968" w:rsidRDefault="00446613" w:rsidP="00446613">
            <w:pPr>
              <w:spacing w:after="0" w:line="240" w:lineRule="auto"/>
              <w:jc w:val="left"/>
              <w:rPr>
                <w:rFonts w:cs="Arial"/>
                <w:color w:val="366092"/>
                <w:sz w:val="18"/>
                <w:szCs w:val="18"/>
                <w:lang w:eastAsia="en-AU"/>
              </w:rPr>
            </w:pPr>
            <w:r w:rsidRPr="002C3968">
              <w:rPr>
                <w:rFonts w:cs="Arial"/>
                <w:color w:val="366092"/>
                <w:sz w:val="18"/>
                <w:szCs w:val="18"/>
                <w:lang w:eastAsia="en-AU"/>
              </w:rPr>
              <w:t>Students</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24,000 </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25,700 </w:t>
            </w:r>
          </w:p>
        </w:tc>
        <w:tc>
          <w:tcPr>
            <w:tcW w:w="1111"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23,700 </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27,500 </w:t>
            </w:r>
          </w:p>
        </w:tc>
        <w:tc>
          <w:tcPr>
            <w:tcW w:w="1110" w:type="dxa"/>
            <w:tcBorders>
              <w:top w:val="single" w:sz="4" w:space="0" w:color="366092"/>
              <w:left w:val="single" w:sz="4" w:space="0" w:color="366092"/>
              <w:bottom w:val="single" w:sz="4" w:space="0" w:color="366092"/>
              <w:right w:val="nil"/>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36,300 </w:t>
            </w:r>
          </w:p>
        </w:tc>
        <w:tc>
          <w:tcPr>
            <w:tcW w:w="1111"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2C3968" w:rsidRDefault="00446613" w:rsidP="00446613">
            <w:pPr>
              <w:spacing w:after="0" w:line="240" w:lineRule="auto"/>
              <w:jc w:val="right"/>
              <w:rPr>
                <w:rFonts w:cs="Arial"/>
                <w:sz w:val="18"/>
                <w:szCs w:val="18"/>
                <w:lang w:eastAsia="en-AU"/>
              </w:rPr>
            </w:pPr>
            <w:r w:rsidRPr="002C3968">
              <w:rPr>
                <w:rFonts w:cs="Arial"/>
                <w:sz w:val="18"/>
                <w:szCs w:val="18"/>
                <w:lang w:eastAsia="en-AU"/>
              </w:rPr>
              <w:t xml:space="preserve">29,700 </w:t>
            </w:r>
          </w:p>
        </w:tc>
      </w:tr>
    </w:tbl>
    <w:p w:rsidR="00446613" w:rsidRDefault="00446613" w:rsidP="00446613"/>
    <w:p w:rsidR="00446613" w:rsidRDefault="00446613" w:rsidP="00446613">
      <w:pPr>
        <w:pStyle w:val="Caption"/>
        <w:spacing w:after="0"/>
        <w:jc w:val="left"/>
        <w:rPr>
          <w:rFonts w:cs="Arial"/>
          <w:color w:val="365F91" w:themeColor="accent1" w:themeShade="BF"/>
        </w:rPr>
      </w:pPr>
      <w:r w:rsidRPr="00EE19F9">
        <w:rPr>
          <w:rFonts w:cs="Arial"/>
          <w:color w:val="365F91" w:themeColor="accent1" w:themeShade="BF"/>
        </w:rPr>
        <w:t>Table 1.2</w:t>
      </w:r>
      <w:r w:rsidR="000D420A">
        <w:rPr>
          <w:rFonts w:cs="Arial"/>
          <w:color w:val="365F91" w:themeColor="accent1" w:themeShade="BF"/>
        </w:rPr>
        <w:t>6</w:t>
      </w:r>
      <w:r w:rsidRPr="00EE19F9">
        <w:rPr>
          <w:rFonts w:cs="Arial"/>
          <w:color w:val="365F91" w:themeColor="accent1" w:themeShade="BF"/>
        </w:rPr>
        <w:t>.2: Change in government subsidised accredited training, Learn Local (ACE) providers</w:t>
      </w:r>
    </w:p>
    <w:tbl>
      <w:tblPr>
        <w:tblW w:w="6521" w:type="dxa"/>
        <w:tblInd w:w="108" w:type="dxa"/>
        <w:tblLook w:val="04A0" w:firstRow="1" w:lastRow="0" w:firstColumn="1" w:lastColumn="0" w:noHBand="0" w:noVBand="1"/>
      </w:tblPr>
      <w:tblGrid>
        <w:gridCol w:w="3060"/>
        <w:gridCol w:w="1120"/>
        <w:gridCol w:w="1120"/>
        <w:gridCol w:w="1221"/>
      </w:tblGrid>
      <w:tr w:rsidR="00446613" w:rsidRPr="00F27478" w:rsidTr="00446613">
        <w:trPr>
          <w:trHeight w:val="762"/>
        </w:trPr>
        <w:tc>
          <w:tcPr>
            <w:tcW w:w="306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46613" w:rsidRPr="00F27478" w:rsidRDefault="00446613" w:rsidP="00446613">
            <w:pPr>
              <w:spacing w:after="0" w:line="240" w:lineRule="auto"/>
              <w:ind w:firstLineChars="100" w:firstLine="181"/>
              <w:jc w:val="left"/>
              <w:rPr>
                <w:rFonts w:cs="Arial"/>
                <w:b/>
                <w:bCs/>
                <w:color w:val="FFFFFF"/>
                <w:sz w:val="18"/>
                <w:szCs w:val="18"/>
                <w:lang w:eastAsia="en-AU"/>
              </w:rPr>
            </w:pPr>
            <w:r w:rsidRPr="00F27478">
              <w:rPr>
                <w:rFonts w:cs="Arial"/>
                <w:b/>
                <w:bCs/>
                <w:color w:val="FFFFFF"/>
                <w:sz w:val="18"/>
                <w:szCs w:val="18"/>
                <w:lang w:eastAsia="en-AU"/>
              </w:rPr>
              <w:t>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F27478" w:rsidRDefault="00446613" w:rsidP="00446613">
            <w:pPr>
              <w:spacing w:after="0" w:line="240" w:lineRule="auto"/>
              <w:jc w:val="right"/>
              <w:rPr>
                <w:rFonts w:cs="Arial"/>
                <w:b/>
                <w:bCs/>
                <w:color w:val="FFFFFF"/>
                <w:sz w:val="18"/>
                <w:szCs w:val="18"/>
                <w:lang w:eastAsia="en-AU"/>
              </w:rPr>
            </w:pPr>
            <w:r w:rsidRPr="00F27478">
              <w:rPr>
                <w:rFonts w:cs="Arial"/>
                <w:b/>
                <w:bCs/>
                <w:color w:val="FFFFFF"/>
                <w:sz w:val="18"/>
                <w:szCs w:val="18"/>
                <w:lang w:eastAsia="en-AU"/>
              </w:rPr>
              <w:t>% change 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F27478" w:rsidRDefault="00446613" w:rsidP="00446613">
            <w:pPr>
              <w:spacing w:after="0" w:line="240" w:lineRule="auto"/>
              <w:jc w:val="right"/>
              <w:rPr>
                <w:rFonts w:cs="Arial"/>
                <w:b/>
                <w:bCs/>
                <w:color w:val="FFFFFF"/>
                <w:sz w:val="18"/>
                <w:szCs w:val="18"/>
                <w:lang w:eastAsia="en-AU"/>
              </w:rPr>
            </w:pPr>
            <w:r w:rsidRPr="00F27478">
              <w:rPr>
                <w:rFonts w:cs="Arial"/>
                <w:b/>
                <w:bCs/>
                <w:color w:val="FFFFFF"/>
                <w:sz w:val="18"/>
                <w:szCs w:val="18"/>
                <w:lang w:eastAsia="en-AU"/>
              </w:rPr>
              <w:t>% change 2011-2013</w:t>
            </w:r>
          </w:p>
        </w:tc>
        <w:tc>
          <w:tcPr>
            <w:tcW w:w="1221"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F27478" w:rsidRDefault="00446613" w:rsidP="00446613">
            <w:pPr>
              <w:spacing w:after="0" w:line="240" w:lineRule="auto"/>
              <w:jc w:val="right"/>
              <w:rPr>
                <w:rFonts w:cs="Arial"/>
                <w:b/>
                <w:bCs/>
                <w:color w:val="FFFFFF"/>
                <w:sz w:val="18"/>
                <w:szCs w:val="18"/>
                <w:lang w:eastAsia="en-AU"/>
              </w:rPr>
            </w:pPr>
            <w:r w:rsidRPr="00F27478">
              <w:rPr>
                <w:rFonts w:cs="Arial"/>
                <w:b/>
                <w:bCs/>
                <w:color w:val="FFFFFF"/>
                <w:sz w:val="18"/>
                <w:szCs w:val="18"/>
                <w:lang w:eastAsia="en-AU"/>
              </w:rPr>
              <w:t>% change 2012 - 2013</w:t>
            </w:r>
          </w:p>
        </w:tc>
      </w:tr>
      <w:tr w:rsidR="00446613" w:rsidRPr="00F27478" w:rsidTr="00446613">
        <w:trPr>
          <w:trHeight w:val="342"/>
        </w:trPr>
        <w:tc>
          <w:tcPr>
            <w:tcW w:w="3060" w:type="dxa"/>
            <w:tcBorders>
              <w:top w:val="nil"/>
              <w:left w:val="single" w:sz="4" w:space="0" w:color="366092"/>
              <w:bottom w:val="single" w:sz="4" w:space="0" w:color="366092"/>
              <w:right w:val="single" w:sz="4" w:space="0" w:color="366092"/>
            </w:tcBorders>
            <w:shd w:val="clear" w:color="000000" w:fill="FFFFFF"/>
            <w:noWrap/>
            <w:vAlign w:val="center"/>
            <w:hideMark/>
          </w:tcPr>
          <w:p w:rsidR="00446613" w:rsidRPr="00F27478" w:rsidRDefault="00446613" w:rsidP="00446613">
            <w:pPr>
              <w:spacing w:after="0" w:line="240" w:lineRule="auto"/>
              <w:jc w:val="left"/>
              <w:rPr>
                <w:rFonts w:cs="Arial"/>
                <w:color w:val="366092"/>
                <w:sz w:val="18"/>
                <w:szCs w:val="18"/>
                <w:lang w:eastAsia="en-AU"/>
              </w:rPr>
            </w:pPr>
            <w:r w:rsidRPr="00F27478">
              <w:rPr>
                <w:rFonts w:cs="Arial"/>
                <w:color w:val="366092"/>
                <w:sz w:val="18"/>
                <w:szCs w:val="18"/>
                <w:lang w:eastAsia="en-AU"/>
              </w:rPr>
              <w:t>Course Enrolments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32%</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11%</w:t>
            </w:r>
          </w:p>
        </w:tc>
        <w:tc>
          <w:tcPr>
            <w:tcW w:w="1221"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-19%</w:t>
            </w:r>
          </w:p>
        </w:tc>
      </w:tr>
      <w:tr w:rsidR="00446613" w:rsidRPr="00F27478" w:rsidTr="00446613">
        <w:trPr>
          <w:trHeight w:val="342"/>
        </w:trPr>
        <w:tc>
          <w:tcPr>
            <w:tcW w:w="3060" w:type="dxa"/>
            <w:tcBorders>
              <w:top w:val="nil"/>
              <w:left w:val="single" w:sz="4" w:space="0" w:color="366092"/>
              <w:bottom w:val="single" w:sz="4" w:space="0" w:color="366092"/>
              <w:right w:val="single" w:sz="4" w:space="0" w:color="366092"/>
            </w:tcBorders>
            <w:shd w:val="clear" w:color="000000" w:fill="FFFFFF"/>
            <w:noWrap/>
            <w:vAlign w:val="center"/>
            <w:hideMark/>
          </w:tcPr>
          <w:p w:rsidR="00446613" w:rsidRPr="00F27478" w:rsidRDefault="00446613" w:rsidP="00446613">
            <w:pPr>
              <w:spacing w:after="0" w:line="240" w:lineRule="auto"/>
              <w:jc w:val="left"/>
              <w:rPr>
                <w:rFonts w:cs="Arial"/>
                <w:color w:val="366092"/>
                <w:sz w:val="18"/>
                <w:szCs w:val="18"/>
                <w:lang w:eastAsia="en-AU"/>
              </w:rPr>
            </w:pPr>
            <w:r w:rsidRPr="00F27478">
              <w:rPr>
                <w:rFonts w:cs="Arial"/>
                <w:color w:val="366092"/>
                <w:sz w:val="18"/>
                <w:szCs w:val="18"/>
                <w:lang w:eastAsia="en-AU"/>
              </w:rPr>
              <w:t>Student Contact Hours(millions)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79%</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13%</w:t>
            </w:r>
          </w:p>
        </w:tc>
        <w:tc>
          <w:tcPr>
            <w:tcW w:w="1221"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-19%</w:t>
            </w:r>
          </w:p>
        </w:tc>
      </w:tr>
      <w:tr w:rsidR="00446613" w:rsidRPr="00F27478" w:rsidTr="00446613">
        <w:trPr>
          <w:trHeight w:val="342"/>
        </w:trPr>
        <w:tc>
          <w:tcPr>
            <w:tcW w:w="3060" w:type="dxa"/>
            <w:tcBorders>
              <w:top w:val="nil"/>
              <w:left w:val="single" w:sz="4" w:space="0" w:color="366092"/>
              <w:bottom w:val="single" w:sz="4" w:space="0" w:color="366092"/>
              <w:right w:val="single" w:sz="4" w:space="0" w:color="366092"/>
            </w:tcBorders>
            <w:shd w:val="clear" w:color="000000" w:fill="FFFFFF"/>
            <w:noWrap/>
            <w:vAlign w:val="center"/>
            <w:hideMark/>
          </w:tcPr>
          <w:p w:rsidR="00446613" w:rsidRPr="00F27478" w:rsidRDefault="00446613" w:rsidP="00446613">
            <w:pPr>
              <w:spacing w:after="0" w:line="240" w:lineRule="auto"/>
              <w:jc w:val="left"/>
              <w:rPr>
                <w:rFonts w:cs="Arial"/>
                <w:color w:val="366092"/>
                <w:sz w:val="18"/>
                <w:szCs w:val="18"/>
                <w:lang w:eastAsia="en-AU"/>
              </w:rPr>
            </w:pPr>
            <w:r w:rsidRPr="00F27478">
              <w:rPr>
                <w:rFonts w:cs="Arial"/>
                <w:color w:val="366092"/>
                <w:sz w:val="18"/>
                <w:szCs w:val="18"/>
                <w:lang w:eastAsia="en-AU"/>
              </w:rPr>
              <w:t>Students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24%</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8%</w:t>
            </w:r>
          </w:p>
        </w:tc>
        <w:tc>
          <w:tcPr>
            <w:tcW w:w="1221" w:type="dxa"/>
            <w:tcBorders>
              <w:top w:val="nil"/>
              <w:left w:val="nil"/>
              <w:bottom w:val="single" w:sz="4" w:space="0" w:color="366092"/>
              <w:right w:val="single" w:sz="4" w:space="0" w:color="366092"/>
            </w:tcBorders>
            <w:shd w:val="clear" w:color="auto" w:fill="auto"/>
            <w:noWrap/>
            <w:vAlign w:val="center"/>
            <w:hideMark/>
          </w:tcPr>
          <w:p w:rsidR="00446613" w:rsidRPr="00F27478" w:rsidRDefault="00446613" w:rsidP="00446613">
            <w:pPr>
              <w:spacing w:after="0" w:line="240" w:lineRule="auto"/>
              <w:jc w:val="right"/>
              <w:rPr>
                <w:rFonts w:cs="Arial"/>
                <w:sz w:val="18"/>
                <w:szCs w:val="18"/>
                <w:lang w:eastAsia="en-AU"/>
              </w:rPr>
            </w:pPr>
            <w:r w:rsidRPr="00F27478">
              <w:rPr>
                <w:rFonts w:cs="Arial"/>
                <w:sz w:val="18"/>
                <w:szCs w:val="18"/>
                <w:lang w:eastAsia="en-AU"/>
              </w:rPr>
              <w:t>-18%</w:t>
            </w:r>
          </w:p>
        </w:tc>
      </w:tr>
    </w:tbl>
    <w:p w:rsidR="00446613" w:rsidRDefault="00446613" w:rsidP="00446613"/>
    <w:p w:rsidR="00446613" w:rsidRDefault="00446613" w:rsidP="00446613"/>
    <w:p w:rsidR="00446613" w:rsidRPr="00EE19F9" w:rsidRDefault="00446613" w:rsidP="00446613"/>
    <w:p w:rsidR="00446613" w:rsidRPr="000C258B" w:rsidRDefault="00446613" w:rsidP="00446613">
      <w:pPr>
        <w:pStyle w:val="Caption"/>
        <w:spacing w:after="0"/>
        <w:jc w:val="left"/>
        <w:rPr>
          <w:rFonts w:cs="Arial"/>
          <w:color w:val="365F91" w:themeColor="accent1" w:themeShade="BF"/>
        </w:rPr>
      </w:pPr>
      <w:r w:rsidRPr="000C258B">
        <w:rPr>
          <w:rFonts w:cs="Arial"/>
          <w:color w:val="365F91" w:themeColor="accent1" w:themeShade="BF"/>
        </w:rPr>
        <w:t>Table 1.2</w:t>
      </w:r>
      <w:r w:rsidR="000D420A">
        <w:rPr>
          <w:rFonts w:cs="Arial"/>
          <w:color w:val="365F91" w:themeColor="accent1" w:themeShade="BF"/>
        </w:rPr>
        <w:t>7</w:t>
      </w:r>
      <w:r w:rsidRPr="000C258B">
        <w:rPr>
          <w:rFonts w:cs="Arial"/>
          <w:color w:val="365F91" w:themeColor="accent1" w:themeShade="BF"/>
        </w:rPr>
        <w:t xml:space="preserve">.1: Government subsidised students in accredited training with Learn Local (ACE) providers </w:t>
      </w:r>
      <w:r w:rsidRPr="000C258B">
        <w:rPr>
          <w:rFonts w:cs="Arial"/>
          <w:color w:val="365F91" w:themeColor="accent1" w:themeShade="BF"/>
        </w:rPr>
        <w:br/>
        <w:t>by departmental region, 2008-2013</w:t>
      </w:r>
    </w:p>
    <w:tbl>
      <w:tblPr>
        <w:tblW w:w="9078" w:type="dxa"/>
        <w:tblInd w:w="103" w:type="dxa"/>
        <w:tblLayout w:type="fixed"/>
        <w:tblLook w:val="04A0" w:firstRow="1" w:lastRow="0" w:firstColumn="1" w:lastColumn="0" w:noHBand="0" w:noVBand="1"/>
      </w:tblPr>
      <w:tblGrid>
        <w:gridCol w:w="1990"/>
        <w:gridCol w:w="1181"/>
        <w:gridCol w:w="1181"/>
        <w:gridCol w:w="1182"/>
        <w:gridCol w:w="1181"/>
        <w:gridCol w:w="1181"/>
        <w:gridCol w:w="1182"/>
      </w:tblGrid>
      <w:tr w:rsidR="00446613" w:rsidRPr="00F06DED" w:rsidTr="00446613">
        <w:trPr>
          <w:trHeight w:val="762"/>
        </w:trPr>
        <w:tc>
          <w:tcPr>
            <w:tcW w:w="1990" w:type="dxa"/>
            <w:tcBorders>
              <w:top w:val="single" w:sz="4" w:space="0" w:color="366092"/>
              <w:left w:val="single" w:sz="4" w:space="0" w:color="366092"/>
              <w:bottom w:val="nil"/>
              <w:right w:val="nil"/>
            </w:tcBorders>
            <w:shd w:val="clear" w:color="000000" w:fill="366092"/>
            <w:noWrap/>
            <w:vAlign w:val="center"/>
            <w:hideMark/>
          </w:tcPr>
          <w:p w:rsidR="00446613" w:rsidRPr="00F06DED" w:rsidRDefault="00446613" w:rsidP="00446613">
            <w:pPr>
              <w:spacing w:after="0" w:line="240" w:lineRule="auto"/>
              <w:jc w:val="left"/>
              <w:rPr>
                <w:rFonts w:cs="Arial"/>
                <w:b/>
                <w:bCs/>
                <w:color w:val="FFFFFF"/>
                <w:sz w:val="18"/>
                <w:szCs w:val="18"/>
                <w:lang w:eastAsia="en-AU"/>
              </w:rPr>
            </w:pPr>
            <w:r w:rsidRPr="00F06DED">
              <w:rPr>
                <w:rFonts w:cs="Arial"/>
                <w:b/>
                <w:bCs/>
                <w:color w:val="FFFFFF"/>
                <w:sz w:val="18"/>
                <w:szCs w:val="18"/>
                <w:lang w:eastAsia="en-AU"/>
              </w:rPr>
              <w:t>Delivery Location</w:t>
            </w:r>
          </w:p>
        </w:tc>
        <w:tc>
          <w:tcPr>
            <w:tcW w:w="1181" w:type="dxa"/>
            <w:tcBorders>
              <w:top w:val="single" w:sz="4" w:space="0" w:color="366092"/>
              <w:left w:val="single" w:sz="4" w:space="0" w:color="366092"/>
              <w:bottom w:val="nil"/>
              <w:right w:val="nil"/>
            </w:tcBorders>
            <w:shd w:val="clear" w:color="000000" w:fill="366092"/>
            <w:vAlign w:val="center"/>
            <w:hideMark/>
          </w:tcPr>
          <w:p w:rsidR="00446613" w:rsidRPr="00F06DED" w:rsidRDefault="00446613" w:rsidP="00446613">
            <w:pPr>
              <w:spacing w:after="0" w:line="240" w:lineRule="auto"/>
              <w:ind w:firstLineChars="100" w:firstLine="181"/>
              <w:jc w:val="right"/>
              <w:rPr>
                <w:rFonts w:cs="Arial"/>
                <w:b/>
                <w:bCs/>
                <w:color w:val="FFFFFF"/>
                <w:sz w:val="18"/>
                <w:szCs w:val="18"/>
                <w:lang w:eastAsia="en-AU"/>
              </w:rPr>
            </w:pPr>
            <w:r w:rsidRPr="00F06DED">
              <w:rPr>
                <w:rFonts w:cs="Arial"/>
                <w:b/>
                <w:bCs/>
                <w:color w:val="FFFFFF"/>
                <w:sz w:val="18"/>
                <w:szCs w:val="18"/>
                <w:lang w:eastAsia="en-AU"/>
              </w:rPr>
              <w:t>2008</w:t>
            </w:r>
          </w:p>
        </w:tc>
        <w:tc>
          <w:tcPr>
            <w:tcW w:w="1181" w:type="dxa"/>
            <w:tcBorders>
              <w:top w:val="single" w:sz="4" w:space="0" w:color="366092"/>
              <w:left w:val="single" w:sz="4" w:space="0" w:color="366092"/>
              <w:bottom w:val="nil"/>
              <w:right w:val="nil"/>
            </w:tcBorders>
            <w:shd w:val="clear" w:color="000000" w:fill="366092"/>
            <w:vAlign w:val="center"/>
            <w:hideMark/>
          </w:tcPr>
          <w:p w:rsidR="00446613" w:rsidRPr="00F06DED" w:rsidRDefault="00446613" w:rsidP="00446613">
            <w:pPr>
              <w:spacing w:after="0" w:line="240" w:lineRule="auto"/>
              <w:ind w:firstLineChars="100" w:firstLine="181"/>
              <w:jc w:val="right"/>
              <w:rPr>
                <w:rFonts w:cs="Arial"/>
                <w:b/>
                <w:bCs/>
                <w:color w:val="FFFFFF"/>
                <w:sz w:val="18"/>
                <w:szCs w:val="18"/>
                <w:lang w:eastAsia="en-AU"/>
              </w:rPr>
            </w:pPr>
            <w:r w:rsidRPr="00F06DED">
              <w:rPr>
                <w:rFonts w:cs="Arial"/>
                <w:b/>
                <w:bCs/>
                <w:color w:val="FFFFFF"/>
                <w:sz w:val="18"/>
                <w:szCs w:val="18"/>
                <w:lang w:eastAsia="en-AU"/>
              </w:rPr>
              <w:t>2009</w:t>
            </w:r>
          </w:p>
        </w:tc>
        <w:tc>
          <w:tcPr>
            <w:tcW w:w="1182" w:type="dxa"/>
            <w:tcBorders>
              <w:top w:val="single" w:sz="4" w:space="0" w:color="366092"/>
              <w:left w:val="single" w:sz="4" w:space="0" w:color="366092"/>
              <w:bottom w:val="nil"/>
              <w:right w:val="nil"/>
            </w:tcBorders>
            <w:shd w:val="clear" w:color="000000" w:fill="366092"/>
            <w:vAlign w:val="center"/>
            <w:hideMark/>
          </w:tcPr>
          <w:p w:rsidR="00446613" w:rsidRPr="00F06DED" w:rsidRDefault="00446613" w:rsidP="00446613">
            <w:pPr>
              <w:spacing w:after="0" w:line="240" w:lineRule="auto"/>
              <w:ind w:firstLineChars="100" w:firstLine="181"/>
              <w:jc w:val="right"/>
              <w:rPr>
                <w:rFonts w:cs="Arial"/>
                <w:b/>
                <w:bCs/>
                <w:color w:val="FFFFFF"/>
                <w:sz w:val="18"/>
                <w:szCs w:val="18"/>
                <w:lang w:eastAsia="en-AU"/>
              </w:rPr>
            </w:pPr>
            <w:r w:rsidRPr="00F06DED">
              <w:rPr>
                <w:rFonts w:cs="Arial"/>
                <w:b/>
                <w:bCs/>
                <w:color w:val="FFFFFF"/>
                <w:sz w:val="18"/>
                <w:szCs w:val="18"/>
                <w:lang w:eastAsia="en-AU"/>
              </w:rPr>
              <w:t>2010</w:t>
            </w:r>
          </w:p>
        </w:tc>
        <w:tc>
          <w:tcPr>
            <w:tcW w:w="1181" w:type="dxa"/>
            <w:tcBorders>
              <w:top w:val="single" w:sz="4" w:space="0" w:color="366092"/>
              <w:left w:val="single" w:sz="4" w:space="0" w:color="366092"/>
              <w:bottom w:val="nil"/>
              <w:right w:val="nil"/>
            </w:tcBorders>
            <w:shd w:val="clear" w:color="000000" w:fill="366092"/>
            <w:vAlign w:val="center"/>
            <w:hideMark/>
          </w:tcPr>
          <w:p w:rsidR="00446613" w:rsidRPr="00F06DED" w:rsidRDefault="00446613" w:rsidP="00446613">
            <w:pPr>
              <w:spacing w:after="0" w:line="240" w:lineRule="auto"/>
              <w:ind w:firstLineChars="100" w:firstLine="181"/>
              <w:jc w:val="right"/>
              <w:rPr>
                <w:rFonts w:cs="Arial"/>
                <w:b/>
                <w:bCs/>
                <w:color w:val="FFFFFF"/>
                <w:sz w:val="18"/>
                <w:szCs w:val="18"/>
                <w:lang w:eastAsia="en-AU"/>
              </w:rPr>
            </w:pPr>
            <w:r w:rsidRPr="00F06DED">
              <w:rPr>
                <w:rFonts w:cs="Arial"/>
                <w:b/>
                <w:bCs/>
                <w:color w:val="FFFFFF"/>
                <w:sz w:val="18"/>
                <w:szCs w:val="18"/>
                <w:lang w:eastAsia="en-AU"/>
              </w:rPr>
              <w:t>2011</w:t>
            </w:r>
          </w:p>
        </w:tc>
        <w:tc>
          <w:tcPr>
            <w:tcW w:w="1181" w:type="dxa"/>
            <w:tcBorders>
              <w:top w:val="single" w:sz="4" w:space="0" w:color="366092"/>
              <w:left w:val="single" w:sz="4" w:space="0" w:color="366092"/>
              <w:bottom w:val="nil"/>
              <w:right w:val="nil"/>
            </w:tcBorders>
            <w:shd w:val="clear" w:color="000000" w:fill="366092"/>
            <w:vAlign w:val="center"/>
            <w:hideMark/>
          </w:tcPr>
          <w:p w:rsidR="00446613" w:rsidRPr="00F06DED" w:rsidRDefault="00446613" w:rsidP="00446613">
            <w:pPr>
              <w:spacing w:after="0" w:line="240" w:lineRule="auto"/>
              <w:ind w:firstLineChars="100" w:firstLine="181"/>
              <w:jc w:val="right"/>
              <w:rPr>
                <w:rFonts w:cs="Arial"/>
                <w:b/>
                <w:bCs/>
                <w:color w:val="FFFFFF"/>
                <w:sz w:val="18"/>
                <w:szCs w:val="18"/>
                <w:lang w:eastAsia="en-AU"/>
              </w:rPr>
            </w:pPr>
            <w:r w:rsidRPr="00F06DED">
              <w:rPr>
                <w:rFonts w:cs="Arial"/>
                <w:b/>
                <w:bCs/>
                <w:color w:val="FFFFFF"/>
                <w:sz w:val="18"/>
                <w:szCs w:val="18"/>
                <w:lang w:eastAsia="en-AU"/>
              </w:rPr>
              <w:t>2012</w:t>
            </w:r>
          </w:p>
        </w:tc>
        <w:tc>
          <w:tcPr>
            <w:tcW w:w="1182" w:type="dxa"/>
            <w:tcBorders>
              <w:top w:val="single" w:sz="4" w:space="0" w:color="366092"/>
              <w:left w:val="single" w:sz="4" w:space="0" w:color="366092"/>
              <w:bottom w:val="single" w:sz="4" w:space="0" w:color="366092"/>
              <w:right w:val="nil"/>
            </w:tcBorders>
            <w:shd w:val="clear" w:color="000000" w:fill="366092"/>
            <w:vAlign w:val="center"/>
            <w:hideMark/>
          </w:tcPr>
          <w:p w:rsidR="00446613" w:rsidRPr="00F06DED" w:rsidRDefault="00446613" w:rsidP="00446613">
            <w:pPr>
              <w:spacing w:after="0" w:line="240" w:lineRule="auto"/>
              <w:ind w:firstLineChars="100" w:firstLine="181"/>
              <w:jc w:val="right"/>
              <w:rPr>
                <w:rFonts w:cs="Arial"/>
                <w:b/>
                <w:bCs/>
                <w:color w:val="FFFFFF"/>
                <w:sz w:val="18"/>
                <w:szCs w:val="18"/>
                <w:lang w:eastAsia="en-AU"/>
              </w:rPr>
            </w:pPr>
            <w:r w:rsidRPr="00F06DED">
              <w:rPr>
                <w:rFonts w:cs="Arial"/>
                <w:b/>
                <w:bCs/>
                <w:color w:val="FFFFFF"/>
                <w:sz w:val="18"/>
                <w:szCs w:val="18"/>
                <w:lang w:eastAsia="en-AU"/>
              </w:rPr>
              <w:t>2013</w:t>
            </w:r>
          </w:p>
        </w:tc>
      </w:tr>
      <w:tr w:rsidR="00446613" w:rsidRPr="00F06DED" w:rsidTr="00446613">
        <w:trPr>
          <w:trHeight w:val="342"/>
        </w:trPr>
        <w:tc>
          <w:tcPr>
            <w:tcW w:w="1990" w:type="dxa"/>
            <w:tcBorders>
              <w:top w:val="single" w:sz="4" w:space="0" w:color="366092"/>
              <w:left w:val="single" w:sz="4" w:space="0" w:color="366092"/>
              <w:bottom w:val="nil"/>
              <w:right w:val="nil"/>
            </w:tcBorders>
            <w:shd w:val="clear" w:color="000000" w:fill="FFFFFF"/>
            <w:noWrap/>
            <w:vAlign w:val="bottom"/>
            <w:hideMark/>
          </w:tcPr>
          <w:p w:rsidR="00446613" w:rsidRPr="00F06DED" w:rsidRDefault="00446613" w:rsidP="00446613">
            <w:pPr>
              <w:spacing w:after="0" w:line="240" w:lineRule="auto"/>
              <w:jc w:val="left"/>
              <w:rPr>
                <w:rFonts w:cs="Arial"/>
                <w:color w:val="366092"/>
                <w:sz w:val="18"/>
                <w:szCs w:val="18"/>
                <w:lang w:eastAsia="en-AU"/>
              </w:rPr>
            </w:pPr>
            <w:r w:rsidRPr="00F06DED">
              <w:rPr>
                <w:rFonts w:cs="Arial"/>
                <w:color w:val="366092"/>
                <w:sz w:val="18"/>
                <w:szCs w:val="18"/>
                <w:lang w:eastAsia="en-AU"/>
              </w:rPr>
              <w:t>South-Western</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5,300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6,200 </w:t>
            </w:r>
          </w:p>
        </w:tc>
        <w:tc>
          <w:tcPr>
            <w:tcW w:w="1182"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5,600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8,700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14,500 </w:t>
            </w:r>
          </w:p>
        </w:tc>
        <w:tc>
          <w:tcPr>
            <w:tcW w:w="1182"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8,500 </w:t>
            </w:r>
          </w:p>
        </w:tc>
      </w:tr>
      <w:tr w:rsidR="00446613" w:rsidRPr="00F06DED" w:rsidTr="00446613">
        <w:trPr>
          <w:trHeight w:val="342"/>
        </w:trPr>
        <w:tc>
          <w:tcPr>
            <w:tcW w:w="1990" w:type="dxa"/>
            <w:tcBorders>
              <w:top w:val="single" w:sz="4" w:space="0" w:color="366092"/>
              <w:left w:val="single" w:sz="4" w:space="0" w:color="366092"/>
              <w:bottom w:val="nil"/>
              <w:right w:val="nil"/>
            </w:tcBorders>
            <w:shd w:val="clear" w:color="000000" w:fill="FFFFFF"/>
            <w:noWrap/>
            <w:vAlign w:val="bottom"/>
            <w:hideMark/>
          </w:tcPr>
          <w:p w:rsidR="00446613" w:rsidRPr="00F06DED" w:rsidRDefault="00446613" w:rsidP="00446613">
            <w:pPr>
              <w:spacing w:after="0" w:line="240" w:lineRule="auto"/>
              <w:jc w:val="left"/>
              <w:rPr>
                <w:rFonts w:cs="Arial"/>
                <w:color w:val="366092"/>
                <w:sz w:val="18"/>
                <w:szCs w:val="18"/>
                <w:lang w:eastAsia="en-AU"/>
              </w:rPr>
            </w:pPr>
            <w:r w:rsidRPr="00F06DED">
              <w:rPr>
                <w:rFonts w:cs="Arial"/>
                <w:color w:val="366092"/>
                <w:sz w:val="18"/>
                <w:szCs w:val="18"/>
                <w:lang w:eastAsia="en-AU"/>
              </w:rPr>
              <w:t>North-Western</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4,800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5,200 </w:t>
            </w:r>
          </w:p>
        </w:tc>
        <w:tc>
          <w:tcPr>
            <w:tcW w:w="1182"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4,900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5,600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7,000 </w:t>
            </w:r>
          </w:p>
        </w:tc>
        <w:tc>
          <w:tcPr>
            <w:tcW w:w="1182"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7,700 </w:t>
            </w:r>
          </w:p>
        </w:tc>
      </w:tr>
      <w:tr w:rsidR="00446613" w:rsidRPr="00F06DED" w:rsidTr="00446613">
        <w:trPr>
          <w:trHeight w:val="342"/>
        </w:trPr>
        <w:tc>
          <w:tcPr>
            <w:tcW w:w="1990" w:type="dxa"/>
            <w:tcBorders>
              <w:top w:val="single" w:sz="4" w:space="0" w:color="366092"/>
              <w:left w:val="single" w:sz="4" w:space="0" w:color="366092"/>
              <w:bottom w:val="nil"/>
              <w:right w:val="nil"/>
            </w:tcBorders>
            <w:shd w:val="clear" w:color="000000" w:fill="FFFFFF"/>
            <w:noWrap/>
            <w:vAlign w:val="bottom"/>
            <w:hideMark/>
          </w:tcPr>
          <w:p w:rsidR="00446613" w:rsidRPr="00F06DED" w:rsidRDefault="00446613" w:rsidP="00446613">
            <w:pPr>
              <w:spacing w:after="0" w:line="240" w:lineRule="auto"/>
              <w:jc w:val="left"/>
              <w:rPr>
                <w:rFonts w:cs="Arial"/>
                <w:color w:val="366092"/>
                <w:sz w:val="18"/>
                <w:szCs w:val="18"/>
                <w:lang w:eastAsia="en-AU"/>
              </w:rPr>
            </w:pPr>
            <w:r w:rsidRPr="00F06DED">
              <w:rPr>
                <w:rFonts w:cs="Arial"/>
                <w:color w:val="366092"/>
                <w:sz w:val="18"/>
                <w:szCs w:val="18"/>
                <w:lang w:eastAsia="en-AU"/>
              </w:rPr>
              <w:t>North-Eastern</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5,700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5,600 </w:t>
            </w:r>
          </w:p>
        </w:tc>
        <w:tc>
          <w:tcPr>
            <w:tcW w:w="1182"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4,600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4,500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5,000 </w:t>
            </w:r>
          </w:p>
        </w:tc>
        <w:tc>
          <w:tcPr>
            <w:tcW w:w="1182"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4,100 </w:t>
            </w:r>
          </w:p>
        </w:tc>
      </w:tr>
      <w:tr w:rsidR="00446613" w:rsidRPr="00F06DED" w:rsidTr="00446613">
        <w:trPr>
          <w:trHeight w:val="342"/>
        </w:trPr>
        <w:tc>
          <w:tcPr>
            <w:tcW w:w="1990" w:type="dxa"/>
            <w:tcBorders>
              <w:top w:val="single" w:sz="4" w:space="0" w:color="366092"/>
              <w:left w:val="single" w:sz="4" w:space="0" w:color="366092"/>
              <w:bottom w:val="nil"/>
              <w:right w:val="nil"/>
            </w:tcBorders>
            <w:shd w:val="clear" w:color="000000" w:fill="FFFFFF"/>
            <w:noWrap/>
            <w:vAlign w:val="bottom"/>
            <w:hideMark/>
          </w:tcPr>
          <w:p w:rsidR="00446613" w:rsidRPr="00F06DED" w:rsidRDefault="00446613" w:rsidP="00446613">
            <w:pPr>
              <w:spacing w:after="0" w:line="240" w:lineRule="auto"/>
              <w:jc w:val="left"/>
              <w:rPr>
                <w:rFonts w:cs="Arial"/>
                <w:color w:val="366092"/>
                <w:sz w:val="18"/>
                <w:szCs w:val="18"/>
                <w:lang w:eastAsia="en-AU"/>
              </w:rPr>
            </w:pPr>
            <w:r w:rsidRPr="00F06DED">
              <w:rPr>
                <w:rFonts w:cs="Arial"/>
                <w:color w:val="366092"/>
                <w:sz w:val="18"/>
                <w:szCs w:val="18"/>
                <w:lang w:eastAsia="en-AU"/>
              </w:rPr>
              <w:t>South-Eastern</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4,100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4,700 </w:t>
            </w:r>
          </w:p>
        </w:tc>
        <w:tc>
          <w:tcPr>
            <w:tcW w:w="1182"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5,300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5,300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5,800 </w:t>
            </w:r>
          </w:p>
        </w:tc>
        <w:tc>
          <w:tcPr>
            <w:tcW w:w="1182"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5,900 </w:t>
            </w:r>
          </w:p>
        </w:tc>
      </w:tr>
      <w:tr w:rsidR="00446613" w:rsidRPr="00F06DED" w:rsidTr="00446613">
        <w:trPr>
          <w:trHeight w:val="342"/>
        </w:trPr>
        <w:tc>
          <w:tcPr>
            <w:tcW w:w="1990" w:type="dxa"/>
            <w:tcBorders>
              <w:top w:val="single" w:sz="4" w:space="0" w:color="366092"/>
              <w:left w:val="single" w:sz="4" w:space="0" w:color="366092"/>
              <w:bottom w:val="nil"/>
              <w:right w:val="nil"/>
            </w:tcBorders>
            <w:shd w:val="clear" w:color="000000" w:fill="FFFFFF"/>
            <w:noWrap/>
            <w:vAlign w:val="bottom"/>
            <w:hideMark/>
          </w:tcPr>
          <w:p w:rsidR="00446613" w:rsidRPr="00F06DED" w:rsidRDefault="00446613" w:rsidP="00446613">
            <w:pPr>
              <w:spacing w:after="0" w:line="240" w:lineRule="auto"/>
              <w:jc w:val="left"/>
              <w:rPr>
                <w:rFonts w:cs="Arial"/>
                <w:color w:val="366092"/>
                <w:sz w:val="18"/>
                <w:szCs w:val="18"/>
                <w:lang w:eastAsia="en-AU"/>
              </w:rPr>
            </w:pPr>
            <w:r w:rsidRPr="00F06DED">
              <w:rPr>
                <w:rFonts w:cs="Arial"/>
                <w:color w:val="366092"/>
                <w:sz w:val="18"/>
                <w:szCs w:val="18"/>
                <w:lang w:eastAsia="en-AU"/>
              </w:rPr>
              <w:t>AEIs</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4,100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4,000 </w:t>
            </w:r>
          </w:p>
        </w:tc>
        <w:tc>
          <w:tcPr>
            <w:tcW w:w="1182"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3,300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3,400 </w:t>
            </w:r>
          </w:p>
        </w:tc>
        <w:tc>
          <w:tcPr>
            <w:tcW w:w="1181" w:type="dxa"/>
            <w:tcBorders>
              <w:top w:val="single" w:sz="4" w:space="0" w:color="366092"/>
              <w:left w:val="single" w:sz="4" w:space="0" w:color="366092"/>
              <w:bottom w:val="nil"/>
              <w:right w:val="nil"/>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4,000 </w:t>
            </w:r>
          </w:p>
        </w:tc>
        <w:tc>
          <w:tcPr>
            <w:tcW w:w="1182"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446613" w:rsidRPr="00F06DED" w:rsidRDefault="00446613" w:rsidP="00446613">
            <w:pPr>
              <w:spacing w:after="0" w:line="240" w:lineRule="auto"/>
              <w:jc w:val="right"/>
              <w:rPr>
                <w:rFonts w:cs="Arial"/>
                <w:sz w:val="18"/>
                <w:szCs w:val="18"/>
                <w:lang w:eastAsia="en-AU"/>
              </w:rPr>
            </w:pPr>
            <w:r w:rsidRPr="00F06DED">
              <w:rPr>
                <w:rFonts w:cs="Arial"/>
                <w:sz w:val="18"/>
                <w:szCs w:val="18"/>
                <w:lang w:eastAsia="en-AU"/>
              </w:rPr>
              <w:t xml:space="preserve">3,500 </w:t>
            </w:r>
          </w:p>
        </w:tc>
      </w:tr>
      <w:tr w:rsidR="00446613" w:rsidRPr="00F06DED" w:rsidTr="00446613">
        <w:trPr>
          <w:trHeight w:val="342"/>
        </w:trPr>
        <w:tc>
          <w:tcPr>
            <w:tcW w:w="1990" w:type="dxa"/>
            <w:tcBorders>
              <w:top w:val="single" w:sz="4" w:space="0" w:color="366092"/>
              <w:left w:val="single" w:sz="4" w:space="0" w:color="366092"/>
              <w:bottom w:val="nil"/>
              <w:right w:val="nil"/>
            </w:tcBorders>
            <w:shd w:val="clear" w:color="000000" w:fill="366092"/>
            <w:noWrap/>
            <w:vAlign w:val="bottom"/>
            <w:hideMark/>
          </w:tcPr>
          <w:p w:rsidR="00446613" w:rsidRPr="00F06DED" w:rsidRDefault="00446613" w:rsidP="00446613">
            <w:pPr>
              <w:spacing w:after="0" w:line="240" w:lineRule="auto"/>
              <w:jc w:val="left"/>
              <w:rPr>
                <w:rFonts w:cs="Arial"/>
                <w:b/>
                <w:bCs/>
                <w:color w:val="FFFFFF"/>
                <w:sz w:val="18"/>
                <w:szCs w:val="18"/>
                <w:lang w:eastAsia="en-AU"/>
              </w:rPr>
            </w:pPr>
            <w:r w:rsidRPr="00F06DED">
              <w:rPr>
                <w:rFonts w:cs="Arial"/>
                <w:b/>
                <w:bCs/>
                <w:color w:val="FFFFFF"/>
                <w:sz w:val="18"/>
                <w:szCs w:val="18"/>
                <w:lang w:eastAsia="en-AU"/>
              </w:rPr>
              <w:t>Total</w:t>
            </w:r>
          </w:p>
        </w:tc>
        <w:tc>
          <w:tcPr>
            <w:tcW w:w="1181" w:type="dxa"/>
            <w:tcBorders>
              <w:top w:val="single" w:sz="4" w:space="0" w:color="366092"/>
              <w:left w:val="single" w:sz="4" w:space="0" w:color="366092"/>
              <w:bottom w:val="nil"/>
              <w:right w:val="nil"/>
            </w:tcBorders>
            <w:shd w:val="clear" w:color="000000" w:fill="366092"/>
            <w:noWrap/>
            <w:vAlign w:val="bottom"/>
            <w:hideMark/>
          </w:tcPr>
          <w:p w:rsidR="00446613" w:rsidRPr="00F06DED" w:rsidRDefault="00446613" w:rsidP="00446613">
            <w:pPr>
              <w:spacing w:after="0" w:line="240" w:lineRule="auto"/>
              <w:jc w:val="right"/>
              <w:rPr>
                <w:rFonts w:cs="Arial"/>
                <w:b/>
                <w:bCs/>
                <w:color w:val="FFFFFF"/>
                <w:sz w:val="18"/>
                <w:szCs w:val="18"/>
                <w:lang w:eastAsia="en-AU"/>
              </w:rPr>
            </w:pPr>
            <w:r w:rsidRPr="00F06DED">
              <w:rPr>
                <w:rFonts w:cs="Arial"/>
                <w:b/>
                <w:bCs/>
                <w:color w:val="FFFFFF"/>
                <w:sz w:val="18"/>
                <w:szCs w:val="18"/>
                <w:lang w:eastAsia="en-AU"/>
              </w:rPr>
              <w:t>24,000</w:t>
            </w:r>
          </w:p>
        </w:tc>
        <w:tc>
          <w:tcPr>
            <w:tcW w:w="1181" w:type="dxa"/>
            <w:tcBorders>
              <w:top w:val="single" w:sz="4" w:space="0" w:color="366092"/>
              <w:left w:val="single" w:sz="4" w:space="0" w:color="366092"/>
              <w:bottom w:val="nil"/>
              <w:right w:val="nil"/>
            </w:tcBorders>
            <w:shd w:val="clear" w:color="000000" w:fill="366092"/>
            <w:noWrap/>
            <w:vAlign w:val="bottom"/>
            <w:hideMark/>
          </w:tcPr>
          <w:p w:rsidR="00446613" w:rsidRPr="00F06DED" w:rsidRDefault="00446613" w:rsidP="00446613">
            <w:pPr>
              <w:spacing w:after="0" w:line="240" w:lineRule="auto"/>
              <w:jc w:val="right"/>
              <w:rPr>
                <w:rFonts w:cs="Arial"/>
                <w:b/>
                <w:bCs/>
                <w:color w:val="FFFFFF"/>
                <w:sz w:val="18"/>
                <w:szCs w:val="18"/>
                <w:lang w:eastAsia="en-AU"/>
              </w:rPr>
            </w:pPr>
            <w:r w:rsidRPr="00F06DED">
              <w:rPr>
                <w:rFonts w:cs="Arial"/>
                <w:b/>
                <w:bCs/>
                <w:color w:val="FFFFFF"/>
                <w:sz w:val="18"/>
                <w:szCs w:val="18"/>
                <w:lang w:eastAsia="en-AU"/>
              </w:rPr>
              <w:t>25,700</w:t>
            </w:r>
          </w:p>
        </w:tc>
        <w:tc>
          <w:tcPr>
            <w:tcW w:w="1182" w:type="dxa"/>
            <w:tcBorders>
              <w:top w:val="single" w:sz="4" w:space="0" w:color="366092"/>
              <w:left w:val="single" w:sz="4" w:space="0" w:color="366092"/>
              <w:bottom w:val="nil"/>
              <w:right w:val="nil"/>
            </w:tcBorders>
            <w:shd w:val="clear" w:color="000000" w:fill="366092"/>
            <w:noWrap/>
            <w:vAlign w:val="bottom"/>
            <w:hideMark/>
          </w:tcPr>
          <w:p w:rsidR="00446613" w:rsidRPr="00F06DED" w:rsidRDefault="00446613" w:rsidP="00446613">
            <w:pPr>
              <w:spacing w:after="0" w:line="240" w:lineRule="auto"/>
              <w:jc w:val="right"/>
              <w:rPr>
                <w:rFonts w:cs="Arial"/>
                <w:b/>
                <w:bCs/>
                <w:color w:val="FFFFFF"/>
                <w:sz w:val="18"/>
                <w:szCs w:val="18"/>
                <w:lang w:eastAsia="en-AU"/>
              </w:rPr>
            </w:pPr>
            <w:r w:rsidRPr="00F06DED">
              <w:rPr>
                <w:rFonts w:cs="Arial"/>
                <w:b/>
                <w:bCs/>
                <w:color w:val="FFFFFF"/>
                <w:sz w:val="18"/>
                <w:szCs w:val="18"/>
                <w:lang w:eastAsia="en-AU"/>
              </w:rPr>
              <w:t>23,700</w:t>
            </w:r>
          </w:p>
        </w:tc>
        <w:tc>
          <w:tcPr>
            <w:tcW w:w="1181" w:type="dxa"/>
            <w:tcBorders>
              <w:top w:val="single" w:sz="4" w:space="0" w:color="366092"/>
              <w:left w:val="single" w:sz="4" w:space="0" w:color="366092"/>
              <w:bottom w:val="nil"/>
              <w:right w:val="nil"/>
            </w:tcBorders>
            <w:shd w:val="clear" w:color="000000" w:fill="366092"/>
            <w:noWrap/>
            <w:vAlign w:val="bottom"/>
            <w:hideMark/>
          </w:tcPr>
          <w:p w:rsidR="00446613" w:rsidRPr="00F06DED" w:rsidRDefault="00446613" w:rsidP="00446613">
            <w:pPr>
              <w:spacing w:after="0" w:line="240" w:lineRule="auto"/>
              <w:jc w:val="right"/>
              <w:rPr>
                <w:rFonts w:cs="Arial"/>
                <w:b/>
                <w:bCs/>
                <w:color w:val="FFFFFF"/>
                <w:sz w:val="18"/>
                <w:szCs w:val="18"/>
                <w:lang w:eastAsia="en-AU"/>
              </w:rPr>
            </w:pPr>
            <w:r w:rsidRPr="00F06DED">
              <w:rPr>
                <w:rFonts w:cs="Arial"/>
                <w:b/>
                <w:bCs/>
                <w:color w:val="FFFFFF"/>
                <w:sz w:val="18"/>
                <w:szCs w:val="18"/>
                <w:lang w:eastAsia="en-AU"/>
              </w:rPr>
              <w:t>27,500</w:t>
            </w:r>
          </w:p>
        </w:tc>
        <w:tc>
          <w:tcPr>
            <w:tcW w:w="1181" w:type="dxa"/>
            <w:tcBorders>
              <w:top w:val="single" w:sz="4" w:space="0" w:color="366092"/>
              <w:left w:val="single" w:sz="4" w:space="0" w:color="366092"/>
              <w:bottom w:val="nil"/>
              <w:right w:val="nil"/>
            </w:tcBorders>
            <w:shd w:val="clear" w:color="000000" w:fill="366092"/>
            <w:noWrap/>
            <w:vAlign w:val="bottom"/>
            <w:hideMark/>
          </w:tcPr>
          <w:p w:rsidR="00446613" w:rsidRPr="00F06DED" w:rsidRDefault="00446613" w:rsidP="00446613">
            <w:pPr>
              <w:spacing w:after="0" w:line="240" w:lineRule="auto"/>
              <w:jc w:val="right"/>
              <w:rPr>
                <w:rFonts w:cs="Arial"/>
                <w:b/>
                <w:bCs/>
                <w:color w:val="FFFFFF"/>
                <w:sz w:val="18"/>
                <w:szCs w:val="18"/>
                <w:lang w:eastAsia="en-AU"/>
              </w:rPr>
            </w:pPr>
            <w:r w:rsidRPr="00F06DED">
              <w:rPr>
                <w:rFonts w:cs="Arial"/>
                <w:b/>
                <w:bCs/>
                <w:color w:val="FFFFFF"/>
                <w:sz w:val="18"/>
                <w:szCs w:val="18"/>
                <w:lang w:eastAsia="en-AU"/>
              </w:rPr>
              <w:t>36,300</w:t>
            </w:r>
          </w:p>
        </w:tc>
        <w:tc>
          <w:tcPr>
            <w:tcW w:w="1182" w:type="dxa"/>
            <w:tcBorders>
              <w:top w:val="single" w:sz="4" w:space="0" w:color="366092"/>
              <w:left w:val="single" w:sz="4" w:space="0" w:color="366092"/>
              <w:bottom w:val="nil"/>
              <w:right w:val="nil"/>
            </w:tcBorders>
            <w:shd w:val="clear" w:color="000000" w:fill="366092"/>
            <w:noWrap/>
            <w:vAlign w:val="bottom"/>
            <w:hideMark/>
          </w:tcPr>
          <w:p w:rsidR="00446613" w:rsidRPr="00F06DED" w:rsidRDefault="00446613" w:rsidP="00446613">
            <w:pPr>
              <w:spacing w:after="0" w:line="240" w:lineRule="auto"/>
              <w:jc w:val="right"/>
              <w:rPr>
                <w:rFonts w:cs="Arial"/>
                <w:b/>
                <w:bCs/>
                <w:color w:val="FFFFFF"/>
                <w:sz w:val="18"/>
                <w:szCs w:val="18"/>
                <w:lang w:eastAsia="en-AU"/>
              </w:rPr>
            </w:pPr>
            <w:r w:rsidRPr="00F06DED">
              <w:rPr>
                <w:rFonts w:cs="Arial"/>
                <w:b/>
                <w:bCs/>
                <w:color w:val="FFFFFF"/>
                <w:sz w:val="18"/>
                <w:szCs w:val="18"/>
                <w:lang w:eastAsia="en-AU"/>
              </w:rPr>
              <w:t>29,700</w:t>
            </w:r>
          </w:p>
        </w:tc>
      </w:tr>
    </w:tbl>
    <w:p w:rsidR="00446613" w:rsidRPr="001F29E3" w:rsidRDefault="00446613" w:rsidP="00446613">
      <w:pPr>
        <w:rPr>
          <w:rFonts w:cs="Arial"/>
          <w:sz w:val="16"/>
          <w:szCs w:val="16"/>
        </w:rPr>
      </w:pPr>
      <w:r w:rsidRPr="001F29E3">
        <w:rPr>
          <w:rFonts w:cs="Arial"/>
          <w:sz w:val="16"/>
          <w:szCs w:val="16"/>
        </w:rPr>
        <w:t>AEIs: Adult Education Institutes</w:t>
      </w:r>
    </w:p>
    <w:p w:rsidR="00446613" w:rsidRDefault="00446613" w:rsidP="00446613">
      <w:pPr>
        <w:pStyle w:val="Caption"/>
        <w:jc w:val="left"/>
        <w:rPr>
          <w:rFonts w:cs="Arial"/>
        </w:rPr>
      </w:pPr>
    </w:p>
    <w:p w:rsidR="00446613" w:rsidRDefault="00446613" w:rsidP="00446613">
      <w:pPr>
        <w:pStyle w:val="Caption"/>
        <w:spacing w:after="0"/>
        <w:jc w:val="left"/>
        <w:rPr>
          <w:rFonts w:cs="Arial"/>
          <w:color w:val="365F91" w:themeColor="accent1" w:themeShade="BF"/>
        </w:rPr>
      </w:pPr>
      <w:r w:rsidRPr="0006077E">
        <w:rPr>
          <w:rFonts w:cs="Arial"/>
          <w:color w:val="365F91" w:themeColor="accent1" w:themeShade="BF"/>
        </w:rPr>
        <w:t>Table 1.2</w:t>
      </w:r>
      <w:r w:rsidR="000D420A">
        <w:rPr>
          <w:rFonts w:cs="Arial"/>
          <w:color w:val="365F91" w:themeColor="accent1" w:themeShade="BF"/>
        </w:rPr>
        <w:t>7</w:t>
      </w:r>
      <w:r>
        <w:rPr>
          <w:rFonts w:cs="Arial"/>
          <w:color w:val="365F91" w:themeColor="accent1" w:themeShade="BF"/>
        </w:rPr>
        <w:t>.2: Change in g</w:t>
      </w:r>
      <w:r w:rsidRPr="0006077E">
        <w:rPr>
          <w:rFonts w:cs="Arial"/>
          <w:color w:val="365F91" w:themeColor="accent1" w:themeShade="BF"/>
        </w:rPr>
        <w:t>overnment subsidised students in accredited training with Learn Local (ACE) providers by departmental region</w:t>
      </w:r>
    </w:p>
    <w:tbl>
      <w:tblPr>
        <w:tblW w:w="5534" w:type="dxa"/>
        <w:tblInd w:w="103" w:type="dxa"/>
        <w:tblLayout w:type="fixed"/>
        <w:tblLook w:val="04A0" w:firstRow="1" w:lastRow="0" w:firstColumn="1" w:lastColumn="0" w:noHBand="0" w:noVBand="1"/>
      </w:tblPr>
      <w:tblGrid>
        <w:gridCol w:w="1990"/>
        <w:gridCol w:w="1134"/>
        <w:gridCol w:w="1276"/>
        <w:gridCol w:w="1134"/>
      </w:tblGrid>
      <w:tr w:rsidR="00446613" w:rsidRPr="0006077E" w:rsidTr="00446613">
        <w:trPr>
          <w:trHeight w:val="762"/>
        </w:trPr>
        <w:tc>
          <w:tcPr>
            <w:tcW w:w="199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46613" w:rsidRPr="0006077E" w:rsidRDefault="00446613" w:rsidP="00446613">
            <w:pPr>
              <w:spacing w:after="0" w:line="240" w:lineRule="auto"/>
              <w:jc w:val="left"/>
              <w:rPr>
                <w:rFonts w:cs="Arial"/>
                <w:b/>
                <w:bCs/>
                <w:color w:val="FFFFFF"/>
                <w:sz w:val="18"/>
                <w:szCs w:val="18"/>
                <w:lang w:eastAsia="en-AU"/>
              </w:rPr>
            </w:pPr>
            <w:r w:rsidRPr="0006077E">
              <w:rPr>
                <w:rFonts w:cs="Arial"/>
                <w:b/>
                <w:bCs/>
                <w:color w:val="FFFFFF"/>
                <w:sz w:val="18"/>
                <w:szCs w:val="18"/>
                <w:lang w:eastAsia="en-AU"/>
              </w:rPr>
              <w:t>Delivery Location</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06077E" w:rsidRDefault="00446613" w:rsidP="00446613">
            <w:pPr>
              <w:spacing w:after="0" w:line="240" w:lineRule="auto"/>
              <w:jc w:val="right"/>
              <w:rPr>
                <w:rFonts w:cs="Arial"/>
                <w:b/>
                <w:bCs/>
                <w:color w:val="FFFFFF"/>
                <w:sz w:val="18"/>
                <w:szCs w:val="18"/>
                <w:lang w:eastAsia="en-AU"/>
              </w:rPr>
            </w:pPr>
            <w:r w:rsidRPr="0006077E">
              <w:rPr>
                <w:rFonts w:cs="Arial"/>
                <w:b/>
                <w:bCs/>
                <w:color w:val="FFFFFF"/>
                <w:sz w:val="18"/>
                <w:szCs w:val="18"/>
                <w:lang w:eastAsia="en-AU"/>
              </w:rPr>
              <w:t>% change 2008-2012</w:t>
            </w:r>
          </w:p>
        </w:tc>
        <w:tc>
          <w:tcPr>
            <w:tcW w:w="1276"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06077E" w:rsidRDefault="00446613" w:rsidP="00446613">
            <w:pPr>
              <w:spacing w:after="0" w:line="240" w:lineRule="auto"/>
              <w:jc w:val="right"/>
              <w:rPr>
                <w:rFonts w:cs="Arial"/>
                <w:b/>
                <w:bCs/>
                <w:color w:val="FFFFFF"/>
                <w:sz w:val="18"/>
                <w:szCs w:val="18"/>
                <w:lang w:eastAsia="en-AU"/>
              </w:rPr>
            </w:pPr>
            <w:r w:rsidRPr="0006077E">
              <w:rPr>
                <w:rFonts w:cs="Arial"/>
                <w:b/>
                <w:bCs/>
                <w:color w:val="FFFFFF"/>
                <w:sz w:val="18"/>
                <w:szCs w:val="18"/>
                <w:lang w:eastAsia="en-AU"/>
              </w:rPr>
              <w:t>% change 2011-2013</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06077E" w:rsidRDefault="00446613" w:rsidP="00446613">
            <w:pPr>
              <w:spacing w:after="0" w:line="240" w:lineRule="auto"/>
              <w:jc w:val="right"/>
              <w:rPr>
                <w:rFonts w:cs="Arial"/>
                <w:b/>
                <w:bCs/>
                <w:color w:val="FFFFFF"/>
                <w:sz w:val="18"/>
                <w:szCs w:val="18"/>
                <w:lang w:eastAsia="en-AU"/>
              </w:rPr>
            </w:pPr>
            <w:r w:rsidRPr="0006077E">
              <w:rPr>
                <w:rFonts w:cs="Arial"/>
                <w:b/>
                <w:bCs/>
                <w:color w:val="FFFFFF"/>
                <w:sz w:val="18"/>
                <w:szCs w:val="18"/>
                <w:lang w:eastAsia="en-AU"/>
              </w:rPr>
              <w:t>% change 2012 - 2013</w:t>
            </w:r>
          </w:p>
        </w:tc>
      </w:tr>
      <w:tr w:rsidR="00446613" w:rsidRPr="0006077E" w:rsidTr="00446613">
        <w:trPr>
          <w:trHeight w:val="342"/>
        </w:trPr>
        <w:tc>
          <w:tcPr>
            <w:tcW w:w="199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06077E" w:rsidRDefault="00446613" w:rsidP="00446613">
            <w:pPr>
              <w:spacing w:after="0" w:line="240" w:lineRule="auto"/>
              <w:jc w:val="left"/>
              <w:rPr>
                <w:rFonts w:cs="Arial"/>
                <w:color w:val="366092"/>
                <w:sz w:val="18"/>
                <w:szCs w:val="18"/>
                <w:lang w:eastAsia="en-AU"/>
              </w:rPr>
            </w:pPr>
            <w:r w:rsidRPr="0006077E">
              <w:rPr>
                <w:rFonts w:cs="Arial"/>
                <w:color w:val="366092"/>
                <w:sz w:val="18"/>
                <w:szCs w:val="18"/>
                <w:lang w:eastAsia="en-AU"/>
              </w:rPr>
              <w:t>South-Western</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60%</w:t>
            </w:r>
          </w:p>
        </w:tc>
        <w:tc>
          <w:tcPr>
            <w:tcW w:w="1276"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66%</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-41%</w:t>
            </w:r>
          </w:p>
        </w:tc>
      </w:tr>
      <w:tr w:rsidR="00446613" w:rsidRPr="0006077E" w:rsidTr="00446613">
        <w:trPr>
          <w:trHeight w:val="342"/>
        </w:trPr>
        <w:tc>
          <w:tcPr>
            <w:tcW w:w="199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06077E" w:rsidRDefault="00446613" w:rsidP="00446613">
            <w:pPr>
              <w:spacing w:after="0" w:line="240" w:lineRule="auto"/>
              <w:jc w:val="left"/>
              <w:rPr>
                <w:rFonts w:cs="Arial"/>
                <w:color w:val="366092"/>
                <w:sz w:val="18"/>
                <w:szCs w:val="18"/>
                <w:lang w:eastAsia="en-AU"/>
              </w:rPr>
            </w:pPr>
            <w:r w:rsidRPr="0006077E">
              <w:rPr>
                <w:rFonts w:cs="Arial"/>
                <w:color w:val="366092"/>
                <w:sz w:val="18"/>
                <w:szCs w:val="18"/>
                <w:lang w:eastAsia="en-AU"/>
              </w:rPr>
              <w:t>North-Western</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60%</w:t>
            </w:r>
          </w:p>
        </w:tc>
        <w:tc>
          <w:tcPr>
            <w:tcW w:w="1276"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26%</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9%</w:t>
            </w:r>
          </w:p>
        </w:tc>
      </w:tr>
      <w:tr w:rsidR="00446613" w:rsidRPr="0006077E" w:rsidTr="00446613">
        <w:trPr>
          <w:trHeight w:val="342"/>
        </w:trPr>
        <w:tc>
          <w:tcPr>
            <w:tcW w:w="199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06077E" w:rsidRDefault="00446613" w:rsidP="00446613">
            <w:pPr>
              <w:spacing w:after="0" w:line="240" w:lineRule="auto"/>
              <w:jc w:val="left"/>
              <w:rPr>
                <w:rFonts w:cs="Arial"/>
                <w:color w:val="366092"/>
                <w:sz w:val="18"/>
                <w:szCs w:val="18"/>
                <w:lang w:eastAsia="en-AU"/>
              </w:rPr>
            </w:pPr>
            <w:r w:rsidRPr="0006077E">
              <w:rPr>
                <w:rFonts w:cs="Arial"/>
                <w:color w:val="366092"/>
                <w:sz w:val="18"/>
                <w:szCs w:val="18"/>
                <w:lang w:eastAsia="en-AU"/>
              </w:rPr>
              <w:t>North-Eastern</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-28%</w:t>
            </w:r>
          </w:p>
        </w:tc>
        <w:tc>
          <w:tcPr>
            <w:tcW w:w="1276"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11%</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-18%</w:t>
            </w:r>
          </w:p>
        </w:tc>
      </w:tr>
      <w:tr w:rsidR="00446613" w:rsidRPr="0006077E" w:rsidTr="00446613">
        <w:trPr>
          <w:trHeight w:val="342"/>
        </w:trPr>
        <w:tc>
          <w:tcPr>
            <w:tcW w:w="199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06077E" w:rsidRDefault="00446613" w:rsidP="00446613">
            <w:pPr>
              <w:spacing w:after="0" w:line="240" w:lineRule="auto"/>
              <w:jc w:val="left"/>
              <w:rPr>
                <w:rFonts w:cs="Arial"/>
                <w:color w:val="366092"/>
                <w:sz w:val="18"/>
                <w:szCs w:val="18"/>
                <w:lang w:eastAsia="en-AU"/>
              </w:rPr>
            </w:pPr>
            <w:r w:rsidRPr="0006077E">
              <w:rPr>
                <w:rFonts w:cs="Arial"/>
                <w:color w:val="366092"/>
                <w:sz w:val="18"/>
                <w:szCs w:val="18"/>
                <w:lang w:eastAsia="en-AU"/>
              </w:rPr>
              <w:t>South-Eastern</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44%</w:t>
            </w:r>
          </w:p>
        </w:tc>
        <w:tc>
          <w:tcPr>
            <w:tcW w:w="1276"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10%</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2%</w:t>
            </w:r>
          </w:p>
        </w:tc>
      </w:tr>
      <w:tr w:rsidR="00446613" w:rsidRPr="0006077E" w:rsidTr="00446613">
        <w:trPr>
          <w:trHeight w:val="342"/>
        </w:trPr>
        <w:tc>
          <w:tcPr>
            <w:tcW w:w="199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06077E" w:rsidRDefault="00446613" w:rsidP="00446613">
            <w:pPr>
              <w:spacing w:after="0" w:line="240" w:lineRule="auto"/>
              <w:jc w:val="left"/>
              <w:rPr>
                <w:rFonts w:cs="Arial"/>
                <w:color w:val="366092"/>
                <w:sz w:val="18"/>
                <w:szCs w:val="18"/>
                <w:lang w:eastAsia="en-AU"/>
              </w:rPr>
            </w:pPr>
            <w:r w:rsidRPr="0006077E">
              <w:rPr>
                <w:rFonts w:cs="Arial"/>
                <w:color w:val="366092"/>
                <w:sz w:val="18"/>
                <w:szCs w:val="18"/>
                <w:lang w:eastAsia="en-AU"/>
              </w:rPr>
              <w:t>AEIs</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-15%</w:t>
            </w:r>
          </w:p>
        </w:tc>
        <w:tc>
          <w:tcPr>
            <w:tcW w:w="1276"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2%</w:t>
            </w:r>
          </w:p>
        </w:tc>
        <w:tc>
          <w:tcPr>
            <w:tcW w:w="1134" w:type="dxa"/>
            <w:tcBorders>
              <w:top w:val="nil"/>
              <w:left w:val="nil"/>
              <w:bottom w:val="single" w:sz="4" w:space="0" w:color="366092"/>
              <w:right w:val="single" w:sz="4" w:space="0" w:color="366092"/>
            </w:tcBorders>
            <w:shd w:val="clear" w:color="auto" w:fill="auto"/>
            <w:noWrap/>
            <w:vAlign w:val="center"/>
            <w:hideMark/>
          </w:tcPr>
          <w:p w:rsidR="00446613" w:rsidRPr="0006077E" w:rsidRDefault="00446613" w:rsidP="00446613">
            <w:pPr>
              <w:spacing w:after="0" w:line="240" w:lineRule="auto"/>
              <w:jc w:val="right"/>
              <w:rPr>
                <w:rFonts w:cs="Arial"/>
                <w:sz w:val="18"/>
                <w:szCs w:val="18"/>
                <w:lang w:eastAsia="en-AU"/>
              </w:rPr>
            </w:pPr>
            <w:r w:rsidRPr="0006077E">
              <w:rPr>
                <w:rFonts w:cs="Arial"/>
                <w:sz w:val="18"/>
                <w:szCs w:val="18"/>
                <w:lang w:eastAsia="en-AU"/>
              </w:rPr>
              <w:t>-13%</w:t>
            </w:r>
          </w:p>
        </w:tc>
      </w:tr>
      <w:tr w:rsidR="00446613" w:rsidRPr="0006077E" w:rsidTr="00446613">
        <w:trPr>
          <w:trHeight w:val="342"/>
        </w:trPr>
        <w:tc>
          <w:tcPr>
            <w:tcW w:w="1990" w:type="dxa"/>
            <w:tcBorders>
              <w:top w:val="nil"/>
              <w:left w:val="single" w:sz="4" w:space="0" w:color="366092"/>
              <w:bottom w:val="single" w:sz="4" w:space="0" w:color="366092"/>
              <w:right w:val="single" w:sz="4" w:space="0" w:color="366092"/>
            </w:tcBorders>
            <w:shd w:val="clear" w:color="000000" w:fill="366092"/>
            <w:noWrap/>
            <w:vAlign w:val="bottom"/>
            <w:hideMark/>
          </w:tcPr>
          <w:p w:rsidR="00446613" w:rsidRPr="0006077E" w:rsidRDefault="00446613" w:rsidP="00446613">
            <w:pPr>
              <w:spacing w:after="0" w:line="240" w:lineRule="auto"/>
              <w:jc w:val="left"/>
              <w:rPr>
                <w:rFonts w:cs="Arial"/>
                <w:b/>
                <w:bCs/>
                <w:color w:val="FFFFFF"/>
                <w:sz w:val="18"/>
                <w:szCs w:val="18"/>
                <w:lang w:eastAsia="en-AU"/>
              </w:rPr>
            </w:pPr>
            <w:r w:rsidRPr="0006077E">
              <w:rPr>
                <w:rFonts w:cs="Arial"/>
                <w:b/>
                <w:bCs/>
                <w:color w:val="FFFFFF"/>
                <w:sz w:val="18"/>
                <w:szCs w:val="18"/>
                <w:lang w:eastAsia="en-AU"/>
              </w:rPr>
              <w:t>Total</w:t>
            </w:r>
          </w:p>
        </w:tc>
        <w:tc>
          <w:tcPr>
            <w:tcW w:w="1134" w:type="dxa"/>
            <w:tcBorders>
              <w:top w:val="nil"/>
              <w:left w:val="nil"/>
              <w:bottom w:val="single" w:sz="4" w:space="0" w:color="366092"/>
              <w:right w:val="single" w:sz="4" w:space="0" w:color="366092"/>
            </w:tcBorders>
            <w:shd w:val="clear" w:color="000000" w:fill="366092"/>
            <w:noWrap/>
            <w:vAlign w:val="center"/>
            <w:hideMark/>
          </w:tcPr>
          <w:p w:rsidR="00446613" w:rsidRPr="0006077E" w:rsidRDefault="00446613" w:rsidP="00446613">
            <w:pPr>
              <w:spacing w:after="0" w:line="240" w:lineRule="auto"/>
              <w:jc w:val="right"/>
              <w:rPr>
                <w:rFonts w:cs="Arial"/>
                <w:b/>
                <w:bCs/>
                <w:color w:val="FFFFFF"/>
                <w:sz w:val="18"/>
                <w:szCs w:val="18"/>
                <w:lang w:eastAsia="en-AU"/>
              </w:rPr>
            </w:pPr>
            <w:r w:rsidRPr="0006077E">
              <w:rPr>
                <w:rFonts w:cs="Arial"/>
                <w:b/>
                <w:bCs/>
                <w:color w:val="FFFFFF"/>
                <w:sz w:val="18"/>
                <w:szCs w:val="18"/>
                <w:lang w:eastAsia="en-AU"/>
              </w:rPr>
              <w:t>24%</w:t>
            </w:r>
          </w:p>
        </w:tc>
        <w:tc>
          <w:tcPr>
            <w:tcW w:w="1276" w:type="dxa"/>
            <w:tcBorders>
              <w:top w:val="nil"/>
              <w:left w:val="nil"/>
              <w:bottom w:val="single" w:sz="4" w:space="0" w:color="366092"/>
              <w:right w:val="single" w:sz="4" w:space="0" w:color="366092"/>
            </w:tcBorders>
            <w:shd w:val="clear" w:color="000000" w:fill="366092"/>
            <w:noWrap/>
            <w:vAlign w:val="center"/>
            <w:hideMark/>
          </w:tcPr>
          <w:p w:rsidR="00446613" w:rsidRPr="0006077E" w:rsidRDefault="00446613" w:rsidP="00446613">
            <w:pPr>
              <w:spacing w:after="0" w:line="240" w:lineRule="auto"/>
              <w:jc w:val="right"/>
              <w:rPr>
                <w:rFonts w:cs="Arial"/>
                <w:b/>
                <w:bCs/>
                <w:color w:val="FFFFFF"/>
                <w:sz w:val="18"/>
                <w:szCs w:val="18"/>
                <w:lang w:eastAsia="en-AU"/>
              </w:rPr>
            </w:pPr>
            <w:r w:rsidRPr="0006077E">
              <w:rPr>
                <w:rFonts w:cs="Arial"/>
                <w:b/>
                <w:bCs/>
                <w:color w:val="FFFFFF"/>
                <w:sz w:val="18"/>
                <w:szCs w:val="18"/>
                <w:lang w:eastAsia="en-AU"/>
              </w:rPr>
              <w:t>8%</w:t>
            </w:r>
          </w:p>
        </w:tc>
        <w:tc>
          <w:tcPr>
            <w:tcW w:w="1134" w:type="dxa"/>
            <w:tcBorders>
              <w:top w:val="nil"/>
              <w:left w:val="nil"/>
              <w:bottom w:val="single" w:sz="4" w:space="0" w:color="366092"/>
              <w:right w:val="single" w:sz="4" w:space="0" w:color="366092"/>
            </w:tcBorders>
            <w:shd w:val="clear" w:color="000000" w:fill="366092"/>
            <w:noWrap/>
            <w:vAlign w:val="center"/>
            <w:hideMark/>
          </w:tcPr>
          <w:p w:rsidR="00446613" w:rsidRPr="0006077E" w:rsidRDefault="00446613" w:rsidP="00446613">
            <w:pPr>
              <w:spacing w:after="0" w:line="240" w:lineRule="auto"/>
              <w:jc w:val="right"/>
              <w:rPr>
                <w:rFonts w:cs="Arial"/>
                <w:b/>
                <w:bCs/>
                <w:color w:val="FFFFFF"/>
                <w:sz w:val="18"/>
                <w:szCs w:val="18"/>
                <w:lang w:eastAsia="en-AU"/>
              </w:rPr>
            </w:pPr>
            <w:r w:rsidRPr="0006077E">
              <w:rPr>
                <w:rFonts w:cs="Arial"/>
                <w:b/>
                <w:bCs/>
                <w:color w:val="FFFFFF"/>
                <w:sz w:val="18"/>
                <w:szCs w:val="18"/>
                <w:lang w:eastAsia="en-AU"/>
              </w:rPr>
              <w:t>-18%</w:t>
            </w:r>
          </w:p>
        </w:tc>
      </w:tr>
    </w:tbl>
    <w:p w:rsidR="00446613" w:rsidRDefault="00446613" w:rsidP="00446613">
      <w:pPr>
        <w:rPr>
          <w:rFonts w:cs="Arial"/>
          <w:sz w:val="16"/>
          <w:szCs w:val="16"/>
        </w:rPr>
      </w:pPr>
      <w:r w:rsidRPr="001F29E3">
        <w:rPr>
          <w:rFonts w:cs="Arial"/>
          <w:sz w:val="16"/>
          <w:szCs w:val="16"/>
        </w:rPr>
        <w:t>AEIs: Adult Education Institutes</w:t>
      </w:r>
    </w:p>
    <w:p w:rsidR="00446613" w:rsidRDefault="00446613" w:rsidP="00446613">
      <w:pPr>
        <w:rPr>
          <w:rFonts w:cs="Arial"/>
          <w:sz w:val="16"/>
          <w:szCs w:val="16"/>
        </w:rPr>
      </w:pPr>
    </w:p>
    <w:p w:rsidR="00D57A03" w:rsidRDefault="00D57A03">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446613" w:rsidRDefault="00446613" w:rsidP="00446613">
      <w:pPr>
        <w:pStyle w:val="Caption"/>
        <w:spacing w:after="0"/>
        <w:jc w:val="left"/>
        <w:rPr>
          <w:rFonts w:cs="Arial"/>
          <w:color w:val="365F91" w:themeColor="accent1" w:themeShade="BF"/>
        </w:rPr>
      </w:pPr>
      <w:r w:rsidRPr="0006077E">
        <w:rPr>
          <w:rFonts w:cs="Arial"/>
          <w:color w:val="365F91" w:themeColor="accent1" w:themeShade="BF"/>
        </w:rPr>
        <w:t>Figure 1.</w:t>
      </w:r>
      <w:r w:rsidR="0090257E">
        <w:rPr>
          <w:rFonts w:cs="Arial"/>
          <w:color w:val="365F91" w:themeColor="accent1" w:themeShade="BF"/>
        </w:rPr>
        <w:t>9</w:t>
      </w:r>
      <w:r w:rsidRPr="0006077E">
        <w:rPr>
          <w:rFonts w:cs="Arial"/>
          <w:color w:val="365F91" w:themeColor="accent1" w:themeShade="BF"/>
        </w:rPr>
        <w:t xml:space="preserve">: Government subsidised students in accredited training with Learn Local (ACE) providers </w:t>
      </w:r>
      <w:r w:rsidRPr="0006077E">
        <w:rPr>
          <w:rFonts w:cs="Arial"/>
          <w:color w:val="365F91" w:themeColor="accent1" w:themeShade="BF"/>
        </w:rPr>
        <w:br/>
        <w:t>by regional area, 2011, 2012, 2013</w:t>
      </w:r>
    </w:p>
    <w:p w:rsidR="00446613" w:rsidRDefault="00446613" w:rsidP="00446613">
      <w:r>
        <w:rPr>
          <w:noProof/>
          <w:lang w:eastAsia="en-AU"/>
        </w:rPr>
        <w:drawing>
          <wp:inline distT="0" distB="0" distL="0" distR="0" wp14:anchorId="379C6650" wp14:editId="060DD386">
            <wp:extent cx="5819775" cy="232131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19775" cy="2321315"/>
                    </a:xfrm>
                    <a:prstGeom prst="rect">
                      <a:avLst/>
                    </a:prstGeom>
                    <a:noFill/>
                  </pic:spPr>
                </pic:pic>
              </a:graphicData>
            </a:graphic>
          </wp:inline>
        </w:drawing>
      </w:r>
    </w:p>
    <w:tbl>
      <w:tblPr>
        <w:tblW w:w="4937" w:type="pct"/>
        <w:tblInd w:w="10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850"/>
        <w:gridCol w:w="1815"/>
        <w:gridCol w:w="901"/>
        <w:gridCol w:w="1924"/>
        <w:gridCol w:w="901"/>
        <w:gridCol w:w="2780"/>
      </w:tblGrid>
      <w:tr w:rsidR="00446613" w:rsidRPr="00B9391D" w:rsidTr="00446613">
        <w:trPr>
          <w:trHeight w:val="255"/>
        </w:trPr>
        <w:tc>
          <w:tcPr>
            <w:tcW w:w="850"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BSW</w:t>
            </w:r>
          </w:p>
        </w:tc>
        <w:tc>
          <w:tcPr>
            <w:tcW w:w="1815"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Barwon South West</w:t>
            </w:r>
          </w:p>
        </w:tc>
        <w:tc>
          <w:tcPr>
            <w:tcW w:w="901"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HUM</w:t>
            </w:r>
          </w:p>
        </w:tc>
        <w:tc>
          <w:tcPr>
            <w:tcW w:w="1924"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Hume</w:t>
            </w:r>
          </w:p>
        </w:tc>
        <w:tc>
          <w:tcPr>
            <w:tcW w:w="901"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NWM</w:t>
            </w:r>
          </w:p>
        </w:tc>
        <w:tc>
          <w:tcPr>
            <w:tcW w:w="2780"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North Western Metropolitan</w:t>
            </w:r>
          </w:p>
        </w:tc>
      </w:tr>
      <w:tr w:rsidR="00446613" w:rsidRPr="00B9391D" w:rsidTr="00446613">
        <w:trPr>
          <w:trHeight w:val="255"/>
        </w:trPr>
        <w:tc>
          <w:tcPr>
            <w:tcW w:w="850"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GRA</w:t>
            </w:r>
          </w:p>
        </w:tc>
        <w:tc>
          <w:tcPr>
            <w:tcW w:w="1815"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Grampians</w:t>
            </w:r>
          </w:p>
        </w:tc>
        <w:tc>
          <w:tcPr>
            <w:tcW w:w="901"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GIP</w:t>
            </w:r>
          </w:p>
        </w:tc>
        <w:tc>
          <w:tcPr>
            <w:tcW w:w="1924"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Gippsland</w:t>
            </w:r>
          </w:p>
        </w:tc>
        <w:tc>
          <w:tcPr>
            <w:tcW w:w="901"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SM</w:t>
            </w:r>
          </w:p>
        </w:tc>
        <w:tc>
          <w:tcPr>
            <w:tcW w:w="2780"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Southern Metropolitan</w:t>
            </w:r>
          </w:p>
        </w:tc>
      </w:tr>
      <w:tr w:rsidR="00446613" w:rsidRPr="00B9391D" w:rsidTr="00446613">
        <w:trPr>
          <w:trHeight w:val="255"/>
        </w:trPr>
        <w:tc>
          <w:tcPr>
            <w:tcW w:w="850"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LMR</w:t>
            </w:r>
          </w:p>
        </w:tc>
        <w:tc>
          <w:tcPr>
            <w:tcW w:w="1815"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Loddon Mallee</w:t>
            </w:r>
          </w:p>
        </w:tc>
        <w:tc>
          <w:tcPr>
            <w:tcW w:w="901"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EM</w:t>
            </w:r>
          </w:p>
        </w:tc>
        <w:tc>
          <w:tcPr>
            <w:tcW w:w="1924"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Eastern Metropolitan</w:t>
            </w:r>
          </w:p>
        </w:tc>
        <w:tc>
          <w:tcPr>
            <w:tcW w:w="901"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AEIs</w:t>
            </w:r>
          </w:p>
        </w:tc>
        <w:tc>
          <w:tcPr>
            <w:tcW w:w="2780" w:type="dxa"/>
            <w:shd w:val="clear" w:color="000000" w:fill="FFFFFF"/>
            <w:noWrap/>
            <w:vAlign w:val="bottom"/>
            <w:hideMark/>
          </w:tcPr>
          <w:p w:rsidR="00446613" w:rsidRPr="00B9391D" w:rsidRDefault="00446613" w:rsidP="00446613">
            <w:pPr>
              <w:spacing w:after="0" w:line="240" w:lineRule="auto"/>
              <w:jc w:val="left"/>
              <w:rPr>
                <w:rFonts w:cs="Arial"/>
                <w:color w:val="365F91" w:themeColor="accent1" w:themeShade="BF"/>
                <w:sz w:val="16"/>
                <w:szCs w:val="16"/>
                <w:lang w:eastAsia="en-AU"/>
              </w:rPr>
            </w:pPr>
            <w:r w:rsidRPr="00B9391D">
              <w:rPr>
                <w:rFonts w:cs="Arial"/>
                <w:color w:val="365F91" w:themeColor="accent1" w:themeShade="BF"/>
                <w:sz w:val="16"/>
                <w:szCs w:val="16"/>
                <w:lang w:eastAsia="en-AU"/>
              </w:rPr>
              <w:t>Adult Education Institutes</w:t>
            </w:r>
          </w:p>
        </w:tc>
      </w:tr>
    </w:tbl>
    <w:p w:rsidR="00446613" w:rsidRDefault="00446613" w:rsidP="00446613"/>
    <w:p w:rsidR="00446613" w:rsidRDefault="00446613" w:rsidP="00446613">
      <w:pPr>
        <w:spacing w:after="0" w:line="240" w:lineRule="auto"/>
        <w:jc w:val="left"/>
      </w:pPr>
    </w:p>
    <w:p w:rsidR="00446613" w:rsidRPr="00B630DB" w:rsidRDefault="00446613" w:rsidP="00446613">
      <w:pPr>
        <w:pStyle w:val="Caption"/>
        <w:spacing w:after="0" w:line="240" w:lineRule="auto"/>
        <w:jc w:val="left"/>
        <w:rPr>
          <w:rFonts w:cs="Arial"/>
          <w:color w:val="365F91" w:themeColor="accent1" w:themeShade="BF"/>
        </w:rPr>
      </w:pPr>
      <w:r w:rsidRPr="00B630DB">
        <w:rPr>
          <w:rFonts w:cs="Arial"/>
          <w:color w:val="365F91" w:themeColor="accent1" w:themeShade="BF"/>
        </w:rPr>
        <w:t>Table 1.2</w:t>
      </w:r>
      <w:r w:rsidR="000D420A">
        <w:rPr>
          <w:rFonts w:cs="Arial"/>
          <w:color w:val="365F91" w:themeColor="accent1" w:themeShade="BF"/>
        </w:rPr>
        <w:t>8</w:t>
      </w:r>
      <w:r w:rsidRPr="00B630DB">
        <w:rPr>
          <w:rFonts w:cs="Arial"/>
          <w:color w:val="365F91" w:themeColor="accent1" w:themeShade="BF"/>
        </w:rPr>
        <w:t>.1: Government subsidised ACFE Board Priority Learners enrolled in accredited programs with Learn Local (ACE) providers, 2008-2013</w:t>
      </w:r>
    </w:p>
    <w:tbl>
      <w:tblPr>
        <w:tblW w:w="9185"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245"/>
        <w:gridCol w:w="1156"/>
        <w:gridCol w:w="1157"/>
        <w:gridCol w:w="1157"/>
        <w:gridCol w:w="1156"/>
        <w:gridCol w:w="1157"/>
        <w:gridCol w:w="1157"/>
      </w:tblGrid>
      <w:tr w:rsidR="00446613" w:rsidRPr="00B630DB" w:rsidTr="00446613">
        <w:trPr>
          <w:trHeight w:val="762"/>
        </w:trPr>
        <w:tc>
          <w:tcPr>
            <w:tcW w:w="2245" w:type="dxa"/>
            <w:shd w:val="clear" w:color="000000" w:fill="366092"/>
            <w:noWrap/>
            <w:vAlign w:val="center"/>
            <w:hideMark/>
          </w:tcPr>
          <w:p w:rsidR="00446613" w:rsidRPr="00B630DB" w:rsidRDefault="00446613" w:rsidP="00446613">
            <w:pPr>
              <w:spacing w:after="0" w:line="240" w:lineRule="auto"/>
              <w:jc w:val="left"/>
              <w:rPr>
                <w:rFonts w:cs="Arial"/>
                <w:b/>
                <w:bCs/>
                <w:color w:val="FFFFFF"/>
                <w:sz w:val="18"/>
                <w:szCs w:val="18"/>
                <w:lang w:eastAsia="en-AU"/>
              </w:rPr>
            </w:pPr>
            <w:r w:rsidRPr="00B630DB">
              <w:rPr>
                <w:rFonts w:cs="Arial"/>
                <w:b/>
                <w:bCs/>
                <w:color w:val="FFFFFF"/>
                <w:sz w:val="18"/>
                <w:szCs w:val="18"/>
                <w:lang w:eastAsia="en-AU"/>
              </w:rPr>
              <w:t> </w:t>
            </w:r>
          </w:p>
        </w:tc>
        <w:tc>
          <w:tcPr>
            <w:tcW w:w="1156" w:type="dxa"/>
            <w:shd w:val="clear" w:color="000000" w:fill="366092"/>
            <w:vAlign w:val="center"/>
            <w:hideMark/>
          </w:tcPr>
          <w:p w:rsidR="00446613" w:rsidRPr="00B630DB" w:rsidRDefault="00446613" w:rsidP="00446613">
            <w:pPr>
              <w:spacing w:after="0" w:line="240" w:lineRule="auto"/>
              <w:ind w:firstLineChars="100" w:firstLine="181"/>
              <w:jc w:val="right"/>
              <w:rPr>
                <w:rFonts w:cs="Arial"/>
                <w:b/>
                <w:bCs/>
                <w:color w:val="FFFFFF"/>
                <w:sz w:val="18"/>
                <w:szCs w:val="18"/>
                <w:lang w:eastAsia="en-AU"/>
              </w:rPr>
            </w:pPr>
            <w:r w:rsidRPr="00B630DB">
              <w:rPr>
                <w:rFonts w:cs="Arial"/>
                <w:b/>
                <w:bCs/>
                <w:color w:val="FFFFFF"/>
                <w:sz w:val="18"/>
                <w:szCs w:val="18"/>
                <w:lang w:eastAsia="en-AU"/>
              </w:rPr>
              <w:t>2008</w:t>
            </w:r>
          </w:p>
        </w:tc>
        <w:tc>
          <w:tcPr>
            <w:tcW w:w="1157" w:type="dxa"/>
            <w:shd w:val="clear" w:color="000000" w:fill="366092"/>
            <w:vAlign w:val="center"/>
            <w:hideMark/>
          </w:tcPr>
          <w:p w:rsidR="00446613" w:rsidRPr="00B630DB" w:rsidRDefault="00446613" w:rsidP="00446613">
            <w:pPr>
              <w:spacing w:after="0" w:line="240" w:lineRule="auto"/>
              <w:ind w:firstLineChars="100" w:firstLine="181"/>
              <w:jc w:val="right"/>
              <w:rPr>
                <w:rFonts w:cs="Arial"/>
                <w:b/>
                <w:bCs/>
                <w:color w:val="FFFFFF"/>
                <w:sz w:val="18"/>
                <w:szCs w:val="18"/>
                <w:lang w:eastAsia="en-AU"/>
              </w:rPr>
            </w:pPr>
            <w:r w:rsidRPr="00B630DB">
              <w:rPr>
                <w:rFonts w:cs="Arial"/>
                <w:b/>
                <w:bCs/>
                <w:color w:val="FFFFFF"/>
                <w:sz w:val="18"/>
                <w:szCs w:val="18"/>
                <w:lang w:eastAsia="en-AU"/>
              </w:rPr>
              <w:t>2009</w:t>
            </w:r>
          </w:p>
        </w:tc>
        <w:tc>
          <w:tcPr>
            <w:tcW w:w="1157" w:type="dxa"/>
            <w:shd w:val="clear" w:color="000000" w:fill="366092"/>
            <w:vAlign w:val="center"/>
            <w:hideMark/>
          </w:tcPr>
          <w:p w:rsidR="00446613" w:rsidRPr="00B630DB" w:rsidRDefault="00446613" w:rsidP="00446613">
            <w:pPr>
              <w:spacing w:after="0" w:line="240" w:lineRule="auto"/>
              <w:ind w:firstLineChars="100" w:firstLine="181"/>
              <w:jc w:val="right"/>
              <w:rPr>
                <w:rFonts w:cs="Arial"/>
                <w:b/>
                <w:bCs/>
                <w:color w:val="FFFFFF"/>
                <w:sz w:val="18"/>
                <w:szCs w:val="18"/>
                <w:lang w:eastAsia="en-AU"/>
              </w:rPr>
            </w:pPr>
            <w:r w:rsidRPr="00B630DB">
              <w:rPr>
                <w:rFonts w:cs="Arial"/>
                <w:b/>
                <w:bCs/>
                <w:color w:val="FFFFFF"/>
                <w:sz w:val="18"/>
                <w:szCs w:val="18"/>
                <w:lang w:eastAsia="en-AU"/>
              </w:rPr>
              <w:t>2010</w:t>
            </w:r>
          </w:p>
        </w:tc>
        <w:tc>
          <w:tcPr>
            <w:tcW w:w="1156" w:type="dxa"/>
            <w:shd w:val="clear" w:color="000000" w:fill="366092"/>
            <w:vAlign w:val="center"/>
            <w:hideMark/>
          </w:tcPr>
          <w:p w:rsidR="00446613" w:rsidRPr="00B630DB" w:rsidRDefault="00446613" w:rsidP="00446613">
            <w:pPr>
              <w:spacing w:after="0" w:line="240" w:lineRule="auto"/>
              <w:ind w:firstLineChars="100" w:firstLine="181"/>
              <w:jc w:val="right"/>
              <w:rPr>
                <w:rFonts w:cs="Arial"/>
                <w:b/>
                <w:bCs/>
                <w:color w:val="FFFFFF"/>
                <w:sz w:val="18"/>
                <w:szCs w:val="18"/>
                <w:lang w:eastAsia="en-AU"/>
              </w:rPr>
            </w:pPr>
            <w:r w:rsidRPr="00B630DB">
              <w:rPr>
                <w:rFonts w:cs="Arial"/>
                <w:b/>
                <w:bCs/>
                <w:color w:val="FFFFFF"/>
                <w:sz w:val="18"/>
                <w:szCs w:val="18"/>
                <w:lang w:eastAsia="en-AU"/>
              </w:rPr>
              <w:t>2011</w:t>
            </w:r>
          </w:p>
        </w:tc>
        <w:tc>
          <w:tcPr>
            <w:tcW w:w="1157" w:type="dxa"/>
            <w:shd w:val="clear" w:color="000000" w:fill="366092"/>
            <w:vAlign w:val="center"/>
            <w:hideMark/>
          </w:tcPr>
          <w:p w:rsidR="00446613" w:rsidRPr="00B630DB" w:rsidRDefault="00446613" w:rsidP="00446613">
            <w:pPr>
              <w:spacing w:after="0" w:line="240" w:lineRule="auto"/>
              <w:ind w:firstLineChars="100" w:firstLine="181"/>
              <w:jc w:val="right"/>
              <w:rPr>
                <w:rFonts w:cs="Arial"/>
                <w:b/>
                <w:bCs/>
                <w:color w:val="FFFFFF"/>
                <w:sz w:val="18"/>
                <w:szCs w:val="18"/>
                <w:lang w:eastAsia="en-AU"/>
              </w:rPr>
            </w:pPr>
            <w:r w:rsidRPr="00B630DB">
              <w:rPr>
                <w:rFonts w:cs="Arial"/>
                <w:b/>
                <w:bCs/>
                <w:color w:val="FFFFFF"/>
                <w:sz w:val="18"/>
                <w:szCs w:val="18"/>
                <w:lang w:eastAsia="en-AU"/>
              </w:rPr>
              <w:t>2012</w:t>
            </w:r>
          </w:p>
        </w:tc>
        <w:tc>
          <w:tcPr>
            <w:tcW w:w="1157" w:type="dxa"/>
            <w:shd w:val="clear" w:color="000000" w:fill="366092"/>
            <w:vAlign w:val="center"/>
            <w:hideMark/>
          </w:tcPr>
          <w:p w:rsidR="00446613" w:rsidRPr="00B630DB" w:rsidRDefault="00446613" w:rsidP="00446613">
            <w:pPr>
              <w:spacing w:after="0" w:line="240" w:lineRule="auto"/>
              <w:ind w:firstLineChars="100" w:firstLine="181"/>
              <w:jc w:val="right"/>
              <w:rPr>
                <w:rFonts w:cs="Arial"/>
                <w:b/>
                <w:bCs/>
                <w:color w:val="FFFFFF"/>
                <w:sz w:val="18"/>
                <w:szCs w:val="18"/>
                <w:lang w:eastAsia="en-AU"/>
              </w:rPr>
            </w:pPr>
            <w:r w:rsidRPr="00B630DB">
              <w:rPr>
                <w:rFonts w:cs="Arial"/>
                <w:b/>
                <w:bCs/>
                <w:color w:val="FFFFFF"/>
                <w:sz w:val="18"/>
                <w:szCs w:val="18"/>
                <w:lang w:eastAsia="en-AU"/>
              </w:rPr>
              <w:t>2013</w:t>
            </w:r>
          </w:p>
        </w:tc>
      </w:tr>
      <w:tr w:rsidR="00446613" w:rsidRPr="00B630DB" w:rsidTr="00446613">
        <w:trPr>
          <w:trHeight w:val="342"/>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CALD (LOTE)</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6,000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6,300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5,600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6,700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9,000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8,600 </w:t>
            </w:r>
          </w:p>
        </w:tc>
      </w:tr>
      <w:tr w:rsidR="00446613" w:rsidRPr="00B630DB" w:rsidTr="00446613">
        <w:trPr>
          <w:trHeight w:val="342"/>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Disability</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3,500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3,500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3,500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4,600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6,000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5,400 </w:t>
            </w:r>
          </w:p>
        </w:tc>
      </w:tr>
      <w:tr w:rsidR="00446613" w:rsidRPr="00B630DB" w:rsidTr="00446613">
        <w:trPr>
          <w:trHeight w:val="342"/>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Disengaged Youth</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1,500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2,000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1,700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2,600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3,700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3,100 </w:t>
            </w:r>
          </w:p>
        </w:tc>
      </w:tr>
      <w:tr w:rsidR="00446613" w:rsidRPr="00B630DB" w:rsidTr="00446613">
        <w:trPr>
          <w:trHeight w:val="342"/>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Early school leavers</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6,000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6,400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5,600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7,100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9,100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6,900 </w:t>
            </w:r>
          </w:p>
        </w:tc>
      </w:tr>
      <w:tr w:rsidR="00446613" w:rsidRPr="00B630DB" w:rsidTr="00446613">
        <w:trPr>
          <w:trHeight w:val="342"/>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Indigenous</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310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340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340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460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570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550 </w:t>
            </w:r>
          </w:p>
        </w:tc>
      </w:tr>
      <w:tr w:rsidR="00446613" w:rsidRPr="00B630DB" w:rsidTr="00446613">
        <w:trPr>
          <w:trHeight w:val="342"/>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Males 45 to 64</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1,600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1,800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1,700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2,100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2,600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2,200 </w:t>
            </w:r>
          </w:p>
        </w:tc>
      </w:tr>
      <w:tr w:rsidR="00446613" w:rsidRPr="00B630DB" w:rsidTr="00446613">
        <w:trPr>
          <w:trHeight w:val="342"/>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Unemployed</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6,100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7,300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6,900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9,400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13,700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11,100 </w:t>
            </w:r>
          </w:p>
        </w:tc>
      </w:tr>
      <w:tr w:rsidR="00446613" w:rsidRPr="00B630DB" w:rsidTr="00446613">
        <w:trPr>
          <w:trHeight w:val="255"/>
        </w:trPr>
        <w:tc>
          <w:tcPr>
            <w:tcW w:w="2245" w:type="dxa"/>
            <w:shd w:val="clear" w:color="000000" w:fill="FFFFFF"/>
            <w:noWrap/>
            <w:vAlign w:val="bottom"/>
            <w:hideMark/>
          </w:tcPr>
          <w:p w:rsidR="00446613" w:rsidRPr="00B630DB" w:rsidRDefault="00446613" w:rsidP="00446613">
            <w:pPr>
              <w:spacing w:after="0" w:line="240" w:lineRule="auto"/>
              <w:jc w:val="left"/>
              <w:rPr>
                <w:rFonts w:cs="Arial"/>
                <w:color w:val="366092"/>
                <w:sz w:val="18"/>
                <w:szCs w:val="18"/>
                <w:lang w:eastAsia="en-AU"/>
              </w:rPr>
            </w:pPr>
            <w:r w:rsidRPr="00B630DB">
              <w:rPr>
                <w:rFonts w:cs="Arial"/>
                <w:color w:val="366092"/>
                <w:sz w:val="18"/>
                <w:szCs w:val="18"/>
                <w:lang w:eastAsia="en-AU"/>
              </w:rPr>
              <w:t>Vulnerable workers</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4,700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5,100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4,800 </w:t>
            </w:r>
          </w:p>
        </w:tc>
        <w:tc>
          <w:tcPr>
            <w:tcW w:w="1156"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5,800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7,300 </w:t>
            </w:r>
          </w:p>
        </w:tc>
        <w:tc>
          <w:tcPr>
            <w:tcW w:w="1157" w:type="dxa"/>
            <w:shd w:val="clear" w:color="auto" w:fill="auto"/>
            <w:noWrap/>
            <w:vAlign w:val="bottom"/>
            <w:hideMark/>
          </w:tcPr>
          <w:p w:rsidR="00446613" w:rsidRPr="00B630DB" w:rsidRDefault="00446613" w:rsidP="00446613">
            <w:pPr>
              <w:spacing w:after="0" w:line="240" w:lineRule="auto"/>
              <w:jc w:val="right"/>
              <w:rPr>
                <w:rFonts w:cs="Arial"/>
                <w:sz w:val="18"/>
                <w:szCs w:val="18"/>
                <w:lang w:eastAsia="en-AU"/>
              </w:rPr>
            </w:pPr>
            <w:r w:rsidRPr="00B630DB">
              <w:rPr>
                <w:rFonts w:cs="Arial"/>
                <w:sz w:val="18"/>
                <w:szCs w:val="18"/>
                <w:lang w:eastAsia="en-AU"/>
              </w:rPr>
              <w:t xml:space="preserve">7,300 </w:t>
            </w:r>
          </w:p>
        </w:tc>
      </w:tr>
    </w:tbl>
    <w:p w:rsidR="00446613" w:rsidRPr="001F29E3" w:rsidRDefault="00446613" w:rsidP="00446613">
      <w:pPr>
        <w:jc w:val="left"/>
        <w:rPr>
          <w:rFonts w:cs="Arial"/>
          <w:sz w:val="16"/>
          <w:szCs w:val="16"/>
        </w:rPr>
      </w:pPr>
      <w:r w:rsidRPr="001F29E3">
        <w:rPr>
          <w:rFonts w:cs="Arial"/>
          <w:sz w:val="16"/>
          <w:szCs w:val="16"/>
        </w:rPr>
        <w:t xml:space="preserve">Note: </w:t>
      </w:r>
      <w:r>
        <w:rPr>
          <w:rFonts w:cs="Arial"/>
          <w:sz w:val="16"/>
          <w:szCs w:val="16"/>
        </w:rPr>
        <w:t xml:space="preserve">ACFE Board Priority Learner categories </w:t>
      </w:r>
      <w:r w:rsidRPr="001F29E3">
        <w:rPr>
          <w:rFonts w:cs="Arial"/>
          <w:sz w:val="16"/>
          <w:szCs w:val="16"/>
        </w:rPr>
        <w:t>are not mutually exclusive.</w:t>
      </w:r>
      <w:r>
        <w:rPr>
          <w:rFonts w:cs="Arial"/>
          <w:sz w:val="16"/>
          <w:szCs w:val="16"/>
        </w:rPr>
        <w:t xml:space="preserve"> </w:t>
      </w:r>
      <w:r w:rsidRPr="00150CC4">
        <w:rPr>
          <w:rFonts w:cs="Arial"/>
          <w:sz w:val="16"/>
          <w:szCs w:val="16"/>
        </w:rPr>
        <w:t xml:space="preserve">Detail on these categories is available at: </w:t>
      </w:r>
      <w:hyperlink r:id="rId43" w:history="1">
        <w:r w:rsidRPr="00150CC4">
          <w:rPr>
            <w:rStyle w:val="Hyperlink"/>
            <w:rFonts w:cs="Arial"/>
            <w:sz w:val="16"/>
            <w:szCs w:val="16"/>
          </w:rPr>
          <w:t>www.education.vic.gov.au/Documents/about/research/acfepublications/hardtoreachlearn.pdf</w:t>
        </w:r>
      </w:hyperlink>
    </w:p>
    <w:p w:rsidR="00446613" w:rsidRPr="001F29E3" w:rsidRDefault="00446613" w:rsidP="00446613">
      <w:pPr>
        <w:rPr>
          <w:rFonts w:cs="Arial"/>
          <w:sz w:val="16"/>
          <w:szCs w:val="16"/>
        </w:rPr>
      </w:pPr>
    </w:p>
    <w:p w:rsidR="00446613" w:rsidRPr="00B21594" w:rsidRDefault="00446613" w:rsidP="00446613">
      <w:pPr>
        <w:pStyle w:val="Caption"/>
        <w:spacing w:after="0"/>
        <w:jc w:val="left"/>
        <w:rPr>
          <w:rFonts w:cs="Arial"/>
          <w:color w:val="365F91" w:themeColor="accent1" w:themeShade="BF"/>
        </w:rPr>
      </w:pPr>
    </w:p>
    <w:p w:rsidR="00D57A03" w:rsidRDefault="00D57A03">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446613" w:rsidRPr="00B21594" w:rsidRDefault="00446613" w:rsidP="00446613">
      <w:pPr>
        <w:pStyle w:val="Caption"/>
        <w:spacing w:after="0"/>
        <w:jc w:val="left"/>
        <w:rPr>
          <w:rFonts w:cs="Arial"/>
          <w:color w:val="365F91" w:themeColor="accent1" w:themeShade="BF"/>
        </w:rPr>
      </w:pPr>
      <w:r w:rsidRPr="00B21594">
        <w:rPr>
          <w:rFonts w:cs="Arial"/>
          <w:color w:val="365F91" w:themeColor="accent1" w:themeShade="BF"/>
        </w:rPr>
        <w:t>Table 1.2</w:t>
      </w:r>
      <w:r w:rsidR="000D420A">
        <w:rPr>
          <w:rFonts w:cs="Arial"/>
          <w:color w:val="365F91" w:themeColor="accent1" w:themeShade="BF"/>
        </w:rPr>
        <w:t>8</w:t>
      </w:r>
      <w:r w:rsidRPr="00B21594">
        <w:rPr>
          <w:rFonts w:cs="Arial"/>
          <w:color w:val="365F91" w:themeColor="accent1" w:themeShade="BF"/>
        </w:rPr>
        <w:t>.2: Change in government subsidised ACFE Board Priority Learners enrolled in accredited programs with Learn Local (ACE) providers</w:t>
      </w:r>
    </w:p>
    <w:tbl>
      <w:tblPr>
        <w:tblW w:w="6600" w:type="dxa"/>
        <w:tblInd w:w="103" w:type="dxa"/>
        <w:tblLook w:val="04A0" w:firstRow="1" w:lastRow="0" w:firstColumn="1" w:lastColumn="0" w:noHBand="0" w:noVBand="1"/>
      </w:tblPr>
      <w:tblGrid>
        <w:gridCol w:w="3240"/>
        <w:gridCol w:w="1120"/>
        <w:gridCol w:w="1120"/>
        <w:gridCol w:w="1120"/>
      </w:tblGrid>
      <w:tr w:rsidR="00446613" w:rsidRPr="00B21594" w:rsidTr="00446613">
        <w:trPr>
          <w:trHeight w:val="762"/>
        </w:trPr>
        <w:tc>
          <w:tcPr>
            <w:tcW w:w="324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46613" w:rsidRPr="00B21594" w:rsidRDefault="00446613" w:rsidP="00446613">
            <w:pPr>
              <w:spacing w:after="0" w:line="240" w:lineRule="auto"/>
              <w:jc w:val="left"/>
              <w:rPr>
                <w:rFonts w:cs="Arial"/>
                <w:b/>
                <w:bCs/>
                <w:color w:val="FFFFFF"/>
                <w:sz w:val="18"/>
                <w:szCs w:val="18"/>
                <w:lang w:eastAsia="en-AU"/>
              </w:rPr>
            </w:pPr>
            <w:r w:rsidRPr="00B21594">
              <w:rPr>
                <w:rFonts w:cs="Arial"/>
                <w:b/>
                <w:bCs/>
                <w:color w:val="FFFFFF"/>
                <w:sz w:val="18"/>
                <w:szCs w:val="18"/>
                <w:lang w:eastAsia="en-AU"/>
              </w:rPr>
              <w:t>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B21594" w:rsidRDefault="00446613" w:rsidP="00446613">
            <w:pPr>
              <w:spacing w:after="0" w:line="240" w:lineRule="auto"/>
              <w:ind w:firstLineChars="100" w:firstLine="181"/>
              <w:jc w:val="right"/>
              <w:rPr>
                <w:rFonts w:cs="Arial"/>
                <w:b/>
                <w:bCs/>
                <w:color w:val="FFFFFF"/>
                <w:sz w:val="18"/>
                <w:szCs w:val="18"/>
                <w:lang w:eastAsia="en-AU"/>
              </w:rPr>
            </w:pPr>
            <w:r w:rsidRPr="00B21594">
              <w:rPr>
                <w:rFonts w:cs="Arial"/>
                <w:b/>
                <w:bCs/>
                <w:color w:val="FFFFFF"/>
                <w:sz w:val="18"/>
                <w:szCs w:val="18"/>
                <w:lang w:eastAsia="en-AU"/>
              </w:rPr>
              <w:t>% change 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B21594" w:rsidRDefault="00446613" w:rsidP="00446613">
            <w:pPr>
              <w:spacing w:after="0" w:line="240" w:lineRule="auto"/>
              <w:ind w:firstLineChars="100" w:firstLine="181"/>
              <w:jc w:val="right"/>
              <w:rPr>
                <w:rFonts w:cs="Arial"/>
                <w:b/>
                <w:bCs/>
                <w:color w:val="FFFFFF"/>
                <w:sz w:val="18"/>
                <w:szCs w:val="18"/>
                <w:lang w:eastAsia="en-AU"/>
              </w:rPr>
            </w:pPr>
            <w:r w:rsidRPr="00B21594">
              <w:rPr>
                <w:rFonts w:cs="Arial"/>
                <w:b/>
                <w:bCs/>
                <w:color w:val="FFFFFF"/>
                <w:sz w:val="18"/>
                <w:szCs w:val="18"/>
                <w:lang w:eastAsia="en-AU"/>
              </w:rPr>
              <w:t>% change 2011-2013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446613" w:rsidRPr="00B21594" w:rsidRDefault="00446613" w:rsidP="00446613">
            <w:pPr>
              <w:spacing w:after="0" w:line="240" w:lineRule="auto"/>
              <w:ind w:firstLineChars="100" w:firstLine="181"/>
              <w:jc w:val="right"/>
              <w:rPr>
                <w:rFonts w:cs="Arial"/>
                <w:b/>
                <w:bCs/>
                <w:color w:val="FFFFFF"/>
                <w:sz w:val="18"/>
                <w:szCs w:val="18"/>
                <w:lang w:eastAsia="en-AU"/>
              </w:rPr>
            </w:pPr>
            <w:r w:rsidRPr="00B21594">
              <w:rPr>
                <w:rFonts w:cs="Arial"/>
                <w:b/>
                <w:bCs/>
                <w:color w:val="FFFFFF"/>
                <w:sz w:val="18"/>
                <w:szCs w:val="18"/>
                <w:lang w:eastAsia="en-AU"/>
              </w:rPr>
              <w:t>% change 2012 - 2013</w:t>
            </w:r>
          </w:p>
        </w:tc>
      </w:tr>
      <w:tr w:rsidR="00446613" w:rsidRPr="00B21594"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CALD (LOTE)</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43%</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28%</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-4%</w:t>
            </w:r>
          </w:p>
        </w:tc>
      </w:tr>
      <w:tr w:rsidR="00446613" w:rsidRPr="00B21594"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Disability</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55%</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18%</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-10%</w:t>
            </w:r>
          </w:p>
        </w:tc>
      </w:tr>
      <w:tr w:rsidR="00446613" w:rsidRPr="00B21594"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Disengaged Youth</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102%</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18%</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-17%</w:t>
            </w:r>
          </w:p>
        </w:tc>
      </w:tr>
      <w:tr w:rsidR="00446613" w:rsidRPr="00B21594"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Early school leavers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16%</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-2%</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-24%</w:t>
            </w:r>
          </w:p>
        </w:tc>
      </w:tr>
      <w:tr w:rsidR="00446613" w:rsidRPr="00B21594"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Indigenous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80%</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20%</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-3%</w:t>
            </w:r>
          </w:p>
        </w:tc>
      </w:tr>
      <w:tr w:rsidR="00446613" w:rsidRPr="00B21594"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Males 45 to 64</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39%</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9%</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-13%</w:t>
            </w:r>
          </w:p>
        </w:tc>
      </w:tr>
      <w:tr w:rsidR="00446613" w:rsidRPr="00B21594" w:rsidTr="00446613">
        <w:trPr>
          <w:trHeight w:val="342"/>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Unemployed</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82%</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18%</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-19%</w:t>
            </w:r>
          </w:p>
        </w:tc>
      </w:tr>
      <w:tr w:rsidR="00446613" w:rsidRPr="00B21594" w:rsidTr="00446613">
        <w:trPr>
          <w:trHeight w:val="300"/>
        </w:trPr>
        <w:tc>
          <w:tcPr>
            <w:tcW w:w="3240" w:type="dxa"/>
            <w:tcBorders>
              <w:top w:val="nil"/>
              <w:left w:val="single" w:sz="4" w:space="0" w:color="366092"/>
              <w:bottom w:val="single" w:sz="4" w:space="0" w:color="366092"/>
              <w:right w:val="single" w:sz="4" w:space="0" w:color="366092"/>
            </w:tcBorders>
            <w:shd w:val="clear" w:color="000000" w:fill="FFFFFF"/>
            <w:noWrap/>
            <w:vAlign w:val="bottom"/>
            <w:hideMark/>
          </w:tcPr>
          <w:p w:rsidR="00446613" w:rsidRPr="00B21594" w:rsidRDefault="00446613" w:rsidP="00446613">
            <w:pPr>
              <w:spacing w:after="0" w:line="240" w:lineRule="auto"/>
              <w:jc w:val="left"/>
              <w:rPr>
                <w:rFonts w:cs="Arial"/>
                <w:color w:val="366092"/>
                <w:sz w:val="18"/>
                <w:szCs w:val="18"/>
                <w:lang w:eastAsia="en-AU"/>
              </w:rPr>
            </w:pPr>
            <w:r w:rsidRPr="00B21594">
              <w:rPr>
                <w:rFonts w:cs="Arial"/>
                <w:color w:val="366092"/>
                <w:sz w:val="18"/>
                <w:szCs w:val="18"/>
                <w:lang w:eastAsia="en-AU"/>
              </w:rPr>
              <w:t>Vulnerable workers</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55%</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27%</w:t>
            </w:r>
          </w:p>
        </w:tc>
        <w:tc>
          <w:tcPr>
            <w:tcW w:w="1120" w:type="dxa"/>
            <w:tcBorders>
              <w:top w:val="nil"/>
              <w:left w:val="nil"/>
              <w:bottom w:val="single" w:sz="4" w:space="0" w:color="366092"/>
              <w:right w:val="single" w:sz="4" w:space="0" w:color="366092"/>
            </w:tcBorders>
            <w:shd w:val="clear" w:color="auto" w:fill="auto"/>
            <w:noWrap/>
            <w:vAlign w:val="center"/>
            <w:hideMark/>
          </w:tcPr>
          <w:p w:rsidR="00446613" w:rsidRPr="00B21594" w:rsidRDefault="00446613" w:rsidP="00446613">
            <w:pPr>
              <w:spacing w:after="0" w:line="240" w:lineRule="auto"/>
              <w:jc w:val="right"/>
              <w:rPr>
                <w:rFonts w:cs="Arial"/>
                <w:sz w:val="18"/>
                <w:szCs w:val="18"/>
                <w:lang w:eastAsia="en-AU"/>
              </w:rPr>
            </w:pPr>
            <w:r w:rsidRPr="00B21594">
              <w:rPr>
                <w:rFonts w:cs="Arial"/>
                <w:sz w:val="18"/>
                <w:szCs w:val="18"/>
                <w:lang w:eastAsia="en-AU"/>
              </w:rPr>
              <w:t>1%</w:t>
            </w:r>
          </w:p>
        </w:tc>
      </w:tr>
    </w:tbl>
    <w:p w:rsidR="00446613" w:rsidRPr="001F29E3" w:rsidRDefault="00446613" w:rsidP="00446613">
      <w:pPr>
        <w:jc w:val="left"/>
        <w:rPr>
          <w:rFonts w:cs="Arial"/>
          <w:sz w:val="16"/>
          <w:szCs w:val="16"/>
        </w:rPr>
      </w:pPr>
      <w:r w:rsidRPr="001F29E3">
        <w:rPr>
          <w:rFonts w:cs="Arial"/>
          <w:sz w:val="16"/>
          <w:szCs w:val="16"/>
        </w:rPr>
        <w:t xml:space="preserve">Note: </w:t>
      </w:r>
      <w:r>
        <w:rPr>
          <w:rFonts w:cs="Arial"/>
          <w:sz w:val="16"/>
          <w:szCs w:val="16"/>
        </w:rPr>
        <w:t xml:space="preserve">ACFE Board Priority Learner categories </w:t>
      </w:r>
      <w:r w:rsidRPr="001F29E3">
        <w:rPr>
          <w:rFonts w:cs="Arial"/>
          <w:sz w:val="16"/>
          <w:szCs w:val="16"/>
        </w:rPr>
        <w:t>are not mutually exclusive.</w:t>
      </w:r>
      <w:r>
        <w:rPr>
          <w:rFonts w:cs="Arial"/>
          <w:sz w:val="16"/>
          <w:szCs w:val="16"/>
        </w:rPr>
        <w:t xml:space="preserve"> </w:t>
      </w:r>
      <w:r w:rsidRPr="00150CC4">
        <w:rPr>
          <w:rFonts w:cs="Arial"/>
          <w:sz w:val="16"/>
          <w:szCs w:val="16"/>
        </w:rPr>
        <w:t xml:space="preserve">Detail on these categories is available at: </w:t>
      </w:r>
      <w:hyperlink r:id="rId44" w:history="1">
        <w:r w:rsidRPr="00150CC4">
          <w:rPr>
            <w:rStyle w:val="Hyperlink"/>
            <w:rFonts w:cs="Arial"/>
            <w:sz w:val="16"/>
            <w:szCs w:val="16"/>
          </w:rPr>
          <w:t>www.education.vic.gov.au/Documents/about/research/acfepublications/hardtoreachlearn.pdf</w:t>
        </w:r>
      </w:hyperlink>
    </w:p>
    <w:p w:rsidR="00446613" w:rsidRPr="001F29E3" w:rsidRDefault="00446613" w:rsidP="00446613">
      <w:pPr>
        <w:rPr>
          <w:rFonts w:cs="Arial"/>
          <w:sz w:val="16"/>
          <w:szCs w:val="16"/>
        </w:rPr>
      </w:pPr>
    </w:p>
    <w:p w:rsidR="00446613" w:rsidRDefault="00446613" w:rsidP="00446613"/>
    <w:p w:rsidR="00483582" w:rsidRPr="001F29E3" w:rsidRDefault="00483582">
      <w:pPr>
        <w:spacing w:after="0" w:line="240" w:lineRule="auto"/>
        <w:jc w:val="left"/>
        <w:rPr>
          <w:rFonts w:cs="Arial"/>
          <w:color w:val="76923C" w:themeColor="accent3" w:themeShade="BF"/>
          <w:spacing w:val="-12"/>
          <w:sz w:val="46"/>
          <w:szCs w:val="46"/>
        </w:rPr>
      </w:pPr>
      <w:bookmarkStart w:id="66" w:name="_Toc346793030"/>
      <w:bookmarkStart w:id="67" w:name="_Ref350270885"/>
      <w:bookmarkStart w:id="68" w:name="_Ref350270891"/>
      <w:bookmarkStart w:id="69" w:name="_Ref350271465"/>
      <w:bookmarkStart w:id="70" w:name="_Ref350271472"/>
      <w:bookmarkStart w:id="71" w:name="_Ref350272597"/>
      <w:bookmarkStart w:id="72" w:name="_Ref350272601"/>
      <w:bookmarkStart w:id="73" w:name="_Toc322454245"/>
      <w:bookmarkStart w:id="74" w:name="_Toc316542835"/>
      <w:bookmarkStart w:id="75" w:name="_Toc316629596"/>
      <w:bookmarkStart w:id="76" w:name="_Toc317173958"/>
      <w:bookmarkEnd w:id="56"/>
      <w:bookmarkEnd w:id="57"/>
    </w:p>
    <w:p w:rsidR="00D57A03" w:rsidRDefault="00D57A03">
      <w:pPr>
        <w:spacing w:after="0" w:line="240" w:lineRule="auto"/>
        <w:jc w:val="left"/>
        <w:rPr>
          <w:color w:val="365F91" w:themeColor="accent1" w:themeShade="BF"/>
          <w:spacing w:val="-12"/>
          <w:sz w:val="46"/>
          <w:szCs w:val="46"/>
        </w:rPr>
      </w:pPr>
      <w:bookmarkStart w:id="77" w:name="_Ref350272660"/>
      <w:bookmarkStart w:id="78" w:name="_Ref350272515"/>
      <w:bookmarkStart w:id="79" w:name="_Ref350272506"/>
      <w:bookmarkStart w:id="80" w:name="_Ref350272253"/>
      <w:bookmarkStart w:id="81" w:name="_Ref350272247"/>
      <w:bookmarkStart w:id="82" w:name="_Toc349899150"/>
      <w:r>
        <w:br w:type="page"/>
      </w:r>
    </w:p>
    <w:p w:rsidR="00A43F0B" w:rsidRDefault="00B66680" w:rsidP="004970EB">
      <w:pPr>
        <w:pStyle w:val="Heading1"/>
      </w:pPr>
      <w:bookmarkStart w:id="83" w:name="_Toc388340450"/>
      <w:r>
        <w:t>Learners Facing Barriers to P</w:t>
      </w:r>
      <w:r w:rsidR="00A43F0B" w:rsidRPr="00A43F0B">
        <w:t>articipation</w:t>
      </w:r>
      <w:bookmarkEnd w:id="83"/>
    </w:p>
    <w:p w:rsidR="00D67B5E" w:rsidRPr="001F29E3" w:rsidRDefault="00D67B5E" w:rsidP="00D67B5E">
      <w:pPr>
        <w:pStyle w:val="Heading2"/>
      </w:pPr>
      <w:bookmarkStart w:id="84" w:name="_Toc388340451"/>
      <w:r w:rsidRPr="001F29E3">
        <w:t xml:space="preserve">Vocational Training Delivery </w:t>
      </w:r>
      <w:r>
        <w:t xml:space="preserve">to </w:t>
      </w:r>
      <w:r w:rsidRPr="001F29E3">
        <w:t>Learner</w:t>
      </w:r>
      <w:r>
        <w:t xml:space="preserve"> Cohorts</w:t>
      </w:r>
      <w:r w:rsidR="002C640A">
        <w:t xml:space="preserve"> Facing Barriers</w:t>
      </w:r>
      <w:bookmarkEnd w:id="84"/>
    </w:p>
    <w:p w:rsidR="00D67B5E" w:rsidRPr="002F07A2" w:rsidRDefault="00D67B5E" w:rsidP="00D67B5E">
      <w:pPr>
        <w:rPr>
          <w:rFonts w:cs="Arial"/>
        </w:rPr>
      </w:pPr>
      <w:r>
        <w:rPr>
          <w:rFonts w:cs="Arial"/>
        </w:rPr>
        <w:t xml:space="preserve">Young people </w:t>
      </w:r>
      <w:r w:rsidRPr="001F29E3">
        <w:rPr>
          <w:rFonts w:cs="Arial"/>
        </w:rPr>
        <w:t xml:space="preserve">and adult learners </w:t>
      </w:r>
      <w:r>
        <w:rPr>
          <w:rFonts w:cs="Arial"/>
        </w:rPr>
        <w:t xml:space="preserve">who may be </w:t>
      </w:r>
      <w:r w:rsidRPr="001F29E3">
        <w:rPr>
          <w:rFonts w:cs="Arial"/>
        </w:rPr>
        <w:t xml:space="preserve">members of more than one equity group, can have complex and multiple learning needs, and </w:t>
      </w:r>
      <w:r>
        <w:rPr>
          <w:rFonts w:cs="Arial"/>
        </w:rPr>
        <w:t xml:space="preserve">may </w:t>
      </w:r>
      <w:r w:rsidRPr="001F29E3">
        <w:rPr>
          <w:rFonts w:cs="Arial"/>
        </w:rPr>
        <w:t xml:space="preserve">have contact with a suite of </w:t>
      </w:r>
      <w:r>
        <w:rPr>
          <w:rFonts w:cs="Arial"/>
        </w:rPr>
        <w:t xml:space="preserve">government </w:t>
      </w:r>
      <w:r w:rsidRPr="001F29E3">
        <w:rPr>
          <w:rFonts w:cs="Arial"/>
        </w:rPr>
        <w:t xml:space="preserve">services and programs. There is a significant evidence base that demonstrates the value and importance of education and training to these population cohorts. However, higher needs learners may face a combination of barriers to effective engagement in education and training including low levels of previous educational achievement, low aspirations, and poor access to training and broader barriers such as poverty, homelessness and poor </w:t>
      </w:r>
      <w:r w:rsidRPr="002F07A2">
        <w:rPr>
          <w:rFonts w:cs="Arial"/>
        </w:rPr>
        <w:t xml:space="preserve">health. </w:t>
      </w:r>
    </w:p>
    <w:p w:rsidR="00D67B5E" w:rsidRDefault="00D67B5E" w:rsidP="00D67B5E">
      <w:pPr>
        <w:rPr>
          <w:rFonts w:cs="Arial"/>
        </w:rPr>
      </w:pPr>
      <w:r w:rsidRPr="002F07A2">
        <w:rPr>
          <w:rFonts w:cs="Arial"/>
        </w:rPr>
        <w:t>V</w:t>
      </w:r>
      <w:r w:rsidRPr="002F07A2">
        <w:rPr>
          <w:rFonts w:cs="Arial"/>
          <w:color w:val="000000"/>
        </w:rPr>
        <w:t>ocational training</w:t>
      </w:r>
      <w:r w:rsidRPr="002F07A2">
        <w:rPr>
          <w:rFonts w:cs="Arial"/>
        </w:rPr>
        <w:t xml:space="preserve"> has continued to be a critical enabler in opening</w:t>
      </w:r>
      <w:r w:rsidRPr="002F07A2">
        <w:rPr>
          <w:rFonts w:cs="Arial"/>
          <w:color w:val="FF0000"/>
        </w:rPr>
        <w:t xml:space="preserve"> </w:t>
      </w:r>
      <w:r w:rsidRPr="002F07A2">
        <w:rPr>
          <w:rFonts w:cs="Arial"/>
        </w:rPr>
        <w:t>up</w:t>
      </w:r>
      <w:r w:rsidRPr="002F07A2">
        <w:rPr>
          <w:rFonts w:cs="Arial"/>
          <w:color w:val="FF0000"/>
        </w:rPr>
        <w:t xml:space="preserve"> </w:t>
      </w:r>
      <w:r w:rsidRPr="002F07A2">
        <w:rPr>
          <w:rFonts w:cs="Arial"/>
        </w:rPr>
        <w:t xml:space="preserve">pathways for higher needs and disadvantaged learners through the provision of tailored, individualised services, often in partnership with other service providers. </w:t>
      </w:r>
    </w:p>
    <w:p w:rsidR="00AF2E86" w:rsidRDefault="00AF2E86" w:rsidP="00D67B5E">
      <w:pPr>
        <w:rPr>
          <w:rFonts w:cs="Arial"/>
        </w:rPr>
      </w:pPr>
    </w:p>
    <w:p w:rsidR="00AF2E86" w:rsidRPr="002F07A2" w:rsidRDefault="00AF2E86" w:rsidP="00D67B5E">
      <w:pPr>
        <w:rPr>
          <w:rFonts w:cs="Arial"/>
        </w:rPr>
      </w:pPr>
    </w:p>
    <w:p w:rsidR="00D67B5E" w:rsidRDefault="005654CD" w:rsidP="00D67B5E">
      <w:pPr>
        <w:pStyle w:val="Caption"/>
        <w:spacing w:after="0"/>
        <w:jc w:val="left"/>
        <w:rPr>
          <w:rFonts w:cs="Arial"/>
          <w:color w:val="365F91" w:themeColor="accent1" w:themeShade="BF"/>
        </w:rPr>
      </w:pPr>
      <w:r w:rsidRPr="000305F1">
        <w:rPr>
          <w:rFonts w:cs="Arial"/>
          <w:color w:val="365F91" w:themeColor="accent1" w:themeShade="BF"/>
        </w:rPr>
        <w:t>Table 2</w:t>
      </w:r>
      <w:r w:rsidR="00D67B5E" w:rsidRPr="000305F1">
        <w:rPr>
          <w:rFonts w:cs="Arial"/>
          <w:color w:val="365F91" w:themeColor="accent1" w:themeShade="BF"/>
        </w:rPr>
        <w:t xml:space="preserve">.1.1: </w:t>
      </w:r>
      <w:r w:rsidR="00B3537B" w:rsidRPr="000305F1">
        <w:rPr>
          <w:rFonts w:cs="Arial"/>
          <w:color w:val="365F91" w:themeColor="accent1" w:themeShade="BF"/>
        </w:rPr>
        <w:t xml:space="preserve">Students undertaking </w:t>
      </w:r>
      <w:r w:rsidR="00D67B5E" w:rsidRPr="000305F1">
        <w:rPr>
          <w:rFonts w:cs="Arial"/>
          <w:color w:val="365F91" w:themeColor="accent1" w:themeShade="BF"/>
        </w:rPr>
        <w:t xml:space="preserve">Government subsidised </w:t>
      </w:r>
      <w:r w:rsidR="00B3537B" w:rsidRPr="000305F1">
        <w:rPr>
          <w:rFonts w:cs="Arial"/>
          <w:color w:val="365F91" w:themeColor="accent1" w:themeShade="BF"/>
        </w:rPr>
        <w:t>training</w:t>
      </w:r>
      <w:r w:rsidR="00D67B5E" w:rsidRPr="000305F1">
        <w:rPr>
          <w:rFonts w:cs="Arial"/>
          <w:color w:val="365F91" w:themeColor="accent1" w:themeShade="BF"/>
        </w:rPr>
        <w:t xml:space="preserve"> by selec</w:t>
      </w:r>
      <w:r w:rsidR="00F37D22">
        <w:rPr>
          <w:rFonts w:cs="Arial"/>
          <w:color w:val="365F91" w:themeColor="accent1" w:themeShade="BF"/>
        </w:rPr>
        <w:t>ted learner cohort*, 2008 – 2013</w:t>
      </w:r>
    </w:p>
    <w:tbl>
      <w:tblPr>
        <w:tblW w:w="9072" w:type="dxa"/>
        <w:tblInd w:w="109" w:type="dxa"/>
        <w:tblLayout w:type="fixed"/>
        <w:tblLook w:val="04A0" w:firstRow="1" w:lastRow="0" w:firstColumn="1" w:lastColumn="0" w:noHBand="0" w:noVBand="1"/>
      </w:tblPr>
      <w:tblGrid>
        <w:gridCol w:w="2799"/>
        <w:gridCol w:w="1045"/>
        <w:gridCol w:w="1046"/>
        <w:gridCol w:w="1045"/>
        <w:gridCol w:w="1046"/>
        <w:gridCol w:w="1045"/>
        <w:gridCol w:w="1046"/>
      </w:tblGrid>
      <w:tr w:rsidR="00F37D22" w:rsidRPr="00F37D22" w:rsidTr="00F37D22">
        <w:trPr>
          <w:trHeight w:val="675"/>
        </w:trPr>
        <w:tc>
          <w:tcPr>
            <w:tcW w:w="2799" w:type="dxa"/>
            <w:tcBorders>
              <w:top w:val="single" w:sz="4" w:space="0" w:color="366092"/>
              <w:left w:val="single" w:sz="4" w:space="0" w:color="366092"/>
              <w:bottom w:val="single" w:sz="4" w:space="0" w:color="366092"/>
              <w:right w:val="nil"/>
            </w:tcBorders>
            <w:shd w:val="clear" w:color="000000" w:fill="366092"/>
            <w:noWrap/>
            <w:vAlign w:val="center"/>
            <w:hideMark/>
          </w:tcPr>
          <w:p w:rsidR="00F37D22" w:rsidRPr="00F37D22" w:rsidRDefault="00F37D22" w:rsidP="00F37D22">
            <w:pPr>
              <w:spacing w:after="0" w:line="240" w:lineRule="auto"/>
              <w:ind w:firstLineChars="100" w:firstLine="181"/>
              <w:jc w:val="left"/>
              <w:rPr>
                <w:rFonts w:cs="Arial"/>
                <w:b/>
                <w:bCs/>
                <w:color w:val="FFFFFF"/>
                <w:sz w:val="18"/>
                <w:szCs w:val="18"/>
                <w:lang w:eastAsia="en-AU"/>
              </w:rPr>
            </w:pPr>
            <w:r w:rsidRPr="00F37D22">
              <w:rPr>
                <w:rFonts w:cs="Arial"/>
                <w:b/>
                <w:bCs/>
                <w:color w:val="FFFFFF"/>
                <w:sz w:val="18"/>
                <w:szCs w:val="18"/>
                <w:lang w:eastAsia="en-AU"/>
              </w:rPr>
              <w:t> </w:t>
            </w:r>
          </w:p>
        </w:tc>
        <w:tc>
          <w:tcPr>
            <w:tcW w:w="1045" w:type="dxa"/>
            <w:tcBorders>
              <w:top w:val="single" w:sz="4" w:space="0" w:color="366092"/>
              <w:left w:val="single" w:sz="4" w:space="0" w:color="366092"/>
              <w:bottom w:val="single" w:sz="4" w:space="0" w:color="366092"/>
              <w:right w:val="nil"/>
            </w:tcBorders>
            <w:shd w:val="clear" w:color="000000" w:fill="366092"/>
            <w:vAlign w:val="center"/>
            <w:hideMark/>
          </w:tcPr>
          <w:p w:rsidR="00F37D22" w:rsidRPr="00F37D22" w:rsidRDefault="00F37D22" w:rsidP="00F37D22">
            <w:pPr>
              <w:spacing w:after="0" w:line="240" w:lineRule="auto"/>
              <w:ind w:firstLineChars="100" w:firstLine="181"/>
              <w:jc w:val="right"/>
              <w:rPr>
                <w:rFonts w:cs="Arial"/>
                <w:b/>
                <w:bCs/>
                <w:color w:val="FFFFFF"/>
                <w:sz w:val="18"/>
                <w:szCs w:val="18"/>
                <w:lang w:eastAsia="en-AU"/>
              </w:rPr>
            </w:pPr>
            <w:r w:rsidRPr="00F37D22">
              <w:rPr>
                <w:rFonts w:cs="Arial"/>
                <w:b/>
                <w:bCs/>
                <w:color w:val="FFFFFF"/>
                <w:sz w:val="18"/>
                <w:szCs w:val="18"/>
                <w:lang w:eastAsia="en-AU"/>
              </w:rPr>
              <w:t>2008</w:t>
            </w:r>
          </w:p>
        </w:tc>
        <w:tc>
          <w:tcPr>
            <w:tcW w:w="1046" w:type="dxa"/>
            <w:tcBorders>
              <w:top w:val="single" w:sz="4" w:space="0" w:color="366092"/>
              <w:left w:val="single" w:sz="4" w:space="0" w:color="366092"/>
              <w:bottom w:val="single" w:sz="4" w:space="0" w:color="366092"/>
              <w:right w:val="nil"/>
            </w:tcBorders>
            <w:shd w:val="clear" w:color="000000" w:fill="366092"/>
            <w:vAlign w:val="center"/>
            <w:hideMark/>
          </w:tcPr>
          <w:p w:rsidR="00F37D22" w:rsidRPr="00F37D22" w:rsidRDefault="00F37D22" w:rsidP="00F37D22">
            <w:pPr>
              <w:spacing w:after="0" w:line="240" w:lineRule="auto"/>
              <w:ind w:firstLineChars="100" w:firstLine="181"/>
              <w:jc w:val="right"/>
              <w:rPr>
                <w:rFonts w:cs="Arial"/>
                <w:b/>
                <w:bCs/>
                <w:color w:val="FFFFFF"/>
                <w:sz w:val="18"/>
                <w:szCs w:val="18"/>
                <w:lang w:eastAsia="en-AU"/>
              </w:rPr>
            </w:pPr>
            <w:r w:rsidRPr="00F37D22">
              <w:rPr>
                <w:rFonts w:cs="Arial"/>
                <w:b/>
                <w:bCs/>
                <w:color w:val="FFFFFF"/>
                <w:sz w:val="18"/>
                <w:szCs w:val="18"/>
                <w:lang w:eastAsia="en-AU"/>
              </w:rPr>
              <w:t>2009</w:t>
            </w:r>
          </w:p>
        </w:tc>
        <w:tc>
          <w:tcPr>
            <w:tcW w:w="1045" w:type="dxa"/>
            <w:tcBorders>
              <w:top w:val="single" w:sz="4" w:space="0" w:color="366092"/>
              <w:left w:val="single" w:sz="4" w:space="0" w:color="366092"/>
              <w:bottom w:val="single" w:sz="4" w:space="0" w:color="366092"/>
              <w:right w:val="nil"/>
            </w:tcBorders>
            <w:shd w:val="clear" w:color="000000" w:fill="366092"/>
            <w:vAlign w:val="center"/>
            <w:hideMark/>
          </w:tcPr>
          <w:p w:rsidR="00F37D22" w:rsidRPr="00F37D22" w:rsidRDefault="00F37D22" w:rsidP="00F37D22">
            <w:pPr>
              <w:spacing w:after="0" w:line="240" w:lineRule="auto"/>
              <w:ind w:firstLineChars="100" w:firstLine="181"/>
              <w:jc w:val="right"/>
              <w:rPr>
                <w:rFonts w:cs="Arial"/>
                <w:b/>
                <w:bCs/>
                <w:color w:val="FFFFFF"/>
                <w:sz w:val="18"/>
                <w:szCs w:val="18"/>
                <w:lang w:eastAsia="en-AU"/>
              </w:rPr>
            </w:pPr>
            <w:r w:rsidRPr="00F37D22">
              <w:rPr>
                <w:rFonts w:cs="Arial"/>
                <w:b/>
                <w:bCs/>
                <w:color w:val="FFFFFF"/>
                <w:sz w:val="18"/>
                <w:szCs w:val="18"/>
                <w:lang w:eastAsia="en-AU"/>
              </w:rPr>
              <w:t>2010</w:t>
            </w:r>
          </w:p>
        </w:tc>
        <w:tc>
          <w:tcPr>
            <w:tcW w:w="1046" w:type="dxa"/>
            <w:tcBorders>
              <w:top w:val="single" w:sz="4" w:space="0" w:color="366092"/>
              <w:left w:val="single" w:sz="4" w:space="0" w:color="366092"/>
              <w:bottom w:val="single" w:sz="4" w:space="0" w:color="366092"/>
              <w:right w:val="nil"/>
            </w:tcBorders>
            <w:shd w:val="clear" w:color="000000" w:fill="366092"/>
            <w:vAlign w:val="center"/>
            <w:hideMark/>
          </w:tcPr>
          <w:p w:rsidR="00F37D22" w:rsidRPr="00F37D22" w:rsidRDefault="00F37D22" w:rsidP="00F37D22">
            <w:pPr>
              <w:spacing w:after="0" w:line="240" w:lineRule="auto"/>
              <w:ind w:firstLineChars="100" w:firstLine="181"/>
              <w:jc w:val="right"/>
              <w:rPr>
                <w:rFonts w:cs="Arial"/>
                <w:b/>
                <w:bCs/>
                <w:color w:val="FFFFFF"/>
                <w:sz w:val="18"/>
                <w:szCs w:val="18"/>
                <w:lang w:eastAsia="en-AU"/>
              </w:rPr>
            </w:pPr>
            <w:r w:rsidRPr="00F37D22">
              <w:rPr>
                <w:rFonts w:cs="Arial"/>
                <w:b/>
                <w:bCs/>
                <w:color w:val="FFFFFF"/>
                <w:sz w:val="18"/>
                <w:szCs w:val="18"/>
                <w:lang w:eastAsia="en-AU"/>
              </w:rPr>
              <w:t>2011</w:t>
            </w:r>
          </w:p>
        </w:tc>
        <w:tc>
          <w:tcPr>
            <w:tcW w:w="1045" w:type="dxa"/>
            <w:tcBorders>
              <w:top w:val="single" w:sz="4" w:space="0" w:color="366092"/>
              <w:left w:val="single" w:sz="4" w:space="0" w:color="366092"/>
              <w:bottom w:val="single" w:sz="4" w:space="0" w:color="366092"/>
              <w:right w:val="nil"/>
            </w:tcBorders>
            <w:shd w:val="clear" w:color="000000" w:fill="366092"/>
            <w:vAlign w:val="center"/>
            <w:hideMark/>
          </w:tcPr>
          <w:p w:rsidR="00F37D22" w:rsidRPr="00F37D22" w:rsidRDefault="00F37D22" w:rsidP="00F37D22">
            <w:pPr>
              <w:spacing w:after="0" w:line="240" w:lineRule="auto"/>
              <w:ind w:firstLineChars="100" w:firstLine="181"/>
              <w:jc w:val="right"/>
              <w:rPr>
                <w:rFonts w:cs="Arial"/>
                <w:b/>
                <w:bCs/>
                <w:color w:val="FFFFFF"/>
                <w:sz w:val="18"/>
                <w:szCs w:val="18"/>
                <w:lang w:eastAsia="en-AU"/>
              </w:rPr>
            </w:pPr>
            <w:r w:rsidRPr="00F37D22">
              <w:rPr>
                <w:rFonts w:cs="Arial"/>
                <w:b/>
                <w:bCs/>
                <w:color w:val="FFFFFF"/>
                <w:sz w:val="18"/>
                <w:szCs w:val="18"/>
                <w:lang w:eastAsia="en-AU"/>
              </w:rPr>
              <w:t>2012</w:t>
            </w:r>
          </w:p>
        </w:tc>
        <w:tc>
          <w:tcPr>
            <w:tcW w:w="1046" w:type="dxa"/>
            <w:tcBorders>
              <w:top w:val="single" w:sz="4" w:space="0" w:color="366092"/>
              <w:left w:val="single" w:sz="4" w:space="0" w:color="366092"/>
              <w:bottom w:val="single" w:sz="4" w:space="0" w:color="366092"/>
              <w:right w:val="nil"/>
            </w:tcBorders>
            <w:shd w:val="clear" w:color="000000" w:fill="366092"/>
            <w:vAlign w:val="center"/>
            <w:hideMark/>
          </w:tcPr>
          <w:p w:rsidR="00F37D22" w:rsidRPr="00F37D22" w:rsidRDefault="00F37D22" w:rsidP="00F37D22">
            <w:pPr>
              <w:spacing w:after="0" w:line="240" w:lineRule="auto"/>
              <w:ind w:firstLineChars="100" w:firstLine="181"/>
              <w:jc w:val="right"/>
              <w:rPr>
                <w:rFonts w:cs="Arial"/>
                <w:b/>
                <w:bCs/>
                <w:color w:val="FFFFFF"/>
                <w:sz w:val="18"/>
                <w:szCs w:val="18"/>
                <w:lang w:eastAsia="en-AU"/>
              </w:rPr>
            </w:pPr>
            <w:r w:rsidRPr="00F37D22">
              <w:rPr>
                <w:rFonts w:cs="Arial"/>
                <w:b/>
                <w:bCs/>
                <w:color w:val="FFFFFF"/>
                <w:sz w:val="18"/>
                <w:szCs w:val="18"/>
                <w:lang w:eastAsia="en-AU"/>
              </w:rPr>
              <w:t>2013</w:t>
            </w:r>
          </w:p>
        </w:tc>
      </w:tr>
      <w:tr w:rsidR="00F37D22" w:rsidRPr="00F37D22" w:rsidTr="009738A5">
        <w:trPr>
          <w:trHeight w:val="342"/>
        </w:trPr>
        <w:tc>
          <w:tcPr>
            <w:tcW w:w="2799" w:type="dxa"/>
            <w:tcBorders>
              <w:top w:val="single" w:sz="4" w:space="0" w:color="366092"/>
              <w:left w:val="single" w:sz="4" w:space="0" w:color="366092"/>
              <w:bottom w:val="single" w:sz="4" w:space="0" w:color="366092"/>
              <w:right w:val="nil"/>
            </w:tcBorders>
            <w:shd w:val="clear" w:color="000000" w:fill="FFFFFF"/>
            <w:noWrap/>
            <w:vAlign w:val="center"/>
            <w:hideMark/>
          </w:tcPr>
          <w:p w:rsidR="00F37D22" w:rsidRPr="00F37D22" w:rsidRDefault="00F37D22" w:rsidP="009738A5">
            <w:pPr>
              <w:spacing w:after="0" w:line="240" w:lineRule="auto"/>
              <w:jc w:val="left"/>
              <w:rPr>
                <w:rFonts w:cs="Arial"/>
                <w:color w:val="366092"/>
                <w:sz w:val="18"/>
                <w:szCs w:val="18"/>
                <w:lang w:eastAsia="en-AU"/>
              </w:rPr>
            </w:pPr>
            <w:r w:rsidRPr="00F37D22">
              <w:rPr>
                <w:rFonts w:cs="Arial"/>
                <w:color w:val="366092"/>
                <w:sz w:val="18"/>
                <w:szCs w:val="18"/>
                <w:lang w:eastAsia="en-AU"/>
              </w:rPr>
              <w:t>Indigenous</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4,400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4,300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4,800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5,600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6,200 </w:t>
            </w:r>
          </w:p>
        </w:tc>
        <w:tc>
          <w:tcPr>
            <w:tcW w:w="1046"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6,500 </w:t>
            </w:r>
          </w:p>
        </w:tc>
      </w:tr>
      <w:tr w:rsidR="00F37D22" w:rsidRPr="00F37D22" w:rsidTr="009738A5">
        <w:trPr>
          <w:trHeight w:val="342"/>
        </w:trPr>
        <w:tc>
          <w:tcPr>
            <w:tcW w:w="2799" w:type="dxa"/>
            <w:tcBorders>
              <w:top w:val="single" w:sz="4" w:space="0" w:color="366092"/>
              <w:left w:val="single" w:sz="4" w:space="0" w:color="366092"/>
              <w:bottom w:val="single" w:sz="4" w:space="0" w:color="366092"/>
              <w:right w:val="nil"/>
            </w:tcBorders>
            <w:shd w:val="clear" w:color="000000" w:fill="FFFFFF"/>
            <w:noWrap/>
            <w:vAlign w:val="center"/>
            <w:hideMark/>
          </w:tcPr>
          <w:p w:rsidR="00F37D22" w:rsidRPr="00F37D22" w:rsidRDefault="00F37D22" w:rsidP="009738A5">
            <w:pPr>
              <w:spacing w:after="0" w:line="240" w:lineRule="auto"/>
              <w:jc w:val="left"/>
              <w:rPr>
                <w:rFonts w:cs="Arial"/>
                <w:color w:val="366092"/>
                <w:sz w:val="18"/>
                <w:szCs w:val="18"/>
                <w:lang w:eastAsia="en-AU"/>
              </w:rPr>
            </w:pPr>
            <w:r w:rsidRPr="00F37D22">
              <w:rPr>
                <w:rFonts w:cs="Arial"/>
                <w:color w:val="366092"/>
                <w:sz w:val="18"/>
                <w:szCs w:val="18"/>
                <w:lang w:eastAsia="en-AU"/>
              </w:rPr>
              <w:t>Students with a disability</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23,900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23,600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27,200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34,100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40,300 </w:t>
            </w:r>
          </w:p>
        </w:tc>
        <w:tc>
          <w:tcPr>
            <w:tcW w:w="1046"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40,500 </w:t>
            </w:r>
          </w:p>
        </w:tc>
      </w:tr>
      <w:tr w:rsidR="00F37D22" w:rsidRPr="00F37D22" w:rsidTr="009738A5">
        <w:trPr>
          <w:trHeight w:val="342"/>
        </w:trPr>
        <w:tc>
          <w:tcPr>
            <w:tcW w:w="2799" w:type="dxa"/>
            <w:tcBorders>
              <w:top w:val="single" w:sz="4" w:space="0" w:color="366092"/>
              <w:left w:val="single" w:sz="4" w:space="0" w:color="366092"/>
              <w:bottom w:val="single" w:sz="4" w:space="0" w:color="366092"/>
              <w:right w:val="nil"/>
            </w:tcBorders>
            <w:shd w:val="clear" w:color="000000" w:fill="FFFFFF"/>
            <w:noWrap/>
            <w:vAlign w:val="center"/>
            <w:hideMark/>
          </w:tcPr>
          <w:p w:rsidR="00F37D22" w:rsidRPr="00F37D22" w:rsidRDefault="00F37D22" w:rsidP="009738A5">
            <w:pPr>
              <w:spacing w:after="0" w:line="240" w:lineRule="auto"/>
              <w:jc w:val="left"/>
              <w:rPr>
                <w:rFonts w:cs="Arial"/>
                <w:color w:val="366092"/>
                <w:sz w:val="18"/>
                <w:szCs w:val="18"/>
                <w:lang w:eastAsia="en-AU"/>
              </w:rPr>
            </w:pPr>
            <w:r w:rsidRPr="00F37D22">
              <w:rPr>
                <w:rFonts w:cs="Arial"/>
                <w:color w:val="366092"/>
                <w:sz w:val="18"/>
                <w:szCs w:val="18"/>
                <w:lang w:eastAsia="en-AU"/>
              </w:rPr>
              <w:t>CALD</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58,100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62,100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70,600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97,300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126,400 </w:t>
            </w:r>
          </w:p>
        </w:tc>
        <w:tc>
          <w:tcPr>
            <w:tcW w:w="1046"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137,500 </w:t>
            </w:r>
          </w:p>
        </w:tc>
      </w:tr>
      <w:tr w:rsidR="00F37D22" w:rsidRPr="00F37D22" w:rsidTr="009738A5">
        <w:trPr>
          <w:trHeight w:val="342"/>
        </w:trPr>
        <w:tc>
          <w:tcPr>
            <w:tcW w:w="2799" w:type="dxa"/>
            <w:tcBorders>
              <w:top w:val="single" w:sz="4" w:space="0" w:color="366092"/>
              <w:left w:val="single" w:sz="4" w:space="0" w:color="366092"/>
              <w:bottom w:val="single" w:sz="4" w:space="0" w:color="366092"/>
              <w:right w:val="nil"/>
            </w:tcBorders>
            <w:shd w:val="clear" w:color="000000" w:fill="FFFFFF"/>
            <w:noWrap/>
            <w:vAlign w:val="center"/>
            <w:hideMark/>
          </w:tcPr>
          <w:p w:rsidR="00F37D22" w:rsidRPr="00F37D22" w:rsidRDefault="00F37D22" w:rsidP="009738A5">
            <w:pPr>
              <w:spacing w:after="0" w:line="240" w:lineRule="auto"/>
              <w:jc w:val="left"/>
              <w:rPr>
                <w:rFonts w:cs="Arial"/>
                <w:color w:val="366092"/>
                <w:sz w:val="18"/>
                <w:szCs w:val="18"/>
                <w:lang w:eastAsia="en-AU"/>
              </w:rPr>
            </w:pPr>
            <w:r w:rsidRPr="00F37D22">
              <w:rPr>
                <w:rFonts w:cs="Arial"/>
                <w:color w:val="366092"/>
                <w:sz w:val="18"/>
                <w:szCs w:val="18"/>
                <w:lang w:eastAsia="en-AU"/>
              </w:rPr>
              <w:t>Unemployed</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41,800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50,200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62,500 </w:t>
            </w:r>
          </w:p>
        </w:tc>
        <w:tc>
          <w:tcPr>
            <w:tcW w:w="1046"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89,300 </w:t>
            </w:r>
          </w:p>
        </w:tc>
        <w:tc>
          <w:tcPr>
            <w:tcW w:w="1045" w:type="dxa"/>
            <w:tcBorders>
              <w:top w:val="single" w:sz="4" w:space="0" w:color="366092"/>
              <w:left w:val="single" w:sz="4" w:space="0" w:color="366092"/>
              <w:bottom w:val="single" w:sz="4" w:space="0" w:color="366092"/>
              <w:right w:val="nil"/>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118,500 </w:t>
            </w:r>
          </w:p>
        </w:tc>
        <w:tc>
          <w:tcPr>
            <w:tcW w:w="1046" w:type="dxa"/>
            <w:tcBorders>
              <w:top w:val="single" w:sz="4" w:space="0" w:color="366092"/>
              <w:left w:val="single" w:sz="4" w:space="0" w:color="366092"/>
              <w:bottom w:val="single" w:sz="4" w:space="0" w:color="366092"/>
              <w:right w:val="single" w:sz="4" w:space="0" w:color="366092"/>
            </w:tcBorders>
            <w:shd w:val="clear" w:color="auto" w:fill="auto"/>
            <w:noWrap/>
            <w:vAlign w:val="center"/>
            <w:hideMark/>
          </w:tcPr>
          <w:p w:rsidR="00F37D22" w:rsidRPr="00F37D22" w:rsidRDefault="00F37D22" w:rsidP="00F37D22">
            <w:pPr>
              <w:spacing w:after="0" w:line="240" w:lineRule="auto"/>
              <w:jc w:val="right"/>
              <w:rPr>
                <w:rFonts w:cs="Arial"/>
                <w:sz w:val="18"/>
                <w:szCs w:val="18"/>
                <w:lang w:eastAsia="en-AU"/>
              </w:rPr>
            </w:pPr>
            <w:r w:rsidRPr="00F37D22">
              <w:rPr>
                <w:rFonts w:cs="Arial"/>
                <w:sz w:val="18"/>
                <w:szCs w:val="18"/>
                <w:lang w:eastAsia="en-AU"/>
              </w:rPr>
              <w:t xml:space="preserve">134,800 </w:t>
            </w:r>
          </w:p>
        </w:tc>
      </w:tr>
      <w:tr w:rsidR="00F37D22" w:rsidRPr="00F37D22" w:rsidTr="00F37D22">
        <w:trPr>
          <w:trHeight w:val="499"/>
        </w:trPr>
        <w:tc>
          <w:tcPr>
            <w:tcW w:w="9072" w:type="dxa"/>
            <w:gridSpan w:val="7"/>
            <w:tcBorders>
              <w:top w:val="single" w:sz="4" w:space="0" w:color="366092"/>
              <w:left w:val="nil"/>
              <w:bottom w:val="single" w:sz="4" w:space="0" w:color="366092"/>
              <w:right w:val="nil"/>
            </w:tcBorders>
            <w:shd w:val="clear" w:color="000000" w:fill="FFFFFF"/>
            <w:vAlign w:val="bottom"/>
            <w:hideMark/>
          </w:tcPr>
          <w:p w:rsidR="00F37D22" w:rsidRPr="00F37D22" w:rsidRDefault="00F37D22" w:rsidP="00F37D22">
            <w:pPr>
              <w:spacing w:after="0" w:line="240" w:lineRule="auto"/>
              <w:jc w:val="left"/>
              <w:rPr>
                <w:rFonts w:cs="Arial"/>
                <w:b/>
                <w:bCs/>
                <w:color w:val="366092"/>
                <w:sz w:val="20"/>
                <w:szCs w:val="20"/>
                <w:lang w:eastAsia="en-AU"/>
              </w:rPr>
            </w:pPr>
            <w:r w:rsidRPr="00F37D22">
              <w:rPr>
                <w:rFonts w:cs="Arial"/>
                <w:b/>
                <w:bCs/>
                <w:color w:val="366092"/>
                <w:sz w:val="20"/>
                <w:szCs w:val="20"/>
                <w:lang w:eastAsia="en-AU"/>
              </w:rPr>
              <w:t>Young people without Year 12, not at school and enrolled in Cert II or above</w:t>
            </w:r>
          </w:p>
        </w:tc>
      </w:tr>
      <w:tr w:rsidR="00F37D22" w:rsidRPr="00F37D22" w:rsidTr="009738A5">
        <w:trPr>
          <w:trHeight w:val="345"/>
        </w:trPr>
        <w:tc>
          <w:tcPr>
            <w:tcW w:w="2799" w:type="dxa"/>
            <w:tcBorders>
              <w:top w:val="single" w:sz="4" w:space="0" w:color="366092"/>
              <w:left w:val="single" w:sz="4" w:space="0" w:color="366092"/>
              <w:bottom w:val="single" w:sz="4" w:space="0" w:color="366092"/>
              <w:right w:val="nil"/>
            </w:tcBorders>
            <w:shd w:val="clear" w:color="000000" w:fill="FFFFFF"/>
            <w:noWrap/>
            <w:vAlign w:val="center"/>
            <w:hideMark/>
          </w:tcPr>
          <w:p w:rsidR="00F37D22" w:rsidRPr="00F37D22" w:rsidRDefault="00F37D22" w:rsidP="009738A5">
            <w:pPr>
              <w:spacing w:after="0" w:line="240" w:lineRule="auto"/>
              <w:jc w:val="left"/>
              <w:rPr>
                <w:rFonts w:cs="Arial"/>
                <w:color w:val="366092"/>
                <w:sz w:val="18"/>
                <w:szCs w:val="18"/>
                <w:lang w:eastAsia="en-AU"/>
              </w:rPr>
            </w:pPr>
            <w:r w:rsidRPr="00F37D22">
              <w:rPr>
                <w:rFonts w:cs="Arial"/>
                <w:color w:val="366092"/>
                <w:sz w:val="18"/>
                <w:szCs w:val="18"/>
                <w:lang w:eastAsia="en-AU"/>
              </w:rPr>
              <w:t>Aged 15-19 years</w:t>
            </w:r>
          </w:p>
        </w:tc>
        <w:tc>
          <w:tcPr>
            <w:tcW w:w="1045"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23,100 </w:t>
            </w:r>
          </w:p>
        </w:tc>
        <w:tc>
          <w:tcPr>
            <w:tcW w:w="1046"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22,600 </w:t>
            </w:r>
          </w:p>
        </w:tc>
        <w:tc>
          <w:tcPr>
            <w:tcW w:w="1045"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26,300 </w:t>
            </w:r>
          </w:p>
        </w:tc>
        <w:tc>
          <w:tcPr>
            <w:tcW w:w="1046"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28,900 </w:t>
            </w:r>
          </w:p>
        </w:tc>
        <w:tc>
          <w:tcPr>
            <w:tcW w:w="1045"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29,500 </w:t>
            </w:r>
          </w:p>
        </w:tc>
        <w:tc>
          <w:tcPr>
            <w:tcW w:w="1046"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24,700 </w:t>
            </w:r>
          </w:p>
        </w:tc>
      </w:tr>
      <w:tr w:rsidR="00F37D22" w:rsidRPr="00F37D22" w:rsidTr="00F37D22">
        <w:trPr>
          <w:trHeight w:val="510"/>
        </w:trPr>
        <w:tc>
          <w:tcPr>
            <w:tcW w:w="9072" w:type="dxa"/>
            <w:gridSpan w:val="7"/>
            <w:tcBorders>
              <w:top w:val="single" w:sz="4" w:space="0" w:color="366092"/>
              <w:left w:val="nil"/>
              <w:bottom w:val="single" w:sz="4" w:space="0" w:color="366092"/>
              <w:right w:val="nil"/>
            </w:tcBorders>
            <w:shd w:val="clear" w:color="auto" w:fill="auto"/>
            <w:vAlign w:val="bottom"/>
            <w:hideMark/>
          </w:tcPr>
          <w:p w:rsidR="00F37D22" w:rsidRPr="00F37D22" w:rsidRDefault="00F37D22" w:rsidP="00F37D22">
            <w:pPr>
              <w:spacing w:after="0" w:line="240" w:lineRule="auto"/>
              <w:jc w:val="left"/>
              <w:rPr>
                <w:rFonts w:cs="Arial"/>
                <w:color w:val="000000"/>
                <w:sz w:val="20"/>
                <w:szCs w:val="20"/>
                <w:lang w:eastAsia="en-AU"/>
              </w:rPr>
            </w:pPr>
            <w:r w:rsidRPr="00F37D22">
              <w:rPr>
                <w:rFonts w:cs="Arial"/>
                <w:b/>
                <w:bCs/>
                <w:color w:val="366092"/>
                <w:sz w:val="20"/>
                <w:szCs w:val="20"/>
                <w:lang w:eastAsia="en-AU"/>
              </w:rPr>
              <w:t>Older students not holding  a Cert III or above</w:t>
            </w:r>
          </w:p>
        </w:tc>
      </w:tr>
      <w:tr w:rsidR="00F37D22" w:rsidRPr="00F37D22" w:rsidTr="009738A5">
        <w:trPr>
          <w:trHeight w:val="345"/>
        </w:trPr>
        <w:tc>
          <w:tcPr>
            <w:tcW w:w="2799" w:type="dxa"/>
            <w:tcBorders>
              <w:top w:val="single" w:sz="4" w:space="0" w:color="366092"/>
              <w:left w:val="single" w:sz="4" w:space="0" w:color="366092"/>
              <w:bottom w:val="single" w:sz="4" w:space="0" w:color="366092"/>
              <w:right w:val="nil"/>
            </w:tcBorders>
            <w:shd w:val="clear" w:color="000000" w:fill="FFFFFF"/>
            <w:noWrap/>
            <w:vAlign w:val="center"/>
            <w:hideMark/>
          </w:tcPr>
          <w:p w:rsidR="00F37D22" w:rsidRPr="00F37D22" w:rsidRDefault="00F37D22" w:rsidP="009738A5">
            <w:pPr>
              <w:spacing w:after="0" w:line="240" w:lineRule="auto"/>
              <w:jc w:val="left"/>
              <w:rPr>
                <w:rFonts w:cs="Arial"/>
                <w:color w:val="366092"/>
                <w:sz w:val="18"/>
                <w:szCs w:val="18"/>
                <w:lang w:eastAsia="en-AU"/>
              </w:rPr>
            </w:pPr>
            <w:r w:rsidRPr="00F37D22">
              <w:rPr>
                <w:rFonts w:cs="Arial"/>
                <w:color w:val="366092"/>
                <w:sz w:val="18"/>
                <w:szCs w:val="18"/>
                <w:lang w:eastAsia="en-AU"/>
              </w:rPr>
              <w:t>Aged 20-64 years</w:t>
            </w:r>
          </w:p>
        </w:tc>
        <w:tc>
          <w:tcPr>
            <w:tcW w:w="1045"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125,700 </w:t>
            </w:r>
          </w:p>
        </w:tc>
        <w:tc>
          <w:tcPr>
            <w:tcW w:w="1046"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131,800 </w:t>
            </w:r>
          </w:p>
        </w:tc>
        <w:tc>
          <w:tcPr>
            <w:tcW w:w="1045"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149,600 </w:t>
            </w:r>
          </w:p>
        </w:tc>
        <w:tc>
          <w:tcPr>
            <w:tcW w:w="1046"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214,000 </w:t>
            </w:r>
          </w:p>
        </w:tc>
        <w:tc>
          <w:tcPr>
            <w:tcW w:w="1045" w:type="dxa"/>
            <w:tcBorders>
              <w:top w:val="single" w:sz="4" w:space="0" w:color="366092"/>
              <w:left w:val="single" w:sz="4" w:space="0" w:color="366092"/>
              <w:bottom w:val="single" w:sz="4" w:space="0" w:color="366092"/>
              <w:right w:val="nil"/>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266,200 </w:t>
            </w:r>
          </w:p>
        </w:tc>
        <w:tc>
          <w:tcPr>
            <w:tcW w:w="1046" w:type="dxa"/>
            <w:tcBorders>
              <w:top w:val="single" w:sz="4" w:space="0" w:color="366092"/>
              <w:left w:val="single" w:sz="4" w:space="0" w:color="366092"/>
              <w:bottom w:val="single" w:sz="4" w:space="0" w:color="366092"/>
              <w:right w:val="single" w:sz="4" w:space="0" w:color="366092"/>
            </w:tcBorders>
            <w:shd w:val="clear" w:color="auto" w:fill="auto"/>
            <w:noWrap/>
            <w:vAlign w:val="bottom"/>
            <w:hideMark/>
          </w:tcPr>
          <w:p w:rsidR="00F37D22" w:rsidRPr="00F37D22" w:rsidRDefault="00F37D22" w:rsidP="00916832">
            <w:pPr>
              <w:spacing w:after="0" w:line="240" w:lineRule="auto"/>
              <w:jc w:val="right"/>
              <w:rPr>
                <w:rFonts w:cs="Arial"/>
                <w:sz w:val="18"/>
                <w:szCs w:val="18"/>
                <w:lang w:eastAsia="en-AU"/>
              </w:rPr>
            </w:pPr>
            <w:r w:rsidRPr="00F37D22">
              <w:rPr>
                <w:rFonts w:cs="Arial"/>
                <w:sz w:val="18"/>
                <w:szCs w:val="18"/>
                <w:lang w:eastAsia="en-AU"/>
              </w:rPr>
              <w:t xml:space="preserve">       260,700 </w:t>
            </w:r>
          </w:p>
        </w:tc>
      </w:tr>
    </w:tbl>
    <w:p w:rsidR="00D67B5E" w:rsidRPr="002F07A2" w:rsidRDefault="00D67B5E" w:rsidP="00D67B5E">
      <w:pPr>
        <w:rPr>
          <w:rFonts w:cs="Arial"/>
          <w:sz w:val="16"/>
          <w:szCs w:val="16"/>
        </w:rPr>
      </w:pPr>
      <w:r w:rsidRPr="002F07A2">
        <w:rPr>
          <w:rFonts w:cs="Arial"/>
          <w:sz w:val="16"/>
          <w:szCs w:val="16"/>
        </w:rPr>
        <w:t xml:space="preserve">*The above cohorts of students are not mutually exclusive. </w:t>
      </w:r>
    </w:p>
    <w:p w:rsidR="00390F00" w:rsidRDefault="00390F00" w:rsidP="00390F00">
      <w:pPr>
        <w:pStyle w:val="Caption"/>
        <w:spacing w:after="0"/>
        <w:jc w:val="left"/>
        <w:rPr>
          <w:rFonts w:cs="Arial"/>
          <w:color w:val="365F91" w:themeColor="accent1" w:themeShade="BF"/>
        </w:rPr>
      </w:pPr>
    </w:p>
    <w:p w:rsidR="00807C85" w:rsidRDefault="00807C85" w:rsidP="00807C85">
      <w:pPr>
        <w:spacing w:after="0" w:line="240" w:lineRule="auto"/>
        <w:jc w:val="left"/>
        <w:rPr>
          <w:rFonts w:cs="Arial"/>
          <w:b/>
          <w:color w:val="365F91" w:themeColor="accent1" w:themeShade="BF"/>
        </w:rPr>
      </w:pPr>
      <w:r w:rsidRPr="00AF2E86">
        <w:rPr>
          <w:rFonts w:cs="Arial"/>
          <w:b/>
          <w:color w:val="365F91" w:themeColor="accent1" w:themeShade="BF"/>
        </w:rPr>
        <w:t xml:space="preserve">Table 2.1.2: </w:t>
      </w:r>
      <w:r>
        <w:rPr>
          <w:rFonts w:cs="Arial"/>
          <w:b/>
          <w:color w:val="365F91" w:themeColor="accent1" w:themeShade="BF"/>
        </w:rPr>
        <w:t>Change in numbers of s</w:t>
      </w:r>
      <w:r w:rsidRPr="00AF2E86">
        <w:rPr>
          <w:rFonts w:cs="Arial"/>
          <w:b/>
          <w:color w:val="365F91" w:themeColor="accent1" w:themeShade="BF"/>
        </w:rPr>
        <w:t>tudents undertaking Government subsidised training by selected learner cohort*</w:t>
      </w:r>
    </w:p>
    <w:tbl>
      <w:tblPr>
        <w:tblW w:w="6521" w:type="dxa"/>
        <w:tblInd w:w="108" w:type="dxa"/>
        <w:tblLayout w:type="fixed"/>
        <w:tblLook w:val="04A0" w:firstRow="1" w:lastRow="0" w:firstColumn="1" w:lastColumn="0" w:noHBand="0" w:noVBand="1"/>
      </w:tblPr>
      <w:tblGrid>
        <w:gridCol w:w="2800"/>
        <w:gridCol w:w="1240"/>
        <w:gridCol w:w="1240"/>
        <w:gridCol w:w="1241"/>
      </w:tblGrid>
      <w:tr w:rsidR="00807C85" w:rsidRPr="00D42206" w:rsidTr="00C6238D">
        <w:trPr>
          <w:trHeight w:val="762"/>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807C85" w:rsidRPr="00D42206" w:rsidRDefault="00807C85" w:rsidP="00C6238D">
            <w:pPr>
              <w:spacing w:after="0" w:line="240" w:lineRule="auto"/>
              <w:ind w:firstLineChars="100" w:firstLine="181"/>
              <w:jc w:val="left"/>
              <w:rPr>
                <w:rFonts w:cs="Arial"/>
                <w:b/>
                <w:bCs/>
                <w:color w:val="FFFFFF"/>
                <w:sz w:val="18"/>
                <w:szCs w:val="18"/>
                <w:lang w:eastAsia="en-AU"/>
              </w:rPr>
            </w:pPr>
            <w:r w:rsidRPr="00D42206">
              <w:rPr>
                <w:rFonts w:cs="Arial"/>
                <w:b/>
                <w:bCs/>
                <w:color w:val="FFFFFF"/>
                <w:sz w:val="18"/>
                <w:szCs w:val="18"/>
                <w:lang w:eastAsia="en-AU"/>
              </w:rPr>
              <w:t> </w:t>
            </w:r>
          </w:p>
        </w:tc>
        <w:tc>
          <w:tcPr>
            <w:tcW w:w="1240" w:type="dxa"/>
            <w:tcBorders>
              <w:top w:val="single" w:sz="4" w:space="0" w:color="366092"/>
              <w:left w:val="nil"/>
              <w:bottom w:val="single" w:sz="4" w:space="0" w:color="366092"/>
              <w:right w:val="single" w:sz="4" w:space="0" w:color="366092"/>
            </w:tcBorders>
            <w:shd w:val="clear" w:color="000000" w:fill="366092"/>
            <w:vAlign w:val="center"/>
            <w:hideMark/>
          </w:tcPr>
          <w:p w:rsidR="00807C85" w:rsidRPr="00D42206" w:rsidRDefault="00807C85" w:rsidP="00C6238D">
            <w:pPr>
              <w:spacing w:after="0" w:line="240" w:lineRule="auto"/>
              <w:jc w:val="right"/>
              <w:rPr>
                <w:rFonts w:cs="Arial"/>
                <w:b/>
                <w:bCs/>
                <w:color w:val="FFFFFF"/>
                <w:sz w:val="18"/>
                <w:szCs w:val="18"/>
                <w:lang w:eastAsia="en-AU"/>
              </w:rPr>
            </w:pPr>
            <w:r w:rsidRPr="00D42206">
              <w:rPr>
                <w:rFonts w:cs="Arial"/>
                <w:b/>
                <w:bCs/>
                <w:color w:val="FFFFFF"/>
                <w:sz w:val="18"/>
                <w:szCs w:val="18"/>
                <w:lang w:eastAsia="en-AU"/>
              </w:rPr>
              <w:t>% change</w:t>
            </w:r>
            <w:r w:rsidRPr="00D42206">
              <w:rPr>
                <w:rFonts w:cs="Arial"/>
                <w:b/>
                <w:bCs/>
                <w:color w:val="FFFFFF"/>
                <w:sz w:val="18"/>
                <w:szCs w:val="18"/>
                <w:lang w:eastAsia="en-AU"/>
              </w:rPr>
              <w:br/>
              <w:t>2008-2013</w:t>
            </w:r>
          </w:p>
        </w:tc>
        <w:tc>
          <w:tcPr>
            <w:tcW w:w="1240" w:type="dxa"/>
            <w:tcBorders>
              <w:top w:val="single" w:sz="4" w:space="0" w:color="366092"/>
              <w:left w:val="nil"/>
              <w:bottom w:val="single" w:sz="4" w:space="0" w:color="366092"/>
              <w:right w:val="single" w:sz="4" w:space="0" w:color="366092"/>
            </w:tcBorders>
            <w:shd w:val="clear" w:color="000000" w:fill="366092"/>
            <w:vAlign w:val="center"/>
            <w:hideMark/>
          </w:tcPr>
          <w:p w:rsidR="00807C85" w:rsidRPr="00D42206" w:rsidRDefault="00807C85" w:rsidP="00C6238D">
            <w:pPr>
              <w:spacing w:after="0" w:line="240" w:lineRule="auto"/>
              <w:jc w:val="right"/>
              <w:rPr>
                <w:rFonts w:cs="Arial"/>
                <w:b/>
                <w:bCs/>
                <w:color w:val="FFFFFF"/>
                <w:sz w:val="18"/>
                <w:szCs w:val="18"/>
                <w:lang w:eastAsia="en-AU"/>
              </w:rPr>
            </w:pPr>
            <w:r w:rsidRPr="00D42206">
              <w:rPr>
                <w:rFonts w:cs="Arial"/>
                <w:b/>
                <w:bCs/>
                <w:color w:val="FFFFFF"/>
                <w:sz w:val="18"/>
                <w:szCs w:val="18"/>
                <w:lang w:eastAsia="en-AU"/>
              </w:rPr>
              <w:t>% change</w:t>
            </w:r>
            <w:r w:rsidRPr="00D42206">
              <w:rPr>
                <w:rFonts w:cs="Arial"/>
                <w:b/>
                <w:bCs/>
                <w:color w:val="FFFFFF"/>
                <w:sz w:val="18"/>
                <w:szCs w:val="18"/>
                <w:lang w:eastAsia="en-AU"/>
              </w:rPr>
              <w:br/>
              <w:t>2011-2013 </w:t>
            </w:r>
          </w:p>
        </w:tc>
        <w:tc>
          <w:tcPr>
            <w:tcW w:w="1241" w:type="dxa"/>
            <w:tcBorders>
              <w:top w:val="single" w:sz="4" w:space="0" w:color="366092"/>
              <w:left w:val="nil"/>
              <w:bottom w:val="single" w:sz="4" w:space="0" w:color="366092"/>
              <w:right w:val="single" w:sz="4" w:space="0" w:color="366092"/>
            </w:tcBorders>
            <w:shd w:val="clear" w:color="000000" w:fill="366092"/>
            <w:vAlign w:val="center"/>
            <w:hideMark/>
          </w:tcPr>
          <w:p w:rsidR="00807C85" w:rsidRPr="00D42206" w:rsidRDefault="00807C85" w:rsidP="00C6238D">
            <w:pPr>
              <w:spacing w:after="0" w:line="240" w:lineRule="auto"/>
              <w:jc w:val="right"/>
              <w:rPr>
                <w:rFonts w:cs="Arial"/>
                <w:b/>
                <w:bCs/>
                <w:color w:val="FFFFFF"/>
                <w:sz w:val="18"/>
                <w:szCs w:val="18"/>
                <w:lang w:eastAsia="en-AU"/>
              </w:rPr>
            </w:pPr>
            <w:r w:rsidRPr="00D42206">
              <w:rPr>
                <w:rFonts w:cs="Arial"/>
                <w:b/>
                <w:bCs/>
                <w:color w:val="FFFFFF"/>
                <w:sz w:val="18"/>
                <w:szCs w:val="18"/>
                <w:lang w:eastAsia="en-AU"/>
              </w:rPr>
              <w:t>% change</w:t>
            </w:r>
            <w:r w:rsidRPr="00D42206">
              <w:rPr>
                <w:rFonts w:cs="Arial"/>
                <w:b/>
                <w:bCs/>
                <w:color w:val="FFFFFF"/>
                <w:sz w:val="18"/>
                <w:szCs w:val="18"/>
                <w:lang w:eastAsia="en-AU"/>
              </w:rPr>
              <w:br/>
              <w:t>2012-2013</w:t>
            </w:r>
          </w:p>
        </w:tc>
      </w:tr>
      <w:tr w:rsidR="00807C85" w:rsidRPr="00D42206" w:rsidTr="009738A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807C85" w:rsidRPr="00D42206" w:rsidRDefault="00807C85" w:rsidP="009738A5">
            <w:pPr>
              <w:spacing w:after="0" w:line="240" w:lineRule="auto"/>
              <w:jc w:val="left"/>
              <w:rPr>
                <w:rFonts w:cs="Arial"/>
                <w:color w:val="366092"/>
                <w:sz w:val="18"/>
                <w:szCs w:val="18"/>
                <w:lang w:eastAsia="en-AU"/>
              </w:rPr>
            </w:pPr>
            <w:r w:rsidRPr="00D42206">
              <w:rPr>
                <w:rFonts w:cs="Arial"/>
                <w:color w:val="366092"/>
                <w:sz w:val="18"/>
                <w:szCs w:val="18"/>
                <w:lang w:eastAsia="en-AU"/>
              </w:rPr>
              <w:t>Indigenous</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49%</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16%</w:t>
            </w:r>
          </w:p>
        </w:tc>
        <w:tc>
          <w:tcPr>
            <w:tcW w:w="1241"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5%</w:t>
            </w:r>
          </w:p>
        </w:tc>
      </w:tr>
      <w:tr w:rsidR="00807C85" w:rsidRPr="00D42206" w:rsidTr="009738A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807C85" w:rsidRPr="00D42206" w:rsidRDefault="00807C85" w:rsidP="009738A5">
            <w:pPr>
              <w:spacing w:after="0" w:line="240" w:lineRule="auto"/>
              <w:jc w:val="left"/>
              <w:rPr>
                <w:rFonts w:cs="Arial"/>
                <w:color w:val="366092"/>
                <w:sz w:val="18"/>
                <w:szCs w:val="18"/>
                <w:lang w:eastAsia="en-AU"/>
              </w:rPr>
            </w:pPr>
            <w:r w:rsidRPr="00D42206">
              <w:rPr>
                <w:rFonts w:cs="Arial"/>
                <w:color w:val="366092"/>
                <w:sz w:val="18"/>
                <w:szCs w:val="18"/>
                <w:lang w:eastAsia="en-AU"/>
              </w:rPr>
              <w:t>Students with a disability</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69%</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18%</w:t>
            </w:r>
          </w:p>
        </w:tc>
        <w:tc>
          <w:tcPr>
            <w:tcW w:w="1241"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w:t>
            </w:r>
          </w:p>
        </w:tc>
      </w:tr>
      <w:tr w:rsidR="00807C85" w:rsidRPr="00D42206" w:rsidTr="009738A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807C85" w:rsidRPr="00D42206" w:rsidRDefault="00807C85" w:rsidP="009738A5">
            <w:pPr>
              <w:spacing w:after="0" w:line="240" w:lineRule="auto"/>
              <w:jc w:val="left"/>
              <w:rPr>
                <w:rFonts w:cs="Arial"/>
                <w:color w:val="366092"/>
                <w:sz w:val="18"/>
                <w:szCs w:val="18"/>
                <w:lang w:eastAsia="en-AU"/>
              </w:rPr>
            </w:pPr>
            <w:r w:rsidRPr="00D42206">
              <w:rPr>
                <w:rFonts w:cs="Arial"/>
                <w:color w:val="366092"/>
                <w:sz w:val="18"/>
                <w:szCs w:val="18"/>
                <w:lang w:eastAsia="en-AU"/>
              </w:rPr>
              <w:t>CALD</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136%</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41%</w:t>
            </w:r>
          </w:p>
        </w:tc>
        <w:tc>
          <w:tcPr>
            <w:tcW w:w="1241"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9%</w:t>
            </w:r>
          </w:p>
        </w:tc>
      </w:tr>
      <w:tr w:rsidR="00807C85" w:rsidRPr="00D42206" w:rsidTr="009738A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807C85" w:rsidRPr="00D42206" w:rsidRDefault="00807C85" w:rsidP="009738A5">
            <w:pPr>
              <w:spacing w:after="0" w:line="240" w:lineRule="auto"/>
              <w:jc w:val="left"/>
              <w:rPr>
                <w:rFonts w:cs="Arial"/>
                <w:color w:val="366092"/>
                <w:sz w:val="18"/>
                <w:szCs w:val="18"/>
                <w:lang w:eastAsia="en-AU"/>
              </w:rPr>
            </w:pPr>
            <w:r w:rsidRPr="00D42206">
              <w:rPr>
                <w:rFonts w:cs="Arial"/>
                <w:color w:val="366092"/>
                <w:sz w:val="18"/>
                <w:szCs w:val="18"/>
                <w:lang w:eastAsia="en-AU"/>
              </w:rPr>
              <w:t>Unemployed</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223%</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51%</w:t>
            </w:r>
          </w:p>
        </w:tc>
        <w:tc>
          <w:tcPr>
            <w:tcW w:w="1241"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14%</w:t>
            </w:r>
          </w:p>
        </w:tc>
      </w:tr>
      <w:tr w:rsidR="00807C85" w:rsidRPr="00D42206" w:rsidTr="009738A5">
        <w:trPr>
          <w:trHeight w:val="762"/>
        </w:trPr>
        <w:tc>
          <w:tcPr>
            <w:tcW w:w="2800" w:type="dxa"/>
            <w:tcBorders>
              <w:top w:val="nil"/>
              <w:left w:val="single" w:sz="4" w:space="0" w:color="366092"/>
              <w:bottom w:val="single" w:sz="4" w:space="0" w:color="366092"/>
              <w:right w:val="single" w:sz="4" w:space="0" w:color="366092"/>
            </w:tcBorders>
            <w:shd w:val="clear" w:color="000000" w:fill="FFFFFF"/>
            <w:vAlign w:val="center"/>
            <w:hideMark/>
          </w:tcPr>
          <w:p w:rsidR="00807C85" w:rsidRPr="00D42206" w:rsidRDefault="00807C85" w:rsidP="009738A5">
            <w:pPr>
              <w:spacing w:after="0" w:line="240" w:lineRule="auto"/>
              <w:jc w:val="left"/>
              <w:rPr>
                <w:rFonts w:cs="Arial"/>
                <w:color w:val="366092"/>
                <w:sz w:val="18"/>
                <w:szCs w:val="18"/>
                <w:lang w:eastAsia="en-AU"/>
              </w:rPr>
            </w:pPr>
            <w:r w:rsidRPr="00D42206">
              <w:rPr>
                <w:rFonts w:cs="Arial"/>
                <w:color w:val="366092"/>
                <w:sz w:val="18"/>
                <w:szCs w:val="18"/>
                <w:lang w:eastAsia="en-AU"/>
              </w:rPr>
              <w:t>Aged 15-19 without year 12, not at school and enrolled in Cert II or above</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7%</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-15%</w:t>
            </w:r>
          </w:p>
        </w:tc>
        <w:tc>
          <w:tcPr>
            <w:tcW w:w="1241"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-16%</w:t>
            </w:r>
          </w:p>
        </w:tc>
      </w:tr>
      <w:tr w:rsidR="00807C85" w:rsidRPr="00D42206" w:rsidTr="009738A5">
        <w:trPr>
          <w:trHeight w:val="559"/>
        </w:trPr>
        <w:tc>
          <w:tcPr>
            <w:tcW w:w="2800" w:type="dxa"/>
            <w:tcBorders>
              <w:top w:val="nil"/>
              <w:left w:val="single" w:sz="4" w:space="0" w:color="366092"/>
              <w:bottom w:val="single" w:sz="4" w:space="0" w:color="366092"/>
              <w:right w:val="single" w:sz="4" w:space="0" w:color="366092"/>
            </w:tcBorders>
            <w:shd w:val="clear" w:color="000000" w:fill="FFFFFF"/>
            <w:vAlign w:val="center"/>
            <w:hideMark/>
          </w:tcPr>
          <w:p w:rsidR="00807C85" w:rsidRPr="00D42206" w:rsidRDefault="00807C85" w:rsidP="009738A5">
            <w:pPr>
              <w:spacing w:after="0" w:line="240" w:lineRule="auto"/>
              <w:jc w:val="left"/>
              <w:rPr>
                <w:rFonts w:cs="Arial"/>
                <w:color w:val="366092"/>
                <w:sz w:val="18"/>
                <w:szCs w:val="18"/>
                <w:lang w:eastAsia="en-AU"/>
              </w:rPr>
            </w:pPr>
            <w:r w:rsidRPr="00D42206">
              <w:rPr>
                <w:rFonts w:cs="Arial"/>
                <w:color w:val="366092"/>
                <w:sz w:val="18"/>
                <w:szCs w:val="18"/>
                <w:lang w:eastAsia="en-AU"/>
              </w:rPr>
              <w:t>Aged 20-64 not holding  a Cert III or above</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107%</w:t>
            </w:r>
          </w:p>
        </w:tc>
        <w:tc>
          <w:tcPr>
            <w:tcW w:w="1240"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22%</w:t>
            </w:r>
          </w:p>
        </w:tc>
        <w:tc>
          <w:tcPr>
            <w:tcW w:w="1241" w:type="dxa"/>
            <w:tcBorders>
              <w:top w:val="nil"/>
              <w:left w:val="nil"/>
              <w:bottom w:val="single" w:sz="4" w:space="0" w:color="366092"/>
              <w:right w:val="single" w:sz="4" w:space="0" w:color="366092"/>
            </w:tcBorders>
            <w:shd w:val="clear" w:color="auto" w:fill="auto"/>
            <w:noWrap/>
            <w:vAlign w:val="center"/>
            <w:hideMark/>
          </w:tcPr>
          <w:p w:rsidR="00807C85" w:rsidRPr="00D42206" w:rsidRDefault="00807C85" w:rsidP="00C6238D">
            <w:pPr>
              <w:spacing w:after="0" w:line="240" w:lineRule="auto"/>
              <w:jc w:val="right"/>
              <w:rPr>
                <w:rFonts w:cs="Arial"/>
                <w:sz w:val="18"/>
                <w:szCs w:val="18"/>
                <w:lang w:eastAsia="en-AU"/>
              </w:rPr>
            </w:pPr>
            <w:r w:rsidRPr="00D42206">
              <w:rPr>
                <w:rFonts w:cs="Arial"/>
                <w:sz w:val="18"/>
                <w:szCs w:val="18"/>
                <w:lang w:eastAsia="en-AU"/>
              </w:rPr>
              <w:t>-2%</w:t>
            </w:r>
          </w:p>
        </w:tc>
      </w:tr>
    </w:tbl>
    <w:p w:rsidR="00807C85" w:rsidRPr="001F29E3" w:rsidRDefault="00807C85" w:rsidP="00807C85">
      <w:pPr>
        <w:rPr>
          <w:rFonts w:cs="Arial"/>
          <w:sz w:val="16"/>
          <w:szCs w:val="16"/>
        </w:rPr>
      </w:pPr>
      <w:r w:rsidRPr="002F07A2">
        <w:rPr>
          <w:rFonts w:cs="Arial"/>
          <w:sz w:val="16"/>
          <w:szCs w:val="16"/>
        </w:rPr>
        <w:t>*The above cohorts of students are not mutually exclusive.</w:t>
      </w:r>
      <w:r w:rsidRPr="001F29E3">
        <w:rPr>
          <w:rFonts w:cs="Arial"/>
          <w:sz w:val="16"/>
          <w:szCs w:val="16"/>
        </w:rPr>
        <w:t xml:space="preserve"> </w:t>
      </w:r>
    </w:p>
    <w:p w:rsidR="00390F00" w:rsidRDefault="00390F00">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390F00" w:rsidRDefault="00390F00" w:rsidP="00390F00">
      <w:pPr>
        <w:pStyle w:val="Caption"/>
        <w:spacing w:after="0"/>
        <w:jc w:val="left"/>
        <w:rPr>
          <w:rFonts w:cs="Arial"/>
          <w:color w:val="365F91" w:themeColor="accent1" w:themeShade="BF"/>
        </w:rPr>
      </w:pPr>
      <w:r>
        <w:rPr>
          <w:rFonts w:cs="Arial"/>
          <w:color w:val="365F91" w:themeColor="accent1" w:themeShade="BF"/>
        </w:rPr>
        <w:t>Figure</w:t>
      </w:r>
      <w:r w:rsidRPr="000305F1">
        <w:rPr>
          <w:rFonts w:cs="Arial"/>
          <w:color w:val="365F91" w:themeColor="accent1" w:themeShade="BF"/>
        </w:rPr>
        <w:t xml:space="preserve"> 2.1: </w:t>
      </w:r>
      <w:r w:rsidR="00AF2E86">
        <w:rPr>
          <w:rFonts w:cs="Arial"/>
          <w:color w:val="365F91" w:themeColor="accent1" w:themeShade="BF"/>
        </w:rPr>
        <w:t>Annual percentage growth from 2008 in the numbers of s</w:t>
      </w:r>
      <w:r w:rsidRPr="000305F1">
        <w:rPr>
          <w:rFonts w:cs="Arial"/>
          <w:color w:val="365F91" w:themeColor="accent1" w:themeShade="BF"/>
        </w:rPr>
        <w:t>tudents undertaking Government subsidised training by selec</w:t>
      </w:r>
      <w:r>
        <w:rPr>
          <w:rFonts w:cs="Arial"/>
          <w:color w:val="365F91" w:themeColor="accent1" w:themeShade="BF"/>
        </w:rPr>
        <w:t>ted learner cohort</w:t>
      </w:r>
    </w:p>
    <w:p w:rsidR="00D67B5E" w:rsidRPr="002F07A2" w:rsidRDefault="00390F00" w:rsidP="00D67B5E">
      <w:pPr>
        <w:pStyle w:val="Caption"/>
        <w:jc w:val="left"/>
        <w:rPr>
          <w:rFonts w:cs="Arial"/>
        </w:rPr>
      </w:pPr>
      <w:r>
        <w:rPr>
          <w:rFonts w:cs="Arial"/>
          <w:noProof/>
          <w:lang w:eastAsia="en-AU"/>
        </w:rPr>
        <w:drawing>
          <wp:inline distT="0" distB="0" distL="0" distR="0" wp14:anchorId="3EB484E2" wp14:editId="3704E4AE">
            <wp:extent cx="5714999" cy="2657475"/>
            <wp:effectExtent l="0" t="0" r="63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5">
                      <a:extLst>
                        <a:ext uri="{28A0092B-C50C-407E-A947-70E740481C1C}">
                          <a14:useLocalDpi xmlns:a14="http://schemas.microsoft.com/office/drawing/2010/main" val="0"/>
                        </a:ext>
                      </a:extLst>
                    </a:blip>
                    <a:srcRect r="8921" b="10577"/>
                    <a:stretch/>
                  </pic:blipFill>
                  <pic:spPr bwMode="auto">
                    <a:xfrm>
                      <a:off x="0" y="0"/>
                      <a:ext cx="5715682" cy="2657792"/>
                    </a:xfrm>
                    <a:prstGeom prst="rect">
                      <a:avLst/>
                    </a:prstGeom>
                    <a:noFill/>
                    <a:ln>
                      <a:noFill/>
                    </a:ln>
                    <a:extLst>
                      <a:ext uri="{53640926-AAD7-44D8-BBD7-CCE9431645EC}">
                        <a14:shadowObscured xmlns:a14="http://schemas.microsoft.com/office/drawing/2010/main"/>
                      </a:ext>
                    </a:extLst>
                  </pic:spPr>
                </pic:pic>
              </a:graphicData>
            </a:graphic>
          </wp:inline>
        </w:drawing>
      </w:r>
    </w:p>
    <w:p w:rsidR="00AF2E86" w:rsidRDefault="00AF2E86" w:rsidP="00AF2E86">
      <w:pPr>
        <w:spacing w:after="0" w:line="240" w:lineRule="auto"/>
        <w:jc w:val="left"/>
        <w:rPr>
          <w:rFonts w:cs="Arial"/>
        </w:rPr>
      </w:pPr>
      <w:r>
        <w:rPr>
          <w:rFonts w:cs="Arial"/>
        </w:rPr>
        <w:t xml:space="preserve">*CALD, Culturally and Linguistically Diverse </w:t>
      </w:r>
    </w:p>
    <w:p w:rsidR="00AF2E86" w:rsidRDefault="00AF2E86" w:rsidP="00AF2E86">
      <w:pPr>
        <w:spacing w:after="0" w:line="240" w:lineRule="auto"/>
        <w:jc w:val="left"/>
        <w:rPr>
          <w:rFonts w:cs="Arial"/>
        </w:rPr>
      </w:pPr>
    </w:p>
    <w:p w:rsidR="00AF2E86" w:rsidRDefault="00AF2E86" w:rsidP="00AF2E86">
      <w:pPr>
        <w:spacing w:after="0" w:line="240" w:lineRule="auto"/>
        <w:jc w:val="left"/>
        <w:rPr>
          <w:rFonts w:cs="Arial"/>
        </w:rPr>
      </w:pPr>
    </w:p>
    <w:p w:rsidR="00D67B5E" w:rsidRPr="001F29E3" w:rsidRDefault="00D67B5E" w:rsidP="00D67B5E">
      <w:pPr>
        <w:rPr>
          <w:rFonts w:cs="Arial"/>
        </w:rPr>
      </w:pPr>
    </w:p>
    <w:p w:rsidR="00C53B57" w:rsidRDefault="00C53B57">
      <w:pPr>
        <w:spacing w:after="0" w:line="240" w:lineRule="auto"/>
        <w:jc w:val="left"/>
        <w:rPr>
          <w:rFonts w:cs="Arial"/>
          <w:bCs/>
          <w:iCs/>
          <w:color w:val="365F91" w:themeColor="accent1" w:themeShade="BF"/>
          <w:sz w:val="28"/>
          <w:szCs w:val="28"/>
        </w:rPr>
      </w:pPr>
      <w:r>
        <w:br w:type="page"/>
      </w:r>
    </w:p>
    <w:p w:rsidR="00D67B5E" w:rsidRPr="001F29E3" w:rsidRDefault="00D67B5E" w:rsidP="00D67B5E">
      <w:pPr>
        <w:pStyle w:val="Heading2"/>
      </w:pPr>
      <w:bookmarkStart w:id="85" w:name="_Toc388340452"/>
      <w:r w:rsidRPr="001F29E3">
        <w:t>Indigenous Students</w:t>
      </w:r>
      <w:bookmarkEnd w:id="85"/>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pStyle w:val="Caption"/>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D67B5E" w:rsidRPr="003B1428" w:rsidTr="003D2B68">
        <w:trPr>
          <w:trHeight w:val="495"/>
        </w:trPr>
        <w:tc>
          <w:tcPr>
            <w:tcW w:w="9088" w:type="dxa"/>
          </w:tcPr>
          <w:p w:rsidR="00D67B5E" w:rsidRDefault="00D67B5E" w:rsidP="0051046D">
            <w:pPr>
              <w:pStyle w:val="Heading3"/>
            </w:pPr>
            <w:r w:rsidRPr="003B1428">
              <w:t>Key Points</w:t>
            </w:r>
          </w:p>
          <w:p w:rsidR="00D67B5E" w:rsidRPr="00A326AF" w:rsidRDefault="00D67B5E" w:rsidP="0051046D"/>
          <w:p w:rsidR="00D67B5E" w:rsidRPr="00D95246" w:rsidRDefault="00D67B5E" w:rsidP="00D83827">
            <w:pPr>
              <w:pStyle w:val="ListBullet"/>
              <w:numPr>
                <w:ilvl w:val="0"/>
                <w:numId w:val="24"/>
              </w:numPr>
              <w:ind w:right="113"/>
              <w:rPr>
                <w:rFonts w:cs="Arial"/>
              </w:rPr>
            </w:pPr>
            <w:r w:rsidRPr="00D95246">
              <w:rPr>
                <w:rFonts w:cs="Arial"/>
              </w:rPr>
              <w:t xml:space="preserve">There were </w:t>
            </w:r>
            <w:r w:rsidR="00F61526">
              <w:rPr>
                <w:rFonts w:cs="Arial"/>
              </w:rPr>
              <w:t>6,500</w:t>
            </w:r>
            <w:r w:rsidRPr="00D95246">
              <w:rPr>
                <w:rFonts w:cs="Arial"/>
              </w:rPr>
              <w:t xml:space="preserve"> Indigenous students enrolled in </w:t>
            </w:r>
            <w:r w:rsidR="00F61526">
              <w:rPr>
                <w:rFonts w:cs="Arial"/>
              </w:rPr>
              <w:t>8,600</w:t>
            </w:r>
            <w:r w:rsidRPr="00D95246">
              <w:rPr>
                <w:rFonts w:cs="Arial"/>
              </w:rPr>
              <w:t xml:space="preserve"> go</w:t>
            </w:r>
            <w:r w:rsidR="007D0C14">
              <w:rPr>
                <w:rFonts w:cs="Arial"/>
              </w:rPr>
              <w:t>vernment subsidised courses in</w:t>
            </w:r>
            <w:r w:rsidRPr="00D95246">
              <w:rPr>
                <w:rFonts w:cs="Arial"/>
              </w:rPr>
              <w:t xml:space="preserve"> 2013.</w:t>
            </w:r>
          </w:p>
          <w:p w:rsidR="00D67B5E" w:rsidRPr="00D95246" w:rsidRDefault="00D67B5E" w:rsidP="00D83827">
            <w:pPr>
              <w:pStyle w:val="ListBullet"/>
              <w:numPr>
                <w:ilvl w:val="0"/>
                <w:numId w:val="24"/>
              </w:numPr>
              <w:ind w:right="113"/>
              <w:rPr>
                <w:rFonts w:cs="Arial"/>
              </w:rPr>
            </w:pPr>
            <w:r w:rsidRPr="00D95246">
              <w:rPr>
                <w:rFonts w:cs="Arial"/>
              </w:rPr>
              <w:t xml:space="preserve">Proportionally, </w:t>
            </w:r>
            <w:r w:rsidR="00B9140C">
              <w:rPr>
                <w:rFonts w:cs="Arial"/>
              </w:rPr>
              <w:t xml:space="preserve">36 per cent of </w:t>
            </w:r>
            <w:r w:rsidR="003D2B68">
              <w:rPr>
                <w:rFonts w:cs="Arial"/>
              </w:rPr>
              <w:t xml:space="preserve">government subsidised </w:t>
            </w:r>
            <w:r w:rsidR="00B9140C">
              <w:rPr>
                <w:rFonts w:cs="Arial"/>
              </w:rPr>
              <w:t>enrolments</w:t>
            </w:r>
            <w:r w:rsidRPr="00D95246">
              <w:rPr>
                <w:rFonts w:cs="Arial"/>
              </w:rPr>
              <w:t xml:space="preserve"> undert</w:t>
            </w:r>
            <w:r w:rsidR="007D0C14">
              <w:rPr>
                <w:rFonts w:cs="Arial"/>
              </w:rPr>
              <w:t xml:space="preserve">aken by Indigenous students in </w:t>
            </w:r>
            <w:r w:rsidRPr="00D95246">
              <w:rPr>
                <w:rFonts w:cs="Arial"/>
              </w:rPr>
              <w:t>2013 were in Certificate</w:t>
            </w:r>
            <w:r w:rsidR="00B9140C">
              <w:rPr>
                <w:rFonts w:cs="Arial"/>
              </w:rPr>
              <w:t xml:space="preserve"> I to II levels and 52 per cent were at the Certificate III and above.</w:t>
            </w:r>
            <w:r w:rsidRPr="00D95246">
              <w:rPr>
                <w:rFonts w:cs="Arial"/>
              </w:rPr>
              <w:t xml:space="preserve">  </w:t>
            </w:r>
          </w:p>
          <w:p w:rsidR="00D67B5E" w:rsidRPr="003B1428" w:rsidRDefault="00D67B5E" w:rsidP="00D83827">
            <w:pPr>
              <w:pStyle w:val="ListBullet"/>
              <w:numPr>
                <w:ilvl w:val="0"/>
                <w:numId w:val="24"/>
              </w:numPr>
              <w:ind w:right="113"/>
              <w:rPr>
                <w:rFonts w:cs="Arial"/>
              </w:rPr>
            </w:pPr>
            <w:r w:rsidRPr="00B34D43">
              <w:rPr>
                <w:rFonts w:cs="Arial"/>
              </w:rPr>
              <w:t>Of those enrolments in industry-specific qualifications (</w:t>
            </w:r>
            <w:r w:rsidR="00F61526">
              <w:rPr>
                <w:rFonts w:cs="Arial"/>
              </w:rPr>
              <w:t>5,400</w:t>
            </w:r>
            <w:r w:rsidRPr="00B34D43">
              <w:rPr>
                <w:rFonts w:cs="Arial"/>
              </w:rPr>
              <w:t xml:space="preserve"> enrolments) which exclude foundati</w:t>
            </w:r>
            <w:r w:rsidR="007D0C14">
              <w:rPr>
                <w:rFonts w:cs="Arial"/>
              </w:rPr>
              <w:t xml:space="preserve">on skills and short courses in </w:t>
            </w:r>
            <w:r w:rsidRPr="00B34D43">
              <w:rPr>
                <w:rFonts w:cs="Arial"/>
              </w:rPr>
              <w:t xml:space="preserve">2013, </w:t>
            </w:r>
            <w:r w:rsidR="004767B8">
              <w:rPr>
                <w:rFonts w:cs="Arial"/>
              </w:rPr>
              <w:t>37</w:t>
            </w:r>
            <w:r w:rsidRPr="00B34D43">
              <w:rPr>
                <w:rFonts w:cs="Arial"/>
              </w:rPr>
              <w:t xml:space="preserve"> per cent were in courses related to specialised or in shortage occupations.</w:t>
            </w:r>
            <w:r w:rsidR="00BB7E11">
              <w:rPr>
                <w:rFonts w:cs="Arial"/>
              </w:rPr>
              <w:t xml:space="preserve"> </w:t>
            </w:r>
          </w:p>
        </w:tc>
      </w:tr>
    </w:tbl>
    <w:p w:rsidR="00D67B5E" w:rsidRDefault="00D67B5E" w:rsidP="00D67B5E"/>
    <w:p w:rsidR="00D67B5E" w:rsidRPr="007D0C14" w:rsidRDefault="005654CD" w:rsidP="00D67B5E">
      <w:pPr>
        <w:pStyle w:val="Caption"/>
        <w:spacing w:after="0"/>
        <w:jc w:val="left"/>
        <w:rPr>
          <w:rFonts w:cs="Arial"/>
          <w:color w:val="365F91" w:themeColor="accent1" w:themeShade="BF"/>
        </w:rPr>
      </w:pPr>
      <w:r w:rsidRPr="007D0C14">
        <w:rPr>
          <w:rFonts w:cs="Arial"/>
          <w:color w:val="365F91" w:themeColor="accent1" w:themeShade="BF"/>
        </w:rPr>
        <w:t>Table 2</w:t>
      </w:r>
      <w:r w:rsidR="00D67B5E" w:rsidRPr="007D0C14">
        <w:rPr>
          <w:rFonts w:cs="Arial"/>
          <w:color w:val="365F91" w:themeColor="accent1" w:themeShade="BF"/>
        </w:rPr>
        <w:t>.2.1: Indigenous students: Government subsidised enrolments by qu</w:t>
      </w:r>
      <w:r w:rsidR="007D0C14" w:rsidRPr="007D0C14">
        <w:rPr>
          <w:rFonts w:cs="Arial"/>
          <w:color w:val="365F91" w:themeColor="accent1" w:themeShade="BF"/>
        </w:rPr>
        <w:t>alification level, 2008 – 2013</w:t>
      </w:r>
    </w:p>
    <w:tbl>
      <w:tblPr>
        <w:tblW w:w="9220"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800"/>
        <w:gridCol w:w="1070"/>
        <w:gridCol w:w="1070"/>
        <w:gridCol w:w="1070"/>
        <w:gridCol w:w="1070"/>
        <w:gridCol w:w="1070"/>
        <w:gridCol w:w="1070"/>
      </w:tblGrid>
      <w:tr w:rsidR="007D0C14" w:rsidRPr="007D0C14" w:rsidTr="00807C85">
        <w:trPr>
          <w:trHeight w:val="762"/>
        </w:trPr>
        <w:tc>
          <w:tcPr>
            <w:tcW w:w="2800" w:type="dxa"/>
            <w:shd w:val="clear" w:color="000000" w:fill="366092"/>
            <w:noWrap/>
            <w:vAlign w:val="center"/>
            <w:hideMark/>
          </w:tcPr>
          <w:p w:rsidR="007D0C14" w:rsidRPr="007D0C14" w:rsidRDefault="007D0C14" w:rsidP="007D0C14">
            <w:pPr>
              <w:spacing w:after="0" w:line="240" w:lineRule="auto"/>
              <w:jc w:val="left"/>
              <w:rPr>
                <w:rFonts w:cs="Arial"/>
                <w:b/>
                <w:bCs/>
                <w:color w:val="FFFFFF"/>
                <w:sz w:val="18"/>
                <w:szCs w:val="18"/>
                <w:lang w:eastAsia="en-AU"/>
              </w:rPr>
            </w:pPr>
            <w:r w:rsidRPr="007D0C14">
              <w:rPr>
                <w:rFonts w:cs="Arial"/>
                <w:b/>
                <w:bCs/>
                <w:color w:val="FFFFFF"/>
                <w:sz w:val="18"/>
                <w:szCs w:val="18"/>
                <w:lang w:eastAsia="en-AU"/>
              </w:rPr>
              <w:t>Qualification level</w:t>
            </w:r>
          </w:p>
        </w:tc>
        <w:tc>
          <w:tcPr>
            <w:tcW w:w="1070" w:type="dxa"/>
            <w:shd w:val="clear" w:color="000000" w:fill="366092"/>
            <w:vAlign w:val="center"/>
            <w:hideMark/>
          </w:tcPr>
          <w:p w:rsidR="007D0C14" w:rsidRPr="007D0C14" w:rsidRDefault="007D0C14" w:rsidP="007D0C14">
            <w:pPr>
              <w:spacing w:after="0" w:line="240" w:lineRule="auto"/>
              <w:ind w:firstLineChars="100" w:firstLine="181"/>
              <w:jc w:val="right"/>
              <w:rPr>
                <w:rFonts w:cs="Arial"/>
                <w:b/>
                <w:bCs/>
                <w:color w:val="FFFFFF"/>
                <w:sz w:val="18"/>
                <w:szCs w:val="18"/>
                <w:lang w:eastAsia="en-AU"/>
              </w:rPr>
            </w:pPr>
            <w:r w:rsidRPr="007D0C14">
              <w:rPr>
                <w:rFonts w:cs="Arial"/>
                <w:b/>
                <w:bCs/>
                <w:color w:val="FFFFFF"/>
                <w:sz w:val="18"/>
                <w:szCs w:val="18"/>
                <w:lang w:eastAsia="en-AU"/>
              </w:rPr>
              <w:t>2008</w:t>
            </w:r>
          </w:p>
        </w:tc>
        <w:tc>
          <w:tcPr>
            <w:tcW w:w="1070" w:type="dxa"/>
            <w:shd w:val="clear" w:color="000000" w:fill="366092"/>
            <w:vAlign w:val="center"/>
            <w:hideMark/>
          </w:tcPr>
          <w:p w:rsidR="007D0C14" w:rsidRPr="007D0C14" w:rsidRDefault="007D0C14" w:rsidP="007D0C14">
            <w:pPr>
              <w:spacing w:after="0" w:line="240" w:lineRule="auto"/>
              <w:ind w:firstLineChars="100" w:firstLine="181"/>
              <w:jc w:val="right"/>
              <w:rPr>
                <w:rFonts w:cs="Arial"/>
                <w:b/>
                <w:bCs/>
                <w:color w:val="FFFFFF"/>
                <w:sz w:val="18"/>
                <w:szCs w:val="18"/>
                <w:lang w:eastAsia="en-AU"/>
              </w:rPr>
            </w:pPr>
            <w:r w:rsidRPr="007D0C14">
              <w:rPr>
                <w:rFonts w:cs="Arial"/>
                <w:b/>
                <w:bCs/>
                <w:color w:val="FFFFFF"/>
                <w:sz w:val="18"/>
                <w:szCs w:val="18"/>
                <w:lang w:eastAsia="en-AU"/>
              </w:rPr>
              <w:t>2009</w:t>
            </w:r>
          </w:p>
        </w:tc>
        <w:tc>
          <w:tcPr>
            <w:tcW w:w="1070" w:type="dxa"/>
            <w:shd w:val="clear" w:color="000000" w:fill="366092"/>
            <w:vAlign w:val="center"/>
            <w:hideMark/>
          </w:tcPr>
          <w:p w:rsidR="007D0C14" w:rsidRPr="007D0C14" w:rsidRDefault="007D0C14" w:rsidP="007D0C14">
            <w:pPr>
              <w:spacing w:after="0" w:line="240" w:lineRule="auto"/>
              <w:ind w:firstLineChars="100" w:firstLine="181"/>
              <w:jc w:val="right"/>
              <w:rPr>
                <w:rFonts w:cs="Arial"/>
                <w:b/>
                <w:bCs/>
                <w:color w:val="FFFFFF"/>
                <w:sz w:val="18"/>
                <w:szCs w:val="18"/>
                <w:lang w:eastAsia="en-AU"/>
              </w:rPr>
            </w:pPr>
            <w:r w:rsidRPr="007D0C14">
              <w:rPr>
                <w:rFonts w:cs="Arial"/>
                <w:b/>
                <w:bCs/>
                <w:color w:val="FFFFFF"/>
                <w:sz w:val="18"/>
                <w:szCs w:val="18"/>
                <w:lang w:eastAsia="en-AU"/>
              </w:rPr>
              <w:t>2010</w:t>
            </w:r>
          </w:p>
        </w:tc>
        <w:tc>
          <w:tcPr>
            <w:tcW w:w="1070" w:type="dxa"/>
            <w:shd w:val="clear" w:color="000000" w:fill="366092"/>
            <w:vAlign w:val="center"/>
            <w:hideMark/>
          </w:tcPr>
          <w:p w:rsidR="007D0C14" w:rsidRPr="007D0C14" w:rsidRDefault="007D0C14" w:rsidP="007D0C14">
            <w:pPr>
              <w:spacing w:after="0" w:line="240" w:lineRule="auto"/>
              <w:ind w:firstLineChars="100" w:firstLine="181"/>
              <w:jc w:val="right"/>
              <w:rPr>
                <w:rFonts w:cs="Arial"/>
                <w:b/>
                <w:bCs/>
                <w:color w:val="FFFFFF"/>
                <w:sz w:val="18"/>
                <w:szCs w:val="18"/>
                <w:lang w:eastAsia="en-AU"/>
              </w:rPr>
            </w:pPr>
            <w:r w:rsidRPr="007D0C14">
              <w:rPr>
                <w:rFonts w:cs="Arial"/>
                <w:b/>
                <w:bCs/>
                <w:color w:val="FFFFFF"/>
                <w:sz w:val="18"/>
                <w:szCs w:val="18"/>
                <w:lang w:eastAsia="en-AU"/>
              </w:rPr>
              <w:t>2011</w:t>
            </w:r>
          </w:p>
        </w:tc>
        <w:tc>
          <w:tcPr>
            <w:tcW w:w="1070" w:type="dxa"/>
            <w:shd w:val="clear" w:color="000000" w:fill="366092"/>
            <w:vAlign w:val="center"/>
            <w:hideMark/>
          </w:tcPr>
          <w:p w:rsidR="007D0C14" w:rsidRPr="007D0C14" w:rsidRDefault="007D0C14" w:rsidP="007D0C14">
            <w:pPr>
              <w:spacing w:after="0" w:line="240" w:lineRule="auto"/>
              <w:ind w:firstLineChars="100" w:firstLine="181"/>
              <w:jc w:val="right"/>
              <w:rPr>
                <w:rFonts w:cs="Arial"/>
                <w:b/>
                <w:bCs/>
                <w:color w:val="FFFFFF"/>
                <w:sz w:val="18"/>
                <w:szCs w:val="18"/>
                <w:lang w:eastAsia="en-AU"/>
              </w:rPr>
            </w:pPr>
            <w:r w:rsidRPr="007D0C14">
              <w:rPr>
                <w:rFonts w:cs="Arial"/>
                <w:b/>
                <w:bCs/>
                <w:color w:val="FFFFFF"/>
                <w:sz w:val="18"/>
                <w:szCs w:val="18"/>
                <w:lang w:eastAsia="en-AU"/>
              </w:rPr>
              <w:t>2012</w:t>
            </w:r>
          </w:p>
        </w:tc>
        <w:tc>
          <w:tcPr>
            <w:tcW w:w="1070" w:type="dxa"/>
            <w:shd w:val="clear" w:color="000000" w:fill="366092"/>
            <w:vAlign w:val="center"/>
            <w:hideMark/>
          </w:tcPr>
          <w:p w:rsidR="007D0C14" w:rsidRPr="007D0C14" w:rsidRDefault="007D0C14" w:rsidP="007D0C14">
            <w:pPr>
              <w:spacing w:after="0" w:line="240" w:lineRule="auto"/>
              <w:ind w:firstLineChars="100" w:firstLine="181"/>
              <w:jc w:val="right"/>
              <w:rPr>
                <w:rFonts w:cs="Arial"/>
                <w:b/>
                <w:bCs/>
                <w:color w:val="FFFFFF"/>
                <w:sz w:val="18"/>
                <w:szCs w:val="18"/>
                <w:lang w:eastAsia="en-AU"/>
              </w:rPr>
            </w:pPr>
            <w:r w:rsidRPr="007D0C14">
              <w:rPr>
                <w:rFonts w:cs="Arial"/>
                <w:b/>
                <w:bCs/>
                <w:color w:val="FFFFFF"/>
                <w:sz w:val="18"/>
                <w:szCs w:val="18"/>
                <w:lang w:eastAsia="en-AU"/>
              </w:rPr>
              <w:t>2013</w:t>
            </w:r>
          </w:p>
        </w:tc>
      </w:tr>
      <w:tr w:rsidR="007D0C14" w:rsidRPr="007D0C14" w:rsidTr="00807C85">
        <w:trPr>
          <w:trHeight w:val="342"/>
        </w:trPr>
        <w:tc>
          <w:tcPr>
            <w:tcW w:w="2800" w:type="dxa"/>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Cert I-II</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3,200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2,500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2,800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3,200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2,900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3,100 </w:t>
            </w:r>
          </w:p>
        </w:tc>
      </w:tr>
      <w:tr w:rsidR="007D0C14" w:rsidRPr="007D0C14" w:rsidTr="00807C85">
        <w:trPr>
          <w:trHeight w:val="342"/>
        </w:trPr>
        <w:tc>
          <w:tcPr>
            <w:tcW w:w="2800" w:type="dxa"/>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Cert III-IV</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2,000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2,200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2,300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3,100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3,600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4,000 </w:t>
            </w:r>
          </w:p>
        </w:tc>
      </w:tr>
      <w:tr w:rsidR="007D0C14" w:rsidRPr="007D0C14" w:rsidTr="00807C85">
        <w:trPr>
          <w:trHeight w:val="342"/>
        </w:trPr>
        <w:tc>
          <w:tcPr>
            <w:tcW w:w="2800" w:type="dxa"/>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Diploma &amp; Above</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350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400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450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550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600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500 </w:t>
            </w:r>
          </w:p>
        </w:tc>
      </w:tr>
      <w:tr w:rsidR="007D0C14" w:rsidRPr="007D0C14" w:rsidTr="00807C85">
        <w:trPr>
          <w:trHeight w:val="342"/>
        </w:trPr>
        <w:tc>
          <w:tcPr>
            <w:tcW w:w="2800" w:type="dxa"/>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Module Only</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850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400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400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400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500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350 </w:t>
            </w:r>
          </w:p>
        </w:tc>
      </w:tr>
      <w:tr w:rsidR="007D0C14" w:rsidRPr="007D0C14" w:rsidTr="00807C85">
        <w:trPr>
          <w:trHeight w:val="342"/>
        </w:trPr>
        <w:tc>
          <w:tcPr>
            <w:tcW w:w="2800" w:type="dxa"/>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Secondary, SoA and other</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550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700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650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350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600 </w:t>
            </w:r>
          </w:p>
        </w:tc>
        <w:tc>
          <w:tcPr>
            <w:tcW w:w="1070" w:type="dxa"/>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 xml:space="preserve">750 </w:t>
            </w:r>
          </w:p>
        </w:tc>
      </w:tr>
      <w:tr w:rsidR="007D0C14" w:rsidRPr="007D0C14" w:rsidTr="00807C85">
        <w:trPr>
          <w:trHeight w:val="342"/>
        </w:trPr>
        <w:tc>
          <w:tcPr>
            <w:tcW w:w="2800" w:type="dxa"/>
            <w:shd w:val="clear" w:color="000000" w:fill="366092"/>
            <w:noWrap/>
            <w:vAlign w:val="bottom"/>
            <w:hideMark/>
          </w:tcPr>
          <w:p w:rsidR="007D0C14" w:rsidRPr="007D0C14" w:rsidRDefault="007D0C14" w:rsidP="007D0C14">
            <w:pPr>
              <w:spacing w:after="0" w:line="240" w:lineRule="auto"/>
              <w:jc w:val="left"/>
              <w:rPr>
                <w:rFonts w:cs="Arial"/>
                <w:b/>
                <w:bCs/>
                <w:color w:val="FFFFFF"/>
                <w:sz w:val="18"/>
                <w:szCs w:val="18"/>
                <w:lang w:eastAsia="en-AU"/>
              </w:rPr>
            </w:pPr>
            <w:r w:rsidRPr="007D0C14">
              <w:rPr>
                <w:rFonts w:cs="Arial"/>
                <w:b/>
                <w:bCs/>
                <w:color w:val="FFFFFF"/>
                <w:sz w:val="18"/>
                <w:szCs w:val="18"/>
                <w:lang w:eastAsia="en-AU"/>
              </w:rPr>
              <w:t>Total</w:t>
            </w:r>
          </w:p>
        </w:tc>
        <w:tc>
          <w:tcPr>
            <w:tcW w:w="1070" w:type="dxa"/>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xml:space="preserve">7,000 </w:t>
            </w:r>
          </w:p>
        </w:tc>
        <w:tc>
          <w:tcPr>
            <w:tcW w:w="1070" w:type="dxa"/>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xml:space="preserve">6,200 </w:t>
            </w:r>
          </w:p>
        </w:tc>
        <w:tc>
          <w:tcPr>
            <w:tcW w:w="1070" w:type="dxa"/>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xml:space="preserve">6,600 </w:t>
            </w:r>
          </w:p>
        </w:tc>
        <w:tc>
          <w:tcPr>
            <w:tcW w:w="1070" w:type="dxa"/>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xml:space="preserve">7,600 </w:t>
            </w:r>
          </w:p>
        </w:tc>
        <w:tc>
          <w:tcPr>
            <w:tcW w:w="1070" w:type="dxa"/>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xml:space="preserve">8,200 </w:t>
            </w:r>
          </w:p>
        </w:tc>
        <w:tc>
          <w:tcPr>
            <w:tcW w:w="1070" w:type="dxa"/>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xml:space="preserve">8,600 </w:t>
            </w:r>
          </w:p>
        </w:tc>
      </w:tr>
    </w:tbl>
    <w:p w:rsidR="00D67B5E" w:rsidRPr="007E7B89" w:rsidRDefault="00D67B5E" w:rsidP="00D67B5E">
      <w:pPr>
        <w:spacing w:after="0"/>
        <w:rPr>
          <w:sz w:val="16"/>
          <w:szCs w:val="16"/>
        </w:rPr>
      </w:pPr>
      <w:r w:rsidRPr="007E7B89">
        <w:rPr>
          <w:sz w:val="16"/>
          <w:szCs w:val="16"/>
        </w:rPr>
        <w:t>SoA: Statement of Attainment.</w:t>
      </w:r>
    </w:p>
    <w:p w:rsidR="00D67B5E" w:rsidRPr="001F29E3" w:rsidRDefault="00D67B5E" w:rsidP="00D67B5E">
      <w:pPr>
        <w:rPr>
          <w:rFonts w:cs="Arial"/>
        </w:rPr>
      </w:pPr>
    </w:p>
    <w:p w:rsidR="00D67B5E" w:rsidRPr="007D0C14" w:rsidRDefault="005654CD" w:rsidP="00D67B5E">
      <w:pPr>
        <w:pStyle w:val="Caption"/>
        <w:spacing w:after="0"/>
        <w:jc w:val="left"/>
        <w:rPr>
          <w:rFonts w:cs="Arial"/>
          <w:color w:val="365F91" w:themeColor="accent1" w:themeShade="BF"/>
        </w:rPr>
      </w:pPr>
      <w:r w:rsidRPr="007D0C14">
        <w:rPr>
          <w:rFonts w:cs="Arial"/>
          <w:color w:val="365F91" w:themeColor="accent1" w:themeShade="BF"/>
        </w:rPr>
        <w:t>Table 2</w:t>
      </w:r>
      <w:r w:rsidR="00D67B5E" w:rsidRPr="007D0C14">
        <w:rPr>
          <w:rFonts w:cs="Arial"/>
          <w:color w:val="365F91" w:themeColor="accent1" w:themeShade="BF"/>
        </w:rPr>
        <w:t>.2.2</w:t>
      </w:r>
      <w:r w:rsidR="007D0C14" w:rsidRPr="007D0C14">
        <w:rPr>
          <w:rFonts w:cs="Arial"/>
          <w:color w:val="365F91" w:themeColor="accent1" w:themeShade="BF"/>
        </w:rPr>
        <w:t>: Change in number of government subsidised enrolments undertaken by Indigenous students</w:t>
      </w:r>
      <w:r w:rsidR="00D67B5E" w:rsidRPr="007D0C14">
        <w:rPr>
          <w:rFonts w:cs="Arial"/>
          <w:color w:val="365F91" w:themeColor="accent1" w:themeShade="BF"/>
        </w:rPr>
        <w:t xml:space="preserve"> by qualification leve</w:t>
      </w:r>
      <w:r w:rsidR="007D0C14" w:rsidRPr="007D0C14">
        <w:rPr>
          <w:rFonts w:cs="Arial"/>
          <w:color w:val="365F91" w:themeColor="accent1" w:themeShade="BF"/>
        </w:rPr>
        <w:t>l</w:t>
      </w:r>
    </w:p>
    <w:tbl>
      <w:tblPr>
        <w:tblW w:w="6384" w:type="dxa"/>
        <w:tblInd w:w="103" w:type="dxa"/>
        <w:tblLayout w:type="fixed"/>
        <w:tblLook w:val="04A0" w:firstRow="1" w:lastRow="0" w:firstColumn="1" w:lastColumn="0" w:noHBand="0" w:noVBand="1"/>
      </w:tblPr>
      <w:tblGrid>
        <w:gridCol w:w="2800"/>
        <w:gridCol w:w="1194"/>
        <w:gridCol w:w="1195"/>
        <w:gridCol w:w="1195"/>
      </w:tblGrid>
      <w:tr w:rsidR="007D0C14" w:rsidRPr="007D0C14" w:rsidTr="00807C85">
        <w:trPr>
          <w:trHeight w:val="762"/>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7D0C14" w:rsidRPr="007D0C14" w:rsidRDefault="007D0C14" w:rsidP="00807C85">
            <w:pPr>
              <w:spacing w:after="0" w:line="240" w:lineRule="auto"/>
              <w:jc w:val="left"/>
              <w:rPr>
                <w:rFonts w:cs="Arial"/>
                <w:b/>
                <w:bCs/>
                <w:color w:val="FFFFFF"/>
                <w:sz w:val="18"/>
                <w:szCs w:val="18"/>
                <w:lang w:eastAsia="en-AU"/>
              </w:rPr>
            </w:pPr>
            <w:r w:rsidRPr="007D0C14">
              <w:rPr>
                <w:rFonts w:cs="Arial"/>
                <w:b/>
                <w:bCs/>
                <w:color w:val="FFFFFF"/>
                <w:sz w:val="18"/>
                <w:szCs w:val="18"/>
                <w:lang w:eastAsia="en-AU"/>
              </w:rPr>
              <w:t>Qualification level</w:t>
            </w:r>
          </w:p>
        </w:tc>
        <w:tc>
          <w:tcPr>
            <w:tcW w:w="1194" w:type="dxa"/>
            <w:tcBorders>
              <w:top w:val="single" w:sz="4" w:space="0" w:color="366092"/>
              <w:left w:val="nil"/>
              <w:bottom w:val="single" w:sz="4" w:space="0" w:color="366092"/>
              <w:right w:val="single" w:sz="4" w:space="0" w:color="366092"/>
            </w:tcBorders>
            <w:shd w:val="clear" w:color="000000" w:fill="366092"/>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change</w:t>
            </w:r>
            <w:r w:rsidRPr="007D0C14">
              <w:rPr>
                <w:rFonts w:cs="Arial"/>
                <w:b/>
                <w:bCs/>
                <w:color w:val="FFFFFF"/>
                <w:sz w:val="18"/>
                <w:szCs w:val="18"/>
                <w:lang w:eastAsia="en-AU"/>
              </w:rPr>
              <w:br/>
              <w:t>2008-2013</w:t>
            </w:r>
          </w:p>
        </w:tc>
        <w:tc>
          <w:tcPr>
            <w:tcW w:w="1195" w:type="dxa"/>
            <w:tcBorders>
              <w:top w:val="single" w:sz="4" w:space="0" w:color="366092"/>
              <w:left w:val="nil"/>
              <w:bottom w:val="single" w:sz="4" w:space="0" w:color="366092"/>
              <w:right w:val="single" w:sz="4" w:space="0" w:color="366092"/>
            </w:tcBorders>
            <w:shd w:val="clear" w:color="000000" w:fill="366092"/>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change</w:t>
            </w:r>
            <w:r w:rsidRPr="007D0C14">
              <w:rPr>
                <w:rFonts w:cs="Arial"/>
                <w:b/>
                <w:bCs/>
                <w:color w:val="FFFFFF"/>
                <w:sz w:val="18"/>
                <w:szCs w:val="18"/>
                <w:lang w:eastAsia="en-AU"/>
              </w:rPr>
              <w:br/>
              <w:t>2011-2013 </w:t>
            </w:r>
          </w:p>
        </w:tc>
        <w:tc>
          <w:tcPr>
            <w:tcW w:w="1195" w:type="dxa"/>
            <w:tcBorders>
              <w:top w:val="single" w:sz="4" w:space="0" w:color="366092"/>
              <w:left w:val="nil"/>
              <w:bottom w:val="single" w:sz="4" w:space="0" w:color="366092"/>
              <w:right w:val="single" w:sz="4" w:space="0" w:color="366092"/>
            </w:tcBorders>
            <w:shd w:val="clear" w:color="000000" w:fill="366092"/>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 change</w:t>
            </w:r>
            <w:r w:rsidRPr="007D0C14">
              <w:rPr>
                <w:rFonts w:cs="Arial"/>
                <w:b/>
                <w:bCs/>
                <w:color w:val="FFFFFF"/>
                <w:sz w:val="18"/>
                <w:szCs w:val="18"/>
                <w:lang w:eastAsia="en-AU"/>
              </w:rPr>
              <w:br/>
              <w:t>2012-2013</w:t>
            </w:r>
          </w:p>
        </w:tc>
      </w:tr>
      <w:tr w:rsidR="007D0C14" w:rsidRPr="007D0C14"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Cert I-II</w:t>
            </w:r>
          </w:p>
        </w:tc>
        <w:tc>
          <w:tcPr>
            <w:tcW w:w="1194"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-4%</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-3%</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7%</w:t>
            </w:r>
          </w:p>
        </w:tc>
      </w:tr>
      <w:tr w:rsidR="007D0C14" w:rsidRPr="007D0C14"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Cert III-IV</w:t>
            </w:r>
          </w:p>
        </w:tc>
        <w:tc>
          <w:tcPr>
            <w:tcW w:w="1194"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93%</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29%</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9%</w:t>
            </w:r>
          </w:p>
        </w:tc>
      </w:tr>
      <w:tr w:rsidR="007D0C14" w:rsidRPr="007D0C14"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Diploma &amp; Above</w:t>
            </w:r>
          </w:p>
        </w:tc>
        <w:tc>
          <w:tcPr>
            <w:tcW w:w="1194"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41%</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-9%</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-16%</w:t>
            </w:r>
          </w:p>
        </w:tc>
      </w:tr>
      <w:tr w:rsidR="007D0C14" w:rsidRPr="007D0C14"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Module Only</w:t>
            </w:r>
          </w:p>
        </w:tc>
        <w:tc>
          <w:tcPr>
            <w:tcW w:w="1194"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-63%</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-20%</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-36%</w:t>
            </w:r>
          </w:p>
        </w:tc>
      </w:tr>
      <w:tr w:rsidR="007D0C14" w:rsidRPr="007D0C14"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D0C14" w:rsidRPr="007D0C14" w:rsidRDefault="007D0C14" w:rsidP="00807C85">
            <w:pPr>
              <w:spacing w:after="0" w:line="240" w:lineRule="auto"/>
              <w:jc w:val="left"/>
              <w:rPr>
                <w:rFonts w:cs="Arial"/>
                <w:color w:val="366092"/>
                <w:sz w:val="18"/>
                <w:szCs w:val="18"/>
                <w:lang w:eastAsia="en-AU"/>
              </w:rPr>
            </w:pPr>
            <w:r w:rsidRPr="007D0C14">
              <w:rPr>
                <w:rFonts w:cs="Arial"/>
                <w:color w:val="366092"/>
                <w:sz w:val="18"/>
                <w:szCs w:val="18"/>
                <w:lang w:eastAsia="en-AU"/>
              </w:rPr>
              <w:t>Secondary, SoA and other</w:t>
            </w:r>
          </w:p>
        </w:tc>
        <w:tc>
          <w:tcPr>
            <w:tcW w:w="1194"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36%</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110%</w:t>
            </w:r>
          </w:p>
        </w:tc>
        <w:tc>
          <w:tcPr>
            <w:tcW w:w="1195" w:type="dxa"/>
            <w:tcBorders>
              <w:top w:val="nil"/>
              <w:left w:val="nil"/>
              <w:bottom w:val="single" w:sz="4" w:space="0" w:color="366092"/>
              <w:right w:val="single" w:sz="4" w:space="0" w:color="366092"/>
            </w:tcBorders>
            <w:shd w:val="clear" w:color="auto" w:fill="auto"/>
            <w:noWrap/>
            <w:vAlign w:val="center"/>
            <w:hideMark/>
          </w:tcPr>
          <w:p w:rsidR="007D0C14" w:rsidRPr="007D0C14" w:rsidRDefault="007D0C14" w:rsidP="007D0C14">
            <w:pPr>
              <w:spacing w:after="0" w:line="240" w:lineRule="auto"/>
              <w:jc w:val="right"/>
              <w:rPr>
                <w:rFonts w:cs="Arial"/>
                <w:sz w:val="18"/>
                <w:szCs w:val="18"/>
                <w:lang w:eastAsia="en-AU"/>
              </w:rPr>
            </w:pPr>
            <w:r w:rsidRPr="007D0C14">
              <w:rPr>
                <w:rFonts w:cs="Arial"/>
                <w:sz w:val="18"/>
                <w:szCs w:val="18"/>
                <w:lang w:eastAsia="en-AU"/>
              </w:rPr>
              <w:t>31%</w:t>
            </w:r>
          </w:p>
        </w:tc>
      </w:tr>
      <w:tr w:rsidR="007D0C14" w:rsidRPr="007D0C14" w:rsidTr="006C6BAF">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7D0C14" w:rsidRPr="007D0C14" w:rsidRDefault="007D0C14" w:rsidP="007D0C14">
            <w:pPr>
              <w:spacing w:after="0" w:line="240" w:lineRule="auto"/>
              <w:jc w:val="left"/>
              <w:rPr>
                <w:rFonts w:cs="Arial"/>
                <w:b/>
                <w:bCs/>
                <w:color w:val="FFFFFF"/>
                <w:sz w:val="18"/>
                <w:szCs w:val="18"/>
                <w:lang w:eastAsia="en-AU"/>
              </w:rPr>
            </w:pPr>
            <w:r w:rsidRPr="007D0C14">
              <w:rPr>
                <w:rFonts w:cs="Arial"/>
                <w:b/>
                <w:bCs/>
                <w:color w:val="FFFFFF"/>
                <w:sz w:val="18"/>
                <w:szCs w:val="18"/>
                <w:lang w:eastAsia="en-AU"/>
              </w:rPr>
              <w:t>Total</w:t>
            </w:r>
          </w:p>
        </w:tc>
        <w:tc>
          <w:tcPr>
            <w:tcW w:w="1194" w:type="dxa"/>
            <w:tcBorders>
              <w:top w:val="nil"/>
              <w:left w:val="nil"/>
              <w:bottom w:val="single" w:sz="4" w:space="0" w:color="366092"/>
              <w:right w:val="single" w:sz="4" w:space="0" w:color="366092"/>
            </w:tcBorders>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23%</w:t>
            </w:r>
          </w:p>
        </w:tc>
        <w:tc>
          <w:tcPr>
            <w:tcW w:w="1195" w:type="dxa"/>
            <w:tcBorders>
              <w:top w:val="nil"/>
              <w:left w:val="nil"/>
              <w:bottom w:val="single" w:sz="4" w:space="0" w:color="366092"/>
              <w:right w:val="single" w:sz="4" w:space="0" w:color="366092"/>
            </w:tcBorders>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14%</w:t>
            </w:r>
          </w:p>
        </w:tc>
        <w:tc>
          <w:tcPr>
            <w:tcW w:w="1195" w:type="dxa"/>
            <w:tcBorders>
              <w:top w:val="nil"/>
              <w:left w:val="nil"/>
              <w:bottom w:val="single" w:sz="4" w:space="0" w:color="366092"/>
              <w:right w:val="single" w:sz="4" w:space="0" w:color="366092"/>
            </w:tcBorders>
            <w:shd w:val="clear" w:color="000000" w:fill="366092"/>
            <w:noWrap/>
            <w:vAlign w:val="center"/>
            <w:hideMark/>
          </w:tcPr>
          <w:p w:rsidR="007D0C14" w:rsidRPr="007D0C14" w:rsidRDefault="007D0C14" w:rsidP="007D0C14">
            <w:pPr>
              <w:spacing w:after="0" w:line="240" w:lineRule="auto"/>
              <w:jc w:val="right"/>
              <w:rPr>
                <w:rFonts w:cs="Arial"/>
                <w:b/>
                <w:bCs/>
                <w:color w:val="FFFFFF"/>
                <w:sz w:val="18"/>
                <w:szCs w:val="18"/>
                <w:lang w:eastAsia="en-AU"/>
              </w:rPr>
            </w:pPr>
            <w:r w:rsidRPr="007D0C14">
              <w:rPr>
                <w:rFonts w:cs="Arial"/>
                <w:b/>
                <w:bCs/>
                <w:color w:val="FFFFFF"/>
                <w:sz w:val="18"/>
                <w:szCs w:val="18"/>
                <w:lang w:eastAsia="en-AU"/>
              </w:rPr>
              <w:t>5%</w:t>
            </w:r>
          </w:p>
        </w:tc>
      </w:tr>
    </w:tbl>
    <w:p w:rsidR="00D67B5E" w:rsidRPr="007E7B89" w:rsidRDefault="00D67B5E" w:rsidP="00D67B5E">
      <w:pPr>
        <w:spacing w:after="0"/>
        <w:rPr>
          <w:sz w:val="16"/>
          <w:szCs w:val="16"/>
        </w:rPr>
      </w:pPr>
      <w:r w:rsidRPr="007E7B89">
        <w:rPr>
          <w:sz w:val="16"/>
          <w:szCs w:val="16"/>
        </w:rPr>
        <w:t>SoA: Statement of Attainment.</w:t>
      </w:r>
    </w:p>
    <w:p w:rsidR="00D67B5E" w:rsidRPr="001F29E3" w:rsidRDefault="00D67B5E" w:rsidP="00D67B5E">
      <w:pPr>
        <w:rPr>
          <w:rFonts w:cs="Arial"/>
        </w:rPr>
      </w:pPr>
    </w:p>
    <w:p w:rsidR="00D67B5E" w:rsidRPr="00A326AF" w:rsidRDefault="00D67B5E" w:rsidP="00D67B5E">
      <w:pPr>
        <w:rPr>
          <w:rFonts w:cs="Arial"/>
        </w:rPr>
      </w:pPr>
    </w:p>
    <w:p w:rsidR="00D67B5E" w:rsidRPr="00A326AF" w:rsidRDefault="00D67B5E" w:rsidP="00D67B5E">
      <w:pPr>
        <w:rPr>
          <w:rFonts w:cs="Arial"/>
        </w:rPr>
      </w:pPr>
    </w:p>
    <w:p w:rsidR="00D67B5E" w:rsidRPr="00A326AF" w:rsidRDefault="00D67B5E" w:rsidP="00D67B5E">
      <w:pPr>
        <w:spacing w:after="0" w:line="240" w:lineRule="auto"/>
        <w:jc w:val="left"/>
        <w:rPr>
          <w:rFonts w:cs="Arial"/>
          <w:bCs/>
          <w:iCs/>
          <w:sz w:val="28"/>
          <w:szCs w:val="28"/>
        </w:rPr>
      </w:pPr>
      <w:r w:rsidRPr="00A326AF">
        <w:br w:type="page"/>
      </w:r>
    </w:p>
    <w:p w:rsidR="00D67B5E" w:rsidRPr="001F29E3" w:rsidRDefault="00D67B5E" w:rsidP="00D67B5E">
      <w:pPr>
        <w:pStyle w:val="Heading2"/>
      </w:pPr>
      <w:bookmarkStart w:id="86" w:name="_Toc388340453"/>
      <w:r w:rsidRPr="001F29E3">
        <w:t>Students with a Disability</w:t>
      </w:r>
      <w:bookmarkEnd w:id="86"/>
    </w:p>
    <w:p w:rsidR="00D67B5E" w:rsidRDefault="00D67B5E" w:rsidP="00D67B5E"/>
    <w:p w:rsidR="00D67B5E" w:rsidRDefault="00D67B5E" w:rsidP="00D67B5E">
      <w:pPr>
        <w:pStyle w:val="Heading3"/>
      </w:pPr>
      <w:r>
        <w:t>Enrolments</w:t>
      </w:r>
    </w:p>
    <w:p w:rsidR="00D67B5E" w:rsidRDefault="00D67B5E" w:rsidP="00D67B5E">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D67B5E" w:rsidRPr="001F29E3" w:rsidTr="00553387">
        <w:trPr>
          <w:trHeight w:val="1449"/>
        </w:trPr>
        <w:tc>
          <w:tcPr>
            <w:tcW w:w="9088" w:type="dxa"/>
          </w:tcPr>
          <w:p w:rsidR="00D67B5E" w:rsidRDefault="00D67B5E" w:rsidP="0051046D">
            <w:pPr>
              <w:pStyle w:val="Heading3"/>
            </w:pPr>
            <w:r w:rsidRPr="003B1428">
              <w:t>Key Points</w:t>
            </w:r>
          </w:p>
          <w:p w:rsidR="00D67B5E" w:rsidRPr="00A326AF" w:rsidRDefault="00D67B5E" w:rsidP="0051046D"/>
          <w:p w:rsidR="00D67B5E" w:rsidRPr="00114CF9" w:rsidRDefault="00D67B5E" w:rsidP="00D83827">
            <w:pPr>
              <w:pStyle w:val="ListBullet"/>
              <w:numPr>
                <w:ilvl w:val="0"/>
                <w:numId w:val="25"/>
              </w:numPr>
              <w:ind w:right="113"/>
              <w:rPr>
                <w:rFonts w:cs="Arial"/>
              </w:rPr>
            </w:pPr>
            <w:r w:rsidRPr="00114CF9">
              <w:rPr>
                <w:rFonts w:cs="Arial"/>
              </w:rPr>
              <w:t xml:space="preserve">There were </w:t>
            </w:r>
            <w:r w:rsidR="00114CF9">
              <w:rPr>
                <w:rFonts w:cs="Arial"/>
              </w:rPr>
              <w:t>40,500</w:t>
            </w:r>
            <w:r w:rsidRPr="00114CF9">
              <w:rPr>
                <w:rFonts w:cs="Arial"/>
              </w:rPr>
              <w:t xml:space="preserve"> students with a disability enrolled in </w:t>
            </w:r>
            <w:r w:rsidR="00114CF9">
              <w:rPr>
                <w:rFonts w:cs="Arial"/>
              </w:rPr>
              <w:t>57,900</w:t>
            </w:r>
            <w:r w:rsidRPr="00114CF9">
              <w:rPr>
                <w:rFonts w:cs="Arial"/>
              </w:rPr>
              <w:t xml:space="preserve"> government subsidised courses in 2013.</w:t>
            </w:r>
          </w:p>
          <w:p w:rsidR="00D67B5E" w:rsidRPr="00114CF9" w:rsidRDefault="00114CF9" w:rsidP="00D83827">
            <w:pPr>
              <w:pStyle w:val="ListBullet"/>
              <w:numPr>
                <w:ilvl w:val="0"/>
                <w:numId w:val="25"/>
              </w:numPr>
              <w:ind w:right="113"/>
              <w:rPr>
                <w:rFonts w:cs="Arial"/>
              </w:rPr>
            </w:pPr>
            <w:r>
              <w:rPr>
                <w:rFonts w:cs="Arial"/>
              </w:rPr>
              <w:t>Forty two</w:t>
            </w:r>
            <w:r w:rsidR="00D67B5E" w:rsidRPr="00114CF9">
              <w:rPr>
                <w:rFonts w:cs="Arial"/>
              </w:rPr>
              <w:t xml:space="preserve"> per cent of </w:t>
            </w:r>
            <w:r w:rsidR="003D2B68">
              <w:rPr>
                <w:rFonts w:cs="Arial"/>
              </w:rPr>
              <w:t xml:space="preserve">government subsidised </w:t>
            </w:r>
            <w:r w:rsidR="00D67B5E" w:rsidRPr="00114CF9">
              <w:rPr>
                <w:rFonts w:cs="Arial"/>
              </w:rPr>
              <w:t xml:space="preserve">enrolments undertaken by students with disability were in Certificate </w:t>
            </w:r>
            <w:r w:rsidR="00765A0B" w:rsidRPr="00114CF9">
              <w:rPr>
                <w:rFonts w:cs="Arial"/>
              </w:rPr>
              <w:t>I</w:t>
            </w:r>
            <w:r w:rsidR="00423B9C" w:rsidRPr="00114CF9">
              <w:rPr>
                <w:rFonts w:cs="Arial"/>
              </w:rPr>
              <w:t>I</w:t>
            </w:r>
            <w:r w:rsidR="00765A0B" w:rsidRPr="00114CF9">
              <w:rPr>
                <w:rFonts w:cs="Arial"/>
              </w:rPr>
              <w:t>I and above</w:t>
            </w:r>
            <w:r w:rsidR="00D67B5E" w:rsidRPr="00114CF9">
              <w:rPr>
                <w:rFonts w:cs="Arial"/>
              </w:rPr>
              <w:t xml:space="preserve"> levels.  </w:t>
            </w:r>
          </w:p>
          <w:p w:rsidR="00D67B5E" w:rsidRPr="003B1428" w:rsidRDefault="00D67B5E" w:rsidP="00D83827">
            <w:pPr>
              <w:pStyle w:val="ListBullet"/>
              <w:numPr>
                <w:ilvl w:val="0"/>
                <w:numId w:val="25"/>
              </w:numPr>
              <w:ind w:right="113"/>
              <w:rPr>
                <w:rFonts w:cs="Arial"/>
              </w:rPr>
            </w:pPr>
            <w:r w:rsidRPr="00114CF9">
              <w:rPr>
                <w:rFonts w:cs="Arial"/>
              </w:rPr>
              <w:t>Of those enrolments in industry-specific qualifications (</w:t>
            </w:r>
            <w:r w:rsidR="00D73A89" w:rsidRPr="00114CF9">
              <w:rPr>
                <w:rFonts w:cs="Arial"/>
              </w:rPr>
              <w:t>2</w:t>
            </w:r>
            <w:r w:rsidR="004767B8">
              <w:rPr>
                <w:rFonts w:cs="Arial"/>
              </w:rPr>
              <w:t>7,200</w:t>
            </w:r>
            <w:r w:rsidRPr="00114CF9">
              <w:rPr>
                <w:rFonts w:cs="Arial"/>
              </w:rPr>
              <w:t xml:space="preserve"> enrolments) which exclude foundation skills and short courses in 2013, 3</w:t>
            </w:r>
            <w:r w:rsidR="004767B8">
              <w:rPr>
                <w:rFonts w:cs="Arial"/>
              </w:rPr>
              <w:t>5</w:t>
            </w:r>
            <w:r w:rsidRPr="00114CF9">
              <w:rPr>
                <w:rFonts w:cs="Arial"/>
              </w:rPr>
              <w:t xml:space="preserve"> per cent were in courses related to specialised or in shortage occupations.</w:t>
            </w:r>
            <w:r w:rsidRPr="003B1428">
              <w:rPr>
                <w:rFonts w:cs="Arial"/>
              </w:rPr>
              <w:t xml:space="preserve"> </w:t>
            </w:r>
          </w:p>
        </w:tc>
      </w:tr>
    </w:tbl>
    <w:p w:rsidR="00D67B5E" w:rsidRDefault="00D67B5E" w:rsidP="00D67B5E">
      <w:pPr>
        <w:rPr>
          <w:rFonts w:cs="Arial"/>
        </w:rPr>
      </w:pPr>
    </w:p>
    <w:p w:rsidR="00D67B5E" w:rsidRPr="00203B44" w:rsidRDefault="00D67B5E" w:rsidP="00D67B5E">
      <w:pPr>
        <w:rPr>
          <w:rFonts w:cs="Arial"/>
          <w:color w:val="365F91" w:themeColor="accent1" w:themeShade="BF"/>
        </w:rPr>
      </w:pPr>
    </w:p>
    <w:p w:rsidR="00D67B5E" w:rsidRDefault="005654CD" w:rsidP="00D67B5E">
      <w:pPr>
        <w:pStyle w:val="Caption"/>
        <w:spacing w:after="0"/>
        <w:jc w:val="left"/>
        <w:rPr>
          <w:rFonts w:cs="Arial"/>
          <w:color w:val="365F91" w:themeColor="accent1" w:themeShade="BF"/>
        </w:rPr>
      </w:pPr>
      <w:r w:rsidRPr="00203B44">
        <w:rPr>
          <w:rFonts w:cs="Arial"/>
          <w:color w:val="365F91" w:themeColor="accent1" w:themeShade="BF"/>
        </w:rPr>
        <w:t>Table 2</w:t>
      </w:r>
      <w:r w:rsidR="00D67B5E" w:rsidRPr="00203B44">
        <w:rPr>
          <w:rFonts w:cs="Arial"/>
          <w:color w:val="365F91" w:themeColor="accent1" w:themeShade="BF"/>
        </w:rPr>
        <w:t xml:space="preserve">.3.1: Students with a disability: government subsidised enrolments by qualification level, </w:t>
      </w:r>
      <w:r w:rsidR="00D67B5E" w:rsidRPr="00203B44">
        <w:rPr>
          <w:rFonts w:cs="Arial"/>
          <w:color w:val="365F91" w:themeColor="accent1" w:themeShade="BF"/>
        </w:rPr>
        <w:br/>
        <w:t>2008 – 201</w:t>
      </w:r>
      <w:r w:rsidR="00203B44">
        <w:rPr>
          <w:rFonts w:cs="Arial"/>
          <w:color w:val="365F91" w:themeColor="accent1" w:themeShade="BF"/>
        </w:rPr>
        <w:t>3</w:t>
      </w:r>
    </w:p>
    <w:tbl>
      <w:tblPr>
        <w:tblW w:w="9219"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415"/>
        <w:gridCol w:w="1134"/>
        <w:gridCol w:w="1134"/>
        <w:gridCol w:w="1134"/>
        <w:gridCol w:w="1134"/>
        <w:gridCol w:w="1134"/>
        <w:gridCol w:w="1134"/>
      </w:tblGrid>
      <w:tr w:rsidR="0035604F" w:rsidRPr="0035604F" w:rsidTr="00807C85">
        <w:trPr>
          <w:trHeight w:val="762"/>
        </w:trPr>
        <w:tc>
          <w:tcPr>
            <w:tcW w:w="2415" w:type="dxa"/>
            <w:shd w:val="clear" w:color="000000" w:fill="366092"/>
            <w:noWrap/>
            <w:vAlign w:val="center"/>
            <w:hideMark/>
          </w:tcPr>
          <w:p w:rsidR="0035604F" w:rsidRPr="0035604F" w:rsidRDefault="0035604F" w:rsidP="0035604F">
            <w:pPr>
              <w:spacing w:after="0" w:line="240" w:lineRule="auto"/>
              <w:jc w:val="left"/>
              <w:rPr>
                <w:rFonts w:cs="Arial"/>
                <w:b/>
                <w:bCs/>
                <w:color w:val="FFFFFF"/>
                <w:sz w:val="18"/>
                <w:szCs w:val="18"/>
                <w:lang w:eastAsia="en-AU"/>
              </w:rPr>
            </w:pPr>
            <w:r w:rsidRPr="0035604F">
              <w:rPr>
                <w:rFonts w:cs="Arial"/>
                <w:b/>
                <w:bCs/>
                <w:color w:val="FFFFFF"/>
                <w:sz w:val="18"/>
                <w:szCs w:val="18"/>
                <w:lang w:eastAsia="en-AU"/>
              </w:rPr>
              <w:t>Qualification level</w:t>
            </w:r>
          </w:p>
        </w:tc>
        <w:tc>
          <w:tcPr>
            <w:tcW w:w="1134" w:type="dxa"/>
            <w:shd w:val="clear" w:color="000000" w:fill="366092"/>
            <w:vAlign w:val="center"/>
            <w:hideMark/>
          </w:tcPr>
          <w:p w:rsidR="0035604F" w:rsidRPr="0035604F" w:rsidRDefault="0035604F" w:rsidP="0035604F">
            <w:pPr>
              <w:spacing w:after="0" w:line="240" w:lineRule="auto"/>
              <w:ind w:firstLineChars="100" w:firstLine="181"/>
              <w:jc w:val="right"/>
              <w:rPr>
                <w:rFonts w:cs="Arial"/>
                <w:b/>
                <w:bCs/>
                <w:color w:val="FFFFFF"/>
                <w:sz w:val="18"/>
                <w:szCs w:val="18"/>
                <w:lang w:eastAsia="en-AU"/>
              </w:rPr>
            </w:pPr>
            <w:r w:rsidRPr="0035604F">
              <w:rPr>
                <w:rFonts w:cs="Arial"/>
                <w:b/>
                <w:bCs/>
                <w:color w:val="FFFFFF"/>
                <w:sz w:val="18"/>
                <w:szCs w:val="18"/>
                <w:lang w:eastAsia="en-AU"/>
              </w:rPr>
              <w:t>2008</w:t>
            </w:r>
          </w:p>
        </w:tc>
        <w:tc>
          <w:tcPr>
            <w:tcW w:w="1134" w:type="dxa"/>
            <w:shd w:val="clear" w:color="000000" w:fill="366092"/>
            <w:vAlign w:val="center"/>
            <w:hideMark/>
          </w:tcPr>
          <w:p w:rsidR="0035604F" w:rsidRPr="0035604F" w:rsidRDefault="0035604F" w:rsidP="0035604F">
            <w:pPr>
              <w:spacing w:after="0" w:line="240" w:lineRule="auto"/>
              <w:ind w:firstLineChars="100" w:firstLine="181"/>
              <w:jc w:val="right"/>
              <w:rPr>
                <w:rFonts w:cs="Arial"/>
                <w:b/>
                <w:bCs/>
                <w:color w:val="FFFFFF"/>
                <w:sz w:val="18"/>
                <w:szCs w:val="18"/>
                <w:lang w:eastAsia="en-AU"/>
              </w:rPr>
            </w:pPr>
            <w:r w:rsidRPr="0035604F">
              <w:rPr>
                <w:rFonts w:cs="Arial"/>
                <w:b/>
                <w:bCs/>
                <w:color w:val="FFFFFF"/>
                <w:sz w:val="18"/>
                <w:szCs w:val="18"/>
                <w:lang w:eastAsia="en-AU"/>
              </w:rPr>
              <w:t>2009</w:t>
            </w:r>
          </w:p>
        </w:tc>
        <w:tc>
          <w:tcPr>
            <w:tcW w:w="1134" w:type="dxa"/>
            <w:shd w:val="clear" w:color="000000" w:fill="366092"/>
            <w:vAlign w:val="center"/>
            <w:hideMark/>
          </w:tcPr>
          <w:p w:rsidR="0035604F" w:rsidRPr="0035604F" w:rsidRDefault="0035604F" w:rsidP="0035604F">
            <w:pPr>
              <w:spacing w:after="0" w:line="240" w:lineRule="auto"/>
              <w:ind w:firstLineChars="100" w:firstLine="181"/>
              <w:jc w:val="right"/>
              <w:rPr>
                <w:rFonts w:cs="Arial"/>
                <w:b/>
                <w:bCs/>
                <w:color w:val="FFFFFF"/>
                <w:sz w:val="18"/>
                <w:szCs w:val="18"/>
                <w:lang w:eastAsia="en-AU"/>
              </w:rPr>
            </w:pPr>
            <w:r w:rsidRPr="0035604F">
              <w:rPr>
                <w:rFonts w:cs="Arial"/>
                <w:b/>
                <w:bCs/>
                <w:color w:val="FFFFFF"/>
                <w:sz w:val="18"/>
                <w:szCs w:val="18"/>
                <w:lang w:eastAsia="en-AU"/>
              </w:rPr>
              <w:t>2010</w:t>
            </w:r>
          </w:p>
        </w:tc>
        <w:tc>
          <w:tcPr>
            <w:tcW w:w="1134" w:type="dxa"/>
            <w:shd w:val="clear" w:color="000000" w:fill="366092"/>
            <w:vAlign w:val="center"/>
            <w:hideMark/>
          </w:tcPr>
          <w:p w:rsidR="0035604F" w:rsidRPr="0035604F" w:rsidRDefault="0035604F" w:rsidP="0035604F">
            <w:pPr>
              <w:spacing w:after="0" w:line="240" w:lineRule="auto"/>
              <w:ind w:firstLineChars="100" w:firstLine="181"/>
              <w:jc w:val="right"/>
              <w:rPr>
                <w:rFonts w:cs="Arial"/>
                <w:b/>
                <w:bCs/>
                <w:color w:val="FFFFFF"/>
                <w:sz w:val="18"/>
                <w:szCs w:val="18"/>
                <w:lang w:eastAsia="en-AU"/>
              </w:rPr>
            </w:pPr>
            <w:r w:rsidRPr="0035604F">
              <w:rPr>
                <w:rFonts w:cs="Arial"/>
                <w:b/>
                <w:bCs/>
                <w:color w:val="FFFFFF"/>
                <w:sz w:val="18"/>
                <w:szCs w:val="18"/>
                <w:lang w:eastAsia="en-AU"/>
              </w:rPr>
              <w:t>2011</w:t>
            </w:r>
          </w:p>
        </w:tc>
        <w:tc>
          <w:tcPr>
            <w:tcW w:w="1134" w:type="dxa"/>
            <w:shd w:val="clear" w:color="000000" w:fill="366092"/>
            <w:vAlign w:val="center"/>
            <w:hideMark/>
          </w:tcPr>
          <w:p w:rsidR="0035604F" w:rsidRPr="0035604F" w:rsidRDefault="0035604F" w:rsidP="0035604F">
            <w:pPr>
              <w:spacing w:after="0" w:line="240" w:lineRule="auto"/>
              <w:ind w:firstLineChars="100" w:firstLine="181"/>
              <w:jc w:val="right"/>
              <w:rPr>
                <w:rFonts w:cs="Arial"/>
                <w:b/>
                <w:bCs/>
                <w:color w:val="FFFFFF"/>
                <w:sz w:val="18"/>
                <w:szCs w:val="18"/>
                <w:lang w:eastAsia="en-AU"/>
              </w:rPr>
            </w:pPr>
            <w:r w:rsidRPr="0035604F">
              <w:rPr>
                <w:rFonts w:cs="Arial"/>
                <w:b/>
                <w:bCs/>
                <w:color w:val="FFFFFF"/>
                <w:sz w:val="18"/>
                <w:szCs w:val="18"/>
                <w:lang w:eastAsia="en-AU"/>
              </w:rPr>
              <w:t>2012</w:t>
            </w:r>
          </w:p>
        </w:tc>
        <w:tc>
          <w:tcPr>
            <w:tcW w:w="1134" w:type="dxa"/>
            <w:shd w:val="clear" w:color="000000" w:fill="366092"/>
            <w:vAlign w:val="center"/>
            <w:hideMark/>
          </w:tcPr>
          <w:p w:rsidR="0035604F" w:rsidRPr="0035604F" w:rsidRDefault="0035604F" w:rsidP="0035604F">
            <w:pPr>
              <w:spacing w:after="0" w:line="240" w:lineRule="auto"/>
              <w:ind w:firstLineChars="100" w:firstLine="181"/>
              <w:jc w:val="right"/>
              <w:rPr>
                <w:rFonts w:cs="Arial"/>
                <w:b/>
                <w:bCs/>
                <w:color w:val="FFFFFF"/>
                <w:sz w:val="18"/>
                <w:szCs w:val="18"/>
                <w:lang w:eastAsia="en-AU"/>
              </w:rPr>
            </w:pPr>
            <w:r w:rsidRPr="0035604F">
              <w:rPr>
                <w:rFonts w:cs="Arial"/>
                <w:b/>
                <w:bCs/>
                <w:color w:val="FFFFFF"/>
                <w:sz w:val="18"/>
                <w:szCs w:val="18"/>
                <w:lang w:eastAsia="en-AU"/>
              </w:rPr>
              <w:t>2013</w:t>
            </w:r>
          </w:p>
        </w:tc>
      </w:tr>
      <w:tr w:rsidR="0035604F" w:rsidRPr="0035604F" w:rsidTr="00807C85">
        <w:trPr>
          <w:trHeight w:val="342"/>
        </w:trPr>
        <w:tc>
          <w:tcPr>
            <w:tcW w:w="2415" w:type="dxa"/>
            <w:shd w:val="clear" w:color="000000" w:fill="FFFFFF"/>
            <w:noWrap/>
            <w:vAlign w:val="center"/>
            <w:hideMark/>
          </w:tcPr>
          <w:p w:rsidR="0035604F" w:rsidRPr="0035604F" w:rsidRDefault="0035604F" w:rsidP="00807C85">
            <w:pPr>
              <w:spacing w:after="0" w:line="240" w:lineRule="auto"/>
              <w:jc w:val="left"/>
              <w:rPr>
                <w:rFonts w:cs="Arial"/>
                <w:color w:val="366092"/>
                <w:sz w:val="18"/>
                <w:szCs w:val="18"/>
                <w:lang w:eastAsia="en-AU"/>
              </w:rPr>
            </w:pPr>
            <w:r w:rsidRPr="0035604F">
              <w:rPr>
                <w:rFonts w:cs="Arial"/>
                <w:color w:val="366092"/>
                <w:sz w:val="18"/>
                <w:szCs w:val="18"/>
                <w:lang w:eastAsia="en-AU"/>
              </w:rPr>
              <w:t>Cert I-II</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13,300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11,200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12,400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16,300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20,000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20,900 </w:t>
            </w:r>
          </w:p>
        </w:tc>
      </w:tr>
      <w:tr w:rsidR="0035604F" w:rsidRPr="0035604F" w:rsidTr="00807C85">
        <w:trPr>
          <w:trHeight w:val="342"/>
        </w:trPr>
        <w:tc>
          <w:tcPr>
            <w:tcW w:w="2415" w:type="dxa"/>
            <w:shd w:val="clear" w:color="000000" w:fill="FFFFFF"/>
            <w:noWrap/>
            <w:vAlign w:val="center"/>
            <w:hideMark/>
          </w:tcPr>
          <w:p w:rsidR="0035604F" w:rsidRPr="0035604F" w:rsidRDefault="0035604F" w:rsidP="00807C85">
            <w:pPr>
              <w:spacing w:after="0" w:line="240" w:lineRule="auto"/>
              <w:jc w:val="left"/>
              <w:rPr>
                <w:rFonts w:cs="Arial"/>
                <w:color w:val="366092"/>
                <w:sz w:val="18"/>
                <w:szCs w:val="18"/>
                <w:lang w:eastAsia="en-AU"/>
              </w:rPr>
            </w:pPr>
            <w:r w:rsidRPr="0035604F">
              <w:rPr>
                <w:rFonts w:cs="Arial"/>
                <w:color w:val="366092"/>
                <w:sz w:val="18"/>
                <w:szCs w:val="18"/>
                <w:lang w:eastAsia="en-AU"/>
              </w:rPr>
              <w:t>Cert III-IV</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8,600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9,000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11,000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16,500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21,200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20,400 </w:t>
            </w:r>
          </w:p>
        </w:tc>
      </w:tr>
      <w:tr w:rsidR="0035604F" w:rsidRPr="0035604F" w:rsidTr="00807C85">
        <w:trPr>
          <w:trHeight w:val="342"/>
        </w:trPr>
        <w:tc>
          <w:tcPr>
            <w:tcW w:w="2415" w:type="dxa"/>
            <w:shd w:val="clear" w:color="000000" w:fill="FFFFFF"/>
            <w:noWrap/>
            <w:vAlign w:val="center"/>
            <w:hideMark/>
          </w:tcPr>
          <w:p w:rsidR="0035604F" w:rsidRPr="0035604F" w:rsidRDefault="0035604F" w:rsidP="00807C85">
            <w:pPr>
              <w:spacing w:after="0" w:line="240" w:lineRule="auto"/>
              <w:jc w:val="left"/>
              <w:rPr>
                <w:rFonts w:cs="Arial"/>
                <w:color w:val="366092"/>
                <w:sz w:val="18"/>
                <w:szCs w:val="18"/>
                <w:lang w:eastAsia="en-AU"/>
              </w:rPr>
            </w:pPr>
            <w:r w:rsidRPr="0035604F">
              <w:rPr>
                <w:rFonts w:cs="Arial"/>
                <w:color w:val="366092"/>
                <w:sz w:val="18"/>
                <w:szCs w:val="18"/>
                <w:lang w:eastAsia="en-AU"/>
              </w:rPr>
              <w:t>Diploma &amp; Above</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3,300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3,600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4,000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4,900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5,000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3,900 </w:t>
            </w:r>
          </w:p>
        </w:tc>
      </w:tr>
      <w:tr w:rsidR="0035604F" w:rsidRPr="0035604F" w:rsidTr="00807C85">
        <w:trPr>
          <w:trHeight w:val="342"/>
        </w:trPr>
        <w:tc>
          <w:tcPr>
            <w:tcW w:w="2415" w:type="dxa"/>
            <w:shd w:val="clear" w:color="000000" w:fill="FFFFFF"/>
            <w:noWrap/>
            <w:vAlign w:val="center"/>
            <w:hideMark/>
          </w:tcPr>
          <w:p w:rsidR="0035604F" w:rsidRPr="0035604F" w:rsidRDefault="0035604F" w:rsidP="00807C85">
            <w:pPr>
              <w:spacing w:after="0" w:line="240" w:lineRule="auto"/>
              <w:jc w:val="left"/>
              <w:rPr>
                <w:rFonts w:cs="Arial"/>
                <w:color w:val="366092"/>
                <w:sz w:val="18"/>
                <w:szCs w:val="18"/>
                <w:lang w:eastAsia="en-AU"/>
              </w:rPr>
            </w:pPr>
            <w:r w:rsidRPr="0035604F">
              <w:rPr>
                <w:rFonts w:cs="Arial"/>
                <w:color w:val="366092"/>
                <w:sz w:val="18"/>
                <w:szCs w:val="18"/>
                <w:lang w:eastAsia="en-AU"/>
              </w:rPr>
              <w:t>Module Only</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8,300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8,400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8,300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7,200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7,700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8,700 </w:t>
            </w:r>
          </w:p>
        </w:tc>
      </w:tr>
      <w:tr w:rsidR="0035604F" w:rsidRPr="0035604F" w:rsidTr="00807C85">
        <w:trPr>
          <w:trHeight w:val="342"/>
        </w:trPr>
        <w:tc>
          <w:tcPr>
            <w:tcW w:w="2415" w:type="dxa"/>
            <w:shd w:val="clear" w:color="000000" w:fill="FFFFFF"/>
            <w:noWrap/>
            <w:vAlign w:val="center"/>
            <w:hideMark/>
          </w:tcPr>
          <w:p w:rsidR="0035604F" w:rsidRPr="0035604F" w:rsidRDefault="0035604F" w:rsidP="00807C85">
            <w:pPr>
              <w:spacing w:after="0" w:line="240" w:lineRule="auto"/>
              <w:jc w:val="left"/>
              <w:rPr>
                <w:rFonts w:cs="Arial"/>
                <w:color w:val="366092"/>
                <w:sz w:val="18"/>
                <w:szCs w:val="18"/>
                <w:lang w:eastAsia="en-AU"/>
              </w:rPr>
            </w:pPr>
            <w:r w:rsidRPr="0035604F">
              <w:rPr>
                <w:rFonts w:cs="Arial"/>
                <w:color w:val="366092"/>
                <w:sz w:val="18"/>
                <w:szCs w:val="18"/>
                <w:lang w:eastAsia="en-AU"/>
              </w:rPr>
              <w:t>Secondary, SoA and other</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2,800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2,500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2,800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3,200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3,800 </w:t>
            </w:r>
          </w:p>
        </w:tc>
        <w:tc>
          <w:tcPr>
            <w:tcW w:w="1134" w:type="dxa"/>
            <w:shd w:val="clear" w:color="auto" w:fill="auto"/>
            <w:noWrap/>
            <w:vAlign w:val="center"/>
            <w:hideMark/>
          </w:tcPr>
          <w:p w:rsidR="0035604F" w:rsidRPr="0035604F" w:rsidRDefault="0035604F" w:rsidP="0035604F">
            <w:pPr>
              <w:spacing w:after="0" w:line="240" w:lineRule="auto"/>
              <w:jc w:val="right"/>
              <w:rPr>
                <w:rFonts w:cs="Arial"/>
                <w:sz w:val="18"/>
                <w:szCs w:val="18"/>
                <w:lang w:eastAsia="en-AU"/>
              </w:rPr>
            </w:pPr>
            <w:r w:rsidRPr="0035604F">
              <w:rPr>
                <w:rFonts w:cs="Arial"/>
                <w:sz w:val="18"/>
                <w:szCs w:val="18"/>
                <w:lang w:eastAsia="en-AU"/>
              </w:rPr>
              <w:t xml:space="preserve">4,100 </w:t>
            </w:r>
          </w:p>
        </w:tc>
      </w:tr>
      <w:tr w:rsidR="0035604F" w:rsidRPr="0035604F" w:rsidTr="00807C85">
        <w:trPr>
          <w:trHeight w:val="342"/>
        </w:trPr>
        <w:tc>
          <w:tcPr>
            <w:tcW w:w="2415" w:type="dxa"/>
            <w:shd w:val="clear" w:color="000000" w:fill="366092"/>
            <w:noWrap/>
            <w:vAlign w:val="bottom"/>
            <w:hideMark/>
          </w:tcPr>
          <w:p w:rsidR="0035604F" w:rsidRPr="0035604F" w:rsidRDefault="0035604F" w:rsidP="0035604F">
            <w:pPr>
              <w:spacing w:after="0" w:line="240" w:lineRule="auto"/>
              <w:jc w:val="left"/>
              <w:rPr>
                <w:rFonts w:cs="Arial"/>
                <w:b/>
                <w:bCs/>
                <w:color w:val="FFFFFF"/>
                <w:sz w:val="18"/>
                <w:szCs w:val="18"/>
                <w:lang w:eastAsia="en-AU"/>
              </w:rPr>
            </w:pPr>
            <w:r w:rsidRPr="0035604F">
              <w:rPr>
                <w:rFonts w:cs="Arial"/>
                <w:b/>
                <w:bCs/>
                <w:color w:val="FFFFFF"/>
                <w:sz w:val="18"/>
                <w:szCs w:val="18"/>
                <w:lang w:eastAsia="en-AU"/>
              </w:rPr>
              <w:t>Total</w:t>
            </w:r>
          </w:p>
        </w:tc>
        <w:tc>
          <w:tcPr>
            <w:tcW w:w="1134" w:type="dxa"/>
            <w:shd w:val="clear" w:color="000000" w:fill="366092"/>
            <w:noWrap/>
            <w:vAlign w:val="center"/>
            <w:hideMark/>
          </w:tcPr>
          <w:p w:rsidR="0035604F" w:rsidRPr="0035604F" w:rsidRDefault="0035604F" w:rsidP="0035604F">
            <w:pPr>
              <w:spacing w:after="0" w:line="240" w:lineRule="auto"/>
              <w:jc w:val="right"/>
              <w:rPr>
                <w:rFonts w:cs="Arial"/>
                <w:b/>
                <w:bCs/>
                <w:color w:val="FFFFFF"/>
                <w:sz w:val="18"/>
                <w:szCs w:val="18"/>
                <w:lang w:eastAsia="en-AU"/>
              </w:rPr>
            </w:pPr>
            <w:r w:rsidRPr="0035604F">
              <w:rPr>
                <w:rFonts w:cs="Arial"/>
                <w:b/>
                <w:bCs/>
                <w:color w:val="FFFFFF"/>
                <w:sz w:val="18"/>
                <w:szCs w:val="18"/>
                <w:lang w:eastAsia="en-AU"/>
              </w:rPr>
              <w:t xml:space="preserve">36,300 </w:t>
            </w:r>
          </w:p>
        </w:tc>
        <w:tc>
          <w:tcPr>
            <w:tcW w:w="1134" w:type="dxa"/>
            <w:shd w:val="clear" w:color="000000" w:fill="366092"/>
            <w:noWrap/>
            <w:vAlign w:val="center"/>
            <w:hideMark/>
          </w:tcPr>
          <w:p w:rsidR="0035604F" w:rsidRPr="0035604F" w:rsidRDefault="0035604F" w:rsidP="0035604F">
            <w:pPr>
              <w:spacing w:after="0" w:line="240" w:lineRule="auto"/>
              <w:jc w:val="right"/>
              <w:rPr>
                <w:rFonts w:cs="Arial"/>
                <w:b/>
                <w:bCs/>
                <w:color w:val="FFFFFF"/>
                <w:sz w:val="18"/>
                <w:szCs w:val="18"/>
                <w:lang w:eastAsia="en-AU"/>
              </w:rPr>
            </w:pPr>
            <w:r w:rsidRPr="0035604F">
              <w:rPr>
                <w:rFonts w:cs="Arial"/>
                <w:b/>
                <w:bCs/>
                <w:color w:val="FFFFFF"/>
                <w:sz w:val="18"/>
                <w:szCs w:val="18"/>
                <w:lang w:eastAsia="en-AU"/>
              </w:rPr>
              <w:t xml:space="preserve">34,700 </w:t>
            </w:r>
          </w:p>
        </w:tc>
        <w:tc>
          <w:tcPr>
            <w:tcW w:w="1134" w:type="dxa"/>
            <w:shd w:val="clear" w:color="000000" w:fill="366092"/>
            <w:noWrap/>
            <w:vAlign w:val="center"/>
            <w:hideMark/>
          </w:tcPr>
          <w:p w:rsidR="0035604F" w:rsidRPr="0035604F" w:rsidRDefault="0035604F" w:rsidP="0035604F">
            <w:pPr>
              <w:spacing w:after="0" w:line="240" w:lineRule="auto"/>
              <w:jc w:val="right"/>
              <w:rPr>
                <w:rFonts w:cs="Arial"/>
                <w:b/>
                <w:bCs/>
                <w:color w:val="FFFFFF"/>
                <w:sz w:val="18"/>
                <w:szCs w:val="18"/>
                <w:lang w:eastAsia="en-AU"/>
              </w:rPr>
            </w:pPr>
            <w:r w:rsidRPr="0035604F">
              <w:rPr>
                <w:rFonts w:cs="Arial"/>
                <w:b/>
                <w:bCs/>
                <w:color w:val="FFFFFF"/>
                <w:sz w:val="18"/>
                <w:szCs w:val="18"/>
                <w:lang w:eastAsia="en-AU"/>
              </w:rPr>
              <w:t xml:space="preserve">38,400 </w:t>
            </w:r>
          </w:p>
        </w:tc>
        <w:tc>
          <w:tcPr>
            <w:tcW w:w="1134" w:type="dxa"/>
            <w:shd w:val="clear" w:color="000000" w:fill="366092"/>
            <w:noWrap/>
            <w:vAlign w:val="center"/>
            <w:hideMark/>
          </w:tcPr>
          <w:p w:rsidR="0035604F" w:rsidRPr="0035604F" w:rsidRDefault="0035604F" w:rsidP="0035604F">
            <w:pPr>
              <w:spacing w:after="0" w:line="240" w:lineRule="auto"/>
              <w:jc w:val="right"/>
              <w:rPr>
                <w:rFonts w:cs="Arial"/>
                <w:b/>
                <w:bCs/>
                <w:color w:val="FFFFFF"/>
                <w:sz w:val="18"/>
                <w:szCs w:val="18"/>
                <w:lang w:eastAsia="en-AU"/>
              </w:rPr>
            </w:pPr>
            <w:r w:rsidRPr="0035604F">
              <w:rPr>
                <w:rFonts w:cs="Arial"/>
                <w:b/>
                <w:bCs/>
                <w:color w:val="FFFFFF"/>
                <w:sz w:val="18"/>
                <w:szCs w:val="18"/>
                <w:lang w:eastAsia="en-AU"/>
              </w:rPr>
              <w:t xml:space="preserve">48,000 </w:t>
            </w:r>
          </w:p>
        </w:tc>
        <w:tc>
          <w:tcPr>
            <w:tcW w:w="1134" w:type="dxa"/>
            <w:shd w:val="clear" w:color="000000" w:fill="366092"/>
            <w:noWrap/>
            <w:vAlign w:val="center"/>
            <w:hideMark/>
          </w:tcPr>
          <w:p w:rsidR="0035604F" w:rsidRPr="0035604F" w:rsidRDefault="0035604F" w:rsidP="0035604F">
            <w:pPr>
              <w:spacing w:after="0" w:line="240" w:lineRule="auto"/>
              <w:jc w:val="right"/>
              <w:rPr>
                <w:rFonts w:cs="Arial"/>
                <w:b/>
                <w:bCs/>
                <w:color w:val="FFFFFF"/>
                <w:sz w:val="18"/>
                <w:szCs w:val="18"/>
                <w:lang w:eastAsia="en-AU"/>
              </w:rPr>
            </w:pPr>
            <w:r w:rsidRPr="0035604F">
              <w:rPr>
                <w:rFonts w:cs="Arial"/>
                <w:b/>
                <w:bCs/>
                <w:color w:val="FFFFFF"/>
                <w:sz w:val="18"/>
                <w:szCs w:val="18"/>
                <w:lang w:eastAsia="en-AU"/>
              </w:rPr>
              <w:t xml:space="preserve">57,600 </w:t>
            </w:r>
          </w:p>
        </w:tc>
        <w:tc>
          <w:tcPr>
            <w:tcW w:w="1134" w:type="dxa"/>
            <w:shd w:val="clear" w:color="000000" w:fill="366092"/>
            <w:noWrap/>
            <w:vAlign w:val="center"/>
            <w:hideMark/>
          </w:tcPr>
          <w:p w:rsidR="0035604F" w:rsidRPr="0035604F" w:rsidRDefault="0035604F" w:rsidP="0035604F">
            <w:pPr>
              <w:spacing w:after="0" w:line="240" w:lineRule="auto"/>
              <w:jc w:val="right"/>
              <w:rPr>
                <w:rFonts w:cs="Arial"/>
                <w:b/>
                <w:bCs/>
                <w:color w:val="FFFFFF"/>
                <w:sz w:val="18"/>
                <w:szCs w:val="18"/>
                <w:lang w:eastAsia="en-AU"/>
              </w:rPr>
            </w:pPr>
            <w:r w:rsidRPr="0035604F">
              <w:rPr>
                <w:rFonts w:cs="Arial"/>
                <w:b/>
                <w:bCs/>
                <w:color w:val="FFFFFF"/>
                <w:sz w:val="18"/>
                <w:szCs w:val="18"/>
                <w:lang w:eastAsia="en-AU"/>
              </w:rPr>
              <w:t xml:space="preserve">57,900 </w:t>
            </w:r>
          </w:p>
        </w:tc>
      </w:tr>
    </w:tbl>
    <w:p w:rsidR="00D67B5E" w:rsidRPr="007E7B89" w:rsidRDefault="00D67B5E" w:rsidP="00D67B5E">
      <w:pPr>
        <w:spacing w:after="0"/>
        <w:rPr>
          <w:sz w:val="16"/>
          <w:szCs w:val="16"/>
        </w:rPr>
      </w:pPr>
      <w:r w:rsidRPr="007E7B89">
        <w:rPr>
          <w:sz w:val="16"/>
          <w:szCs w:val="16"/>
        </w:rPr>
        <w:t>SoA: Statement of Attainment.</w:t>
      </w:r>
    </w:p>
    <w:p w:rsidR="00D67B5E" w:rsidRPr="001F29E3" w:rsidRDefault="00D67B5E" w:rsidP="00D67B5E">
      <w:pPr>
        <w:rPr>
          <w:rFonts w:cs="Arial"/>
        </w:rPr>
      </w:pPr>
    </w:p>
    <w:p w:rsidR="00516E3C" w:rsidRPr="007D0C14" w:rsidRDefault="00516E3C" w:rsidP="00516E3C">
      <w:pPr>
        <w:pStyle w:val="Caption"/>
        <w:spacing w:after="0"/>
        <w:jc w:val="left"/>
        <w:rPr>
          <w:rFonts w:cs="Arial"/>
          <w:color w:val="365F91" w:themeColor="accent1" w:themeShade="BF"/>
        </w:rPr>
      </w:pPr>
      <w:r w:rsidRPr="007D0C14">
        <w:rPr>
          <w:rFonts w:cs="Arial"/>
          <w:color w:val="365F91" w:themeColor="accent1" w:themeShade="BF"/>
        </w:rPr>
        <w:t>Table 2.</w:t>
      </w:r>
      <w:r w:rsidR="0090257E">
        <w:rPr>
          <w:rFonts w:cs="Arial"/>
          <w:color w:val="365F91" w:themeColor="accent1" w:themeShade="BF"/>
        </w:rPr>
        <w:t>3</w:t>
      </w:r>
      <w:r w:rsidRPr="007D0C14">
        <w:rPr>
          <w:rFonts w:cs="Arial"/>
          <w:color w:val="365F91" w:themeColor="accent1" w:themeShade="BF"/>
        </w:rPr>
        <w:t xml:space="preserve">.2: Change in number of government subsidised enrolments undertaken by students </w:t>
      </w:r>
      <w:r>
        <w:rPr>
          <w:rFonts w:cs="Arial"/>
          <w:color w:val="365F91" w:themeColor="accent1" w:themeShade="BF"/>
        </w:rPr>
        <w:t xml:space="preserve">with a disability </w:t>
      </w:r>
      <w:r w:rsidRPr="007D0C14">
        <w:rPr>
          <w:rFonts w:cs="Arial"/>
          <w:color w:val="365F91" w:themeColor="accent1" w:themeShade="BF"/>
        </w:rPr>
        <w:t>by qualification level</w:t>
      </w:r>
    </w:p>
    <w:tbl>
      <w:tblPr>
        <w:tblW w:w="6384" w:type="dxa"/>
        <w:tblInd w:w="103" w:type="dxa"/>
        <w:tblLayout w:type="fixed"/>
        <w:tblLook w:val="04A0" w:firstRow="1" w:lastRow="0" w:firstColumn="1" w:lastColumn="0" w:noHBand="0" w:noVBand="1"/>
      </w:tblPr>
      <w:tblGrid>
        <w:gridCol w:w="2800"/>
        <w:gridCol w:w="1194"/>
        <w:gridCol w:w="1195"/>
        <w:gridCol w:w="1195"/>
      </w:tblGrid>
      <w:tr w:rsidR="007F611D" w:rsidRPr="007F611D" w:rsidTr="003D2B68">
        <w:trPr>
          <w:trHeight w:val="762"/>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7F611D" w:rsidRPr="007F611D" w:rsidRDefault="007F611D" w:rsidP="007F611D">
            <w:pPr>
              <w:spacing w:after="0" w:line="240" w:lineRule="auto"/>
              <w:jc w:val="left"/>
              <w:rPr>
                <w:rFonts w:cs="Arial"/>
                <w:b/>
                <w:bCs/>
                <w:color w:val="FFFFFF"/>
                <w:sz w:val="18"/>
                <w:szCs w:val="18"/>
                <w:lang w:eastAsia="en-AU"/>
              </w:rPr>
            </w:pPr>
            <w:r w:rsidRPr="007F611D">
              <w:rPr>
                <w:rFonts w:cs="Arial"/>
                <w:b/>
                <w:bCs/>
                <w:color w:val="FFFFFF"/>
                <w:sz w:val="18"/>
                <w:szCs w:val="18"/>
                <w:lang w:eastAsia="en-AU"/>
              </w:rPr>
              <w:t>Qualification level</w:t>
            </w:r>
          </w:p>
        </w:tc>
        <w:tc>
          <w:tcPr>
            <w:tcW w:w="1194" w:type="dxa"/>
            <w:tcBorders>
              <w:top w:val="single" w:sz="4" w:space="0" w:color="366092"/>
              <w:left w:val="nil"/>
              <w:bottom w:val="single" w:sz="4" w:space="0" w:color="366092"/>
              <w:right w:val="single" w:sz="4" w:space="0" w:color="366092"/>
            </w:tcBorders>
            <w:shd w:val="clear" w:color="000000" w:fill="366092"/>
            <w:vAlign w:val="center"/>
            <w:hideMark/>
          </w:tcPr>
          <w:p w:rsidR="007F611D" w:rsidRPr="007F611D" w:rsidRDefault="007F611D" w:rsidP="007F611D">
            <w:pPr>
              <w:spacing w:after="0" w:line="240" w:lineRule="auto"/>
              <w:jc w:val="right"/>
              <w:rPr>
                <w:rFonts w:cs="Arial"/>
                <w:b/>
                <w:bCs/>
                <w:color w:val="FFFFFF"/>
                <w:sz w:val="18"/>
                <w:szCs w:val="18"/>
                <w:lang w:eastAsia="en-AU"/>
              </w:rPr>
            </w:pPr>
            <w:r w:rsidRPr="007F611D">
              <w:rPr>
                <w:rFonts w:cs="Arial"/>
                <w:b/>
                <w:bCs/>
                <w:color w:val="FFFFFF"/>
                <w:sz w:val="18"/>
                <w:szCs w:val="18"/>
                <w:lang w:eastAsia="en-AU"/>
              </w:rPr>
              <w:t>% change</w:t>
            </w:r>
            <w:r w:rsidRPr="007F611D">
              <w:rPr>
                <w:rFonts w:cs="Arial"/>
                <w:b/>
                <w:bCs/>
                <w:color w:val="FFFFFF"/>
                <w:sz w:val="18"/>
                <w:szCs w:val="18"/>
                <w:lang w:eastAsia="en-AU"/>
              </w:rPr>
              <w:br/>
              <w:t>2008-2013</w:t>
            </w:r>
          </w:p>
        </w:tc>
        <w:tc>
          <w:tcPr>
            <w:tcW w:w="1195" w:type="dxa"/>
            <w:tcBorders>
              <w:top w:val="single" w:sz="4" w:space="0" w:color="366092"/>
              <w:left w:val="nil"/>
              <w:bottom w:val="single" w:sz="4" w:space="0" w:color="366092"/>
              <w:right w:val="single" w:sz="4" w:space="0" w:color="366092"/>
            </w:tcBorders>
            <w:shd w:val="clear" w:color="000000" w:fill="366092"/>
            <w:vAlign w:val="center"/>
            <w:hideMark/>
          </w:tcPr>
          <w:p w:rsidR="007F611D" w:rsidRPr="007F611D" w:rsidRDefault="007F611D" w:rsidP="007F611D">
            <w:pPr>
              <w:spacing w:after="0" w:line="240" w:lineRule="auto"/>
              <w:jc w:val="right"/>
              <w:rPr>
                <w:rFonts w:cs="Arial"/>
                <w:b/>
                <w:bCs/>
                <w:color w:val="FFFFFF"/>
                <w:sz w:val="18"/>
                <w:szCs w:val="18"/>
                <w:lang w:eastAsia="en-AU"/>
              </w:rPr>
            </w:pPr>
            <w:r w:rsidRPr="007F611D">
              <w:rPr>
                <w:rFonts w:cs="Arial"/>
                <w:b/>
                <w:bCs/>
                <w:color w:val="FFFFFF"/>
                <w:sz w:val="18"/>
                <w:szCs w:val="18"/>
                <w:lang w:eastAsia="en-AU"/>
              </w:rPr>
              <w:t>% change</w:t>
            </w:r>
            <w:r w:rsidRPr="007F611D">
              <w:rPr>
                <w:rFonts w:cs="Arial"/>
                <w:b/>
                <w:bCs/>
                <w:color w:val="FFFFFF"/>
                <w:sz w:val="18"/>
                <w:szCs w:val="18"/>
                <w:lang w:eastAsia="en-AU"/>
              </w:rPr>
              <w:br/>
              <w:t>2011-2013 </w:t>
            </w:r>
          </w:p>
        </w:tc>
        <w:tc>
          <w:tcPr>
            <w:tcW w:w="1195" w:type="dxa"/>
            <w:tcBorders>
              <w:top w:val="single" w:sz="4" w:space="0" w:color="366092"/>
              <w:left w:val="nil"/>
              <w:bottom w:val="single" w:sz="4" w:space="0" w:color="366092"/>
              <w:right w:val="single" w:sz="4" w:space="0" w:color="366092"/>
            </w:tcBorders>
            <w:shd w:val="clear" w:color="000000" w:fill="366092"/>
            <w:vAlign w:val="center"/>
            <w:hideMark/>
          </w:tcPr>
          <w:p w:rsidR="007F611D" w:rsidRPr="007F611D" w:rsidRDefault="007F611D" w:rsidP="007F611D">
            <w:pPr>
              <w:spacing w:after="0" w:line="240" w:lineRule="auto"/>
              <w:jc w:val="right"/>
              <w:rPr>
                <w:rFonts w:cs="Arial"/>
                <w:b/>
                <w:bCs/>
                <w:color w:val="FFFFFF"/>
                <w:sz w:val="18"/>
                <w:szCs w:val="18"/>
                <w:lang w:eastAsia="en-AU"/>
              </w:rPr>
            </w:pPr>
            <w:r w:rsidRPr="007F611D">
              <w:rPr>
                <w:rFonts w:cs="Arial"/>
                <w:b/>
                <w:bCs/>
                <w:color w:val="FFFFFF"/>
                <w:sz w:val="18"/>
                <w:szCs w:val="18"/>
                <w:lang w:eastAsia="en-AU"/>
              </w:rPr>
              <w:t>% change</w:t>
            </w:r>
            <w:r w:rsidRPr="007F611D">
              <w:rPr>
                <w:rFonts w:cs="Arial"/>
                <w:b/>
                <w:bCs/>
                <w:color w:val="FFFFFF"/>
                <w:sz w:val="18"/>
                <w:szCs w:val="18"/>
                <w:lang w:eastAsia="en-AU"/>
              </w:rPr>
              <w:br/>
              <w:t>2012-2013</w:t>
            </w:r>
          </w:p>
        </w:tc>
      </w:tr>
      <w:tr w:rsidR="007F611D" w:rsidRPr="007F611D"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F611D" w:rsidRPr="007F611D" w:rsidRDefault="007F611D" w:rsidP="00807C85">
            <w:pPr>
              <w:spacing w:after="0" w:line="240" w:lineRule="auto"/>
              <w:jc w:val="left"/>
              <w:rPr>
                <w:rFonts w:cs="Arial"/>
                <w:color w:val="366092"/>
                <w:sz w:val="18"/>
                <w:szCs w:val="18"/>
                <w:lang w:eastAsia="en-AU"/>
              </w:rPr>
            </w:pPr>
            <w:r w:rsidRPr="007F611D">
              <w:rPr>
                <w:rFonts w:cs="Arial"/>
                <w:color w:val="366092"/>
                <w:sz w:val="18"/>
                <w:szCs w:val="18"/>
                <w:lang w:eastAsia="en-AU"/>
              </w:rPr>
              <w:t>Cert I-II</w:t>
            </w:r>
          </w:p>
        </w:tc>
        <w:tc>
          <w:tcPr>
            <w:tcW w:w="1194"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57%</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28%</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4%</w:t>
            </w:r>
          </w:p>
        </w:tc>
      </w:tr>
      <w:tr w:rsidR="007F611D" w:rsidRPr="007F611D"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F611D" w:rsidRPr="007F611D" w:rsidRDefault="007F611D" w:rsidP="00807C85">
            <w:pPr>
              <w:spacing w:after="0" w:line="240" w:lineRule="auto"/>
              <w:jc w:val="left"/>
              <w:rPr>
                <w:rFonts w:cs="Arial"/>
                <w:color w:val="366092"/>
                <w:sz w:val="18"/>
                <w:szCs w:val="18"/>
                <w:lang w:eastAsia="en-AU"/>
              </w:rPr>
            </w:pPr>
            <w:r w:rsidRPr="007F611D">
              <w:rPr>
                <w:rFonts w:cs="Arial"/>
                <w:color w:val="366092"/>
                <w:sz w:val="18"/>
                <w:szCs w:val="18"/>
                <w:lang w:eastAsia="en-AU"/>
              </w:rPr>
              <w:t>Cert III-IV</w:t>
            </w:r>
          </w:p>
        </w:tc>
        <w:tc>
          <w:tcPr>
            <w:tcW w:w="1194"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136%</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23%</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-4%</w:t>
            </w:r>
          </w:p>
        </w:tc>
      </w:tr>
      <w:tr w:rsidR="007F611D" w:rsidRPr="007F611D"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F611D" w:rsidRPr="007F611D" w:rsidRDefault="007F611D" w:rsidP="00807C85">
            <w:pPr>
              <w:spacing w:after="0" w:line="240" w:lineRule="auto"/>
              <w:jc w:val="left"/>
              <w:rPr>
                <w:rFonts w:cs="Arial"/>
                <w:color w:val="366092"/>
                <w:sz w:val="18"/>
                <w:szCs w:val="18"/>
                <w:lang w:eastAsia="en-AU"/>
              </w:rPr>
            </w:pPr>
            <w:r w:rsidRPr="007F611D">
              <w:rPr>
                <w:rFonts w:cs="Arial"/>
                <w:color w:val="366092"/>
                <w:sz w:val="18"/>
                <w:szCs w:val="18"/>
                <w:lang w:eastAsia="en-AU"/>
              </w:rPr>
              <w:t>Diploma &amp; Above</w:t>
            </w:r>
          </w:p>
        </w:tc>
        <w:tc>
          <w:tcPr>
            <w:tcW w:w="1194"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17%</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-20%</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-22%</w:t>
            </w:r>
          </w:p>
        </w:tc>
      </w:tr>
      <w:tr w:rsidR="007F611D" w:rsidRPr="007F611D"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F611D" w:rsidRPr="007F611D" w:rsidRDefault="007F611D" w:rsidP="00807C85">
            <w:pPr>
              <w:spacing w:after="0" w:line="240" w:lineRule="auto"/>
              <w:jc w:val="left"/>
              <w:rPr>
                <w:rFonts w:cs="Arial"/>
                <w:color w:val="366092"/>
                <w:sz w:val="18"/>
                <w:szCs w:val="18"/>
                <w:lang w:eastAsia="en-AU"/>
              </w:rPr>
            </w:pPr>
            <w:r w:rsidRPr="007F611D">
              <w:rPr>
                <w:rFonts w:cs="Arial"/>
                <w:color w:val="366092"/>
                <w:sz w:val="18"/>
                <w:szCs w:val="18"/>
                <w:lang w:eastAsia="en-AU"/>
              </w:rPr>
              <w:t>Module Only</w:t>
            </w:r>
          </w:p>
        </w:tc>
        <w:tc>
          <w:tcPr>
            <w:tcW w:w="1194"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4%</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21%</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14%</w:t>
            </w:r>
          </w:p>
        </w:tc>
      </w:tr>
      <w:tr w:rsidR="007F611D" w:rsidRPr="007F611D" w:rsidTr="00807C85">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center"/>
            <w:hideMark/>
          </w:tcPr>
          <w:p w:rsidR="007F611D" w:rsidRPr="007F611D" w:rsidRDefault="007F611D" w:rsidP="00807C85">
            <w:pPr>
              <w:spacing w:after="0" w:line="240" w:lineRule="auto"/>
              <w:jc w:val="left"/>
              <w:rPr>
                <w:rFonts w:cs="Arial"/>
                <w:color w:val="366092"/>
                <w:sz w:val="18"/>
                <w:szCs w:val="18"/>
                <w:lang w:eastAsia="en-AU"/>
              </w:rPr>
            </w:pPr>
            <w:r w:rsidRPr="007F611D">
              <w:rPr>
                <w:rFonts w:cs="Arial"/>
                <w:color w:val="366092"/>
                <w:sz w:val="18"/>
                <w:szCs w:val="18"/>
                <w:lang w:eastAsia="en-AU"/>
              </w:rPr>
              <w:t>Secondary, SoA and other</w:t>
            </w:r>
          </w:p>
        </w:tc>
        <w:tc>
          <w:tcPr>
            <w:tcW w:w="1194"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48%</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28%</w:t>
            </w:r>
          </w:p>
        </w:tc>
        <w:tc>
          <w:tcPr>
            <w:tcW w:w="1195" w:type="dxa"/>
            <w:tcBorders>
              <w:top w:val="nil"/>
              <w:left w:val="nil"/>
              <w:bottom w:val="single" w:sz="4" w:space="0" w:color="366092"/>
              <w:right w:val="single" w:sz="4" w:space="0" w:color="366092"/>
            </w:tcBorders>
            <w:shd w:val="clear" w:color="auto" w:fill="auto"/>
            <w:noWrap/>
            <w:vAlign w:val="center"/>
            <w:hideMark/>
          </w:tcPr>
          <w:p w:rsidR="007F611D" w:rsidRPr="007F611D" w:rsidRDefault="007F611D" w:rsidP="007F611D">
            <w:pPr>
              <w:spacing w:after="0" w:line="240" w:lineRule="auto"/>
              <w:jc w:val="right"/>
              <w:rPr>
                <w:rFonts w:cs="Arial"/>
                <w:sz w:val="18"/>
                <w:szCs w:val="18"/>
                <w:lang w:eastAsia="en-AU"/>
              </w:rPr>
            </w:pPr>
            <w:r w:rsidRPr="007F611D">
              <w:rPr>
                <w:rFonts w:cs="Arial"/>
                <w:sz w:val="18"/>
                <w:szCs w:val="18"/>
                <w:lang w:eastAsia="en-AU"/>
              </w:rPr>
              <w:t>7%</w:t>
            </w:r>
          </w:p>
        </w:tc>
      </w:tr>
      <w:tr w:rsidR="007F611D" w:rsidRPr="007F611D" w:rsidTr="003D2B68">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7F611D" w:rsidRPr="007F611D" w:rsidRDefault="007F611D" w:rsidP="007F611D">
            <w:pPr>
              <w:spacing w:after="0" w:line="240" w:lineRule="auto"/>
              <w:jc w:val="left"/>
              <w:rPr>
                <w:rFonts w:cs="Arial"/>
                <w:b/>
                <w:bCs/>
                <w:color w:val="FFFFFF"/>
                <w:sz w:val="18"/>
                <w:szCs w:val="18"/>
                <w:lang w:eastAsia="en-AU"/>
              </w:rPr>
            </w:pPr>
            <w:r w:rsidRPr="007F611D">
              <w:rPr>
                <w:rFonts w:cs="Arial"/>
                <w:b/>
                <w:bCs/>
                <w:color w:val="FFFFFF"/>
                <w:sz w:val="18"/>
                <w:szCs w:val="18"/>
                <w:lang w:eastAsia="en-AU"/>
              </w:rPr>
              <w:t>Total</w:t>
            </w:r>
          </w:p>
        </w:tc>
        <w:tc>
          <w:tcPr>
            <w:tcW w:w="1194" w:type="dxa"/>
            <w:tcBorders>
              <w:top w:val="nil"/>
              <w:left w:val="nil"/>
              <w:bottom w:val="single" w:sz="4" w:space="0" w:color="366092"/>
              <w:right w:val="single" w:sz="4" w:space="0" w:color="366092"/>
            </w:tcBorders>
            <w:shd w:val="clear" w:color="000000" w:fill="366092"/>
            <w:noWrap/>
            <w:vAlign w:val="center"/>
            <w:hideMark/>
          </w:tcPr>
          <w:p w:rsidR="007F611D" w:rsidRPr="007F611D" w:rsidRDefault="007F611D" w:rsidP="007F611D">
            <w:pPr>
              <w:spacing w:after="0" w:line="240" w:lineRule="auto"/>
              <w:jc w:val="right"/>
              <w:rPr>
                <w:rFonts w:cs="Arial"/>
                <w:b/>
                <w:bCs/>
                <w:color w:val="FFFFFF"/>
                <w:sz w:val="18"/>
                <w:szCs w:val="18"/>
                <w:lang w:eastAsia="en-AU"/>
              </w:rPr>
            </w:pPr>
            <w:r w:rsidRPr="007F611D">
              <w:rPr>
                <w:rFonts w:cs="Arial"/>
                <w:b/>
                <w:bCs/>
                <w:color w:val="FFFFFF"/>
                <w:sz w:val="18"/>
                <w:szCs w:val="18"/>
                <w:lang w:eastAsia="en-AU"/>
              </w:rPr>
              <w:t>59%</w:t>
            </w:r>
          </w:p>
        </w:tc>
        <w:tc>
          <w:tcPr>
            <w:tcW w:w="1195" w:type="dxa"/>
            <w:tcBorders>
              <w:top w:val="nil"/>
              <w:left w:val="nil"/>
              <w:bottom w:val="single" w:sz="4" w:space="0" w:color="366092"/>
              <w:right w:val="single" w:sz="4" w:space="0" w:color="366092"/>
            </w:tcBorders>
            <w:shd w:val="clear" w:color="000000" w:fill="366092"/>
            <w:noWrap/>
            <w:vAlign w:val="center"/>
            <w:hideMark/>
          </w:tcPr>
          <w:p w:rsidR="007F611D" w:rsidRPr="007F611D" w:rsidRDefault="007F611D" w:rsidP="007F611D">
            <w:pPr>
              <w:spacing w:after="0" w:line="240" w:lineRule="auto"/>
              <w:jc w:val="right"/>
              <w:rPr>
                <w:rFonts w:cs="Arial"/>
                <w:b/>
                <w:bCs/>
                <w:color w:val="FFFFFF"/>
                <w:sz w:val="18"/>
                <w:szCs w:val="18"/>
                <w:lang w:eastAsia="en-AU"/>
              </w:rPr>
            </w:pPr>
            <w:r w:rsidRPr="007F611D">
              <w:rPr>
                <w:rFonts w:cs="Arial"/>
                <w:b/>
                <w:bCs/>
                <w:color w:val="FFFFFF"/>
                <w:sz w:val="18"/>
                <w:szCs w:val="18"/>
                <w:lang w:eastAsia="en-AU"/>
              </w:rPr>
              <w:t>21%</w:t>
            </w:r>
          </w:p>
        </w:tc>
        <w:tc>
          <w:tcPr>
            <w:tcW w:w="1195" w:type="dxa"/>
            <w:tcBorders>
              <w:top w:val="nil"/>
              <w:left w:val="nil"/>
              <w:bottom w:val="single" w:sz="4" w:space="0" w:color="366092"/>
              <w:right w:val="single" w:sz="4" w:space="0" w:color="366092"/>
            </w:tcBorders>
            <w:shd w:val="clear" w:color="000000" w:fill="366092"/>
            <w:noWrap/>
            <w:vAlign w:val="center"/>
            <w:hideMark/>
          </w:tcPr>
          <w:p w:rsidR="007F611D" w:rsidRPr="007F611D" w:rsidRDefault="007F611D" w:rsidP="007F611D">
            <w:pPr>
              <w:spacing w:after="0" w:line="240" w:lineRule="auto"/>
              <w:jc w:val="right"/>
              <w:rPr>
                <w:rFonts w:cs="Arial"/>
                <w:b/>
                <w:bCs/>
                <w:color w:val="FFFFFF"/>
                <w:sz w:val="18"/>
                <w:szCs w:val="18"/>
                <w:lang w:eastAsia="en-AU"/>
              </w:rPr>
            </w:pPr>
            <w:r w:rsidRPr="007F611D">
              <w:rPr>
                <w:rFonts w:cs="Arial"/>
                <w:b/>
                <w:bCs/>
                <w:color w:val="FFFFFF"/>
                <w:sz w:val="18"/>
                <w:szCs w:val="18"/>
                <w:lang w:eastAsia="en-AU"/>
              </w:rPr>
              <w:t>0%</w:t>
            </w:r>
          </w:p>
        </w:tc>
      </w:tr>
    </w:tbl>
    <w:p w:rsidR="00D67B5E" w:rsidRPr="007E7B89" w:rsidRDefault="00D67B5E" w:rsidP="00D67B5E">
      <w:pPr>
        <w:spacing w:after="0"/>
        <w:rPr>
          <w:sz w:val="16"/>
          <w:szCs w:val="16"/>
        </w:rPr>
      </w:pPr>
      <w:r w:rsidRPr="007E7B89">
        <w:rPr>
          <w:sz w:val="16"/>
          <w:szCs w:val="16"/>
        </w:rPr>
        <w:t>SoA: Statement of Attainment.</w:t>
      </w:r>
    </w:p>
    <w:p w:rsidR="00D67B5E" w:rsidRPr="001F29E3" w:rsidRDefault="00D67B5E" w:rsidP="00D67B5E"/>
    <w:p w:rsidR="00D67B5E" w:rsidRPr="001F29E3" w:rsidRDefault="00D67B5E" w:rsidP="00D67B5E">
      <w:pPr>
        <w:rPr>
          <w:rFonts w:cs="Arial"/>
          <w:color w:val="76923C" w:themeColor="accent3" w:themeShade="BF"/>
          <w:sz w:val="28"/>
          <w:szCs w:val="28"/>
        </w:rPr>
      </w:pPr>
      <w:r w:rsidRPr="001F29E3">
        <w:rPr>
          <w:rFonts w:cs="Arial"/>
        </w:rPr>
        <w:br w:type="page"/>
      </w:r>
    </w:p>
    <w:p w:rsidR="00D67B5E" w:rsidRPr="001F29E3" w:rsidRDefault="00D67B5E" w:rsidP="00D67B5E">
      <w:pPr>
        <w:pStyle w:val="Heading2"/>
      </w:pPr>
      <w:bookmarkStart w:id="87" w:name="_Toc388340454"/>
      <w:r w:rsidRPr="001F29E3">
        <w:t>Students with a Culturally and Linguistically Diverse (CALD) Background</w:t>
      </w:r>
      <w:bookmarkEnd w:id="87"/>
      <w:r w:rsidRPr="001F29E3">
        <w:t xml:space="preserve"> </w:t>
      </w:r>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pStyle w:val="Caption"/>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D67B5E" w:rsidRPr="003B1428" w:rsidTr="003D2B68">
        <w:trPr>
          <w:trHeight w:val="1449"/>
        </w:trPr>
        <w:tc>
          <w:tcPr>
            <w:tcW w:w="9088" w:type="dxa"/>
          </w:tcPr>
          <w:p w:rsidR="00D67B5E" w:rsidRDefault="00D67B5E" w:rsidP="0051046D">
            <w:pPr>
              <w:pStyle w:val="Heading3"/>
            </w:pPr>
            <w:r w:rsidRPr="003B1428">
              <w:t>Key Points</w:t>
            </w:r>
          </w:p>
          <w:p w:rsidR="00D67B5E" w:rsidRPr="00A326AF" w:rsidRDefault="00D67B5E" w:rsidP="0051046D"/>
          <w:p w:rsidR="00D67B5E" w:rsidRDefault="00D67B5E" w:rsidP="00D83827">
            <w:pPr>
              <w:pStyle w:val="ListBullet"/>
              <w:numPr>
                <w:ilvl w:val="0"/>
                <w:numId w:val="26"/>
              </w:numPr>
              <w:ind w:right="113"/>
              <w:rPr>
                <w:rFonts w:cs="Arial"/>
              </w:rPr>
            </w:pPr>
            <w:r w:rsidRPr="00D95246">
              <w:rPr>
                <w:rFonts w:cs="Arial"/>
              </w:rPr>
              <w:t xml:space="preserve">There were </w:t>
            </w:r>
            <w:r w:rsidR="004767B8">
              <w:rPr>
                <w:rFonts w:cs="Arial"/>
              </w:rPr>
              <w:t>137,500</w:t>
            </w:r>
            <w:r w:rsidRPr="00D95246">
              <w:rPr>
                <w:rFonts w:cs="Arial"/>
              </w:rPr>
              <w:t xml:space="preserve"> students from a CALD background enrolled in</w:t>
            </w:r>
            <w:r w:rsidR="004767B8">
              <w:rPr>
                <w:rFonts w:cs="Arial"/>
              </w:rPr>
              <w:t xml:space="preserve"> 183,500</w:t>
            </w:r>
            <w:r w:rsidRPr="00D95246">
              <w:rPr>
                <w:rFonts w:cs="Arial"/>
              </w:rPr>
              <w:t xml:space="preserve"> government subsidised courses in 2013. </w:t>
            </w:r>
          </w:p>
          <w:p w:rsidR="003D2B68" w:rsidRPr="00D95246" w:rsidRDefault="003D2B68" w:rsidP="00D83827">
            <w:pPr>
              <w:pStyle w:val="ListBullet"/>
              <w:numPr>
                <w:ilvl w:val="0"/>
                <w:numId w:val="26"/>
              </w:numPr>
              <w:ind w:right="113"/>
              <w:rPr>
                <w:rFonts w:cs="Arial"/>
              </w:rPr>
            </w:pPr>
            <w:r w:rsidRPr="003D2B68">
              <w:rPr>
                <w:rFonts w:cs="Arial"/>
              </w:rPr>
              <w:t>Forty two per cent of government subsidised enrolments undertaken by students with disability were in Certificate III and above levels.</w:t>
            </w:r>
          </w:p>
          <w:p w:rsidR="00D67B5E" w:rsidRPr="003B1428" w:rsidRDefault="00D67B5E" w:rsidP="00D83827">
            <w:pPr>
              <w:pStyle w:val="ListBullet"/>
              <w:numPr>
                <w:ilvl w:val="0"/>
                <w:numId w:val="26"/>
              </w:numPr>
              <w:ind w:right="113"/>
              <w:rPr>
                <w:rFonts w:cs="Arial"/>
              </w:rPr>
            </w:pPr>
            <w:r w:rsidRPr="00B34D43">
              <w:rPr>
                <w:rFonts w:cs="Arial"/>
              </w:rPr>
              <w:t>Of those enrolments in industry-specific qualifications (</w:t>
            </w:r>
            <w:r w:rsidR="008261CF">
              <w:rPr>
                <w:rFonts w:cs="Arial"/>
              </w:rPr>
              <w:t>116,200</w:t>
            </w:r>
            <w:r w:rsidRPr="00B34D43">
              <w:rPr>
                <w:rFonts w:cs="Arial"/>
              </w:rPr>
              <w:t xml:space="preserve"> enrolments) which exclude foundation skills and short courses in 2013, 4</w:t>
            </w:r>
            <w:r w:rsidR="00AE797A" w:rsidRPr="00B34D43">
              <w:rPr>
                <w:rFonts w:cs="Arial"/>
              </w:rPr>
              <w:t>5</w:t>
            </w:r>
            <w:r w:rsidRPr="00B34D43">
              <w:rPr>
                <w:rFonts w:cs="Arial"/>
              </w:rPr>
              <w:t xml:space="preserve"> per cent were in courses related to specialised or in shortage occupations.</w:t>
            </w:r>
            <w:r w:rsidR="00BB7E11">
              <w:rPr>
                <w:rFonts w:cs="Arial"/>
              </w:rPr>
              <w:t xml:space="preserve"> </w:t>
            </w:r>
          </w:p>
        </w:tc>
      </w:tr>
    </w:tbl>
    <w:p w:rsidR="00D67B5E" w:rsidRDefault="00D67B5E" w:rsidP="00D67B5E">
      <w:pPr>
        <w:rPr>
          <w:rFonts w:cs="Arial"/>
        </w:rPr>
      </w:pPr>
    </w:p>
    <w:p w:rsidR="00D67B5E" w:rsidRPr="001F29E3" w:rsidRDefault="00D67B5E" w:rsidP="00D67B5E">
      <w:pPr>
        <w:rPr>
          <w:rFonts w:cs="Arial"/>
        </w:rPr>
      </w:pPr>
    </w:p>
    <w:p w:rsidR="00D67B5E" w:rsidRDefault="005654CD" w:rsidP="00D67B5E">
      <w:pPr>
        <w:pStyle w:val="Caption"/>
        <w:spacing w:after="0"/>
        <w:rPr>
          <w:rFonts w:cs="Arial"/>
          <w:color w:val="365F91" w:themeColor="accent1" w:themeShade="BF"/>
        </w:rPr>
      </w:pPr>
      <w:r w:rsidRPr="0060411E">
        <w:rPr>
          <w:rFonts w:cs="Arial"/>
          <w:color w:val="365F91" w:themeColor="accent1" w:themeShade="BF"/>
        </w:rPr>
        <w:t>Table 2</w:t>
      </w:r>
      <w:r w:rsidR="00D67B5E" w:rsidRPr="0060411E">
        <w:rPr>
          <w:rFonts w:cs="Arial"/>
          <w:color w:val="365F91" w:themeColor="accent1" w:themeShade="BF"/>
        </w:rPr>
        <w:t>.4.1: Students from a CALD background: government subsidised enrolments by qua</w:t>
      </w:r>
      <w:r w:rsidR="0060411E">
        <w:rPr>
          <w:rFonts w:cs="Arial"/>
          <w:color w:val="365F91" w:themeColor="accent1" w:themeShade="BF"/>
        </w:rPr>
        <w:t>lification level, 2008 – 2013</w:t>
      </w:r>
    </w:p>
    <w:tbl>
      <w:tblPr>
        <w:tblW w:w="9214" w:type="dxa"/>
        <w:tblInd w:w="109"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410"/>
        <w:gridCol w:w="1134"/>
        <w:gridCol w:w="1134"/>
        <w:gridCol w:w="1134"/>
        <w:gridCol w:w="1134"/>
        <w:gridCol w:w="1134"/>
        <w:gridCol w:w="1134"/>
      </w:tblGrid>
      <w:tr w:rsidR="00206ACC" w:rsidRPr="00206ACC" w:rsidTr="00807C85">
        <w:trPr>
          <w:trHeight w:val="720"/>
        </w:trPr>
        <w:tc>
          <w:tcPr>
            <w:tcW w:w="2410" w:type="dxa"/>
            <w:shd w:val="clear" w:color="000000" w:fill="366092"/>
            <w:noWrap/>
            <w:vAlign w:val="center"/>
            <w:hideMark/>
          </w:tcPr>
          <w:p w:rsidR="00206ACC" w:rsidRPr="00206ACC" w:rsidRDefault="00206ACC" w:rsidP="00206ACC">
            <w:pPr>
              <w:spacing w:after="0" w:line="240" w:lineRule="auto"/>
              <w:ind w:firstLineChars="100" w:firstLine="181"/>
              <w:jc w:val="left"/>
              <w:rPr>
                <w:rFonts w:cs="Arial"/>
                <w:b/>
                <w:bCs/>
                <w:color w:val="FFFFFF"/>
                <w:sz w:val="18"/>
                <w:szCs w:val="18"/>
                <w:lang w:eastAsia="en-AU"/>
              </w:rPr>
            </w:pPr>
            <w:r w:rsidRPr="00206ACC">
              <w:rPr>
                <w:rFonts w:cs="Arial"/>
                <w:b/>
                <w:bCs/>
                <w:color w:val="FFFFFF"/>
                <w:sz w:val="18"/>
                <w:szCs w:val="18"/>
                <w:lang w:eastAsia="en-AU"/>
              </w:rPr>
              <w:t>Qualification level</w:t>
            </w:r>
          </w:p>
        </w:tc>
        <w:tc>
          <w:tcPr>
            <w:tcW w:w="1134"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2008</w:t>
            </w:r>
          </w:p>
        </w:tc>
        <w:tc>
          <w:tcPr>
            <w:tcW w:w="1134"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2009</w:t>
            </w:r>
          </w:p>
        </w:tc>
        <w:tc>
          <w:tcPr>
            <w:tcW w:w="1134"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2010</w:t>
            </w:r>
          </w:p>
        </w:tc>
        <w:tc>
          <w:tcPr>
            <w:tcW w:w="1134"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2011</w:t>
            </w:r>
          </w:p>
        </w:tc>
        <w:tc>
          <w:tcPr>
            <w:tcW w:w="1134"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2012</w:t>
            </w:r>
          </w:p>
        </w:tc>
        <w:tc>
          <w:tcPr>
            <w:tcW w:w="1134"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2013</w:t>
            </w:r>
          </w:p>
        </w:tc>
      </w:tr>
      <w:tr w:rsidR="00206ACC" w:rsidRPr="00206ACC" w:rsidTr="00807C85">
        <w:trPr>
          <w:trHeight w:val="342"/>
        </w:trPr>
        <w:tc>
          <w:tcPr>
            <w:tcW w:w="2410"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Cert I-II</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19,800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20,100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20,400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28,500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41,600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49,500 </w:t>
            </w:r>
          </w:p>
        </w:tc>
      </w:tr>
      <w:tr w:rsidR="00206ACC" w:rsidRPr="00206ACC" w:rsidTr="00807C85">
        <w:trPr>
          <w:trHeight w:val="342"/>
        </w:trPr>
        <w:tc>
          <w:tcPr>
            <w:tcW w:w="2410"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Cert III-IV</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30,000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30,700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38,500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62,000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88,900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97,700 </w:t>
            </w:r>
          </w:p>
        </w:tc>
      </w:tr>
      <w:tr w:rsidR="00206ACC" w:rsidRPr="00206ACC" w:rsidTr="00807C85">
        <w:trPr>
          <w:trHeight w:val="342"/>
        </w:trPr>
        <w:tc>
          <w:tcPr>
            <w:tcW w:w="2410"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Diploma &amp; Above</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13,400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15,700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17,300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22,400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23,200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19,000 </w:t>
            </w:r>
          </w:p>
        </w:tc>
      </w:tr>
      <w:tr w:rsidR="00206ACC" w:rsidRPr="00206ACC" w:rsidTr="00807C85">
        <w:trPr>
          <w:trHeight w:val="342"/>
        </w:trPr>
        <w:tc>
          <w:tcPr>
            <w:tcW w:w="2410"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Module Only</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13,000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11,600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12,100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11,700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10,700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11,600 </w:t>
            </w:r>
          </w:p>
        </w:tc>
      </w:tr>
      <w:tr w:rsidR="00206ACC" w:rsidRPr="00206ACC" w:rsidTr="00807C85">
        <w:trPr>
          <w:trHeight w:val="342"/>
        </w:trPr>
        <w:tc>
          <w:tcPr>
            <w:tcW w:w="2410"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Secondary, SoA and other</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5,000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5,400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5,400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6,200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8,400 </w:t>
            </w:r>
          </w:p>
        </w:tc>
        <w:tc>
          <w:tcPr>
            <w:tcW w:w="1134"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5,600 </w:t>
            </w:r>
          </w:p>
        </w:tc>
      </w:tr>
      <w:tr w:rsidR="00206ACC" w:rsidRPr="00206ACC" w:rsidTr="00807C85">
        <w:trPr>
          <w:trHeight w:val="342"/>
        </w:trPr>
        <w:tc>
          <w:tcPr>
            <w:tcW w:w="2410" w:type="dxa"/>
            <w:shd w:val="clear" w:color="000000" w:fill="366092"/>
            <w:noWrap/>
            <w:vAlign w:val="bottom"/>
            <w:hideMark/>
          </w:tcPr>
          <w:p w:rsidR="00206ACC" w:rsidRPr="00206ACC" w:rsidRDefault="00206ACC" w:rsidP="00206ACC">
            <w:pPr>
              <w:spacing w:after="0" w:line="240" w:lineRule="auto"/>
              <w:jc w:val="left"/>
              <w:rPr>
                <w:rFonts w:cs="Arial"/>
                <w:b/>
                <w:bCs/>
                <w:color w:val="FFFFFF"/>
                <w:sz w:val="18"/>
                <w:szCs w:val="18"/>
                <w:lang w:eastAsia="en-AU"/>
              </w:rPr>
            </w:pPr>
            <w:r w:rsidRPr="00206ACC">
              <w:rPr>
                <w:rFonts w:cs="Arial"/>
                <w:b/>
                <w:bCs/>
                <w:color w:val="FFFFFF"/>
                <w:sz w:val="18"/>
                <w:szCs w:val="18"/>
                <w:lang w:eastAsia="en-AU"/>
              </w:rPr>
              <w:t>Total</w:t>
            </w:r>
          </w:p>
        </w:tc>
        <w:tc>
          <w:tcPr>
            <w:tcW w:w="1134"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81,100 </w:t>
            </w:r>
          </w:p>
        </w:tc>
        <w:tc>
          <w:tcPr>
            <w:tcW w:w="1134"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83,500 </w:t>
            </w:r>
          </w:p>
        </w:tc>
        <w:tc>
          <w:tcPr>
            <w:tcW w:w="1134"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93,800 </w:t>
            </w:r>
          </w:p>
        </w:tc>
        <w:tc>
          <w:tcPr>
            <w:tcW w:w="1134"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130,700 </w:t>
            </w:r>
          </w:p>
        </w:tc>
        <w:tc>
          <w:tcPr>
            <w:tcW w:w="1134"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172,800 </w:t>
            </w:r>
          </w:p>
        </w:tc>
        <w:tc>
          <w:tcPr>
            <w:tcW w:w="1134"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183,500 </w:t>
            </w:r>
          </w:p>
        </w:tc>
      </w:tr>
    </w:tbl>
    <w:p w:rsidR="00D67B5E" w:rsidRPr="007E7B89" w:rsidRDefault="00D67B5E" w:rsidP="00D67B5E">
      <w:pPr>
        <w:spacing w:after="0"/>
        <w:rPr>
          <w:sz w:val="16"/>
          <w:szCs w:val="16"/>
        </w:rPr>
      </w:pPr>
      <w:r w:rsidRPr="007E7B89">
        <w:rPr>
          <w:sz w:val="16"/>
          <w:szCs w:val="16"/>
        </w:rPr>
        <w:t>SoA: Statement of Attainment.</w:t>
      </w:r>
    </w:p>
    <w:p w:rsidR="00D67B5E" w:rsidRPr="001F29E3" w:rsidRDefault="00D67B5E" w:rsidP="00D67B5E">
      <w:pPr>
        <w:jc w:val="left"/>
        <w:rPr>
          <w:rFonts w:cs="Arial"/>
        </w:rPr>
      </w:pPr>
    </w:p>
    <w:p w:rsidR="0060411E" w:rsidRPr="007D0C14" w:rsidRDefault="0060411E" w:rsidP="0060411E">
      <w:pPr>
        <w:pStyle w:val="Caption"/>
        <w:spacing w:after="0"/>
        <w:jc w:val="left"/>
        <w:rPr>
          <w:rFonts w:cs="Arial"/>
          <w:color w:val="365F91" w:themeColor="accent1" w:themeShade="BF"/>
        </w:rPr>
      </w:pPr>
      <w:r w:rsidRPr="007D0C14">
        <w:rPr>
          <w:rFonts w:cs="Arial"/>
          <w:color w:val="365F91" w:themeColor="accent1" w:themeShade="BF"/>
        </w:rPr>
        <w:t>Table 2.</w:t>
      </w:r>
      <w:r w:rsidR="0090257E">
        <w:rPr>
          <w:rFonts w:cs="Arial"/>
          <w:color w:val="365F91" w:themeColor="accent1" w:themeShade="BF"/>
        </w:rPr>
        <w:t>4</w:t>
      </w:r>
      <w:r w:rsidRPr="007D0C14">
        <w:rPr>
          <w:rFonts w:cs="Arial"/>
          <w:color w:val="365F91" w:themeColor="accent1" w:themeShade="BF"/>
        </w:rPr>
        <w:t xml:space="preserve">.2: Change in number of government subsidised enrolments undertaken by students </w:t>
      </w:r>
      <w:r w:rsidR="00206ACC">
        <w:rPr>
          <w:rFonts w:cs="Arial"/>
          <w:color w:val="365F91" w:themeColor="accent1" w:themeShade="BF"/>
        </w:rPr>
        <w:t>from a CALD background</w:t>
      </w:r>
      <w:r>
        <w:rPr>
          <w:rFonts w:cs="Arial"/>
          <w:color w:val="365F91" w:themeColor="accent1" w:themeShade="BF"/>
        </w:rPr>
        <w:t xml:space="preserve"> </w:t>
      </w:r>
      <w:r w:rsidRPr="007D0C14">
        <w:rPr>
          <w:rFonts w:cs="Arial"/>
          <w:color w:val="365F91" w:themeColor="accent1" w:themeShade="BF"/>
        </w:rPr>
        <w:t>by qualification level</w:t>
      </w:r>
    </w:p>
    <w:tbl>
      <w:tblPr>
        <w:tblW w:w="6160" w:type="dxa"/>
        <w:tblInd w:w="103" w:type="dxa"/>
        <w:tblLook w:val="04A0" w:firstRow="1" w:lastRow="0" w:firstColumn="1" w:lastColumn="0" w:noHBand="0" w:noVBand="1"/>
      </w:tblPr>
      <w:tblGrid>
        <w:gridCol w:w="2800"/>
        <w:gridCol w:w="1120"/>
        <w:gridCol w:w="1120"/>
        <w:gridCol w:w="1120"/>
      </w:tblGrid>
      <w:tr w:rsidR="00206ACC" w:rsidRPr="00206ACC" w:rsidTr="00206ACC">
        <w:trPr>
          <w:trHeight w:val="480"/>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206ACC" w:rsidRPr="00206ACC" w:rsidRDefault="00206ACC" w:rsidP="00206ACC">
            <w:pPr>
              <w:spacing w:after="0" w:line="240" w:lineRule="auto"/>
              <w:jc w:val="left"/>
              <w:rPr>
                <w:rFonts w:cs="Arial"/>
                <w:b/>
                <w:bCs/>
                <w:color w:val="FFFFFF"/>
                <w:sz w:val="18"/>
                <w:szCs w:val="18"/>
                <w:lang w:eastAsia="en-AU"/>
              </w:rPr>
            </w:pPr>
            <w:r w:rsidRPr="00206ACC">
              <w:rPr>
                <w:rFonts w:cs="Arial"/>
                <w:b/>
                <w:bCs/>
                <w:color w:val="FFFFFF"/>
                <w:sz w:val="18"/>
                <w:szCs w:val="18"/>
                <w:lang w:eastAsia="en-AU"/>
              </w:rPr>
              <w:t>Qualification level</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change</w:t>
            </w:r>
            <w:r w:rsidRPr="00206ACC">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change</w:t>
            </w:r>
            <w:r w:rsidRPr="00206ACC">
              <w:rPr>
                <w:rFonts w:cs="Arial"/>
                <w:b/>
                <w:bCs/>
                <w:color w:val="FFFFFF"/>
                <w:sz w:val="18"/>
                <w:szCs w:val="18"/>
                <w:lang w:eastAsia="en-AU"/>
              </w:rPr>
              <w:br/>
              <w:t>2011-2013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change</w:t>
            </w:r>
            <w:r w:rsidRPr="00206ACC">
              <w:rPr>
                <w:rFonts w:cs="Arial"/>
                <w:b/>
                <w:bCs/>
                <w:color w:val="FFFFFF"/>
                <w:sz w:val="18"/>
                <w:szCs w:val="18"/>
                <w:lang w:eastAsia="en-AU"/>
              </w:rPr>
              <w:br/>
              <w:t>2012-2013</w:t>
            </w:r>
          </w:p>
        </w:tc>
      </w:tr>
      <w:tr w:rsidR="00206ACC" w:rsidRPr="00206ACC" w:rsidTr="00206ACC">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Cert I-II</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151%</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74%</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19%</w:t>
            </w:r>
          </w:p>
        </w:tc>
      </w:tr>
      <w:tr w:rsidR="00206ACC" w:rsidRPr="00206ACC" w:rsidTr="00206ACC">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Cert III-IV</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226%</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58%</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10%</w:t>
            </w:r>
          </w:p>
        </w:tc>
      </w:tr>
      <w:tr w:rsidR="00206ACC" w:rsidRPr="00206ACC" w:rsidTr="00206ACC">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Diploma &amp; Above</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42%</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-15%</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-18%</w:t>
            </w:r>
          </w:p>
        </w:tc>
      </w:tr>
      <w:tr w:rsidR="00206ACC" w:rsidRPr="00206ACC" w:rsidTr="00206ACC">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Module Only</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-10%</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0%</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8%</w:t>
            </w:r>
          </w:p>
        </w:tc>
      </w:tr>
      <w:tr w:rsidR="00206ACC" w:rsidRPr="00206ACC" w:rsidTr="00206ACC">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Secondary, SoA and other</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12%</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-10%</w:t>
            </w:r>
          </w:p>
        </w:tc>
        <w:tc>
          <w:tcPr>
            <w:tcW w:w="1120" w:type="dxa"/>
            <w:tcBorders>
              <w:top w:val="nil"/>
              <w:left w:val="nil"/>
              <w:bottom w:val="single" w:sz="4" w:space="0" w:color="366092"/>
              <w:right w:val="single" w:sz="4" w:space="0" w:color="366092"/>
            </w:tcBorders>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-33%</w:t>
            </w:r>
          </w:p>
        </w:tc>
      </w:tr>
      <w:tr w:rsidR="00206ACC" w:rsidRPr="00206ACC" w:rsidTr="00206ACC">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206ACC" w:rsidRPr="00206ACC" w:rsidRDefault="00206ACC" w:rsidP="00206ACC">
            <w:pPr>
              <w:spacing w:after="0" w:line="240" w:lineRule="auto"/>
              <w:jc w:val="left"/>
              <w:rPr>
                <w:rFonts w:cs="Arial"/>
                <w:b/>
                <w:bCs/>
                <w:color w:val="FFFFFF"/>
                <w:sz w:val="18"/>
                <w:szCs w:val="18"/>
                <w:lang w:eastAsia="en-AU"/>
              </w:rPr>
            </w:pPr>
            <w:r w:rsidRPr="00206ACC">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126%</w:t>
            </w:r>
          </w:p>
        </w:tc>
        <w:tc>
          <w:tcPr>
            <w:tcW w:w="1120" w:type="dxa"/>
            <w:tcBorders>
              <w:top w:val="nil"/>
              <w:left w:val="nil"/>
              <w:bottom w:val="single" w:sz="4" w:space="0" w:color="366092"/>
              <w:right w:val="single" w:sz="4" w:space="0" w:color="366092"/>
            </w:tcBorders>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40%</w:t>
            </w:r>
          </w:p>
        </w:tc>
        <w:tc>
          <w:tcPr>
            <w:tcW w:w="1120" w:type="dxa"/>
            <w:tcBorders>
              <w:top w:val="nil"/>
              <w:left w:val="nil"/>
              <w:bottom w:val="single" w:sz="4" w:space="0" w:color="366092"/>
              <w:right w:val="single" w:sz="4" w:space="0" w:color="366092"/>
            </w:tcBorders>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6%</w:t>
            </w:r>
          </w:p>
        </w:tc>
      </w:tr>
    </w:tbl>
    <w:p w:rsidR="00D67B5E" w:rsidRPr="007E7B89" w:rsidRDefault="00D67B5E" w:rsidP="00D67B5E">
      <w:pPr>
        <w:spacing w:after="0"/>
        <w:rPr>
          <w:sz w:val="16"/>
          <w:szCs w:val="16"/>
        </w:rPr>
      </w:pPr>
      <w:r w:rsidRPr="007E7B89">
        <w:rPr>
          <w:sz w:val="16"/>
          <w:szCs w:val="16"/>
        </w:rPr>
        <w:t>SoA: Statement of Attainment.</w:t>
      </w:r>
    </w:p>
    <w:p w:rsidR="00D67B5E" w:rsidRDefault="00D67B5E" w:rsidP="00D67B5E">
      <w:pPr>
        <w:spacing w:after="0" w:line="240" w:lineRule="auto"/>
        <w:jc w:val="left"/>
        <w:rPr>
          <w:rFonts w:cs="Arial"/>
        </w:rPr>
      </w:pPr>
      <w:r>
        <w:rPr>
          <w:rFonts w:cs="Arial"/>
        </w:rPr>
        <w:br w:type="page"/>
      </w:r>
    </w:p>
    <w:p w:rsidR="00D67B5E" w:rsidRPr="001F29E3" w:rsidRDefault="00D67B5E" w:rsidP="00D67B5E">
      <w:pPr>
        <w:pStyle w:val="Heading2"/>
      </w:pPr>
      <w:bookmarkStart w:id="88" w:name="_Toc388340455"/>
      <w:r w:rsidRPr="001F29E3">
        <w:t>Unemployed Students</w:t>
      </w:r>
      <w:bookmarkEnd w:id="88"/>
    </w:p>
    <w:p w:rsidR="00D67B5E" w:rsidRDefault="00D67B5E" w:rsidP="00D67B5E"/>
    <w:p w:rsidR="00D67B5E" w:rsidRDefault="00D67B5E" w:rsidP="00D67B5E">
      <w:pPr>
        <w:pStyle w:val="Heading3"/>
      </w:pPr>
      <w:r>
        <w:t>Enrolments</w:t>
      </w:r>
    </w:p>
    <w:p w:rsidR="00D67B5E" w:rsidRDefault="00D67B5E" w:rsidP="00D67B5E">
      <w:pPr>
        <w:jc w:val="left"/>
        <w:rPr>
          <w:rFonts w:cs="Arial"/>
          <w:b/>
          <w:bCs/>
          <w:color w:val="76923C"/>
          <w:szCs w:val="19"/>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D67B5E" w:rsidRPr="003B1428" w:rsidTr="003D2B68">
        <w:trPr>
          <w:trHeight w:val="1449"/>
        </w:trPr>
        <w:tc>
          <w:tcPr>
            <w:tcW w:w="9088" w:type="dxa"/>
          </w:tcPr>
          <w:p w:rsidR="00D67B5E" w:rsidRDefault="00D67B5E" w:rsidP="0051046D">
            <w:pPr>
              <w:pStyle w:val="Heading3"/>
            </w:pPr>
            <w:r w:rsidRPr="003B1428">
              <w:t>Key Points</w:t>
            </w:r>
          </w:p>
          <w:p w:rsidR="00D67B5E" w:rsidRPr="00A326AF" w:rsidRDefault="00D67B5E" w:rsidP="0051046D"/>
          <w:p w:rsidR="0029026D" w:rsidRDefault="00D67B5E" w:rsidP="00D83827">
            <w:pPr>
              <w:pStyle w:val="ListBullet"/>
              <w:numPr>
                <w:ilvl w:val="0"/>
                <w:numId w:val="27"/>
              </w:numPr>
              <w:ind w:right="113"/>
              <w:rPr>
                <w:rFonts w:cs="Arial"/>
              </w:rPr>
            </w:pPr>
            <w:r w:rsidRPr="00D95246">
              <w:rPr>
                <w:rFonts w:cs="Arial"/>
              </w:rPr>
              <w:t xml:space="preserve">The number of government subsidised course enrolments undertaken by unemployed students in 2013 was </w:t>
            </w:r>
            <w:r w:rsidR="00881E2B">
              <w:rPr>
                <w:rFonts w:cs="Arial"/>
              </w:rPr>
              <w:t>182,700</w:t>
            </w:r>
            <w:r w:rsidRPr="00D95246">
              <w:rPr>
                <w:rFonts w:cs="Arial"/>
              </w:rPr>
              <w:t xml:space="preserve"> which were undertaken by </w:t>
            </w:r>
            <w:r w:rsidR="00881E2B">
              <w:rPr>
                <w:rFonts w:cs="Arial"/>
              </w:rPr>
              <w:t>134,800</w:t>
            </w:r>
            <w:r w:rsidRPr="00D95246">
              <w:rPr>
                <w:rFonts w:cs="Arial"/>
              </w:rPr>
              <w:t xml:space="preserve"> unemployed students. </w:t>
            </w:r>
          </w:p>
          <w:p w:rsidR="00D67B5E" w:rsidRPr="00D95246" w:rsidRDefault="00D67B5E" w:rsidP="00D83827">
            <w:pPr>
              <w:pStyle w:val="ListBullet"/>
              <w:numPr>
                <w:ilvl w:val="0"/>
                <w:numId w:val="27"/>
              </w:numPr>
              <w:ind w:right="113"/>
              <w:rPr>
                <w:rFonts w:cs="Arial"/>
              </w:rPr>
            </w:pPr>
            <w:r w:rsidRPr="00D95246">
              <w:rPr>
                <w:rFonts w:cs="Arial"/>
              </w:rPr>
              <w:t>Enrolments in Diploma and above courses undertaken by unemployed students in 2013 were lower than the corresponding figures in 2011 and 2012.</w:t>
            </w:r>
          </w:p>
          <w:p w:rsidR="00D67B5E" w:rsidRPr="003B1428" w:rsidRDefault="00D67B5E" w:rsidP="00D83827">
            <w:pPr>
              <w:pStyle w:val="ListBullet"/>
              <w:numPr>
                <w:ilvl w:val="0"/>
                <w:numId w:val="27"/>
              </w:numPr>
              <w:ind w:right="113"/>
              <w:rPr>
                <w:rFonts w:cs="Arial"/>
              </w:rPr>
            </w:pPr>
            <w:r w:rsidRPr="00B34D43">
              <w:rPr>
                <w:rFonts w:cs="Arial"/>
              </w:rPr>
              <w:t>Of those enrolments in industry-specific qualifications (</w:t>
            </w:r>
            <w:r w:rsidR="00881E2B">
              <w:rPr>
                <w:rFonts w:cs="Arial"/>
              </w:rPr>
              <w:t>111,200</w:t>
            </w:r>
            <w:r w:rsidRPr="00B34D43">
              <w:rPr>
                <w:rFonts w:cs="Arial"/>
              </w:rPr>
              <w:t xml:space="preserve"> enrolments) which exclude foundation skills and short courses in 2013, 38 per cent were in courses related to specialised or in shortage occupations.</w:t>
            </w:r>
            <w:r w:rsidRPr="003B1428">
              <w:rPr>
                <w:rFonts w:cs="Arial"/>
              </w:rPr>
              <w:t xml:space="preserve"> </w:t>
            </w:r>
          </w:p>
        </w:tc>
      </w:tr>
    </w:tbl>
    <w:p w:rsidR="00D67B5E" w:rsidRDefault="00D67B5E" w:rsidP="00D67B5E">
      <w:pPr>
        <w:jc w:val="left"/>
        <w:rPr>
          <w:rFonts w:cs="Arial"/>
          <w:b/>
          <w:bCs/>
          <w:color w:val="76923C"/>
          <w:szCs w:val="19"/>
        </w:rPr>
      </w:pPr>
    </w:p>
    <w:p w:rsidR="00D67B5E" w:rsidRPr="001F29E3" w:rsidRDefault="00D67B5E" w:rsidP="00D67B5E">
      <w:pPr>
        <w:jc w:val="left"/>
        <w:rPr>
          <w:rFonts w:cs="Arial"/>
          <w:b/>
          <w:bCs/>
          <w:color w:val="76923C"/>
          <w:szCs w:val="19"/>
        </w:rPr>
      </w:pPr>
    </w:p>
    <w:p w:rsidR="00D67B5E" w:rsidRPr="00206ACC" w:rsidRDefault="005654CD" w:rsidP="00D67B5E">
      <w:pPr>
        <w:pStyle w:val="Caption"/>
        <w:spacing w:after="0"/>
        <w:jc w:val="left"/>
        <w:rPr>
          <w:rFonts w:cs="Arial"/>
          <w:color w:val="365F91" w:themeColor="accent1" w:themeShade="BF"/>
        </w:rPr>
      </w:pPr>
      <w:r w:rsidRPr="00206ACC">
        <w:rPr>
          <w:rFonts w:cs="Arial"/>
          <w:color w:val="365F91" w:themeColor="accent1" w:themeShade="BF"/>
        </w:rPr>
        <w:t>Table 2</w:t>
      </w:r>
      <w:r w:rsidR="00D67B5E" w:rsidRPr="00206ACC">
        <w:rPr>
          <w:rFonts w:cs="Arial"/>
          <w:color w:val="365F91" w:themeColor="accent1" w:themeShade="BF"/>
        </w:rPr>
        <w:t>.5.1: Unemployed students: government subsidised enrolments by qu</w:t>
      </w:r>
      <w:r w:rsidR="00206ACC" w:rsidRPr="00206ACC">
        <w:rPr>
          <w:rFonts w:cs="Arial"/>
          <w:color w:val="365F91" w:themeColor="accent1" w:themeShade="BF"/>
        </w:rPr>
        <w:t>alification level, 2008 – 2013</w:t>
      </w:r>
    </w:p>
    <w:tbl>
      <w:tblPr>
        <w:tblW w:w="9185"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393"/>
        <w:gridCol w:w="1132"/>
        <w:gridCol w:w="1132"/>
        <w:gridCol w:w="1132"/>
        <w:gridCol w:w="1132"/>
        <w:gridCol w:w="1132"/>
        <w:gridCol w:w="1132"/>
      </w:tblGrid>
      <w:tr w:rsidR="00206ACC" w:rsidRPr="00206ACC" w:rsidTr="00833FCB">
        <w:trPr>
          <w:trHeight w:val="762"/>
        </w:trPr>
        <w:tc>
          <w:tcPr>
            <w:tcW w:w="2393" w:type="dxa"/>
            <w:shd w:val="clear" w:color="000000" w:fill="366092"/>
            <w:noWrap/>
            <w:vAlign w:val="center"/>
            <w:hideMark/>
          </w:tcPr>
          <w:p w:rsidR="00206ACC" w:rsidRPr="00206ACC" w:rsidRDefault="00206ACC" w:rsidP="00206ACC">
            <w:pPr>
              <w:spacing w:after="0" w:line="240" w:lineRule="auto"/>
              <w:jc w:val="left"/>
              <w:rPr>
                <w:rFonts w:cs="Arial"/>
                <w:b/>
                <w:bCs/>
                <w:color w:val="FFFFFF"/>
                <w:sz w:val="18"/>
                <w:szCs w:val="18"/>
                <w:lang w:eastAsia="en-AU"/>
              </w:rPr>
            </w:pPr>
            <w:r w:rsidRPr="00206ACC">
              <w:rPr>
                <w:rFonts w:cs="Arial"/>
                <w:b/>
                <w:bCs/>
                <w:color w:val="FFFFFF"/>
                <w:sz w:val="18"/>
                <w:szCs w:val="18"/>
                <w:lang w:eastAsia="en-AU"/>
              </w:rPr>
              <w:t>Qualification level</w:t>
            </w:r>
          </w:p>
        </w:tc>
        <w:tc>
          <w:tcPr>
            <w:tcW w:w="1132"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2008</w:t>
            </w:r>
          </w:p>
        </w:tc>
        <w:tc>
          <w:tcPr>
            <w:tcW w:w="1132"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2009</w:t>
            </w:r>
          </w:p>
        </w:tc>
        <w:tc>
          <w:tcPr>
            <w:tcW w:w="1132"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2010</w:t>
            </w:r>
          </w:p>
        </w:tc>
        <w:tc>
          <w:tcPr>
            <w:tcW w:w="1132"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2011</w:t>
            </w:r>
          </w:p>
        </w:tc>
        <w:tc>
          <w:tcPr>
            <w:tcW w:w="1132"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2012</w:t>
            </w:r>
          </w:p>
        </w:tc>
        <w:tc>
          <w:tcPr>
            <w:tcW w:w="1132" w:type="dxa"/>
            <w:shd w:val="clear" w:color="000000" w:fill="366092"/>
            <w:vAlign w:val="center"/>
            <w:hideMark/>
          </w:tcPr>
          <w:p w:rsidR="00206ACC" w:rsidRPr="00206ACC" w:rsidRDefault="00206ACC" w:rsidP="00206ACC">
            <w:pPr>
              <w:spacing w:after="0" w:line="240" w:lineRule="auto"/>
              <w:ind w:firstLineChars="100" w:firstLine="181"/>
              <w:jc w:val="right"/>
              <w:rPr>
                <w:rFonts w:cs="Arial"/>
                <w:b/>
                <w:bCs/>
                <w:color w:val="FFFFFF"/>
                <w:sz w:val="18"/>
                <w:szCs w:val="18"/>
                <w:lang w:eastAsia="en-AU"/>
              </w:rPr>
            </w:pPr>
            <w:r w:rsidRPr="00206ACC">
              <w:rPr>
                <w:rFonts w:cs="Arial"/>
                <w:b/>
                <w:bCs/>
                <w:color w:val="FFFFFF"/>
                <w:sz w:val="18"/>
                <w:szCs w:val="18"/>
                <w:lang w:eastAsia="en-AU"/>
              </w:rPr>
              <w:t>2013</w:t>
            </w:r>
          </w:p>
        </w:tc>
      </w:tr>
      <w:tr w:rsidR="00206ACC" w:rsidRPr="00206ACC" w:rsidTr="00833FCB">
        <w:trPr>
          <w:trHeight w:val="342"/>
        </w:trPr>
        <w:tc>
          <w:tcPr>
            <w:tcW w:w="2393"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Cert I-II</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18,800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21,600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25,700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37,000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54,100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66,800 </w:t>
            </w:r>
          </w:p>
        </w:tc>
      </w:tr>
      <w:tr w:rsidR="00206ACC" w:rsidRPr="00206ACC" w:rsidTr="00833FCB">
        <w:trPr>
          <w:trHeight w:val="342"/>
        </w:trPr>
        <w:tc>
          <w:tcPr>
            <w:tcW w:w="2393"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Cert III-IV</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17,400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21,200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30,200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54,500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77,200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87,000 </w:t>
            </w:r>
          </w:p>
        </w:tc>
      </w:tr>
      <w:tr w:rsidR="00206ACC" w:rsidRPr="00206ACC" w:rsidTr="00833FCB">
        <w:trPr>
          <w:trHeight w:val="342"/>
        </w:trPr>
        <w:tc>
          <w:tcPr>
            <w:tcW w:w="2393"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Diploma &amp; Above</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9,100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10,700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13,200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16,600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15,700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13,200 </w:t>
            </w:r>
          </w:p>
        </w:tc>
      </w:tr>
      <w:tr w:rsidR="00206ACC" w:rsidRPr="00206ACC" w:rsidTr="00833FCB">
        <w:trPr>
          <w:trHeight w:val="342"/>
        </w:trPr>
        <w:tc>
          <w:tcPr>
            <w:tcW w:w="2393"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Module Only</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13,000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11,700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10,600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8,300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7,900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8,800 </w:t>
            </w:r>
          </w:p>
        </w:tc>
      </w:tr>
      <w:tr w:rsidR="00206ACC" w:rsidRPr="00206ACC" w:rsidTr="00833FCB">
        <w:trPr>
          <w:trHeight w:val="342"/>
        </w:trPr>
        <w:tc>
          <w:tcPr>
            <w:tcW w:w="2393" w:type="dxa"/>
            <w:shd w:val="clear" w:color="000000" w:fill="FFFFFF"/>
            <w:noWrap/>
            <w:vAlign w:val="bottom"/>
            <w:hideMark/>
          </w:tcPr>
          <w:p w:rsidR="00206ACC" w:rsidRPr="00206ACC" w:rsidRDefault="00206ACC" w:rsidP="00206ACC">
            <w:pPr>
              <w:spacing w:after="0" w:line="240" w:lineRule="auto"/>
              <w:jc w:val="left"/>
              <w:rPr>
                <w:rFonts w:cs="Arial"/>
                <w:color w:val="366092"/>
                <w:sz w:val="18"/>
                <w:szCs w:val="18"/>
                <w:lang w:eastAsia="en-AU"/>
              </w:rPr>
            </w:pPr>
            <w:r w:rsidRPr="00206ACC">
              <w:rPr>
                <w:rFonts w:cs="Arial"/>
                <w:color w:val="366092"/>
                <w:sz w:val="18"/>
                <w:szCs w:val="18"/>
                <w:lang w:eastAsia="en-AU"/>
              </w:rPr>
              <w:t>Secondary, SoA and other</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5,300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6,000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6,300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6,500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8,000 </w:t>
            </w:r>
          </w:p>
        </w:tc>
        <w:tc>
          <w:tcPr>
            <w:tcW w:w="1132" w:type="dxa"/>
            <w:shd w:val="clear" w:color="auto" w:fill="auto"/>
            <w:noWrap/>
            <w:vAlign w:val="center"/>
            <w:hideMark/>
          </w:tcPr>
          <w:p w:rsidR="00206ACC" w:rsidRPr="00206ACC" w:rsidRDefault="00206ACC" w:rsidP="00206ACC">
            <w:pPr>
              <w:spacing w:after="0" w:line="240" w:lineRule="auto"/>
              <w:jc w:val="right"/>
              <w:rPr>
                <w:rFonts w:cs="Arial"/>
                <w:sz w:val="18"/>
                <w:szCs w:val="18"/>
                <w:lang w:eastAsia="en-AU"/>
              </w:rPr>
            </w:pPr>
            <w:r w:rsidRPr="00206ACC">
              <w:rPr>
                <w:rFonts w:cs="Arial"/>
                <w:sz w:val="18"/>
                <w:szCs w:val="18"/>
                <w:lang w:eastAsia="en-AU"/>
              </w:rPr>
              <w:t xml:space="preserve">6,900 </w:t>
            </w:r>
          </w:p>
        </w:tc>
      </w:tr>
      <w:tr w:rsidR="00206ACC" w:rsidRPr="00206ACC" w:rsidTr="00833FCB">
        <w:trPr>
          <w:trHeight w:val="342"/>
        </w:trPr>
        <w:tc>
          <w:tcPr>
            <w:tcW w:w="2393" w:type="dxa"/>
            <w:shd w:val="clear" w:color="000000" w:fill="366092"/>
            <w:noWrap/>
            <w:vAlign w:val="bottom"/>
            <w:hideMark/>
          </w:tcPr>
          <w:p w:rsidR="00206ACC" w:rsidRPr="00206ACC" w:rsidRDefault="00206ACC" w:rsidP="00206ACC">
            <w:pPr>
              <w:spacing w:after="0" w:line="240" w:lineRule="auto"/>
              <w:jc w:val="left"/>
              <w:rPr>
                <w:rFonts w:cs="Arial"/>
                <w:b/>
                <w:bCs/>
                <w:color w:val="FFFFFF"/>
                <w:sz w:val="18"/>
                <w:szCs w:val="18"/>
                <w:lang w:eastAsia="en-AU"/>
              </w:rPr>
            </w:pPr>
            <w:r w:rsidRPr="00206ACC">
              <w:rPr>
                <w:rFonts w:cs="Arial"/>
                <w:b/>
                <w:bCs/>
                <w:color w:val="FFFFFF"/>
                <w:sz w:val="18"/>
                <w:szCs w:val="18"/>
                <w:lang w:eastAsia="en-AU"/>
              </w:rPr>
              <w:t>Total</w:t>
            </w:r>
          </w:p>
        </w:tc>
        <w:tc>
          <w:tcPr>
            <w:tcW w:w="1132"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63,600 </w:t>
            </w:r>
          </w:p>
        </w:tc>
        <w:tc>
          <w:tcPr>
            <w:tcW w:w="1132"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71,200 </w:t>
            </w:r>
          </w:p>
        </w:tc>
        <w:tc>
          <w:tcPr>
            <w:tcW w:w="1132"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86,000 </w:t>
            </w:r>
          </w:p>
        </w:tc>
        <w:tc>
          <w:tcPr>
            <w:tcW w:w="1132"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123,000 </w:t>
            </w:r>
          </w:p>
        </w:tc>
        <w:tc>
          <w:tcPr>
            <w:tcW w:w="1132"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162,900 </w:t>
            </w:r>
          </w:p>
        </w:tc>
        <w:tc>
          <w:tcPr>
            <w:tcW w:w="1132" w:type="dxa"/>
            <w:shd w:val="clear" w:color="000000" w:fill="366092"/>
            <w:noWrap/>
            <w:vAlign w:val="center"/>
            <w:hideMark/>
          </w:tcPr>
          <w:p w:rsidR="00206ACC" w:rsidRPr="00206ACC" w:rsidRDefault="00206ACC" w:rsidP="00206ACC">
            <w:pPr>
              <w:spacing w:after="0" w:line="240" w:lineRule="auto"/>
              <w:jc w:val="right"/>
              <w:rPr>
                <w:rFonts w:cs="Arial"/>
                <w:b/>
                <w:bCs/>
                <w:color w:val="FFFFFF"/>
                <w:sz w:val="18"/>
                <w:szCs w:val="18"/>
                <w:lang w:eastAsia="en-AU"/>
              </w:rPr>
            </w:pPr>
            <w:r w:rsidRPr="00206ACC">
              <w:rPr>
                <w:rFonts w:cs="Arial"/>
                <w:b/>
                <w:bCs/>
                <w:color w:val="FFFFFF"/>
                <w:sz w:val="18"/>
                <w:szCs w:val="18"/>
                <w:lang w:eastAsia="en-AU"/>
              </w:rPr>
              <w:t xml:space="preserve">182,700 </w:t>
            </w:r>
          </w:p>
        </w:tc>
      </w:tr>
    </w:tbl>
    <w:p w:rsidR="00D67B5E" w:rsidRPr="007E7B89" w:rsidRDefault="00D67B5E" w:rsidP="00D67B5E">
      <w:pPr>
        <w:spacing w:after="0"/>
        <w:rPr>
          <w:sz w:val="16"/>
          <w:szCs w:val="16"/>
        </w:rPr>
      </w:pPr>
      <w:r w:rsidRPr="007E7B89">
        <w:rPr>
          <w:sz w:val="16"/>
          <w:szCs w:val="16"/>
        </w:rPr>
        <w:t>SoA: Statement of Attainment.</w:t>
      </w:r>
    </w:p>
    <w:p w:rsidR="00D67B5E" w:rsidRPr="001F29E3" w:rsidRDefault="00D67B5E" w:rsidP="00D67B5E">
      <w:pPr>
        <w:jc w:val="left"/>
        <w:rPr>
          <w:rFonts w:cs="Arial"/>
        </w:rPr>
      </w:pPr>
    </w:p>
    <w:p w:rsidR="00DE08C8" w:rsidRDefault="00DE08C8" w:rsidP="00DE08C8">
      <w:pPr>
        <w:pStyle w:val="Caption"/>
        <w:spacing w:after="0"/>
        <w:jc w:val="left"/>
        <w:rPr>
          <w:rFonts w:cs="Arial"/>
          <w:color w:val="365F91" w:themeColor="accent1" w:themeShade="BF"/>
        </w:rPr>
      </w:pPr>
      <w:r w:rsidRPr="007D0C14">
        <w:rPr>
          <w:rFonts w:cs="Arial"/>
          <w:color w:val="365F91" w:themeColor="accent1" w:themeShade="BF"/>
        </w:rPr>
        <w:t>Table 2.</w:t>
      </w:r>
      <w:r w:rsidR="0090257E">
        <w:rPr>
          <w:rFonts w:cs="Arial"/>
          <w:color w:val="365F91" w:themeColor="accent1" w:themeShade="BF"/>
        </w:rPr>
        <w:t>5</w:t>
      </w:r>
      <w:r w:rsidRPr="007D0C14">
        <w:rPr>
          <w:rFonts w:cs="Arial"/>
          <w:color w:val="365F91" w:themeColor="accent1" w:themeShade="BF"/>
        </w:rPr>
        <w:t xml:space="preserve">.2: Change in number of government subsidised enrolments undertaken by </w:t>
      </w:r>
      <w:r>
        <w:rPr>
          <w:rFonts w:cs="Arial"/>
          <w:color w:val="365F91" w:themeColor="accent1" w:themeShade="BF"/>
        </w:rPr>
        <w:t xml:space="preserve">unemployed </w:t>
      </w:r>
      <w:r w:rsidRPr="007D0C14">
        <w:rPr>
          <w:rFonts w:cs="Arial"/>
          <w:color w:val="365F91" w:themeColor="accent1" w:themeShade="BF"/>
        </w:rPr>
        <w:t>students by qualification level</w:t>
      </w:r>
    </w:p>
    <w:tbl>
      <w:tblPr>
        <w:tblW w:w="6160" w:type="dxa"/>
        <w:tblInd w:w="103" w:type="dxa"/>
        <w:tblLook w:val="04A0" w:firstRow="1" w:lastRow="0" w:firstColumn="1" w:lastColumn="0" w:noHBand="0" w:noVBand="1"/>
      </w:tblPr>
      <w:tblGrid>
        <w:gridCol w:w="2800"/>
        <w:gridCol w:w="1120"/>
        <w:gridCol w:w="1120"/>
        <w:gridCol w:w="1120"/>
      </w:tblGrid>
      <w:tr w:rsidR="00DE08C8" w:rsidRPr="00DE08C8" w:rsidTr="00DE08C8">
        <w:trPr>
          <w:trHeight w:val="762"/>
        </w:trPr>
        <w:tc>
          <w:tcPr>
            <w:tcW w:w="280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DE08C8" w:rsidRPr="00DE08C8" w:rsidRDefault="00DE08C8" w:rsidP="00DE08C8">
            <w:pPr>
              <w:spacing w:after="0" w:line="240" w:lineRule="auto"/>
              <w:jc w:val="left"/>
              <w:rPr>
                <w:rFonts w:cs="Arial"/>
                <w:b/>
                <w:bCs/>
                <w:color w:val="FFFFFF"/>
                <w:sz w:val="18"/>
                <w:szCs w:val="18"/>
                <w:lang w:eastAsia="en-AU"/>
              </w:rPr>
            </w:pPr>
            <w:r w:rsidRPr="00DE08C8">
              <w:rPr>
                <w:rFonts w:cs="Arial"/>
                <w:b/>
                <w:bCs/>
                <w:color w:val="FFFFFF"/>
                <w:sz w:val="18"/>
                <w:szCs w:val="18"/>
                <w:lang w:eastAsia="en-AU"/>
              </w:rPr>
              <w:t>Qualification level</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DE08C8" w:rsidRPr="00DE08C8" w:rsidRDefault="00DE08C8" w:rsidP="00DE08C8">
            <w:pPr>
              <w:spacing w:after="0" w:line="240" w:lineRule="auto"/>
              <w:jc w:val="right"/>
              <w:rPr>
                <w:rFonts w:cs="Arial"/>
                <w:b/>
                <w:bCs/>
                <w:color w:val="FFFFFF"/>
                <w:sz w:val="18"/>
                <w:szCs w:val="18"/>
                <w:lang w:eastAsia="en-AU"/>
              </w:rPr>
            </w:pPr>
            <w:r w:rsidRPr="00DE08C8">
              <w:rPr>
                <w:rFonts w:cs="Arial"/>
                <w:b/>
                <w:bCs/>
                <w:color w:val="FFFFFF"/>
                <w:sz w:val="18"/>
                <w:szCs w:val="18"/>
                <w:lang w:eastAsia="en-AU"/>
              </w:rPr>
              <w:t>% change</w:t>
            </w:r>
            <w:r w:rsidRPr="00DE08C8">
              <w:rPr>
                <w:rFonts w:cs="Arial"/>
                <w:b/>
                <w:bCs/>
                <w:color w:val="FFFFFF"/>
                <w:sz w:val="18"/>
                <w:szCs w:val="18"/>
                <w:lang w:eastAsia="en-AU"/>
              </w:rPr>
              <w:br/>
              <w:t>2008-2013</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DE08C8" w:rsidRPr="00DE08C8" w:rsidRDefault="00DE08C8" w:rsidP="00DE08C8">
            <w:pPr>
              <w:spacing w:after="0" w:line="240" w:lineRule="auto"/>
              <w:jc w:val="right"/>
              <w:rPr>
                <w:rFonts w:cs="Arial"/>
                <w:b/>
                <w:bCs/>
                <w:color w:val="FFFFFF"/>
                <w:sz w:val="18"/>
                <w:szCs w:val="18"/>
                <w:lang w:eastAsia="en-AU"/>
              </w:rPr>
            </w:pPr>
            <w:r w:rsidRPr="00DE08C8">
              <w:rPr>
                <w:rFonts w:cs="Arial"/>
                <w:b/>
                <w:bCs/>
                <w:color w:val="FFFFFF"/>
                <w:sz w:val="18"/>
                <w:szCs w:val="18"/>
                <w:lang w:eastAsia="en-AU"/>
              </w:rPr>
              <w:t>% change</w:t>
            </w:r>
            <w:r w:rsidRPr="00DE08C8">
              <w:rPr>
                <w:rFonts w:cs="Arial"/>
                <w:b/>
                <w:bCs/>
                <w:color w:val="FFFFFF"/>
                <w:sz w:val="18"/>
                <w:szCs w:val="18"/>
                <w:lang w:eastAsia="en-AU"/>
              </w:rPr>
              <w:br/>
              <w:t>2011-2013 </w:t>
            </w:r>
          </w:p>
        </w:tc>
        <w:tc>
          <w:tcPr>
            <w:tcW w:w="1120" w:type="dxa"/>
            <w:tcBorders>
              <w:top w:val="single" w:sz="4" w:space="0" w:color="366092"/>
              <w:left w:val="nil"/>
              <w:bottom w:val="single" w:sz="4" w:space="0" w:color="366092"/>
              <w:right w:val="single" w:sz="4" w:space="0" w:color="366092"/>
            </w:tcBorders>
            <w:shd w:val="clear" w:color="000000" w:fill="366092"/>
            <w:vAlign w:val="center"/>
            <w:hideMark/>
          </w:tcPr>
          <w:p w:rsidR="00DE08C8" w:rsidRPr="00DE08C8" w:rsidRDefault="00DE08C8" w:rsidP="00DE08C8">
            <w:pPr>
              <w:spacing w:after="0" w:line="240" w:lineRule="auto"/>
              <w:jc w:val="right"/>
              <w:rPr>
                <w:rFonts w:cs="Arial"/>
                <w:b/>
                <w:bCs/>
                <w:color w:val="FFFFFF"/>
                <w:sz w:val="18"/>
                <w:szCs w:val="18"/>
                <w:lang w:eastAsia="en-AU"/>
              </w:rPr>
            </w:pPr>
            <w:r w:rsidRPr="00DE08C8">
              <w:rPr>
                <w:rFonts w:cs="Arial"/>
                <w:b/>
                <w:bCs/>
                <w:color w:val="FFFFFF"/>
                <w:sz w:val="18"/>
                <w:szCs w:val="18"/>
                <w:lang w:eastAsia="en-AU"/>
              </w:rPr>
              <w:t>% change</w:t>
            </w:r>
            <w:r w:rsidRPr="00DE08C8">
              <w:rPr>
                <w:rFonts w:cs="Arial"/>
                <w:b/>
                <w:bCs/>
                <w:color w:val="FFFFFF"/>
                <w:sz w:val="18"/>
                <w:szCs w:val="18"/>
                <w:lang w:eastAsia="en-AU"/>
              </w:rPr>
              <w:br/>
              <w:t>2012-2013</w:t>
            </w:r>
          </w:p>
        </w:tc>
      </w:tr>
      <w:tr w:rsidR="00DE08C8" w:rsidRPr="00DE08C8" w:rsidTr="00DE08C8">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DE08C8" w:rsidRPr="00DE08C8" w:rsidRDefault="00DE08C8" w:rsidP="00DE08C8">
            <w:pPr>
              <w:spacing w:after="0" w:line="240" w:lineRule="auto"/>
              <w:jc w:val="left"/>
              <w:rPr>
                <w:rFonts w:cs="Arial"/>
                <w:color w:val="366092"/>
                <w:sz w:val="18"/>
                <w:szCs w:val="18"/>
                <w:lang w:eastAsia="en-AU"/>
              </w:rPr>
            </w:pPr>
            <w:r w:rsidRPr="00DE08C8">
              <w:rPr>
                <w:rFonts w:cs="Arial"/>
                <w:color w:val="366092"/>
                <w:sz w:val="18"/>
                <w:szCs w:val="18"/>
                <w:lang w:eastAsia="en-AU"/>
              </w:rPr>
              <w:t>Cert I-II</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255%</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80%</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23%</w:t>
            </w:r>
          </w:p>
        </w:tc>
      </w:tr>
      <w:tr w:rsidR="00DE08C8" w:rsidRPr="00DE08C8" w:rsidTr="00DE08C8">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DE08C8" w:rsidRPr="00DE08C8" w:rsidRDefault="00DE08C8" w:rsidP="00DE08C8">
            <w:pPr>
              <w:spacing w:after="0" w:line="240" w:lineRule="auto"/>
              <w:jc w:val="left"/>
              <w:rPr>
                <w:rFonts w:cs="Arial"/>
                <w:color w:val="366092"/>
                <w:sz w:val="18"/>
                <w:szCs w:val="18"/>
                <w:lang w:eastAsia="en-AU"/>
              </w:rPr>
            </w:pPr>
            <w:r w:rsidRPr="00DE08C8">
              <w:rPr>
                <w:rFonts w:cs="Arial"/>
                <w:color w:val="366092"/>
                <w:sz w:val="18"/>
                <w:szCs w:val="18"/>
                <w:lang w:eastAsia="en-AU"/>
              </w:rPr>
              <w:t>Cert III-IV</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401%</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60%</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13%</w:t>
            </w:r>
          </w:p>
        </w:tc>
      </w:tr>
      <w:tr w:rsidR="00DE08C8" w:rsidRPr="00DE08C8" w:rsidTr="00DE08C8">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DE08C8" w:rsidRPr="00DE08C8" w:rsidRDefault="00DE08C8" w:rsidP="00DE08C8">
            <w:pPr>
              <w:spacing w:after="0" w:line="240" w:lineRule="auto"/>
              <w:jc w:val="left"/>
              <w:rPr>
                <w:rFonts w:cs="Arial"/>
                <w:color w:val="366092"/>
                <w:sz w:val="18"/>
                <w:szCs w:val="18"/>
                <w:lang w:eastAsia="en-AU"/>
              </w:rPr>
            </w:pPr>
            <w:r w:rsidRPr="00DE08C8">
              <w:rPr>
                <w:rFonts w:cs="Arial"/>
                <w:color w:val="366092"/>
                <w:sz w:val="18"/>
                <w:szCs w:val="18"/>
                <w:lang w:eastAsia="en-AU"/>
              </w:rPr>
              <w:t>Diploma &amp; Above</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44%</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-21%</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-16%</w:t>
            </w:r>
          </w:p>
        </w:tc>
      </w:tr>
      <w:tr w:rsidR="00DE08C8" w:rsidRPr="00DE08C8" w:rsidTr="00DE08C8">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DE08C8" w:rsidRPr="00DE08C8" w:rsidRDefault="00DE08C8" w:rsidP="00DE08C8">
            <w:pPr>
              <w:spacing w:after="0" w:line="240" w:lineRule="auto"/>
              <w:jc w:val="left"/>
              <w:rPr>
                <w:rFonts w:cs="Arial"/>
                <w:color w:val="366092"/>
                <w:sz w:val="18"/>
                <w:szCs w:val="18"/>
                <w:lang w:eastAsia="en-AU"/>
              </w:rPr>
            </w:pPr>
            <w:r w:rsidRPr="00DE08C8">
              <w:rPr>
                <w:rFonts w:cs="Arial"/>
                <w:color w:val="366092"/>
                <w:sz w:val="18"/>
                <w:szCs w:val="18"/>
                <w:lang w:eastAsia="en-AU"/>
              </w:rPr>
              <w:t>Module Only</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-32%</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6%</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12%</w:t>
            </w:r>
          </w:p>
        </w:tc>
      </w:tr>
      <w:tr w:rsidR="00DE08C8" w:rsidRPr="00DE08C8" w:rsidTr="00DE08C8">
        <w:trPr>
          <w:trHeight w:val="342"/>
        </w:trPr>
        <w:tc>
          <w:tcPr>
            <w:tcW w:w="2800" w:type="dxa"/>
            <w:tcBorders>
              <w:top w:val="nil"/>
              <w:left w:val="single" w:sz="4" w:space="0" w:color="366092"/>
              <w:bottom w:val="single" w:sz="4" w:space="0" w:color="366092"/>
              <w:right w:val="single" w:sz="4" w:space="0" w:color="366092"/>
            </w:tcBorders>
            <w:shd w:val="clear" w:color="000000" w:fill="FFFFFF"/>
            <w:noWrap/>
            <w:vAlign w:val="bottom"/>
            <w:hideMark/>
          </w:tcPr>
          <w:p w:rsidR="00DE08C8" w:rsidRPr="00DE08C8" w:rsidRDefault="00DE08C8" w:rsidP="00DE08C8">
            <w:pPr>
              <w:spacing w:after="0" w:line="240" w:lineRule="auto"/>
              <w:jc w:val="left"/>
              <w:rPr>
                <w:rFonts w:cs="Arial"/>
                <w:color w:val="366092"/>
                <w:sz w:val="18"/>
                <w:szCs w:val="18"/>
                <w:lang w:eastAsia="en-AU"/>
              </w:rPr>
            </w:pPr>
            <w:r w:rsidRPr="00DE08C8">
              <w:rPr>
                <w:rFonts w:cs="Arial"/>
                <w:color w:val="366092"/>
                <w:sz w:val="18"/>
                <w:szCs w:val="18"/>
                <w:lang w:eastAsia="en-AU"/>
              </w:rPr>
              <w:t>Secondary, SoA and other</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31%</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7%</w:t>
            </w:r>
          </w:p>
        </w:tc>
        <w:tc>
          <w:tcPr>
            <w:tcW w:w="1120" w:type="dxa"/>
            <w:tcBorders>
              <w:top w:val="nil"/>
              <w:left w:val="nil"/>
              <w:bottom w:val="single" w:sz="4" w:space="0" w:color="366092"/>
              <w:right w:val="single" w:sz="4" w:space="0" w:color="366092"/>
            </w:tcBorders>
            <w:shd w:val="clear" w:color="auto" w:fill="auto"/>
            <w:noWrap/>
            <w:vAlign w:val="center"/>
            <w:hideMark/>
          </w:tcPr>
          <w:p w:rsidR="00DE08C8" w:rsidRPr="00DE08C8" w:rsidRDefault="00DE08C8" w:rsidP="00DE08C8">
            <w:pPr>
              <w:spacing w:after="0" w:line="240" w:lineRule="auto"/>
              <w:jc w:val="right"/>
              <w:rPr>
                <w:rFonts w:cs="Arial"/>
                <w:sz w:val="18"/>
                <w:szCs w:val="18"/>
                <w:lang w:eastAsia="en-AU"/>
              </w:rPr>
            </w:pPr>
            <w:r w:rsidRPr="00DE08C8">
              <w:rPr>
                <w:rFonts w:cs="Arial"/>
                <w:sz w:val="18"/>
                <w:szCs w:val="18"/>
                <w:lang w:eastAsia="en-AU"/>
              </w:rPr>
              <w:t>-14%</w:t>
            </w:r>
          </w:p>
        </w:tc>
      </w:tr>
      <w:tr w:rsidR="00DE08C8" w:rsidRPr="00DE08C8" w:rsidTr="00DE08C8">
        <w:trPr>
          <w:trHeight w:val="342"/>
        </w:trPr>
        <w:tc>
          <w:tcPr>
            <w:tcW w:w="2800" w:type="dxa"/>
            <w:tcBorders>
              <w:top w:val="nil"/>
              <w:left w:val="single" w:sz="4" w:space="0" w:color="366092"/>
              <w:bottom w:val="single" w:sz="4" w:space="0" w:color="366092"/>
              <w:right w:val="single" w:sz="4" w:space="0" w:color="366092"/>
            </w:tcBorders>
            <w:shd w:val="clear" w:color="000000" w:fill="366092"/>
            <w:noWrap/>
            <w:vAlign w:val="bottom"/>
            <w:hideMark/>
          </w:tcPr>
          <w:p w:rsidR="00DE08C8" w:rsidRPr="00DE08C8" w:rsidRDefault="00DE08C8" w:rsidP="00DE08C8">
            <w:pPr>
              <w:spacing w:after="0" w:line="240" w:lineRule="auto"/>
              <w:jc w:val="left"/>
              <w:rPr>
                <w:rFonts w:cs="Arial"/>
                <w:b/>
                <w:bCs/>
                <w:color w:val="FFFFFF"/>
                <w:sz w:val="18"/>
                <w:szCs w:val="18"/>
                <w:lang w:eastAsia="en-AU"/>
              </w:rPr>
            </w:pPr>
            <w:r w:rsidRPr="00DE08C8">
              <w:rPr>
                <w:rFonts w:cs="Arial"/>
                <w:b/>
                <w:bCs/>
                <w:color w:val="FFFFFF"/>
                <w:sz w:val="18"/>
                <w:szCs w:val="18"/>
                <w:lang w:eastAsia="en-AU"/>
              </w:rPr>
              <w:t>Total</w:t>
            </w:r>
          </w:p>
        </w:tc>
        <w:tc>
          <w:tcPr>
            <w:tcW w:w="1120" w:type="dxa"/>
            <w:tcBorders>
              <w:top w:val="nil"/>
              <w:left w:val="nil"/>
              <w:bottom w:val="single" w:sz="4" w:space="0" w:color="366092"/>
              <w:right w:val="single" w:sz="4" w:space="0" w:color="366092"/>
            </w:tcBorders>
            <w:shd w:val="clear" w:color="000000" w:fill="366092"/>
            <w:noWrap/>
            <w:vAlign w:val="center"/>
            <w:hideMark/>
          </w:tcPr>
          <w:p w:rsidR="00DE08C8" w:rsidRPr="00DE08C8" w:rsidRDefault="00DE08C8" w:rsidP="00DE08C8">
            <w:pPr>
              <w:spacing w:after="0" w:line="240" w:lineRule="auto"/>
              <w:jc w:val="right"/>
              <w:rPr>
                <w:rFonts w:cs="Arial"/>
                <w:b/>
                <w:bCs/>
                <w:color w:val="FFFFFF"/>
                <w:sz w:val="18"/>
                <w:szCs w:val="18"/>
                <w:lang w:eastAsia="en-AU"/>
              </w:rPr>
            </w:pPr>
            <w:r w:rsidRPr="00DE08C8">
              <w:rPr>
                <w:rFonts w:cs="Arial"/>
                <w:b/>
                <w:bCs/>
                <w:color w:val="FFFFFF"/>
                <w:sz w:val="18"/>
                <w:szCs w:val="18"/>
                <w:lang w:eastAsia="en-AU"/>
              </w:rPr>
              <w:t>187%</w:t>
            </w:r>
          </w:p>
        </w:tc>
        <w:tc>
          <w:tcPr>
            <w:tcW w:w="1120" w:type="dxa"/>
            <w:tcBorders>
              <w:top w:val="nil"/>
              <w:left w:val="nil"/>
              <w:bottom w:val="single" w:sz="4" w:space="0" w:color="366092"/>
              <w:right w:val="single" w:sz="4" w:space="0" w:color="366092"/>
            </w:tcBorders>
            <w:shd w:val="clear" w:color="000000" w:fill="366092"/>
            <w:noWrap/>
            <w:vAlign w:val="center"/>
            <w:hideMark/>
          </w:tcPr>
          <w:p w:rsidR="00DE08C8" w:rsidRPr="00DE08C8" w:rsidRDefault="00DE08C8" w:rsidP="00DE08C8">
            <w:pPr>
              <w:spacing w:after="0" w:line="240" w:lineRule="auto"/>
              <w:jc w:val="right"/>
              <w:rPr>
                <w:rFonts w:cs="Arial"/>
                <w:b/>
                <w:bCs/>
                <w:color w:val="FFFFFF"/>
                <w:sz w:val="18"/>
                <w:szCs w:val="18"/>
                <w:lang w:eastAsia="en-AU"/>
              </w:rPr>
            </w:pPr>
            <w:r w:rsidRPr="00DE08C8">
              <w:rPr>
                <w:rFonts w:cs="Arial"/>
                <w:b/>
                <w:bCs/>
                <w:color w:val="FFFFFF"/>
                <w:sz w:val="18"/>
                <w:szCs w:val="18"/>
                <w:lang w:eastAsia="en-AU"/>
              </w:rPr>
              <w:t>49%</w:t>
            </w:r>
          </w:p>
        </w:tc>
        <w:tc>
          <w:tcPr>
            <w:tcW w:w="1120" w:type="dxa"/>
            <w:tcBorders>
              <w:top w:val="nil"/>
              <w:left w:val="nil"/>
              <w:bottom w:val="single" w:sz="4" w:space="0" w:color="366092"/>
              <w:right w:val="single" w:sz="4" w:space="0" w:color="366092"/>
            </w:tcBorders>
            <w:shd w:val="clear" w:color="000000" w:fill="366092"/>
            <w:noWrap/>
            <w:vAlign w:val="center"/>
            <w:hideMark/>
          </w:tcPr>
          <w:p w:rsidR="00DE08C8" w:rsidRPr="00DE08C8" w:rsidRDefault="00DE08C8" w:rsidP="00DE08C8">
            <w:pPr>
              <w:spacing w:after="0" w:line="240" w:lineRule="auto"/>
              <w:jc w:val="right"/>
              <w:rPr>
                <w:rFonts w:cs="Arial"/>
                <w:b/>
                <w:bCs/>
                <w:color w:val="FFFFFF"/>
                <w:sz w:val="18"/>
                <w:szCs w:val="18"/>
                <w:lang w:eastAsia="en-AU"/>
              </w:rPr>
            </w:pPr>
            <w:r w:rsidRPr="00DE08C8">
              <w:rPr>
                <w:rFonts w:cs="Arial"/>
                <w:b/>
                <w:bCs/>
                <w:color w:val="FFFFFF"/>
                <w:sz w:val="18"/>
                <w:szCs w:val="18"/>
                <w:lang w:eastAsia="en-AU"/>
              </w:rPr>
              <w:t>12%</w:t>
            </w:r>
          </w:p>
        </w:tc>
      </w:tr>
    </w:tbl>
    <w:p w:rsidR="00D67B5E" w:rsidRPr="007E7B89" w:rsidRDefault="00D67B5E" w:rsidP="00D67B5E">
      <w:pPr>
        <w:spacing w:after="0"/>
        <w:rPr>
          <w:sz w:val="16"/>
          <w:szCs w:val="16"/>
        </w:rPr>
      </w:pPr>
      <w:r w:rsidRPr="007E7B89">
        <w:rPr>
          <w:sz w:val="16"/>
          <w:szCs w:val="16"/>
        </w:rPr>
        <w:t>SoA: Statement of Attainment.</w:t>
      </w:r>
    </w:p>
    <w:p w:rsidR="00D67B5E" w:rsidRDefault="00D67B5E" w:rsidP="00D67B5E">
      <w:pPr>
        <w:spacing w:after="0" w:line="240" w:lineRule="auto"/>
        <w:jc w:val="left"/>
        <w:rPr>
          <w:rFonts w:cs="Arial"/>
        </w:rPr>
      </w:pPr>
      <w:r>
        <w:rPr>
          <w:rFonts w:cs="Arial"/>
        </w:rPr>
        <w:br w:type="page"/>
      </w:r>
    </w:p>
    <w:p w:rsidR="00D67B5E" w:rsidRPr="001F29E3" w:rsidRDefault="003237F9" w:rsidP="00807C85">
      <w:pPr>
        <w:pStyle w:val="Heading2"/>
        <w:jc w:val="left"/>
      </w:pPr>
      <w:bookmarkStart w:id="89" w:name="_Toc388340456"/>
      <w:r>
        <w:t>Young People (Aged 15 to 19) w</w:t>
      </w:r>
      <w:r w:rsidR="00D67B5E" w:rsidRPr="00DC19F2">
        <w:t>ithout Year 12 or Equivalent and</w:t>
      </w:r>
      <w:r w:rsidR="00D67B5E" w:rsidRPr="00DC19F2">
        <w:br/>
        <w:t>Not at School</w:t>
      </w:r>
      <w:bookmarkEnd w:id="89"/>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D67B5E" w:rsidRPr="001F29E3" w:rsidTr="0064593A">
        <w:trPr>
          <w:trHeight w:val="1449"/>
        </w:trPr>
        <w:tc>
          <w:tcPr>
            <w:tcW w:w="9088" w:type="dxa"/>
          </w:tcPr>
          <w:p w:rsidR="00D67B5E" w:rsidRPr="00BB7E11" w:rsidRDefault="00D67B5E" w:rsidP="0051046D">
            <w:pPr>
              <w:pStyle w:val="Heading3"/>
            </w:pPr>
            <w:r w:rsidRPr="007F6BFA">
              <w:t>Key Points</w:t>
            </w:r>
          </w:p>
          <w:p w:rsidR="00D67B5E" w:rsidRPr="00A326AF" w:rsidRDefault="00D67B5E" w:rsidP="0051046D"/>
          <w:p w:rsidR="00D67B5E" w:rsidRPr="0043328F" w:rsidRDefault="00D67B5E" w:rsidP="00D83827">
            <w:pPr>
              <w:pStyle w:val="ListBullet"/>
              <w:numPr>
                <w:ilvl w:val="0"/>
                <w:numId w:val="29"/>
              </w:numPr>
              <w:ind w:right="113"/>
              <w:rPr>
                <w:rFonts w:cs="Arial"/>
              </w:rPr>
            </w:pPr>
            <w:r w:rsidRPr="0043328F">
              <w:rPr>
                <w:rFonts w:cs="Arial"/>
              </w:rPr>
              <w:t xml:space="preserve">The total number of government subsidised enrolments </w:t>
            </w:r>
            <w:r w:rsidR="0029026D" w:rsidRPr="0043328F">
              <w:rPr>
                <w:rFonts w:cs="Arial"/>
              </w:rPr>
              <w:t xml:space="preserve">of young people without a Year 12 or equivalent and not in school </w:t>
            </w:r>
            <w:r w:rsidRPr="0043328F">
              <w:rPr>
                <w:rFonts w:cs="Arial"/>
              </w:rPr>
              <w:t xml:space="preserve">at </w:t>
            </w:r>
            <w:r w:rsidR="00A516C2" w:rsidRPr="0043328F">
              <w:rPr>
                <w:rFonts w:cs="Arial"/>
              </w:rPr>
              <w:t>C</w:t>
            </w:r>
            <w:r w:rsidRPr="0043328F">
              <w:rPr>
                <w:rFonts w:cs="Arial"/>
              </w:rPr>
              <w:t xml:space="preserve">ertificate II and above was </w:t>
            </w:r>
            <w:r w:rsidR="0064593A">
              <w:rPr>
                <w:rFonts w:cs="Arial"/>
              </w:rPr>
              <w:t>29,300</w:t>
            </w:r>
            <w:r w:rsidRPr="0043328F">
              <w:rPr>
                <w:rFonts w:cs="Arial"/>
              </w:rPr>
              <w:t xml:space="preserve"> </w:t>
            </w:r>
            <w:r w:rsidR="003237F9">
              <w:rPr>
                <w:rFonts w:cs="Arial"/>
              </w:rPr>
              <w:t xml:space="preserve">in </w:t>
            </w:r>
            <w:r w:rsidRPr="0043328F">
              <w:rPr>
                <w:rFonts w:cs="Arial"/>
              </w:rPr>
              <w:t xml:space="preserve">2013. This </w:t>
            </w:r>
            <w:r w:rsidR="003712A9" w:rsidRPr="0043328F">
              <w:rPr>
                <w:rFonts w:cs="Arial"/>
              </w:rPr>
              <w:t>figure</w:t>
            </w:r>
            <w:r w:rsidRPr="0043328F">
              <w:rPr>
                <w:rFonts w:cs="Arial"/>
              </w:rPr>
              <w:t xml:space="preserve"> is lower than the corresponding figures in </w:t>
            </w:r>
            <w:r w:rsidR="00DB2A6E">
              <w:rPr>
                <w:rFonts w:cs="Arial"/>
              </w:rPr>
              <w:t xml:space="preserve">2010, </w:t>
            </w:r>
            <w:r w:rsidRPr="0043328F">
              <w:rPr>
                <w:rFonts w:cs="Arial"/>
              </w:rPr>
              <w:t>2011 and 2012.</w:t>
            </w:r>
          </w:p>
          <w:p w:rsidR="00D67B5E" w:rsidRPr="007F6BFA" w:rsidRDefault="00D67B5E" w:rsidP="00D83827">
            <w:pPr>
              <w:pStyle w:val="ListBullet"/>
              <w:numPr>
                <w:ilvl w:val="0"/>
                <w:numId w:val="29"/>
              </w:numPr>
              <w:ind w:right="113"/>
              <w:rPr>
                <w:rFonts w:cs="Arial"/>
              </w:rPr>
            </w:pPr>
            <w:r w:rsidRPr="0043328F">
              <w:rPr>
                <w:rFonts w:cs="Arial"/>
              </w:rPr>
              <w:t>Of those enrolments in industry-specific qualifications (</w:t>
            </w:r>
            <w:r w:rsidR="0064593A">
              <w:rPr>
                <w:rFonts w:cs="Arial"/>
              </w:rPr>
              <w:t>24,700</w:t>
            </w:r>
            <w:r w:rsidRPr="0043328F">
              <w:rPr>
                <w:rFonts w:cs="Arial"/>
              </w:rPr>
              <w:t xml:space="preserve"> enrolments) which exclude foundation skills courses in 2013, 4</w:t>
            </w:r>
            <w:r w:rsidR="0064593A">
              <w:rPr>
                <w:rFonts w:cs="Arial"/>
              </w:rPr>
              <w:t>0</w:t>
            </w:r>
            <w:r w:rsidRPr="0043328F">
              <w:rPr>
                <w:rFonts w:cs="Arial"/>
              </w:rPr>
              <w:t xml:space="preserve"> per cent were in courses related to specialised or in shortage occupations.</w:t>
            </w:r>
            <w:r w:rsidRPr="007F6BFA">
              <w:rPr>
                <w:rFonts w:cs="Arial"/>
              </w:rPr>
              <w:t xml:space="preserve"> </w:t>
            </w:r>
          </w:p>
        </w:tc>
      </w:tr>
    </w:tbl>
    <w:p w:rsidR="00D67B5E" w:rsidRDefault="00D67B5E" w:rsidP="00D67B5E">
      <w:pPr>
        <w:rPr>
          <w:rFonts w:cs="Arial"/>
        </w:rPr>
      </w:pPr>
    </w:p>
    <w:p w:rsidR="00D67B5E" w:rsidRPr="001F29E3" w:rsidRDefault="00D67B5E" w:rsidP="00D67B5E">
      <w:pPr>
        <w:rPr>
          <w:rFonts w:cs="Arial"/>
        </w:rPr>
      </w:pPr>
    </w:p>
    <w:p w:rsidR="00D67B5E" w:rsidRPr="008471A8" w:rsidRDefault="005654CD" w:rsidP="00D67B5E">
      <w:pPr>
        <w:pStyle w:val="Caption"/>
        <w:spacing w:after="0"/>
        <w:jc w:val="left"/>
        <w:rPr>
          <w:rFonts w:cs="Arial"/>
          <w:color w:val="365F91" w:themeColor="accent1" w:themeShade="BF"/>
        </w:rPr>
      </w:pPr>
      <w:r w:rsidRPr="008471A8">
        <w:rPr>
          <w:rFonts w:cs="Arial"/>
          <w:color w:val="365F91" w:themeColor="accent1" w:themeShade="BF"/>
        </w:rPr>
        <w:t>Table 2</w:t>
      </w:r>
      <w:r w:rsidR="00D67B5E" w:rsidRPr="008471A8">
        <w:rPr>
          <w:rFonts w:cs="Arial"/>
          <w:color w:val="365F91" w:themeColor="accent1" w:themeShade="BF"/>
        </w:rPr>
        <w:t>.6.1: Youth transition: government subsidised enrolments Cert II and above by students aged 15 to 19 who did not complete Year 12 or equivalen</w:t>
      </w:r>
      <w:r w:rsidR="008471A8" w:rsidRPr="008471A8">
        <w:rPr>
          <w:rFonts w:cs="Arial"/>
          <w:color w:val="365F91" w:themeColor="accent1" w:themeShade="BF"/>
        </w:rPr>
        <w:t>t and not at school, 2008 – 2013</w:t>
      </w:r>
    </w:p>
    <w:tbl>
      <w:tblPr>
        <w:tblW w:w="9214" w:type="dxa"/>
        <w:tblInd w:w="109" w:type="dxa"/>
        <w:tblLayout w:type="fixed"/>
        <w:tblLook w:val="04A0" w:firstRow="1" w:lastRow="0" w:firstColumn="1" w:lastColumn="0" w:noHBand="0" w:noVBand="1"/>
      </w:tblPr>
      <w:tblGrid>
        <w:gridCol w:w="2410"/>
        <w:gridCol w:w="1134"/>
        <w:gridCol w:w="1134"/>
        <w:gridCol w:w="1134"/>
        <w:gridCol w:w="1134"/>
        <w:gridCol w:w="1134"/>
        <w:gridCol w:w="1134"/>
      </w:tblGrid>
      <w:tr w:rsidR="008471A8" w:rsidRPr="008471A8" w:rsidTr="002D7A04">
        <w:trPr>
          <w:trHeight w:val="762"/>
        </w:trPr>
        <w:tc>
          <w:tcPr>
            <w:tcW w:w="2410" w:type="dxa"/>
            <w:tcBorders>
              <w:top w:val="single" w:sz="4" w:space="0" w:color="366092"/>
              <w:left w:val="single" w:sz="4" w:space="0" w:color="366092"/>
              <w:bottom w:val="nil"/>
              <w:right w:val="nil"/>
            </w:tcBorders>
            <w:shd w:val="clear" w:color="000000" w:fill="366092"/>
            <w:noWrap/>
            <w:vAlign w:val="center"/>
            <w:hideMark/>
          </w:tcPr>
          <w:p w:rsidR="008471A8" w:rsidRPr="008471A8" w:rsidRDefault="008471A8" w:rsidP="008471A8">
            <w:pPr>
              <w:spacing w:after="0" w:line="240" w:lineRule="auto"/>
              <w:ind w:firstLineChars="100" w:firstLine="181"/>
              <w:jc w:val="left"/>
              <w:rPr>
                <w:rFonts w:cs="Arial"/>
                <w:b/>
                <w:bCs/>
                <w:color w:val="FFFFFF"/>
                <w:sz w:val="18"/>
                <w:szCs w:val="18"/>
                <w:lang w:eastAsia="en-AU"/>
              </w:rPr>
            </w:pPr>
            <w:r w:rsidRPr="008471A8">
              <w:rPr>
                <w:rFonts w:cs="Arial"/>
                <w:b/>
                <w:bCs/>
                <w:color w:val="FFFFFF"/>
                <w:sz w:val="18"/>
                <w:szCs w:val="18"/>
                <w:lang w:eastAsia="en-AU"/>
              </w:rPr>
              <w:t> </w:t>
            </w:r>
          </w:p>
        </w:tc>
        <w:tc>
          <w:tcPr>
            <w:tcW w:w="1134" w:type="dxa"/>
            <w:tcBorders>
              <w:top w:val="single" w:sz="4" w:space="0" w:color="366092"/>
              <w:left w:val="single" w:sz="4" w:space="0" w:color="366092"/>
              <w:bottom w:val="nil"/>
              <w:right w:val="nil"/>
            </w:tcBorders>
            <w:shd w:val="clear" w:color="000000" w:fill="366092"/>
            <w:vAlign w:val="center"/>
            <w:hideMark/>
          </w:tcPr>
          <w:p w:rsidR="008471A8" w:rsidRPr="008471A8" w:rsidRDefault="008471A8" w:rsidP="008471A8">
            <w:pPr>
              <w:spacing w:after="0" w:line="240" w:lineRule="auto"/>
              <w:ind w:firstLineChars="100" w:firstLine="181"/>
              <w:jc w:val="right"/>
              <w:rPr>
                <w:rFonts w:cs="Arial"/>
                <w:b/>
                <w:bCs/>
                <w:color w:val="FFFFFF"/>
                <w:sz w:val="18"/>
                <w:szCs w:val="18"/>
                <w:lang w:eastAsia="en-AU"/>
              </w:rPr>
            </w:pPr>
            <w:r w:rsidRPr="008471A8">
              <w:rPr>
                <w:rFonts w:cs="Arial"/>
                <w:b/>
                <w:bCs/>
                <w:color w:val="FFFFFF"/>
                <w:sz w:val="18"/>
                <w:szCs w:val="18"/>
                <w:lang w:eastAsia="en-AU"/>
              </w:rPr>
              <w:t>2008</w:t>
            </w:r>
          </w:p>
        </w:tc>
        <w:tc>
          <w:tcPr>
            <w:tcW w:w="1134" w:type="dxa"/>
            <w:tcBorders>
              <w:top w:val="single" w:sz="4" w:space="0" w:color="366092"/>
              <w:left w:val="single" w:sz="4" w:space="0" w:color="366092"/>
              <w:bottom w:val="nil"/>
              <w:right w:val="nil"/>
            </w:tcBorders>
            <w:shd w:val="clear" w:color="000000" w:fill="366092"/>
            <w:vAlign w:val="center"/>
            <w:hideMark/>
          </w:tcPr>
          <w:p w:rsidR="008471A8" w:rsidRPr="008471A8" w:rsidRDefault="008471A8" w:rsidP="008471A8">
            <w:pPr>
              <w:spacing w:after="0" w:line="240" w:lineRule="auto"/>
              <w:ind w:firstLineChars="100" w:firstLine="181"/>
              <w:jc w:val="right"/>
              <w:rPr>
                <w:rFonts w:cs="Arial"/>
                <w:b/>
                <w:bCs/>
                <w:color w:val="FFFFFF"/>
                <w:sz w:val="18"/>
                <w:szCs w:val="18"/>
                <w:lang w:eastAsia="en-AU"/>
              </w:rPr>
            </w:pPr>
            <w:r w:rsidRPr="008471A8">
              <w:rPr>
                <w:rFonts w:cs="Arial"/>
                <w:b/>
                <w:bCs/>
                <w:color w:val="FFFFFF"/>
                <w:sz w:val="18"/>
                <w:szCs w:val="18"/>
                <w:lang w:eastAsia="en-AU"/>
              </w:rPr>
              <w:t>2009</w:t>
            </w:r>
          </w:p>
        </w:tc>
        <w:tc>
          <w:tcPr>
            <w:tcW w:w="1134" w:type="dxa"/>
            <w:tcBorders>
              <w:top w:val="single" w:sz="4" w:space="0" w:color="366092"/>
              <w:left w:val="single" w:sz="4" w:space="0" w:color="366092"/>
              <w:bottom w:val="nil"/>
              <w:right w:val="nil"/>
            </w:tcBorders>
            <w:shd w:val="clear" w:color="000000" w:fill="366092"/>
            <w:vAlign w:val="center"/>
            <w:hideMark/>
          </w:tcPr>
          <w:p w:rsidR="008471A8" w:rsidRPr="008471A8" w:rsidRDefault="008471A8" w:rsidP="008471A8">
            <w:pPr>
              <w:spacing w:after="0" w:line="240" w:lineRule="auto"/>
              <w:ind w:firstLineChars="100" w:firstLine="181"/>
              <w:jc w:val="right"/>
              <w:rPr>
                <w:rFonts w:cs="Arial"/>
                <w:b/>
                <w:bCs/>
                <w:color w:val="FFFFFF"/>
                <w:sz w:val="18"/>
                <w:szCs w:val="18"/>
                <w:lang w:eastAsia="en-AU"/>
              </w:rPr>
            </w:pPr>
            <w:r w:rsidRPr="008471A8">
              <w:rPr>
                <w:rFonts w:cs="Arial"/>
                <w:b/>
                <w:bCs/>
                <w:color w:val="FFFFFF"/>
                <w:sz w:val="18"/>
                <w:szCs w:val="18"/>
                <w:lang w:eastAsia="en-AU"/>
              </w:rPr>
              <w:t>2010</w:t>
            </w:r>
          </w:p>
        </w:tc>
        <w:tc>
          <w:tcPr>
            <w:tcW w:w="1134" w:type="dxa"/>
            <w:tcBorders>
              <w:top w:val="single" w:sz="4" w:space="0" w:color="366092"/>
              <w:left w:val="single" w:sz="4" w:space="0" w:color="366092"/>
              <w:bottom w:val="nil"/>
              <w:right w:val="nil"/>
            </w:tcBorders>
            <w:shd w:val="clear" w:color="000000" w:fill="366092"/>
            <w:vAlign w:val="center"/>
            <w:hideMark/>
          </w:tcPr>
          <w:p w:rsidR="008471A8" w:rsidRPr="008471A8" w:rsidRDefault="008471A8" w:rsidP="008471A8">
            <w:pPr>
              <w:spacing w:after="0" w:line="240" w:lineRule="auto"/>
              <w:ind w:firstLineChars="100" w:firstLine="181"/>
              <w:jc w:val="right"/>
              <w:rPr>
                <w:rFonts w:cs="Arial"/>
                <w:b/>
                <w:bCs/>
                <w:color w:val="FFFFFF"/>
                <w:sz w:val="18"/>
                <w:szCs w:val="18"/>
                <w:lang w:eastAsia="en-AU"/>
              </w:rPr>
            </w:pPr>
            <w:r w:rsidRPr="008471A8">
              <w:rPr>
                <w:rFonts w:cs="Arial"/>
                <w:b/>
                <w:bCs/>
                <w:color w:val="FFFFFF"/>
                <w:sz w:val="18"/>
                <w:szCs w:val="18"/>
                <w:lang w:eastAsia="en-AU"/>
              </w:rPr>
              <w:t>2011</w:t>
            </w:r>
          </w:p>
        </w:tc>
        <w:tc>
          <w:tcPr>
            <w:tcW w:w="1134" w:type="dxa"/>
            <w:tcBorders>
              <w:top w:val="single" w:sz="4" w:space="0" w:color="366092"/>
              <w:left w:val="single" w:sz="4" w:space="0" w:color="366092"/>
              <w:bottom w:val="nil"/>
              <w:right w:val="nil"/>
            </w:tcBorders>
            <w:shd w:val="clear" w:color="000000" w:fill="366092"/>
            <w:vAlign w:val="center"/>
            <w:hideMark/>
          </w:tcPr>
          <w:p w:rsidR="008471A8" w:rsidRPr="008471A8" w:rsidRDefault="008471A8" w:rsidP="008471A8">
            <w:pPr>
              <w:spacing w:after="0" w:line="240" w:lineRule="auto"/>
              <w:ind w:firstLineChars="100" w:firstLine="181"/>
              <w:jc w:val="right"/>
              <w:rPr>
                <w:rFonts w:cs="Arial"/>
                <w:b/>
                <w:bCs/>
                <w:color w:val="FFFFFF"/>
                <w:sz w:val="18"/>
                <w:szCs w:val="18"/>
                <w:lang w:eastAsia="en-AU"/>
              </w:rPr>
            </w:pPr>
            <w:r w:rsidRPr="008471A8">
              <w:rPr>
                <w:rFonts w:cs="Arial"/>
                <w:b/>
                <w:bCs/>
                <w:color w:val="FFFFFF"/>
                <w:sz w:val="18"/>
                <w:szCs w:val="18"/>
                <w:lang w:eastAsia="en-AU"/>
              </w:rPr>
              <w:t>2012</w:t>
            </w:r>
          </w:p>
        </w:tc>
        <w:tc>
          <w:tcPr>
            <w:tcW w:w="1134" w:type="dxa"/>
            <w:tcBorders>
              <w:top w:val="single" w:sz="4" w:space="0" w:color="366092"/>
              <w:left w:val="single" w:sz="4" w:space="0" w:color="366092"/>
              <w:bottom w:val="nil"/>
              <w:right w:val="nil"/>
            </w:tcBorders>
            <w:shd w:val="clear" w:color="000000" w:fill="366092"/>
            <w:vAlign w:val="center"/>
            <w:hideMark/>
          </w:tcPr>
          <w:p w:rsidR="008471A8" w:rsidRPr="008471A8" w:rsidRDefault="008471A8" w:rsidP="008471A8">
            <w:pPr>
              <w:spacing w:after="0" w:line="240" w:lineRule="auto"/>
              <w:ind w:firstLineChars="100" w:firstLine="181"/>
              <w:jc w:val="right"/>
              <w:rPr>
                <w:rFonts w:cs="Arial"/>
                <w:b/>
                <w:bCs/>
                <w:color w:val="FFFFFF"/>
                <w:sz w:val="18"/>
                <w:szCs w:val="18"/>
                <w:lang w:eastAsia="en-AU"/>
              </w:rPr>
            </w:pPr>
            <w:r w:rsidRPr="008471A8">
              <w:rPr>
                <w:rFonts w:cs="Arial"/>
                <w:b/>
                <w:bCs/>
                <w:color w:val="FFFFFF"/>
                <w:sz w:val="18"/>
                <w:szCs w:val="18"/>
                <w:lang w:eastAsia="en-AU"/>
              </w:rPr>
              <w:t>2013</w:t>
            </w:r>
          </w:p>
        </w:tc>
      </w:tr>
      <w:tr w:rsidR="008471A8" w:rsidRPr="008471A8" w:rsidTr="002D7A04">
        <w:trPr>
          <w:trHeight w:val="342"/>
        </w:trPr>
        <w:tc>
          <w:tcPr>
            <w:tcW w:w="2410" w:type="dxa"/>
            <w:tcBorders>
              <w:top w:val="single" w:sz="4" w:space="0" w:color="366092"/>
              <w:left w:val="single" w:sz="4" w:space="0" w:color="366092"/>
              <w:bottom w:val="nil"/>
              <w:right w:val="nil"/>
            </w:tcBorders>
            <w:shd w:val="clear" w:color="000000" w:fill="FFFFFF"/>
            <w:noWrap/>
            <w:vAlign w:val="bottom"/>
            <w:hideMark/>
          </w:tcPr>
          <w:p w:rsidR="008471A8" w:rsidRPr="008471A8" w:rsidRDefault="008471A8" w:rsidP="008471A8">
            <w:pPr>
              <w:spacing w:after="0" w:line="240" w:lineRule="auto"/>
              <w:jc w:val="left"/>
              <w:rPr>
                <w:rFonts w:cs="Arial"/>
                <w:color w:val="366092"/>
                <w:sz w:val="18"/>
                <w:szCs w:val="18"/>
                <w:lang w:eastAsia="en-AU"/>
              </w:rPr>
            </w:pPr>
            <w:r w:rsidRPr="008471A8">
              <w:rPr>
                <w:rFonts w:cs="Arial"/>
                <w:color w:val="366092"/>
                <w:sz w:val="18"/>
                <w:szCs w:val="18"/>
                <w:lang w:eastAsia="en-AU"/>
              </w:rPr>
              <w:t>Cert II</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8,300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8,600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10,800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12,700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12,000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10,000</w:t>
            </w:r>
          </w:p>
        </w:tc>
      </w:tr>
      <w:tr w:rsidR="008471A8" w:rsidRPr="008471A8" w:rsidTr="002D7A04">
        <w:trPr>
          <w:trHeight w:val="342"/>
        </w:trPr>
        <w:tc>
          <w:tcPr>
            <w:tcW w:w="2410" w:type="dxa"/>
            <w:tcBorders>
              <w:top w:val="single" w:sz="4" w:space="0" w:color="366092"/>
              <w:left w:val="single" w:sz="4" w:space="0" w:color="366092"/>
              <w:bottom w:val="nil"/>
              <w:right w:val="nil"/>
            </w:tcBorders>
            <w:shd w:val="clear" w:color="000000" w:fill="FFFFFF"/>
            <w:noWrap/>
            <w:vAlign w:val="bottom"/>
            <w:hideMark/>
          </w:tcPr>
          <w:p w:rsidR="008471A8" w:rsidRPr="008471A8" w:rsidRDefault="008471A8" w:rsidP="008471A8">
            <w:pPr>
              <w:spacing w:after="0" w:line="240" w:lineRule="auto"/>
              <w:jc w:val="left"/>
              <w:rPr>
                <w:rFonts w:cs="Arial"/>
                <w:color w:val="366092"/>
                <w:sz w:val="18"/>
                <w:szCs w:val="18"/>
                <w:lang w:eastAsia="en-AU"/>
              </w:rPr>
            </w:pPr>
            <w:r w:rsidRPr="008471A8">
              <w:rPr>
                <w:rFonts w:cs="Arial"/>
                <w:color w:val="366092"/>
                <w:sz w:val="18"/>
                <w:szCs w:val="18"/>
                <w:lang w:eastAsia="en-AU"/>
              </w:rPr>
              <w:t>Cert III-IV</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16,500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15,800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18,400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20,400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22,100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18,700</w:t>
            </w:r>
          </w:p>
        </w:tc>
      </w:tr>
      <w:tr w:rsidR="008471A8" w:rsidRPr="008471A8" w:rsidTr="002D7A04">
        <w:trPr>
          <w:trHeight w:val="342"/>
        </w:trPr>
        <w:tc>
          <w:tcPr>
            <w:tcW w:w="2410" w:type="dxa"/>
            <w:tcBorders>
              <w:top w:val="single" w:sz="4" w:space="0" w:color="366092"/>
              <w:left w:val="single" w:sz="4" w:space="0" w:color="366092"/>
              <w:bottom w:val="nil"/>
              <w:right w:val="nil"/>
            </w:tcBorders>
            <w:shd w:val="clear" w:color="000000" w:fill="FFFFFF"/>
            <w:noWrap/>
            <w:vAlign w:val="bottom"/>
            <w:hideMark/>
          </w:tcPr>
          <w:p w:rsidR="008471A8" w:rsidRPr="008471A8" w:rsidRDefault="008471A8" w:rsidP="008471A8">
            <w:pPr>
              <w:spacing w:after="0" w:line="240" w:lineRule="auto"/>
              <w:jc w:val="left"/>
              <w:rPr>
                <w:rFonts w:cs="Arial"/>
                <w:color w:val="366092"/>
                <w:sz w:val="18"/>
                <w:szCs w:val="18"/>
                <w:lang w:eastAsia="en-AU"/>
              </w:rPr>
            </w:pPr>
            <w:r w:rsidRPr="008471A8">
              <w:rPr>
                <w:rFonts w:cs="Arial"/>
                <w:color w:val="366092"/>
                <w:sz w:val="18"/>
                <w:szCs w:val="18"/>
                <w:lang w:eastAsia="en-AU"/>
              </w:rPr>
              <w:t>Diploma &amp; Above</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650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800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850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1,800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950</w:t>
            </w:r>
          </w:p>
        </w:tc>
        <w:tc>
          <w:tcPr>
            <w:tcW w:w="1134" w:type="dxa"/>
            <w:tcBorders>
              <w:top w:val="single" w:sz="4" w:space="0" w:color="366092"/>
              <w:left w:val="single" w:sz="4" w:space="0" w:color="366092"/>
              <w:bottom w:val="nil"/>
              <w:right w:val="nil"/>
            </w:tcBorders>
            <w:shd w:val="clear" w:color="auto" w:fill="auto"/>
            <w:noWrap/>
            <w:vAlign w:val="center"/>
            <w:hideMark/>
          </w:tcPr>
          <w:p w:rsidR="008471A8" w:rsidRPr="008471A8" w:rsidRDefault="008471A8" w:rsidP="008471A8">
            <w:pPr>
              <w:spacing w:after="0" w:line="240" w:lineRule="auto"/>
              <w:jc w:val="right"/>
              <w:rPr>
                <w:rFonts w:cs="Arial"/>
                <w:sz w:val="18"/>
                <w:szCs w:val="18"/>
                <w:lang w:eastAsia="en-AU"/>
              </w:rPr>
            </w:pPr>
            <w:r w:rsidRPr="008471A8">
              <w:rPr>
                <w:rFonts w:cs="Arial"/>
                <w:sz w:val="18"/>
                <w:szCs w:val="18"/>
                <w:lang w:eastAsia="en-AU"/>
              </w:rPr>
              <w:t>600</w:t>
            </w:r>
          </w:p>
        </w:tc>
      </w:tr>
      <w:tr w:rsidR="008471A8" w:rsidRPr="008471A8" w:rsidTr="002D7A04">
        <w:trPr>
          <w:trHeight w:val="342"/>
        </w:trPr>
        <w:tc>
          <w:tcPr>
            <w:tcW w:w="2410" w:type="dxa"/>
            <w:tcBorders>
              <w:top w:val="single" w:sz="4" w:space="0" w:color="366092"/>
              <w:left w:val="single" w:sz="4" w:space="0" w:color="366092"/>
              <w:bottom w:val="nil"/>
              <w:right w:val="nil"/>
            </w:tcBorders>
            <w:shd w:val="clear" w:color="000000" w:fill="366092"/>
            <w:noWrap/>
            <w:vAlign w:val="bottom"/>
            <w:hideMark/>
          </w:tcPr>
          <w:p w:rsidR="008471A8" w:rsidRPr="008471A8" w:rsidRDefault="008471A8" w:rsidP="008471A8">
            <w:pPr>
              <w:spacing w:after="0" w:line="240" w:lineRule="auto"/>
              <w:jc w:val="left"/>
              <w:rPr>
                <w:rFonts w:cs="Arial"/>
                <w:b/>
                <w:bCs/>
                <w:color w:val="FFFFFF"/>
                <w:sz w:val="18"/>
                <w:szCs w:val="18"/>
                <w:lang w:eastAsia="en-AU"/>
              </w:rPr>
            </w:pPr>
            <w:r w:rsidRPr="008471A8">
              <w:rPr>
                <w:rFonts w:cs="Arial"/>
                <w:b/>
                <w:bCs/>
                <w:color w:val="FFFFFF"/>
                <w:sz w:val="18"/>
                <w:szCs w:val="18"/>
                <w:lang w:eastAsia="en-AU"/>
              </w:rPr>
              <w:t>Total</w:t>
            </w:r>
          </w:p>
        </w:tc>
        <w:tc>
          <w:tcPr>
            <w:tcW w:w="1134" w:type="dxa"/>
            <w:tcBorders>
              <w:top w:val="single" w:sz="4" w:space="0" w:color="366092"/>
              <w:left w:val="single" w:sz="4" w:space="0" w:color="366092"/>
              <w:bottom w:val="nil"/>
              <w:right w:val="nil"/>
            </w:tcBorders>
            <w:shd w:val="clear" w:color="000000" w:fill="366092"/>
            <w:noWrap/>
            <w:vAlign w:val="bottom"/>
            <w:hideMark/>
          </w:tcPr>
          <w:p w:rsidR="008471A8" w:rsidRPr="008471A8" w:rsidRDefault="008471A8" w:rsidP="008471A8">
            <w:pPr>
              <w:spacing w:after="0" w:line="240" w:lineRule="auto"/>
              <w:jc w:val="right"/>
              <w:rPr>
                <w:rFonts w:cs="Arial"/>
                <w:b/>
                <w:bCs/>
                <w:color w:val="FFFFFF"/>
                <w:sz w:val="18"/>
                <w:szCs w:val="18"/>
                <w:lang w:eastAsia="en-AU"/>
              </w:rPr>
            </w:pPr>
            <w:r w:rsidRPr="008471A8">
              <w:rPr>
                <w:rFonts w:cs="Arial"/>
                <w:b/>
                <w:bCs/>
                <w:color w:val="FFFFFF"/>
                <w:sz w:val="18"/>
                <w:szCs w:val="18"/>
                <w:lang w:eastAsia="en-AU"/>
              </w:rPr>
              <w:t>25,500</w:t>
            </w:r>
          </w:p>
        </w:tc>
        <w:tc>
          <w:tcPr>
            <w:tcW w:w="1134" w:type="dxa"/>
            <w:tcBorders>
              <w:top w:val="single" w:sz="4" w:space="0" w:color="366092"/>
              <w:left w:val="single" w:sz="4" w:space="0" w:color="366092"/>
              <w:bottom w:val="nil"/>
              <w:right w:val="nil"/>
            </w:tcBorders>
            <w:shd w:val="clear" w:color="000000" w:fill="366092"/>
            <w:noWrap/>
            <w:vAlign w:val="bottom"/>
            <w:hideMark/>
          </w:tcPr>
          <w:p w:rsidR="008471A8" w:rsidRPr="008471A8" w:rsidRDefault="008471A8" w:rsidP="008471A8">
            <w:pPr>
              <w:spacing w:after="0" w:line="240" w:lineRule="auto"/>
              <w:jc w:val="right"/>
              <w:rPr>
                <w:rFonts w:cs="Arial"/>
                <w:b/>
                <w:bCs/>
                <w:color w:val="FFFFFF"/>
                <w:sz w:val="18"/>
                <w:szCs w:val="18"/>
                <w:lang w:eastAsia="en-AU"/>
              </w:rPr>
            </w:pPr>
            <w:r w:rsidRPr="008471A8">
              <w:rPr>
                <w:rFonts w:cs="Arial"/>
                <w:b/>
                <w:bCs/>
                <w:color w:val="FFFFFF"/>
                <w:sz w:val="18"/>
                <w:szCs w:val="18"/>
                <w:lang w:eastAsia="en-AU"/>
              </w:rPr>
              <w:t>25,200</w:t>
            </w:r>
          </w:p>
        </w:tc>
        <w:tc>
          <w:tcPr>
            <w:tcW w:w="1134" w:type="dxa"/>
            <w:tcBorders>
              <w:top w:val="single" w:sz="4" w:space="0" w:color="366092"/>
              <w:left w:val="single" w:sz="4" w:space="0" w:color="366092"/>
              <w:bottom w:val="nil"/>
              <w:right w:val="nil"/>
            </w:tcBorders>
            <w:shd w:val="clear" w:color="000000" w:fill="366092"/>
            <w:noWrap/>
            <w:vAlign w:val="bottom"/>
            <w:hideMark/>
          </w:tcPr>
          <w:p w:rsidR="008471A8" w:rsidRPr="008471A8" w:rsidRDefault="008471A8" w:rsidP="008471A8">
            <w:pPr>
              <w:spacing w:after="0" w:line="240" w:lineRule="auto"/>
              <w:jc w:val="right"/>
              <w:rPr>
                <w:rFonts w:cs="Arial"/>
                <w:b/>
                <w:bCs/>
                <w:color w:val="FFFFFF"/>
                <w:sz w:val="18"/>
                <w:szCs w:val="18"/>
                <w:lang w:eastAsia="en-AU"/>
              </w:rPr>
            </w:pPr>
            <w:r w:rsidRPr="008471A8">
              <w:rPr>
                <w:rFonts w:cs="Arial"/>
                <w:b/>
                <w:bCs/>
                <w:color w:val="FFFFFF"/>
                <w:sz w:val="18"/>
                <w:szCs w:val="18"/>
                <w:lang w:eastAsia="en-AU"/>
              </w:rPr>
              <w:t>30,000</w:t>
            </w:r>
          </w:p>
        </w:tc>
        <w:tc>
          <w:tcPr>
            <w:tcW w:w="1134" w:type="dxa"/>
            <w:tcBorders>
              <w:top w:val="single" w:sz="4" w:space="0" w:color="366092"/>
              <w:left w:val="single" w:sz="4" w:space="0" w:color="366092"/>
              <w:bottom w:val="nil"/>
              <w:right w:val="nil"/>
            </w:tcBorders>
            <w:shd w:val="clear" w:color="000000" w:fill="366092"/>
            <w:noWrap/>
            <w:vAlign w:val="bottom"/>
            <w:hideMark/>
          </w:tcPr>
          <w:p w:rsidR="008471A8" w:rsidRPr="008471A8" w:rsidRDefault="008471A8" w:rsidP="008471A8">
            <w:pPr>
              <w:spacing w:after="0" w:line="240" w:lineRule="auto"/>
              <w:jc w:val="right"/>
              <w:rPr>
                <w:rFonts w:cs="Arial"/>
                <w:b/>
                <w:bCs/>
                <w:color w:val="FFFFFF"/>
                <w:sz w:val="18"/>
                <w:szCs w:val="18"/>
                <w:lang w:eastAsia="en-AU"/>
              </w:rPr>
            </w:pPr>
            <w:r w:rsidRPr="008471A8">
              <w:rPr>
                <w:rFonts w:cs="Arial"/>
                <w:b/>
                <w:bCs/>
                <w:color w:val="FFFFFF"/>
                <w:sz w:val="18"/>
                <w:szCs w:val="18"/>
                <w:lang w:eastAsia="en-AU"/>
              </w:rPr>
              <w:t>34,800</w:t>
            </w:r>
          </w:p>
        </w:tc>
        <w:tc>
          <w:tcPr>
            <w:tcW w:w="1134" w:type="dxa"/>
            <w:tcBorders>
              <w:top w:val="single" w:sz="4" w:space="0" w:color="366092"/>
              <w:left w:val="single" w:sz="4" w:space="0" w:color="366092"/>
              <w:bottom w:val="nil"/>
              <w:right w:val="nil"/>
            </w:tcBorders>
            <w:shd w:val="clear" w:color="000000" w:fill="366092"/>
            <w:noWrap/>
            <w:vAlign w:val="bottom"/>
            <w:hideMark/>
          </w:tcPr>
          <w:p w:rsidR="008471A8" w:rsidRPr="008471A8" w:rsidRDefault="008471A8" w:rsidP="008471A8">
            <w:pPr>
              <w:spacing w:after="0" w:line="240" w:lineRule="auto"/>
              <w:jc w:val="right"/>
              <w:rPr>
                <w:rFonts w:cs="Arial"/>
                <w:b/>
                <w:bCs/>
                <w:color w:val="FFFFFF"/>
                <w:sz w:val="18"/>
                <w:szCs w:val="18"/>
                <w:lang w:eastAsia="en-AU"/>
              </w:rPr>
            </w:pPr>
            <w:r w:rsidRPr="008471A8">
              <w:rPr>
                <w:rFonts w:cs="Arial"/>
                <w:b/>
                <w:bCs/>
                <w:color w:val="FFFFFF"/>
                <w:sz w:val="18"/>
                <w:szCs w:val="18"/>
                <w:lang w:eastAsia="en-AU"/>
              </w:rPr>
              <w:t>35,100</w:t>
            </w:r>
          </w:p>
        </w:tc>
        <w:tc>
          <w:tcPr>
            <w:tcW w:w="1134" w:type="dxa"/>
            <w:tcBorders>
              <w:top w:val="single" w:sz="4" w:space="0" w:color="366092"/>
              <w:left w:val="single" w:sz="4" w:space="0" w:color="366092"/>
              <w:bottom w:val="nil"/>
              <w:right w:val="nil"/>
            </w:tcBorders>
            <w:shd w:val="clear" w:color="000000" w:fill="366092"/>
            <w:noWrap/>
            <w:vAlign w:val="bottom"/>
            <w:hideMark/>
          </w:tcPr>
          <w:p w:rsidR="008471A8" w:rsidRPr="008471A8" w:rsidRDefault="008471A8" w:rsidP="008471A8">
            <w:pPr>
              <w:spacing w:after="0" w:line="240" w:lineRule="auto"/>
              <w:jc w:val="right"/>
              <w:rPr>
                <w:rFonts w:cs="Arial"/>
                <w:b/>
                <w:bCs/>
                <w:color w:val="FFFFFF"/>
                <w:sz w:val="18"/>
                <w:szCs w:val="18"/>
                <w:lang w:eastAsia="en-AU"/>
              </w:rPr>
            </w:pPr>
            <w:r w:rsidRPr="008471A8">
              <w:rPr>
                <w:rFonts w:cs="Arial"/>
                <w:b/>
                <w:bCs/>
                <w:color w:val="FFFFFF"/>
                <w:sz w:val="18"/>
                <w:szCs w:val="18"/>
                <w:lang w:eastAsia="en-AU"/>
              </w:rPr>
              <w:t>29,300</w:t>
            </w:r>
          </w:p>
        </w:tc>
      </w:tr>
    </w:tbl>
    <w:p w:rsidR="008471A8" w:rsidRDefault="008471A8" w:rsidP="008471A8"/>
    <w:p w:rsidR="00D67B5E" w:rsidRDefault="00D67B5E" w:rsidP="00D67B5E">
      <w:pPr>
        <w:rPr>
          <w:rFonts w:cs="Arial"/>
        </w:rPr>
      </w:pPr>
    </w:p>
    <w:p w:rsidR="00457D77" w:rsidRDefault="00C91B0A" w:rsidP="00457D77">
      <w:pPr>
        <w:pStyle w:val="Caption"/>
        <w:spacing w:after="0"/>
        <w:jc w:val="left"/>
        <w:rPr>
          <w:rFonts w:cs="Arial"/>
          <w:color w:val="365F91" w:themeColor="accent1" w:themeShade="BF"/>
        </w:rPr>
      </w:pPr>
      <w:r>
        <w:rPr>
          <w:rFonts w:cs="Arial"/>
          <w:color w:val="365F91" w:themeColor="accent1" w:themeShade="BF"/>
        </w:rPr>
        <w:t>Table 2.6</w:t>
      </w:r>
      <w:r w:rsidR="00457D77" w:rsidRPr="007D0C14">
        <w:rPr>
          <w:rFonts w:cs="Arial"/>
          <w:color w:val="365F91" w:themeColor="accent1" w:themeShade="BF"/>
        </w:rPr>
        <w:t xml:space="preserve">.2: Change in number of government subsidised enrolments undertaken by </w:t>
      </w:r>
      <w:r w:rsidR="00457D77" w:rsidRPr="00457D77">
        <w:rPr>
          <w:rFonts w:cs="Arial"/>
          <w:color w:val="365F91" w:themeColor="accent1" w:themeShade="BF"/>
        </w:rPr>
        <w:t>Young People (Aged 15 to 19) Without Year 12 or Equivalent and</w:t>
      </w:r>
      <w:r w:rsidR="00457D77">
        <w:rPr>
          <w:rFonts w:cs="Arial"/>
          <w:color w:val="365F91" w:themeColor="accent1" w:themeShade="BF"/>
        </w:rPr>
        <w:t xml:space="preserve"> </w:t>
      </w:r>
      <w:r w:rsidR="00457D77" w:rsidRPr="00457D77">
        <w:rPr>
          <w:rFonts w:cs="Arial"/>
          <w:color w:val="365F91" w:themeColor="accent1" w:themeShade="BF"/>
        </w:rPr>
        <w:t>Not at School</w:t>
      </w:r>
      <w:r w:rsidR="00457D77" w:rsidRPr="007D0C14">
        <w:rPr>
          <w:rFonts w:cs="Arial"/>
          <w:color w:val="365F91" w:themeColor="accent1" w:themeShade="BF"/>
        </w:rPr>
        <w:t xml:space="preserve"> by qualification level</w:t>
      </w:r>
    </w:p>
    <w:tbl>
      <w:tblPr>
        <w:tblW w:w="6160" w:type="dxa"/>
        <w:tblInd w:w="103" w:type="dxa"/>
        <w:tblLayout w:type="fixed"/>
        <w:tblLook w:val="04A0" w:firstRow="1" w:lastRow="0" w:firstColumn="1" w:lastColumn="0" w:noHBand="0" w:noVBand="1"/>
      </w:tblPr>
      <w:tblGrid>
        <w:gridCol w:w="2416"/>
        <w:gridCol w:w="1248"/>
        <w:gridCol w:w="1248"/>
        <w:gridCol w:w="1248"/>
      </w:tblGrid>
      <w:tr w:rsidR="002D7A04" w:rsidRPr="002D7A04" w:rsidTr="00457D77">
        <w:trPr>
          <w:trHeight w:val="762"/>
        </w:trPr>
        <w:tc>
          <w:tcPr>
            <w:tcW w:w="2416"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2D7A04" w:rsidRPr="002D7A04" w:rsidRDefault="002D7A04" w:rsidP="002D7A04">
            <w:pPr>
              <w:spacing w:after="0" w:line="240" w:lineRule="auto"/>
              <w:jc w:val="left"/>
              <w:rPr>
                <w:rFonts w:cs="Arial"/>
                <w:b/>
                <w:bCs/>
                <w:color w:val="FFFFFF"/>
                <w:sz w:val="18"/>
                <w:szCs w:val="18"/>
                <w:lang w:eastAsia="en-AU"/>
              </w:rPr>
            </w:pPr>
            <w:r w:rsidRPr="002D7A04">
              <w:rPr>
                <w:rFonts w:cs="Arial"/>
                <w:b/>
                <w:bCs/>
                <w:color w:val="FFFFFF"/>
                <w:sz w:val="18"/>
                <w:szCs w:val="18"/>
                <w:lang w:eastAsia="en-AU"/>
              </w:rPr>
              <w:t> </w:t>
            </w:r>
          </w:p>
        </w:tc>
        <w:tc>
          <w:tcPr>
            <w:tcW w:w="1248" w:type="dxa"/>
            <w:tcBorders>
              <w:top w:val="single" w:sz="4" w:space="0" w:color="366092"/>
              <w:left w:val="nil"/>
              <w:bottom w:val="single" w:sz="4" w:space="0" w:color="366092"/>
              <w:right w:val="single" w:sz="4" w:space="0" w:color="366092"/>
            </w:tcBorders>
            <w:shd w:val="clear" w:color="000000" w:fill="366092"/>
            <w:vAlign w:val="center"/>
            <w:hideMark/>
          </w:tcPr>
          <w:p w:rsidR="002D7A04" w:rsidRPr="002D7A04" w:rsidRDefault="002D7A04" w:rsidP="002D7A04">
            <w:pPr>
              <w:spacing w:after="0" w:line="240" w:lineRule="auto"/>
              <w:jc w:val="right"/>
              <w:rPr>
                <w:rFonts w:cs="Arial"/>
                <w:b/>
                <w:bCs/>
                <w:color w:val="FFFFFF"/>
                <w:sz w:val="18"/>
                <w:szCs w:val="18"/>
                <w:lang w:eastAsia="en-AU"/>
              </w:rPr>
            </w:pPr>
            <w:r w:rsidRPr="002D7A04">
              <w:rPr>
                <w:rFonts w:cs="Arial"/>
                <w:b/>
                <w:bCs/>
                <w:color w:val="FFFFFF"/>
                <w:sz w:val="18"/>
                <w:szCs w:val="18"/>
                <w:lang w:eastAsia="en-AU"/>
              </w:rPr>
              <w:t>% change</w:t>
            </w:r>
            <w:r w:rsidRPr="002D7A04">
              <w:rPr>
                <w:rFonts w:cs="Arial"/>
                <w:b/>
                <w:bCs/>
                <w:color w:val="FFFFFF"/>
                <w:sz w:val="18"/>
                <w:szCs w:val="18"/>
                <w:lang w:eastAsia="en-AU"/>
              </w:rPr>
              <w:br/>
              <w:t>2008-2013</w:t>
            </w:r>
          </w:p>
        </w:tc>
        <w:tc>
          <w:tcPr>
            <w:tcW w:w="1248" w:type="dxa"/>
            <w:tcBorders>
              <w:top w:val="single" w:sz="4" w:space="0" w:color="366092"/>
              <w:left w:val="nil"/>
              <w:bottom w:val="single" w:sz="4" w:space="0" w:color="366092"/>
              <w:right w:val="single" w:sz="4" w:space="0" w:color="366092"/>
            </w:tcBorders>
            <w:shd w:val="clear" w:color="000000" w:fill="366092"/>
            <w:vAlign w:val="center"/>
            <w:hideMark/>
          </w:tcPr>
          <w:p w:rsidR="002D7A04" w:rsidRPr="002D7A04" w:rsidRDefault="002D7A04" w:rsidP="002D7A04">
            <w:pPr>
              <w:spacing w:after="0" w:line="240" w:lineRule="auto"/>
              <w:jc w:val="right"/>
              <w:rPr>
                <w:rFonts w:cs="Arial"/>
                <w:b/>
                <w:bCs/>
                <w:color w:val="FFFFFF"/>
                <w:sz w:val="18"/>
                <w:szCs w:val="18"/>
                <w:lang w:eastAsia="en-AU"/>
              </w:rPr>
            </w:pPr>
            <w:r w:rsidRPr="002D7A04">
              <w:rPr>
                <w:rFonts w:cs="Arial"/>
                <w:b/>
                <w:bCs/>
                <w:color w:val="FFFFFF"/>
                <w:sz w:val="18"/>
                <w:szCs w:val="18"/>
                <w:lang w:eastAsia="en-AU"/>
              </w:rPr>
              <w:t>% change</w:t>
            </w:r>
            <w:r w:rsidRPr="002D7A04">
              <w:rPr>
                <w:rFonts w:cs="Arial"/>
                <w:b/>
                <w:bCs/>
                <w:color w:val="FFFFFF"/>
                <w:sz w:val="18"/>
                <w:szCs w:val="18"/>
                <w:lang w:eastAsia="en-AU"/>
              </w:rPr>
              <w:br/>
              <w:t>2011-2013 </w:t>
            </w:r>
          </w:p>
        </w:tc>
        <w:tc>
          <w:tcPr>
            <w:tcW w:w="1248" w:type="dxa"/>
            <w:tcBorders>
              <w:top w:val="single" w:sz="4" w:space="0" w:color="366092"/>
              <w:left w:val="nil"/>
              <w:bottom w:val="single" w:sz="4" w:space="0" w:color="366092"/>
              <w:right w:val="single" w:sz="4" w:space="0" w:color="366092"/>
            </w:tcBorders>
            <w:shd w:val="clear" w:color="000000" w:fill="366092"/>
            <w:vAlign w:val="center"/>
            <w:hideMark/>
          </w:tcPr>
          <w:p w:rsidR="002D7A04" w:rsidRPr="002D7A04" w:rsidRDefault="002D7A04" w:rsidP="002D7A04">
            <w:pPr>
              <w:spacing w:after="0" w:line="240" w:lineRule="auto"/>
              <w:jc w:val="right"/>
              <w:rPr>
                <w:rFonts w:cs="Arial"/>
                <w:b/>
                <w:bCs/>
                <w:color w:val="FFFFFF"/>
                <w:sz w:val="18"/>
                <w:szCs w:val="18"/>
                <w:lang w:eastAsia="en-AU"/>
              </w:rPr>
            </w:pPr>
            <w:r w:rsidRPr="002D7A04">
              <w:rPr>
                <w:rFonts w:cs="Arial"/>
                <w:b/>
                <w:bCs/>
                <w:color w:val="FFFFFF"/>
                <w:sz w:val="18"/>
                <w:szCs w:val="18"/>
                <w:lang w:eastAsia="en-AU"/>
              </w:rPr>
              <w:t>% change</w:t>
            </w:r>
            <w:r w:rsidRPr="002D7A04">
              <w:rPr>
                <w:rFonts w:cs="Arial"/>
                <w:b/>
                <w:bCs/>
                <w:color w:val="FFFFFF"/>
                <w:sz w:val="18"/>
                <w:szCs w:val="18"/>
                <w:lang w:eastAsia="en-AU"/>
              </w:rPr>
              <w:br/>
              <w:t>2012-2013</w:t>
            </w:r>
          </w:p>
        </w:tc>
      </w:tr>
      <w:tr w:rsidR="002D7A04" w:rsidRPr="002D7A04" w:rsidTr="00457D77">
        <w:trPr>
          <w:trHeight w:val="342"/>
        </w:trPr>
        <w:tc>
          <w:tcPr>
            <w:tcW w:w="2416" w:type="dxa"/>
            <w:tcBorders>
              <w:top w:val="nil"/>
              <w:left w:val="single" w:sz="4" w:space="0" w:color="366092"/>
              <w:bottom w:val="single" w:sz="4" w:space="0" w:color="366092"/>
              <w:right w:val="single" w:sz="4" w:space="0" w:color="366092"/>
            </w:tcBorders>
            <w:shd w:val="clear" w:color="000000" w:fill="FFFFFF"/>
            <w:noWrap/>
            <w:vAlign w:val="bottom"/>
            <w:hideMark/>
          </w:tcPr>
          <w:p w:rsidR="002D7A04" w:rsidRPr="002D7A04" w:rsidRDefault="002D7A04" w:rsidP="002D7A04">
            <w:pPr>
              <w:spacing w:after="0" w:line="240" w:lineRule="auto"/>
              <w:jc w:val="left"/>
              <w:rPr>
                <w:rFonts w:cs="Arial"/>
                <w:color w:val="366092"/>
                <w:sz w:val="18"/>
                <w:szCs w:val="18"/>
                <w:lang w:eastAsia="en-AU"/>
              </w:rPr>
            </w:pPr>
            <w:r w:rsidRPr="002D7A04">
              <w:rPr>
                <w:rFonts w:cs="Arial"/>
                <w:color w:val="366092"/>
                <w:sz w:val="18"/>
                <w:szCs w:val="18"/>
                <w:lang w:eastAsia="en-AU"/>
              </w:rPr>
              <w:t>Cert II</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20%</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-21%</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-17%</w:t>
            </w:r>
          </w:p>
        </w:tc>
      </w:tr>
      <w:tr w:rsidR="002D7A04" w:rsidRPr="002D7A04" w:rsidTr="00457D77">
        <w:trPr>
          <w:trHeight w:val="342"/>
        </w:trPr>
        <w:tc>
          <w:tcPr>
            <w:tcW w:w="2416" w:type="dxa"/>
            <w:tcBorders>
              <w:top w:val="nil"/>
              <w:left w:val="single" w:sz="4" w:space="0" w:color="366092"/>
              <w:bottom w:val="single" w:sz="4" w:space="0" w:color="366092"/>
              <w:right w:val="single" w:sz="4" w:space="0" w:color="366092"/>
            </w:tcBorders>
            <w:shd w:val="clear" w:color="000000" w:fill="FFFFFF"/>
            <w:noWrap/>
            <w:vAlign w:val="bottom"/>
            <w:hideMark/>
          </w:tcPr>
          <w:p w:rsidR="002D7A04" w:rsidRPr="002D7A04" w:rsidRDefault="002D7A04" w:rsidP="002D7A04">
            <w:pPr>
              <w:spacing w:after="0" w:line="240" w:lineRule="auto"/>
              <w:jc w:val="left"/>
              <w:rPr>
                <w:rFonts w:cs="Arial"/>
                <w:color w:val="366092"/>
                <w:sz w:val="18"/>
                <w:szCs w:val="18"/>
                <w:lang w:eastAsia="en-AU"/>
              </w:rPr>
            </w:pPr>
            <w:r w:rsidRPr="002D7A04">
              <w:rPr>
                <w:rFonts w:cs="Arial"/>
                <w:color w:val="366092"/>
                <w:sz w:val="18"/>
                <w:szCs w:val="18"/>
                <w:lang w:eastAsia="en-AU"/>
              </w:rPr>
              <w:t>Cert III-IV</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13%</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-8%</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-15%</w:t>
            </w:r>
          </w:p>
        </w:tc>
      </w:tr>
      <w:tr w:rsidR="002D7A04" w:rsidRPr="002D7A04" w:rsidTr="00457D77">
        <w:trPr>
          <w:trHeight w:val="342"/>
        </w:trPr>
        <w:tc>
          <w:tcPr>
            <w:tcW w:w="2416" w:type="dxa"/>
            <w:tcBorders>
              <w:top w:val="nil"/>
              <w:left w:val="single" w:sz="4" w:space="0" w:color="366092"/>
              <w:bottom w:val="single" w:sz="4" w:space="0" w:color="366092"/>
              <w:right w:val="single" w:sz="4" w:space="0" w:color="366092"/>
            </w:tcBorders>
            <w:shd w:val="clear" w:color="000000" w:fill="FFFFFF"/>
            <w:noWrap/>
            <w:vAlign w:val="bottom"/>
            <w:hideMark/>
          </w:tcPr>
          <w:p w:rsidR="002D7A04" w:rsidRPr="002D7A04" w:rsidRDefault="002D7A04" w:rsidP="002D7A04">
            <w:pPr>
              <w:spacing w:after="0" w:line="240" w:lineRule="auto"/>
              <w:jc w:val="left"/>
              <w:rPr>
                <w:rFonts w:cs="Arial"/>
                <w:color w:val="366092"/>
                <w:sz w:val="18"/>
                <w:szCs w:val="18"/>
                <w:lang w:eastAsia="en-AU"/>
              </w:rPr>
            </w:pPr>
            <w:r w:rsidRPr="002D7A04">
              <w:rPr>
                <w:rFonts w:cs="Arial"/>
                <w:color w:val="366092"/>
                <w:sz w:val="18"/>
                <w:szCs w:val="18"/>
                <w:lang w:eastAsia="en-AU"/>
              </w:rPr>
              <w:t>Diploma &amp; Above</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-7%</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-66%</w:t>
            </w:r>
          </w:p>
        </w:tc>
        <w:tc>
          <w:tcPr>
            <w:tcW w:w="1248" w:type="dxa"/>
            <w:tcBorders>
              <w:top w:val="nil"/>
              <w:left w:val="nil"/>
              <w:bottom w:val="single" w:sz="4" w:space="0" w:color="366092"/>
              <w:right w:val="single" w:sz="4" w:space="0" w:color="366092"/>
            </w:tcBorders>
            <w:shd w:val="clear" w:color="auto" w:fill="auto"/>
            <w:noWrap/>
            <w:vAlign w:val="center"/>
            <w:hideMark/>
          </w:tcPr>
          <w:p w:rsidR="002D7A04" w:rsidRPr="002D7A04" w:rsidRDefault="002D7A04" w:rsidP="002D7A04">
            <w:pPr>
              <w:spacing w:after="0" w:line="240" w:lineRule="auto"/>
              <w:jc w:val="right"/>
              <w:rPr>
                <w:rFonts w:cs="Arial"/>
                <w:sz w:val="18"/>
                <w:szCs w:val="18"/>
                <w:lang w:eastAsia="en-AU"/>
              </w:rPr>
            </w:pPr>
            <w:r w:rsidRPr="002D7A04">
              <w:rPr>
                <w:rFonts w:cs="Arial"/>
                <w:sz w:val="18"/>
                <w:szCs w:val="18"/>
                <w:lang w:eastAsia="en-AU"/>
              </w:rPr>
              <w:t>-39%</w:t>
            </w:r>
          </w:p>
        </w:tc>
      </w:tr>
      <w:tr w:rsidR="002D7A04" w:rsidRPr="002D7A04" w:rsidTr="00457D77">
        <w:trPr>
          <w:trHeight w:val="342"/>
        </w:trPr>
        <w:tc>
          <w:tcPr>
            <w:tcW w:w="2416" w:type="dxa"/>
            <w:tcBorders>
              <w:top w:val="nil"/>
              <w:left w:val="single" w:sz="4" w:space="0" w:color="366092"/>
              <w:bottom w:val="single" w:sz="4" w:space="0" w:color="366092"/>
              <w:right w:val="single" w:sz="4" w:space="0" w:color="366092"/>
            </w:tcBorders>
            <w:shd w:val="clear" w:color="000000" w:fill="366092"/>
            <w:noWrap/>
            <w:vAlign w:val="bottom"/>
            <w:hideMark/>
          </w:tcPr>
          <w:p w:rsidR="002D7A04" w:rsidRPr="002D7A04" w:rsidRDefault="002D7A04" w:rsidP="002D7A04">
            <w:pPr>
              <w:spacing w:after="0" w:line="240" w:lineRule="auto"/>
              <w:jc w:val="left"/>
              <w:rPr>
                <w:rFonts w:cs="Arial"/>
                <w:b/>
                <w:bCs/>
                <w:color w:val="FFFFFF"/>
                <w:sz w:val="18"/>
                <w:szCs w:val="18"/>
                <w:lang w:eastAsia="en-AU"/>
              </w:rPr>
            </w:pPr>
            <w:r w:rsidRPr="002D7A04">
              <w:rPr>
                <w:rFonts w:cs="Arial"/>
                <w:b/>
                <w:bCs/>
                <w:color w:val="FFFFFF"/>
                <w:sz w:val="18"/>
                <w:szCs w:val="18"/>
                <w:lang w:eastAsia="en-AU"/>
              </w:rPr>
              <w:t>Total</w:t>
            </w:r>
          </w:p>
        </w:tc>
        <w:tc>
          <w:tcPr>
            <w:tcW w:w="1248" w:type="dxa"/>
            <w:tcBorders>
              <w:top w:val="nil"/>
              <w:left w:val="nil"/>
              <w:bottom w:val="single" w:sz="4" w:space="0" w:color="366092"/>
              <w:right w:val="single" w:sz="4" w:space="0" w:color="366092"/>
            </w:tcBorders>
            <w:shd w:val="clear" w:color="000000" w:fill="366092"/>
            <w:noWrap/>
            <w:vAlign w:val="center"/>
            <w:hideMark/>
          </w:tcPr>
          <w:p w:rsidR="002D7A04" w:rsidRPr="002D7A04" w:rsidRDefault="002D7A04" w:rsidP="002D7A04">
            <w:pPr>
              <w:spacing w:after="0" w:line="240" w:lineRule="auto"/>
              <w:jc w:val="right"/>
              <w:rPr>
                <w:rFonts w:cs="Arial"/>
                <w:b/>
                <w:bCs/>
                <w:color w:val="FFFFFF"/>
                <w:sz w:val="18"/>
                <w:szCs w:val="18"/>
                <w:lang w:eastAsia="en-AU"/>
              </w:rPr>
            </w:pPr>
            <w:r w:rsidRPr="002D7A04">
              <w:rPr>
                <w:rFonts w:cs="Arial"/>
                <w:b/>
                <w:bCs/>
                <w:color w:val="FFFFFF"/>
                <w:sz w:val="18"/>
                <w:szCs w:val="18"/>
                <w:lang w:eastAsia="en-AU"/>
              </w:rPr>
              <w:t>15%</w:t>
            </w:r>
          </w:p>
        </w:tc>
        <w:tc>
          <w:tcPr>
            <w:tcW w:w="1248" w:type="dxa"/>
            <w:tcBorders>
              <w:top w:val="nil"/>
              <w:left w:val="nil"/>
              <w:bottom w:val="single" w:sz="4" w:space="0" w:color="366092"/>
              <w:right w:val="single" w:sz="4" w:space="0" w:color="366092"/>
            </w:tcBorders>
            <w:shd w:val="clear" w:color="000000" w:fill="366092"/>
            <w:noWrap/>
            <w:vAlign w:val="center"/>
            <w:hideMark/>
          </w:tcPr>
          <w:p w:rsidR="002D7A04" w:rsidRPr="002D7A04" w:rsidRDefault="002D7A04" w:rsidP="002D7A04">
            <w:pPr>
              <w:spacing w:after="0" w:line="240" w:lineRule="auto"/>
              <w:jc w:val="right"/>
              <w:rPr>
                <w:rFonts w:cs="Arial"/>
                <w:b/>
                <w:bCs/>
                <w:color w:val="FFFFFF"/>
                <w:sz w:val="18"/>
                <w:szCs w:val="18"/>
                <w:lang w:eastAsia="en-AU"/>
              </w:rPr>
            </w:pPr>
            <w:r w:rsidRPr="002D7A04">
              <w:rPr>
                <w:rFonts w:cs="Arial"/>
                <w:b/>
                <w:bCs/>
                <w:color w:val="FFFFFF"/>
                <w:sz w:val="18"/>
                <w:szCs w:val="18"/>
                <w:lang w:eastAsia="en-AU"/>
              </w:rPr>
              <w:t>-16%</w:t>
            </w:r>
          </w:p>
        </w:tc>
        <w:tc>
          <w:tcPr>
            <w:tcW w:w="1248" w:type="dxa"/>
            <w:tcBorders>
              <w:top w:val="nil"/>
              <w:left w:val="nil"/>
              <w:bottom w:val="single" w:sz="4" w:space="0" w:color="366092"/>
              <w:right w:val="single" w:sz="4" w:space="0" w:color="366092"/>
            </w:tcBorders>
            <w:shd w:val="clear" w:color="000000" w:fill="366092"/>
            <w:noWrap/>
            <w:vAlign w:val="center"/>
            <w:hideMark/>
          </w:tcPr>
          <w:p w:rsidR="002D7A04" w:rsidRPr="002D7A04" w:rsidRDefault="002D7A04" w:rsidP="002D7A04">
            <w:pPr>
              <w:spacing w:after="0" w:line="240" w:lineRule="auto"/>
              <w:jc w:val="right"/>
              <w:rPr>
                <w:rFonts w:cs="Arial"/>
                <w:b/>
                <w:bCs/>
                <w:color w:val="FFFFFF"/>
                <w:sz w:val="18"/>
                <w:szCs w:val="18"/>
                <w:lang w:eastAsia="en-AU"/>
              </w:rPr>
            </w:pPr>
            <w:r w:rsidRPr="002D7A04">
              <w:rPr>
                <w:rFonts w:cs="Arial"/>
                <w:b/>
                <w:bCs/>
                <w:color w:val="FFFFFF"/>
                <w:sz w:val="18"/>
                <w:szCs w:val="18"/>
                <w:lang w:eastAsia="en-AU"/>
              </w:rPr>
              <w:t>-17%</w:t>
            </w:r>
          </w:p>
        </w:tc>
      </w:tr>
    </w:tbl>
    <w:p w:rsidR="002D7A04" w:rsidRDefault="002D7A04" w:rsidP="002D7A04"/>
    <w:p w:rsidR="002D7A04" w:rsidRPr="002D7A04" w:rsidRDefault="002D7A04" w:rsidP="002D7A04"/>
    <w:p w:rsidR="003712A9" w:rsidRDefault="003712A9" w:rsidP="003712A9"/>
    <w:p w:rsidR="003712A9" w:rsidRDefault="003712A9">
      <w:pPr>
        <w:spacing w:after="0" w:line="240" w:lineRule="auto"/>
        <w:jc w:val="left"/>
        <w:rPr>
          <w:rFonts w:cs="Arial"/>
          <w:bCs/>
          <w:iCs/>
          <w:color w:val="76923C" w:themeColor="accent3" w:themeShade="BF"/>
          <w:sz w:val="28"/>
          <w:szCs w:val="28"/>
        </w:rPr>
      </w:pPr>
      <w:r>
        <w:br w:type="page"/>
      </w:r>
    </w:p>
    <w:p w:rsidR="00D67B5E" w:rsidRPr="001F29E3" w:rsidRDefault="00D67B5E" w:rsidP="00D67B5E">
      <w:pPr>
        <w:pStyle w:val="Heading2"/>
      </w:pPr>
      <w:bookmarkStart w:id="90" w:name="_Toc388340457"/>
      <w:r w:rsidRPr="001F29E3">
        <w:t>Students with Low Prior Qualifications</w:t>
      </w:r>
      <w:bookmarkEnd w:id="90"/>
    </w:p>
    <w:p w:rsidR="00D67B5E" w:rsidRDefault="00D67B5E" w:rsidP="00D67B5E">
      <w:pPr>
        <w:rPr>
          <w:rFonts w:cs="Arial"/>
        </w:rPr>
      </w:pPr>
    </w:p>
    <w:p w:rsidR="00D67B5E" w:rsidRDefault="00D67B5E" w:rsidP="00D67B5E">
      <w:pPr>
        <w:pStyle w:val="Heading3"/>
      </w:pPr>
      <w:r>
        <w:t>Enrolments</w:t>
      </w:r>
    </w:p>
    <w:p w:rsidR="00D67B5E" w:rsidRPr="001F29E3" w:rsidRDefault="00D67B5E" w:rsidP="00D67B5E">
      <w:pPr>
        <w:rPr>
          <w:rFonts w:cs="Aria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D67B5E" w:rsidRPr="00D54C88" w:rsidTr="0064593A">
        <w:trPr>
          <w:trHeight w:val="1449"/>
        </w:trPr>
        <w:tc>
          <w:tcPr>
            <w:tcW w:w="9088" w:type="dxa"/>
          </w:tcPr>
          <w:p w:rsidR="00D67B5E" w:rsidRDefault="00D67B5E" w:rsidP="0051046D">
            <w:pPr>
              <w:pStyle w:val="Heading3"/>
            </w:pPr>
            <w:r w:rsidRPr="00D54C88">
              <w:t>Key Points</w:t>
            </w:r>
          </w:p>
          <w:p w:rsidR="00D67B5E" w:rsidRPr="00A326AF" w:rsidRDefault="00D67B5E" w:rsidP="0051046D"/>
          <w:p w:rsidR="00D67B5E" w:rsidRPr="007D478D" w:rsidRDefault="00C65C06" w:rsidP="00D83827">
            <w:pPr>
              <w:pStyle w:val="ListBullet"/>
              <w:numPr>
                <w:ilvl w:val="0"/>
                <w:numId w:val="30"/>
              </w:numPr>
              <w:ind w:right="113"/>
              <w:rPr>
                <w:rFonts w:cs="Arial"/>
              </w:rPr>
            </w:pPr>
            <w:r>
              <w:rPr>
                <w:rFonts w:cs="Arial"/>
              </w:rPr>
              <w:t xml:space="preserve">In </w:t>
            </w:r>
            <w:r w:rsidR="00D67B5E" w:rsidRPr="007D478D">
              <w:rPr>
                <w:rFonts w:cs="Arial"/>
              </w:rPr>
              <w:t xml:space="preserve">2013, there were </w:t>
            </w:r>
            <w:r w:rsidR="0064593A">
              <w:rPr>
                <w:rFonts w:cs="Arial"/>
              </w:rPr>
              <w:t>260,700</w:t>
            </w:r>
            <w:r w:rsidR="00D67B5E" w:rsidRPr="007D478D">
              <w:rPr>
                <w:rFonts w:cs="Arial"/>
              </w:rPr>
              <w:t xml:space="preserve"> students who wer</w:t>
            </w:r>
            <w:r w:rsidR="00A516C2" w:rsidRPr="007D478D">
              <w:rPr>
                <w:rFonts w:cs="Arial"/>
              </w:rPr>
              <w:t>e aged 20-64 and not holding a C</w:t>
            </w:r>
            <w:r w:rsidR="00D67B5E" w:rsidRPr="007D478D">
              <w:rPr>
                <w:rFonts w:cs="Arial"/>
              </w:rPr>
              <w:t xml:space="preserve">ertificate III or above qualification enrolled in </w:t>
            </w:r>
            <w:r w:rsidR="0064593A">
              <w:rPr>
                <w:rFonts w:cs="Arial"/>
              </w:rPr>
              <w:t>342,000</w:t>
            </w:r>
            <w:r w:rsidR="00D67B5E" w:rsidRPr="007D478D">
              <w:rPr>
                <w:rFonts w:cs="Arial"/>
              </w:rPr>
              <w:t xml:space="preserve"> government subsidised </w:t>
            </w:r>
            <w:r w:rsidR="00DB2A6E">
              <w:rPr>
                <w:rFonts w:cs="Arial"/>
              </w:rPr>
              <w:t>courses</w:t>
            </w:r>
            <w:r w:rsidR="00D67B5E" w:rsidRPr="007D478D">
              <w:rPr>
                <w:rFonts w:cs="Arial"/>
              </w:rPr>
              <w:t xml:space="preserve">.   </w:t>
            </w:r>
          </w:p>
          <w:p w:rsidR="00D67B5E" w:rsidRPr="00D54C88" w:rsidRDefault="0064593A" w:rsidP="00D83827">
            <w:pPr>
              <w:pStyle w:val="ListBullet"/>
              <w:numPr>
                <w:ilvl w:val="0"/>
                <w:numId w:val="30"/>
              </w:numPr>
              <w:ind w:right="113"/>
              <w:rPr>
                <w:rFonts w:cs="Arial"/>
              </w:rPr>
            </w:pPr>
            <w:r w:rsidRPr="0064593A">
              <w:rPr>
                <w:rFonts w:cs="Arial"/>
              </w:rPr>
              <w:t>Of those enrolments in industry-specific qualifications (</w:t>
            </w:r>
            <w:r w:rsidR="000949E3">
              <w:rPr>
                <w:rFonts w:cs="Arial"/>
              </w:rPr>
              <w:t>252,600</w:t>
            </w:r>
            <w:r w:rsidRPr="0064593A">
              <w:rPr>
                <w:rFonts w:cs="Arial"/>
              </w:rPr>
              <w:t xml:space="preserve"> enrolments) which exclude foundation skills courses in 2013, 4</w:t>
            </w:r>
            <w:r w:rsidR="000949E3">
              <w:rPr>
                <w:rFonts w:cs="Arial"/>
              </w:rPr>
              <w:t>1</w:t>
            </w:r>
            <w:r w:rsidRPr="0064593A">
              <w:rPr>
                <w:rFonts w:cs="Arial"/>
              </w:rPr>
              <w:t xml:space="preserve"> per cent were in courses related to specialised or in shortage occupations.</w:t>
            </w:r>
          </w:p>
        </w:tc>
      </w:tr>
    </w:tbl>
    <w:p w:rsidR="00D67B5E" w:rsidRPr="001F29E3" w:rsidRDefault="00D67B5E" w:rsidP="00D67B5E">
      <w:pPr>
        <w:rPr>
          <w:rFonts w:cs="Arial"/>
        </w:rPr>
      </w:pPr>
    </w:p>
    <w:p w:rsidR="00D67B5E" w:rsidRDefault="00D67B5E" w:rsidP="00D67B5E">
      <w:pPr>
        <w:pStyle w:val="Caption"/>
        <w:spacing w:after="0"/>
        <w:jc w:val="left"/>
        <w:rPr>
          <w:rFonts w:cs="Arial"/>
        </w:rPr>
      </w:pPr>
    </w:p>
    <w:p w:rsidR="00D67B5E" w:rsidRPr="00C65C06" w:rsidRDefault="005654CD" w:rsidP="00D67B5E">
      <w:pPr>
        <w:pStyle w:val="Caption"/>
        <w:spacing w:after="0"/>
        <w:jc w:val="left"/>
        <w:rPr>
          <w:rFonts w:cs="Arial"/>
          <w:color w:val="365F91" w:themeColor="accent1" w:themeShade="BF"/>
        </w:rPr>
      </w:pPr>
      <w:r w:rsidRPr="00C65C06">
        <w:rPr>
          <w:rFonts w:cs="Arial"/>
          <w:color w:val="365F91" w:themeColor="accent1" w:themeShade="BF"/>
        </w:rPr>
        <w:t>Table 2</w:t>
      </w:r>
      <w:r w:rsidR="00D67B5E" w:rsidRPr="00C65C06">
        <w:rPr>
          <w:rFonts w:cs="Arial"/>
          <w:color w:val="365F91" w:themeColor="accent1" w:themeShade="BF"/>
        </w:rPr>
        <w:t>.7.1: Government subsidised enrolments by students aged 20-64 not holding a Cert III or above</w:t>
      </w:r>
      <w:r w:rsidR="00445755" w:rsidRPr="00C65C06">
        <w:rPr>
          <w:rFonts w:cs="Arial"/>
          <w:color w:val="365F91" w:themeColor="accent1" w:themeShade="BF"/>
        </w:rPr>
        <w:t>, 2008 – 2013</w:t>
      </w:r>
    </w:p>
    <w:tbl>
      <w:tblPr>
        <w:tblW w:w="9014"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1985"/>
        <w:gridCol w:w="1171"/>
        <w:gridCol w:w="1172"/>
        <w:gridCol w:w="1171"/>
        <w:gridCol w:w="1172"/>
        <w:gridCol w:w="1171"/>
        <w:gridCol w:w="1172"/>
      </w:tblGrid>
      <w:tr w:rsidR="00445755" w:rsidRPr="00445755" w:rsidTr="00445755">
        <w:trPr>
          <w:trHeight w:val="762"/>
        </w:trPr>
        <w:tc>
          <w:tcPr>
            <w:tcW w:w="1985" w:type="dxa"/>
            <w:shd w:val="clear" w:color="000000" w:fill="366092"/>
            <w:noWrap/>
            <w:vAlign w:val="center"/>
            <w:hideMark/>
          </w:tcPr>
          <w:p w:rsidR="00445755" w:rsidRPr="00445755" w:rsidRDefault="00445755" w:rsidP="00445755">
            <w:pPr>
              <w:spacing w:after="0" w:line="240" w:lineRule="auto"/>
              <w:ind w:firstLineChars="100" w:firstLine="161"/>
              <w:jc w:val="left"/>
              <w:rPr>
                <w:rFonts w:cs="Arial"/>
                <w:b/>
                <w:bCs/>
                <w:color w:val="FFFFFF"/>
                <w:sz w:val="16"/>
                <w:szCs w:val="16"/>
                <w:lang w:eastAsia="en-AU"/>
              </w:rPr>
            </w:pPr>
            <w:r w:rsidRPr="00445755">
              <w:rPr>
                <w:rFonts w:cs="Arial"/>
                <w:b/>
                <w:bCs/>
                <w:color w:val="FFFFFF"/>
                <w:sz w:val="16"/>
                <w:szCs w:val="16"/>
                <w:lang w:eastAsia="en-AU"/>
              </w:rPr>
              <w:t> </w:t>
            </w:r>
          </w:p>
        </w:tc>
        <w:tc>
          <w:tcPr>
            <w:tcW w:w="1171" w:type="dxa"/>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2008</w:t>
            </w:r>
          </w:p>
        </w:tc>
        <w:tc>
          <w:tcPr>
            <w:tcW w:w="1172" w:type="dxa"/>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2009</w:t>
            </w:r>
          </w:p>
        </w:tc>
        <w:tc>
          <w:tcPr>
            <w:tcW w:w="1171" w:type="dxa"/>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2010</w:t>
            </w:r>
          </w:p>
        </w:tc>
        <w:tc>
          <w:tcPr>
            <w:tcW w:w="1172" w:type="dxa"/>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2011</w:t>
            </w:r>
          </w:p>
        </w:tc>
        <w:tc>
          <w:tcPr>
            <w:tcW w:w="1171" w:type="dxa"/>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2012</w:t>
            </w:r>
          </w:p>
        </w:tc>
        <w:tc>
          <w:tcPr>
            <w:tcW w:w="1172" w:type="dxa"/>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2013</w:t>
            </w:r>
          </w:p>
        </w:tc>
      </w:tr>
      <w:tr w:rsidR="00445755" w:rsidRPr="00445755" w:rsidTr="00445755">
        <w:trPr>
          <w:trHeight w:val="342"/>
        </w:trPr>
        <w:tc>
          <w:tcPr>
            <w:tcW w:w="1985" w:type="dxa"/>
            <w:shd w:val="clear" w:color="000000" w:fill="FFFFFF"/>
            <w:noWrap/>
            <w:vAlign w:val="bottom"/>
            <w:hideMark/>
          </w:tcPr>
          <w:p w:rsidR="00445755" w:rsidRPr="00445755" w:rsidRDefault="00445755" w:rsidP="00445755">
            <w:pPr>
              <w:spacing w:after="0" w:line="240" w:lineRule="auto"/>
              <w:jc w:val="left"/>
              <w:rPr>
                <w:rFonts w:cs="Arial"/>
                <w:color w:val="366092"/>
                <w:sz w:val="18"/>
                <w:szCs w:val="18"/>
                <w:lang w:eastAsia="en-AU"/>
              </w:rPr>
            </w:pPr>
            <w:r w:rsidRPr="00445755">
              <w:rPr>
                <w:rFonts w:cs="Arial"/>
                <w:color w:val="366092"/>
                <w:sz w:val="18"/>
                <w:szCs w:val="18"/>
                <w:lang w:eastAsia="en-AU"/>
              </w:rPr>
              <w:t>Course Enrolments</w:t>
            </w:r>
          </w:p>
        </w:tc>
        <w:tc>
          <w:tcPr>
            <w:tcW w:w="1171"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164,100 </w:t>
            </w:r>
          </w:p>
        </w:tc>
        <w:tc>
          <w:tcPr>
            <w:tcW w:w="1172"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166,200 </w:t>
            </w:r>
          </w:p>
        </w:tc>
        <w:tc>
          <w:tcPr>
            <w:tcW w:w="1171"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185,400 </w:t>
            </w:r>
          </w:p>
        </w:tc>
        <w:tc>
          <w:tcPr>
            <w:tcW w:w="1172"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271,800 </w:t>
            </w:r>
          </w:p>
        </w:tc>
        <w:tc>
          <w:tcPr>
            <w:tcW w:w="1171"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345,700 </w:t>
            </w:r>
          </w:p>
        </w:tc>
        <w:tc>
          <w:tcPr>
            <w:tcW w:w="1172"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342,000 </w:t>
            </w:r>
          </w:p>
        </w:tc>
      </w:tr>
      <w:tr w:rsidR="00445755" w:rsidRPr="00445755" w:rsidTr="00445755">
        <w:trPr>
          <w:trHeight w:val="342"/>
        </w:trPr>
        <w:tc>
          <w:tcPr>
            <w:tcW w:w="1985" w:type="dxa"/>
            <w:shd w:val="clear" w:color="000000" w:fill="FFFFFF"/>
            <w:noWrap/>
            <w:vAlign w:val="bottom"/>
            <w:hideMark/>
          </w:tcPr>
          <w:p w:rsidR="00445755" w:rsidRPr="00445755" w:rsidRDefault="00445755" w:rsidP="00445755">
            <w:pPr>
              <w:spacing w:after="0" w:line="240" w:lineRule="auto"/>
              <w:jc w:val="left"/>
              <w:rPr>
                <w:rFonts w:cs="Arial"/>
                <w:color w:val="366092"/>
                <w:sz w:val="18"/>
                <w:szCs w:val="18"/>
                <w:lang w:eastAsia="en-AU"/>
              </w:rPr>
            </w:pPr>
            <w:r w:rsidRPr="00445755">
              <w:rPr>
                <w:rFonts w:cs="Arial"/>
                <w:color w:val="366092"/>
                <w:sz w:val="18"/>
                <w:szCs w:val="18"/>
                <w:lang w:eastAsia="en-AU"/>
              </w:rPr>
              <w:t>Up-Skilling</w:t>
            </w:r>
          </w:p>
        </w:tc>
        <w:tc>
          <w:tcPr>
            <w:tcW w:w="1171"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92,500 </w:t>
            </w:r>
          </w:p>
        </w:tc>
        <w:tc>
          <w:tcPr>
            <w:tcW w:w="1172"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100,200 </w:t>
            </w:r>
          </w:p>
        </w:tc>
        <w:tc>
          <w:tcPr>
            <w:tcW w:w="1171"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118,600 </w:t>
            </w:r>
          </w:p>
        </w:tc>
        <w:tc>
          <w:tcPr>
            <w:tcW w:w="1172"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190,600 </w:t>
            </w:r>
          </w:p>
        </w:tc>
        <w:tc>
          <w:tcPr>
            <w:tcW w:w="1171"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251,500 </w:t>
            </w:r>
          </w:p>
        </w:tc>
        <w:tc>
          <w:tcPr>
            <w:tcW w:w="1172" w:type="dxa"/>
            <w:shd w:val="clear" w:color="auto" w:fill="auto"/>
            <w:noWrap/>
            <w:vAlign w:val="center"/>
            <w:hideMark/>
          </w:tcPr>
          <w:p w:rsidR="00445755" w:rsidRPr="00445755" w:rsidRDefault="00445755" w:rsidP="00445755">
            <w:pPr>
              <w:spacing w:after="0" w:line="240" w:lineRule="auto"/>
              <w:jc w:val="right"/>
              <w:rPr>
                <w:rFonts w:cs="Arial"/>
                <w:sz w:val="18"/>
                <w:szCs w:val="18"/>
                <w:lang w:eastAsia="en-AU"/>
              </w:rPr>
            </w:pPr>
            <w:r w:rsidRPr="00445755">
              <w:rPr>
                <w:rFonts w:cs="Arial"/>
                <w:sz w:val="18"/>
                <w:szCs w:val="18"/>
                <w:lang w:eastAsia="en-AU"/>
              </w:rPr>
              <w:t xml:space="preserve">241,100 </w:t>
            </w:r>
          </w:p>
        </w:tc>
      </w:tr>
    </w:tbl>
    <w:p w:rsidR="00D67B5E" w:rsidRPr="001F29E3" w:rsidRDefault="00D67B5E" w:rsidP="00D67B5E">
      <w:pPr>
        <w:spacing w:after="0"/>
        <w:rPr>
          <w:rFonts w:cs="Arial"/>
          <w:sz w:val="16"/>
          <w:szCs w:val="16"/>
        </w:rPr>
      </w:pPr>
      <w:r w:rsidRPr="001F29E3">
        <w:rPr>
          <w:rFonts w:cs="Arial"/>
          <w:sz w:val="16"/>
          <w:szCs w:val="16"/>
        </w:rPr>
        <w:t>Up-skilling refers to studying at a higher level than their current qualification.</w:t>
      </w:r>
    </w:p>
    <w:p w:rsidR="00D67B5E" w:rsidRPr="00156E3A" w:rsidRDefault="00D67B5E" w:rsidP="00D67B5E"/>
    <w:p w:rsidR="00D67B5E" w:rsidRPr="00445755" w:rsidRDefault="00D67B5E" w:rsidP="00D67B5E">
      <w:pPr>
        <w:pStyle w:val="Caption"/>
        <w:spacing w:after="0"/>
        <w:jc w:val="left"/>
        <w:rPr>
          <w:rFonts w:cs="Arial"/>
          <w:color w:val="365F91" w:themeColor="accent1" w:themeShade="BF"/>
        </w:rPr>
      </w:pPr>
      <w:r w:rsidRPr="00445755">
        <w:rPr>
          <w:rFonts w:cs="Arial"/>
          <w:color w:val="365F91" w:themeColor="accent1" w:themeShade="BF"/>
        </w:rPr>
        <w:t xml:space="preserve">Table </w:t>
      </w:r>
      <w:r w:rsidR="005654CD" w:rsidRPr="00445755">
        <w:rPr>
          <w:rFonts w:cs="Arial"/>
          <w:color w:val="365F91" w:themeColor="accent1" w:themeShade="BF"/>
        </w:rPr>
        <w:t>2</w:t>
      </w:r>
      <w:r w:rsidRPr="00445755">
        <w:rPr>
          <w:rFonts w:cs="Arial"/>
          <w:color w:val="365F91" w:themeColor="accent1" w:themeShade="BF"/>
        </w:rPr>
        <w:t xml:space="preserve">.7.2: </w:t>
      </w:r>
      <w:r w:rsidR="00445755" w:rsidRPr="00445755">
        <w:rPr>
          <w:rFonts w:cs="Arial"/>
          <w:color w:val="365F91" w:themeColor="accent1" w:themeShade="BF"/>
        </w:rPr>
        <w:t xml:space="preserve">Change in the number of government subsidised enrolments by </w:t>
      </w:r>
      <w:r w:rsidRPr="00445755">
        <w:rPr>
          <w:rFonts w:cs="Arial"/>
          <w:color w:val="365F91" w:themeColor="accent1" w:themeShade="BF"/>
        </w:rPr>
        <w:t>students aged 20-64 not holding a Cert III or above</w:t>
      </w:r>
    </w:p>
    <w:tbl>
      <w:tblPr>
        <w:tblW w:w="6160" w:type="dxa"/>
        <w:tblInd w:w="108" w:type="dxa"/>
        <w:tblLayout w:type="fixed"/>
        <w:tblLook w:val="04A0" w:firstRow="1" w:lastRow="0" w:firstColumn="1" w:lastColumn="0" w:noHBand="0" w:noVBand="1"/>
      </w:tblPr>
      <w:tblGrid>
        <w:gridCol w:w="1985"/>
        <w:gridCol w:w="1391"/>
        <w:gridCol w:w="1392"/>
        <w:gridCol w:w="1392"/>
      </w:tblGrid>
      <w:tr w:rsidR="00445755" w:rsidRPr="00445755" w:rsidTr="00445755">
        <w:trPr>
          <w:trHeight w:val="762"/>
        </w:trPr>
        <w:tc>
          <w:tcPr>
            <w:tcW w:w="1985"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445755" w:rsidRPr="00445755" w:rsidRDefault="00445755" w:rsidP="00445755">
            <w:pPr>
              <w:spacing w:after="0" w:line="240" w:lineRule="auto"/>
              <w:ind w:firstLineChars="100" w:firstLine="161"/>
              <w:jc w:val="left"/>
              <w:rPr>
                <w:rFonts w:cs="Arial"/>
                <w:b/>
                <w:bCs/>
                <w:color w:val="FFFFFF"/>
                <w:sz w:val="16"/>
                <w:szCs w:val="16"/>
                <w:lang w:eastAsia="en-AU"/>
              </w:rPr>
            </w:pPr>
            <w:r w:rsidRPr="00445755">
              <w:rPr>
                <w:rFonts w:cs="Arial"/>
                <w:b/>
                <w:bCs/>
                <w:color w:val="FFFFFF"/>
                <w:sz w:val="16"/>
                <w:szCs w:val="16"/>
                <w:lang w:eastAsia="en-AU"/>
              </w:rPr>
              <w:t> </w:t>
            </w:r>
          </w:p>
        </w:tc>
        <w:tc>
          <w:tcPr>
            <w:tcW w:w="1391" w:type="dxa"/>
            <w:tcBorders>
              <w:top w:val="single" w:sz="4" w:space="0" w:color="366092"/>
              <w:left w:val="nil"/>
              <w:bottom w:val="single" w:sz="4" w:space="0" w:color="366092"/>
              <w:right w:val="single" w:sz="4" w:space="0" w:color="366092"/>
            </w:tcBorders>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 change</w:t>
            </w:r>
            <w:r w:rsidRPr="00445755">
              <w:rPr>
                <w:rFonts w:cs="Arial"/>
                <w:b/>
                <w:bCs/>
                <w:color w:val="FFFFFF"/>
                <w:sz w:val="18"/>
                <w:szCs w:val="18"/>
                <w:lang w:eastAsia="en-AU"/>
              </w:rPr>
              <w:br/>
              <w:t>2008-2013</w:t>
            </w:r>
          </w:p>
        </w:tc>
        <w:tc>
          <w:tcPr>
            <w:tcW w:w="1392" w:type="dxa"/>
            <w:tcBorders>
              <w:top w:val="single" w:sz="4" w:space="0" w:color="366092"/>
              <w:left w:val="nil"/>
              <w:bottom w:val="single" w:sz="4" w:space="0" w:color="366092"/>
              <w:right w:val="single" w:sz="4" w:space="0" w:color="366092"/>
            </w:tcBorders>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 change</w:t>
            </w:r>
            <w:r w:rsidRPr="00445755">
              <w:rPr>
                <w:rFonts w:cs="Arial"/>
                <w:b/>
                <w:bCs/>
                <w:color w:val="FFFFFF"/>
                <w:sz w:val="18"/>
                <w:szCs w:val="18"/>
                <w:lang w:eastAsia="en-AU"/>
              </w:rPr>
              <w:br/>
              <w:t>2011-2013 </w:t>
            </w:r>
          </w:p>
        </w:tc>
        <w:tc>
          <w:tcPr>
            <w:tcW w:w="1392" w:type="dxa"/>
            <w:tcBorders>
              <w:top w:val="single" w:sz="4" w:space="0" w:color="366092"/>
              <w:left w:val="nil"/>
              <w:bottom w:val="single" w:sz="4" w:space="0" w:color="366092"/>
              <w:right w:val="single" w:sz="4" w:space="0" w:color="366092"/>
            </w:tcBorders>
            <w:shd w:val="clear" w:color="000000" w:fill="366092"/>
            <w:vAlign w:val="center"/>
            <w:hideMark/>
          </w:tcPr>
          <w:p w:rsidR="00445755" w:rsidRPr="00445755" w:rsidRDefault="00445755" w:rsidP="00445755">
            <w:pPr>
              <w:spacing w:after="0" w:line="240" w:lineRule="auto"/>
              <w:jc w:val="right"/>
              <w:rPr>
                <w:rFonts w:cs="Arial"/>
                <w:b/>
                <w:bCs/>
                <w:color w:val="FFFFFF"/>
                <w:sz w:val="18"/>
                <w:szCs w:val="18"/>
                <w:lang w:eastAsia="en-AU"/>
              </w:rPr>
            </w:pPr>
            <w:r w:rsidRPr="00445755">
              <w:rPr>
                <w:rFonts w:cs="Arial"/>
                <w:b/>
                <w:bCs/>
                <w:color w:val="FFFFFF"/>
                <w:sz w:val="18"/>
                <w:szCs w:val="18"/>
                <w:lang w:eastAsia="en-AU"/>
              </w:rPr>
              <w:t>% change</w:t>
            </w:r>
            <w:r w:rsidRPr="00445755">
              <w:rPr>
                <w:rFonts w:cs="Arial"/>
                <w:b/>
                <w:bCs/>
                <w:color w:val="FFFFFF"/>
                <w:sz w:val="18"/>
                <w:szCs w:val="18"/>
                <w:lang w:eastAsia="en-AU"/>
              </w:rPr>
              <w:br/>
              <w:t>2012-2013</w:t>
            </w:r>
          </w:p>
        </w:tc>
      </w:tr>
      <w:tr w:rsidR="00445755" w:rsidRPr="00445755" w:rsidTr="00445755">
        <w:trPr>
          <w:trHeight w:val="342"/>
        </w:trPr>
        <w:tc>
          <w:tcPr>
            <w:tcW w:w="1985" w:type="dxa"/>
            <w:tcBorders>
              <w:top w:val="nil"/>
              <w:left w:val="single" w:sz="4" w:space="0" w:color="366092"/>
              <w:bottom w:val="single" w:sz="4" w:space="0" w:color="366092"/>
              <w:right w:val="single" w:sz="4" w:space="0" w:color="366092"/>
            </w:tcBorders>
            <w:shd w:val="clear" w:color="000000" w:fill="FFFFFF"/>
            <w:noWrap/>
            <w:vAlign w:val="bottom"/>
            <w:hideMark/>
          </w:tcPr>
          <w:p w:rsidR="00445755" w:rsidRPr="00445755" w:rsidRDefault="00445755" w:rsidP="00445755">
            <w:pPr>
              <w:spacing w:after="0" w:line="240" w:lineRule="auto"/>
              <w:jc w:val="left"/>
              <w:rPr>
                <w:rFonts w:cs="Arial"/>
                <w:color w:val="366092"/>
                <w:sz w:val="18"/>
                <w:szCs w:val="18"/>
                <w:lang w:eastAsia="en-AU"/>
              </w:rPr>
            </w:pPr>
            <w:r w:rsidRPr="00445755">
              <w:rPr>
                <w:rFonts w:cs="Arial"/>
                <w:color w:val="366092"/>
                <w:sz w:val="18"/>
                <w:szCs w:val="18"/>
                <w:lang w:eastAsia="en-AU"/>
              </w:rPr>
              <w:t>Course Enrolments</w:t>
            </w:r>
          </w:p>
        </w:tc>
        <w:tc>
          <w:tcPr>
            <w:tcW w:w="1391" w:type="dxa"/>
            <w:tcBorders>
              <w:top w:val="nil"/>
              <w:left w:val="nil"/>
              <w:bottom w:val="single" w:sz="4" w:space="0" w:color="366092"/>
              <w:right w:val="single" w:sz="4" w:space="0" w:color="366092"/>
            </w:tcBorders>
            <w:shd w:val="clear" w:color="auto" w:fill="auto"/>
            <w:noWrap/>
            <w:vAlign w:val="bottom"/>
            <w:hideMark/>
          </w:tcPr>
          <w:p w:rsidR="00445755" w:rsidRPr="00445755" w:rsidRDefault="00445755" w:rsidP="00445755">
            <w:pPr>
              <w:spacing w:after="0" w:line="240" w:lineRule="auto"/>
              <w:ind w:firstLineChars="100" w:firstLine="180"/>
              <w:jc w:val="right"/>
              <w:rPr>
                <w:rFonts w:cs="Arial"/>
                <w:sz w:val="18"/>
                <w:szCs w:val="18"/>
                <w:lang w:eastAsia="en-AU"/>
              </w:rPr>
            </w:pPr>
            <w:r w:rsidRPr="00445755">
              <w:rPr>
                <w:rFonts w:cs="Arial"/>
                <w:sz w:val="18"/>
                <w:szCs w:val="18"/>
                <w:lang w:eastAsia="en-AU"/>
              </w:rPr>
              <w:t>108%</w:t>
            </w:r>
          </w:p>
        </w:tc>
        <w:tc>
          <w:tcPr>
            <w:tcW w:w="1392" w:type="dxa"/>
            <w:tcBorders>
              <w:top w:val="nil"/>
              <w:left w:val="nil"/>
              <w:bottom w:val="single" w:sz="4" w:space="0" w:color="366092"/>
              <w:right w:val="single" w:sz="4" w:space="0" w:color="366092"/>
            </w:tcBorders>
            <w:shd w:val="clear" w:color="auto" w:fill="auto"/>
            <w:noWrap/>
            <w:vAlign w:val="bottom"/>
            <w:hideMark/>
          </w:tcPr>
          <w:p w:rsidR="00445755" w:rsidRPr="00445755" w:rsidRDefault="00445755" w:rsidP="00445755">
            <w:pPr>
              <w:spacing w:after="0" w:line="240" w:lineRule="auto"/>
              <w:ind w:firstLineChars="100" w:firstLine="180"/>
              <w:jc w:val="right"/>
              <w:rPr>
                <w:rFonts w:cs="Arial"/>
                <w:sz w:val="18"/>
                <w:szCs w:val="18"/>
                <w:lang w:eastAsia="en-AU"/>
              </w:rPr>
            </w:pPr>
            <w:r w:rsidRPr="00445755">
              <w:rPr>
                <w:rFonts w:cs="Arial"/>
                <w:sz w:val="18"/>
                <w:szCs w:val="18"/>
                <w:lang w:eastAsia="en-AU"/>
              </w:rPr>
              <w:t>26%</w:t>
            </w:r>
          </w:p>
        </w:tc>
        <w:tc>
          <w:tcPr>
            <w:tcW w:w="1392" w:type="dxa"/>
            <w:tcBorders>
              <w:top w:val="nil"/>
              <w:left w:val="nil"/>
              <w:bottom w:val="single" w:sz="4" w:space="0" w:color="366092"/>
              <w:right w:val="single" w:sz="4" w:space="0" w:color="366092"/>
            </w:tcBorders>
            <w:shd w:val="clear" w:color="auto" w:fill="auto"/>
            <w:noWrap/>
            <w:vAlign w:val="bottom"/>
            <w:hideMark/>
          </w:tcPr>
          <w:p w:rsidR="00445755" w:rsidRPr="00445755" w:rsidRDefault="00445755" w:rsidP="00445755">
            <w:pPr>
              <w:spacing w:after="0" w:line="240" w:lineRule="auto"/>
              <w:ind w:firstLineChars="100" w:firstLine="180"/>
              <w:jc w:val="right"/>
              <w:rPr>
                <w:rFonts w:cs="Arial"/>
                <w:sz w:val="18"/>
                <w:szCs w:val="18"/>
                <w:lang w:eastAsia="en-AU"/>
              </w:rPr>
            </w:pPr>
            <w:r w:rsidRPr="00445755">
              <w:rPr>
                <w:rFonts w:cs="Arial"/>
                <w:sz w:val="18"/>
                <w:szCs w:val="18"/>
                <w:lang w:eastAsia="en-AU"/>
              </w:rPr>
              <w:t>-1%</w:t>
            </w:r>
          </w:p>
        </w:tc>
      </w:tr>
      <w:tr w:rsidR="00445755" w:rsidRPr="00445755" w:rsidTr="00445755">
        <w:trPr>
          <w:trHeight w:val="342"/>
        </w:trPr>
        <w:tc>
          <w:tcPr>
            <w:tcW w:w="1985" w:type="dxa"/>
            <w:tcBorders>
              <w:top w:val="nil"/>
              <w:left w:val="single" w:sz="4" w:space="0" w:color="366092"/>
              <w:bottom w:val="single" w:sz="4" w:space="0" w:color="366092"/>
              <w:right w:val="single" w:sz="4" w:space="0" w:color="366092"/>
            </w:tcBorders>
            <w:shd w:val="clear" w:color="000000" w:fill="FFFFFF"/>
            <w:noWrap/>
            <w:vAlign w:val="bottom"/>
            <w:hideMark/>
          </w:tcPr>
          <w:p w:rsidR="00445755" w:rsidRPr="00445755" w:rsidRDefault="00445755" w:rsidP="00445755">
            <w:pPr>
              <w:spacing w:after="0" w:line="240" w:lineRule="auto"/>
              <w:jc w:val="left"/>
              <w:rPr>
                <w:rFonts w:cs="Arial"/>
                <w:color w:val="366092"/>
                <w:sz w:val="18"/>
                <w:szCs w:val="18"/>
                <w:lang w:eastAsia="en-AU"/>
              </w:rPr>
            </w:pPr>
            <w:r w:rsidRPr="00445755">
              <w:rPr>
                <w:rFonts w:cs="Arial"/>
                <w:color w:val="366092"/>
                <w:sz w:val="18"/>
                <w:szCs w:val="18"/>
                <w:lang w:eastAsia="en-AU"/>
              </w:rPr>
              <w:t>Up-Skilling</w:t>
            </w:r>
          </w:p>
        </w:tc>
        <w:tc>
          <w:tcPr>
            <w:tcW w:w="1391" w:type="dxa"/>
            <w:tcBorders>
              <w:top w:val="nil"/>
              <w:left w:val="nil"/>
              <w:bottom w:val="single" w:sz="4" w:space="0" w:color="366092"/>
              <w:right w:val="single" w:sz="4" w:space="0" w:color="366092"/>
            </w:tcBorders>
            <w:shd w:val="clear" w:color="auto" w:fill="auto"/>
            <w:noWrap/>
            <w:vAlign w:val="bottom"/>
            <w:hideMark/>
          </w:tcPr>
          <w:p w:rsidR="00445755" w:rsidRPr="00445755" w:rsidRDefault="00445755" w:rsidP="00445755">
            <w:pPr>
              <w:spacing w:after="0" w:line="240" w:lineRule="auto"/>
              <w:ind w:firstLineChars="100" w:firstLine="180"/>
              <w:jc w:val="right"/>
              <w:rPr>
                <w:rFonts w:cs="Arial"/>
                <w:sz w:val="18"/>
                <w:szCs w:val="18"/>
                <w:lang w:eastAsia="en-AU"/>
              </w:rPr>
            </w:pPr>
            <w:r w:rsidRPr="00445755">
              <w:rPr>
                <w:rFonts w:cs="Arial"/>
                <w:sz w:val="18"/>
                <w:szCs w:val="18"/>
                <w:lang w:eastAsia="en-AU"/>
              </w:rPr>
              <w:t>161%</w:t>
            </w:r>
          </w:p>
        </w:tc>
        <w:tc>
          <w:tcPr>
            <w:tcW w:w="1392" w:type="dxa"/>
            <w:tcBorders>
              <w:top w:val="nil"/>
              <w:left w:val="nil"/>
              <w:bottom w:val="single" w:sz="4" w:space="0" w:color="366092"/>
              <w:right w:val="single" w:sz="4" w:space="0" w:color="366092"/>
            </w:tcBorders>
            <w:shd w:val="clear" w:color="auto" w:fill="auto"/>
            <w:noWrap/>
            <w:vAlign w:val="bottom"/>
            <w:hideMark/>
          </w:tcPr>
          <w:p w:rsidR="00445755" w:rsidRPr="00445755" w:rsidRDefault="00445755" w:rsidP="00445755">
            <w:pPr>
              <w:spacing w:after="0" w:line="240" w:lineRule="auto"/>
              <w:ind w:firstLineChars="100" w:firstLine="180"/>
              <w:jc w:val="right"/>
              <w:rPr>
                <w:rFonts w:cs="Arial"/>
                <w:sz w:val="18"/>
                <w:szCs w:val="18"/>
                <w:lang w:eastAsia="en-AU"/>
              </w:rPr>
            </w:pPr>
            <w:r w:rsidRPr="00445755">
              <w:rPr>
                <w:rFonts w:cs="Arial"/>
                <w:sz w:val="18"/>
                <w:szCs w:val="18"/>
                <w:lang w:eastAsia="en-AU"/>
              </w:rPr>
              <w:t>26%</w:t>
            </w:r>
          </w:p>
        </w:tc>
        <w:tc>
          <w:tcPr>
            <w:tcW w:w="1392" w:type="dxa"/>
            <w:tcBorders>
              <w:top w:val="nil"/>
              <w:left w:val="nil"/>
              <w:bottom w:val="single" w:sz="4" w:space="0" w:color="366092"/>
              <w:right w:val="single" w:sz="4" w:space="0" w:color="366092"/>
            </w:tcBorders>
            <w:shd w:val="clear" w:color="auto" w:fill="auto"/>
            <w:noWrap/>
            <w:vAlign w:val="bottom"/>
            <w:hideMark/>
          </w:tcPr>
          <w:p w:rsidR="00445755" w:rsidRPr="00445755" w:rsidRDefault="00445755" w:rsidP="00445755">
            <w:pPr>
              <w:spacing w:after="0" w:line="240" w:lineRule="auto"/>
              <w:ind w:firstLineChars="100" w:firstLine="180"/>
              <w:jc w:val="right"/>
              <w:rPr>
                <w:rFonts w:cs="Arial"/>
                <w:sz w:val="18"/>
                <w:szCs w:val="18"/>
                <w:lang w:eastAsia="en-AU"/>
              </w:rPr>
            </w:pPr>
            <w:r w:rsidRPr="00445755">
              <w:rPr>
                <w:rFonts w:cs="Arial"/>
                <w:sz w:val="18"/>
                <w:szCs w:val="18"/>
                <w:lang w:eastAsia="en-AU"/>
              </w:rPr>
              <w:t>-4%</w:t>
            </w:r>
          </w:p>
        </w:tc>
      </w:tr>
    </w:tbl>
    <w:p w:rsidR="00D67B5E" w:rsidRPr="001F29E3" w:rsidRDefault="00D67B5E" w:rsidP="00D67B5E">
      <w:pPr>
        <w:spacing w:after="0"/>
        <w:rPr>
          <w:rFonts w:cs="Arial"/>
          <w:sz w:val="16"/>
          <w:szCs w:val="16"/>
        </w:rPr>
      </w:pPr>
      <w:r w:rsidRPr="001F29E3">
        <w:rPr>
          <w:rFonts w:cs="Arial"/>
          <w:sz w:val="16"/>
          <w:szCs w:val="16"/>
        </w:rPr>
        <w:t>Up-skilling refers to studying at a higher level than their current qualification.</w:t>
      </w:r>
    </w:p>
    <w:p w:rsidR="00D67B5E" w:rsidRPr="00A326AF" w:rsidRDefault="00D67B5E" w:rsidP="00D67B5E">
      <w:pPr>
        <w:rPr>
          <w:rFonts w:cs="Arial"/>
        </w:rPr>
      </w:pPr>
    </w:p>
    <w:p w:rsidR="00D67B5E" w:rsidRPr="00A326AF" w:rsidRDefault="00D67B5E" w:rsidP="00D67B5E">
      <w:pPr>
        <w:pStyle w:val="Caption"/>
        <w:rPr>
          <w:rFonts w:cs="Arial"/>
          <w:color w:val="auto"/>
        </w:rPr>
      </w:pPr>
    </w:p>
    <w:p w:rsidR="00D67B5E" w:rsidRPr="00A326AF" w:rsidRDefault="00D67B5E" w:rsidP="00D67B5E">
      <w:pPr>
        <w:jc w:val="left"/>
        <w:rPr>
          <w:rFonts w:cs="Arial"/>
          <w:b/>
          <w:bCs/>
          <w:szCs w:val="19"/>
        </w:rPr>
      </w:pPr>
    </w:p>
    <w:p w:rsidR="00D67B5E" w:rsidRPr="001F29E3" w:rsidRDefault="00D67B5E" w:rsidP="00D67B5E">
      <w:pPr>
        <w:pStyle w:val="Heading2"/>
      </w:pPr>
      <w:r w:rsidRPr="001F29E3">
        <w:br w:type="page"/>
      </w:r>
      <w:bookmarkStart w:id="91" w:name="_Toc388340458"/>
      <w:r w:rsidRPr="001F29E3">
        <w:t>Foundation Level Training</w:t>
      </w:r>
      <w:bookmarkEnd w:id="91"/>
    </w:p>
    <w:p w:rsidR="00D67B5E" w:rsidRDefault="00D67B5E" w:rsidP="00D67B5E">
      <w:pPr>
        <w:rPr>
          <w:rFonts w:cs="Arial"/>
        </w:rPr>
      </w:pPr>
    </w:p>
    <w:p w:rsidR="00D67B5E" w:rsidRDefault="00D67B5E" w:rsidP="00D67B5E">
      <w:pPr>
        <w:rPr>
          <w:rFonts w:cs="Arial"/>
        </w:rPr>
      </w:pPr>
      <w:r w:rsidRPr="001F29E3">
        <w:rPr>
          <w:rFonts w:cs="Arial"/>
        </w:rPr>
        <w:t xml:space="preserve">An efficient and effective training market </w:t>
      </w:r>
      <w:r>
        <w:rPr>
          <w:rFonts w:cs="Arial"/>
        </w:rPr>
        <w:t xml:space="preserve">is </w:t>
      </w:r>
      <w:r w:rsidRPr="001F29E3">
        <w:rPr>
          <w:rFonts w:cs="Arial"/>
        </w:rPr>
        <w:t xml:space="preserve">vital </w:t>
      </w:r>
      <w:r>
        <w:rPr>
          <w:rFonts w:cs="Arial"/>
        </w:rPr>
        <w:t xml:space="preserve">to </w:t>
      </w:r>
      <w:r w:rsidRPr="001F29E3">
        <w:rPr>
          <w:rFonts w:cs="Arial"/>
        </w:rPr>
        <w:t>provid</w:t>
      </w:r>
      <w:r>
        <w:rPr>
          <w:rFonts w:cs="Arial"/>
        </w:rPr>
        <w:t>e</w:t>
      </w:r>
      <w:r w:rsidRPr="001F29E3">
        <w:rPr>
          <w:rFonts w:cs="Arial"/>
        </w:rPr>
        <w:t xml:space="preserve"> better outcomes for </w:t>
      </w:r>
      <w:r>
        <w:rPr>
          <w:rFonts w:cs="Arial"/>
        </w:rPr>
        <w:t xml:space="preserve">students </w:t>
      </w:r>
      <w:r w:rsidRPr="001F29E3">
        <w:rPr>
          <w:rFonts w:cs="Arial"/>
        </w:rPr>
        <w:t xml:space="preserve">and employers, as well as the wider Victorian community. </w:t>
      </w:r>
      <w:r>
        <w:rPr>
          <w:rFonts w:cs="Arial"/>
        </w:rPr>
        <w:t xml:space="preserve">It is </w:t>
      </w:r>
      <w:r w:rsidRPr="001F29E3">
        <w:rPr>
          <w:rFonts w:cs="Arial"/>
        </w:rPr>
        <w:t>particular</w:t>
      </w:r>
      <w:r>
        <w:rPr>
          <w:rFonts w:cs="Arial"/>
        </w:rPr>
        <w:t>ly</w:t>
      </w:r>
      <w:r w:rsidRPr="001F29E3">
        <w:rPr>
          <w:rFonts w:cs="Arial"/>
        </w:rPr>
        <w:t xml:space="preserve"> importan</w:t>
      </w:r>
      <w:r>
        <w:rPr>
          <w:rFonts w:cs="Arial"/>
        </w:rPr>
        <w:t>t</w:t>
      </w:r>
      <w:r w:rsidRPr="001F29E3">
        <w:rPr>
          <w:rFonts w:cs="Arial"/>
        </w:rPr>
        <w:t xml:space="preserve"> </w:t>
      </w:r>
      <w:r>
        <w:rPr>
          <w:rFonts w:cs="Arial"/>
        </w:rPr>
        <w:t xml:space="preserve">to make sure </w:t>
      </w:r>
      <w:r w:rsidRPr="001F29E3">
        <w:rPr>
          <w:rFonts w:cs="Arial"/>
        </w:rPr>
        <w:t xml:space="preserve">school leavers and adults without </w:t>
      </w:r>
      <w:r>
        <w:rPr>
          <w:rFonts w:cs="Arial"/>
        </w:rPr>
        <w:t xml:space="preserve">solid literacy and numeracy skills </w:t>
      </w:r>
      <w:r w:rsidRPr="001F29E3">
        <w:rPr>
          <w:rFonts w:cs="Arial"/>
        </w:rPr>
        <w:t>are given the opportunity to acquire them</w:t>
      </w:r>
      <w:r>
        <w:rPr>
          <w:rFonts w:cs="Arial"/>
        </w:rPr>
        <w:t xml:space="preserve">. These skills will </w:t>
      </w:r>
      <w:r w:rsidRPr="001F29E3">
        <w:rPr>
          <w:rFonts w:cs="Arial"/>
        </w:rPr>
        <w:t xml:space="preserve">greatly improve their chances of employment, </w:t>
      </w:r>
      <w:r>
        <w:rPr>
          <w:rFonts w:cs="Arial"/>
        </w:rPr>
        <w:t xml:space="preserve">provide opportunities for </w:t>
      </w:r>
      <w:r w:rsidRPr="001F29E3">
        <w:rPr>
          <w:rFonts w:cs="Arial"/>
        </w:rPr>
        <w:t>further education and broader social participation.</w:t>
      </w:r>
    </w:p>
    <w:p w:rsidR="00F05562" w:rsidRDefault="00D3348C" w:rsidP="00D3348C">
      <w:r w:rsidRPr="0043328F">
        <w:t>The latest OECD study on adult literacy and numeracy</w:t>
      </w:r>
      <w:r w:rsidR="00C36D96">
        <w:rPr>
          <w:rStyle w:val="FootnoteReference"/>
        </w:rPr>
        <w:footnoteReference w:id="6"/>
      </w:r>
      <w:r w:rsidRPr="0043328F">
        <w:t xml:space="preserve"> </w:t>
      </w:r>
      <w:r w:rsidR="00BB7E11" w:rsidRPr="0043328F">
        <w:t xml:space="preserve">(Program for the International Assessment of Adult Competencies) </w:t>
      </w:r>
      <w:r w:rsidRPr="0043328F">
        <w:t>suggests that there is a significant proportion of the adult population with very low skills in literacy and numeracy, likely to be of a level to limit their effective participation in the economy</w:t>
      </w:r>
      <w:r w:rsidR="00BB7E11" w:rsidRPr="0043328F">
        <w:t xml:space="preserve">: </w:t>
      </w:r>
      <w:r w:rsidR="000F15B8" w:rsidRPr="0043328F">
        <w:t>about 14% (or 518,000) of Victorians aged 15-64 had low level of skills (proficiency level 1 or below) in literacy and 22% (or 818,600) had low level of skills in numeracy.</w:t>
      </w:r>
      <w:r w:rsidR="0043328F">
        <w:t xml:space="preserve"> These individuals</w:t>
      </w:r>
      <w:r w:rsidR="00D17AF1">
        <w:t xml:space="preserve"> would </w:t>
      </w:r>
      <w:r w:rsidR="0043328F">
        <w:t>benefit</w:t>
      </w:r>
      <w:r w:rsidR="00D17AF1">
        <w:t xml:space="preserve"> from f</w:t>
      </w:r>
      <w:r w:rsidR="0043328F">
        <w:t>oundation type courses.</w:t>
      </w:r>
      <w:r w:rsidR="00B5417B">
        <w:t xml:space="preserve"> </w:t>
      </w:r>
    </w:p>
    <w:p w:rsidR="00D3348C" w:rsidRDefault="00B5417B" w:rsidP="00D3348C">
      <w:r>
        <w:t xml:space="preserve">A study undertaken by the Australian Industry Group </w:t>
      </w:r>
      <w:r w:rsidRPr="00B5417B">
        <w:rPr>
          <w:i/>
        </w:rPr>
        <w:t>Getting it Right: Foundation Skills for the Workforce</w:t>
      </w:r>
      <w:r>
        <w:t xml:space="preserve"> found that employers continue to be concerned about the low levels of workplace literacy and numeracy, with 93 per cent of employers identifying some impact on their business.</w:t>
      </w:r>
    </w:p>
    <w:p w:rsidR="00D26B24" w:rsidRPr="000F15B8" w:rsidRDefault="00EC5297" w:rsidP="00D3348C">
      <w:r>
        <w:t xml:space="preserve">There were changes in subsidy </w:t>
      </w:r>
      <w:r w:rsidR="00FA5C8F">
        <w:t xml:space="preserve">and </w:t>
      </w:r>
      <w:r>
        <w:t>VTG arrangements associated with Foundation courses of study at the end of 2013. To ensure a consistent series of data on like courses are reported</w:t>
      </w:r>
      <w:r w:rsidR="00FA5C8F">
        <w:t xml:space="preserve">, </w:t>
      </w:r>
      <w:r>
        <w:t>a broader definition of “Foundation” is used in this section and in</w:t>
      </w:r>
      <w:r w:rsidR="00FA5C8F">
        <w:t xml:space="preserve"> other sections of this report, i.e. Foundation includes </w:t>
      </w:r>
      <w:r w:rsidR="00FA5C8F" w:rsidRPr="00FA5C8F">
        <w:t>Foundation</w:t>
      </w:r>
      <w:r w:rsidR="00FA5C8F">
        <w:t xml:space="preserve"> skills</w:t>
      </w:r>
      <w:r w:rsidR="00FA5C8F" w:rsidRPr="00FA5C8F">
        <w:t xml:space="preserve">, workplace preparation, educational pathways and </w:t>
      </w:r>
      <w:r w:rsidR="00FE017F">
        <w:t xml:space="preserve">low level </w:t>
      </w:r>
      <w:r w:rsidR="00FA5C8F" w:rsidRPr="00FA5C8F">
        <w:t>LOTE courses</w:t>
      </w:r>
    </w:p>
    <w:p w:rsidR="004C5F99" w:rsidRPr="004C5F99" w:rsidRDefault="004C5F99" w:rsidP="004C5F99"/>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D67B5E" w:rsidRPr="00240F20" w:rsidTr="002C191F">
        <w:trPr>
          <w:trHeight w:val="1449"/>
        </w:trPr>
        <w:tc>
          <w:tcPr>
            <w:tcW w:w="9088" w:type="dxa"/>
          </w:tcPr>
          <w:p w:rsidR="00D67B5E" w:rsidRDefault="00D67B5E" w:rsidP="0051046D">
            <w:pPr>
              <w:pStyle w:val="Heading3"/>
            </w:pPr>
            <w:r w:rsidRPr="00240F20">
              <w:t>Key Points</w:t>
            </w:r>
          </w:p>
          <w:p w:rsidR="00D67B5E" w:rsidRPr="00A326AF" w:rsidRDefault="00D67B5E" w:rsidP="0051046D"/>
          <w:p w:rsidR="00D67B5E" w:rsidRPr="00C34661" w:rsidRDefault="00FA5C8F" w:rsidP="00D83827">
            <w:pPr>
              <w:pStyle w:val="ListBullet"/>
              <w:numPr>
                <w:ilvl w:val="0"/>
                <w:numId w:val="28"/>
              </w:numPr>
              <w:ind w:right="113"/>
              <w:rPr>
                <w:rFonts w:cs="Arial"/>
              </w:rPr>
            </w:pPr>
            <w:r>
              <w:rPr>
                <w:rFonts w:cs="Arial"/>
              </w:rPr>
              <w:t>In 2013 there were 157,200 government subsidised e</w:t>
            </w:r>
            <w:r w:rsidR="00D67B5E" w:rsidRPr="002C191F">
              <w:rPr>
                <w:rFonts w:cs="Arial"/>
              </w:rPr>
              <w:t xml:space="preserve">nrolments in </w:t>
            </w:r>
            <w:r>
              <w:rPr>
                <w:rFonts w:cs="Arial"/>
              </w:rPr>
              <w:t>foundation skills courses. This was significantly higher than in 2011 and 2012.</w:t>
            </w:r>
          </w:p>
        </w:tc>
      </w:tr>
    </w:tbl>
    <w:p w:rsidR="00D67B5E" w:rsidRPr="001865CC" w:rsidRDefault="00D67B5E" w:rsidP="00D67B5E"/>
    <w:p w:rsidR="00D67B5E" w:rsidRDefault="00D67B5E" w:rsidP="00D67B5E">
      <w:pPr>
        <w:pStyle w:val="Caption"/>
        <w:jc w:val="left"/>
        <w:rPr>
          <w:rFonts w:cs="Arial"/>
          <w:color w:val="365F91" w:themeColor="accent1" w:themeShade="BF"/>
        </w:rPr>
      </w:pPr>
      <w:r w:rsidRPr="00F05562">
        <w:rPr>
          <w:rFonts w:cs="Arial"/>
          <w:color w:val="365F91" w:themeColor="accent1" w:themeShade="BF"/>
        </w:rPr>
        <w:t xml:space="preserve">Figure </w:t>
      </w:r>
      <w:r w:rsidR="005654CD" w:rsidRPr="00F05562">
        <w:rPr>
          <w:rFonts w:cs="Arial"/>
          <w:color w:val="365F91" w:themeColor="accent1" w:themeShade="BF"/>
        </w:rPr>
        <w:t>2</w:t>
      </w:r>
      <w:r w:rsidRPr="00F05562">
        <w:rPr>
          <w:rFonts w:cs="Arial"/>
          <w:color w:val="365F91" w:themeColor="accent1" w:themeShade="BF"/>
        </w:rPr>
        <w:t>.</w:t>
      </w:r>
      <w:r w:rsidR="00C91B0A">
        <w:rPr>
          <w:rFonts w:cs="Arial"/>
          <w:color w:val="365F91" w:themeColor="accent1" w:themeShade="BF"/>
        </w:rPr>
        <w:t>3</w:t>
      </w:r>
      <w:r w:rsidRPr="00F05562">
        <w:rPr>
          <w:rFonts w:cs="Arial"/>
          <w:color w:val="365F91" w:themeColor="accent1" w:themeShade="BF"/>
        </w:rPr>
        <w:t>: Government subsidised enrolments in foundation</w:t>
      </w:r>
      <w:r w:rsidR="00F156DC" w:rsidRPr="00F05562">
        <w:rPr>
          <w:rFonts w:cs="Arial"/>
          <w:color w:val="365F91" w:themeColor="accent1" w:themeShade="BF"/>
        </w:rPr>
        <w:t xml:space="preserve"> </w:t>
      </w:r>
      <w:r w:rsidRPr="00F05562">
        <w:rPr>
          <w:rFonts w:cs="Arial"/>
          <w:color w:val="365F91" w:themeColor="accent1" w:themeShade="BF"/>
        </w:rPr>
        <w:t xml:space="preserve">skills courses, 2008 – 2012, </w:t>
      </w:r>
      <w:r w:rsidR="00F156DC" w:rsidRPr="00F05562">
        <w:rPr>
          <w:rFonts w:cs="Arial"/>
          <w:color w:val="365F91" w:themeColor="accent1" w:themeShade="BF"/>
        </w:rPr>
        <w:br/>
      </w:r>
      <w:r w:rsidRPr="00F05562">
        <w:rPr>
          <w:rFonts w:cs="Arial"/>
          <w:color w:val="365F91" w:themeColor="accent1" w:themeShade="BF"/>
        </w:rPr>
        <w:t>2011, 2012 and 2013</w:t>
      </w:r>
    </w:p>
    <w:p w:rsidR="00F05562" w:rsidRPr="00F05562" w:rsidRDefault="00F05562" w:rsidP="00F05562">
      <w:r>
        <w:rPr>
          <w:noProof/>
          <w:lang w:eastAsia="en-AU"/>
        </w:rPr>
        <w:drawing>
          <wp:inline distT="0" distB="0" distL="0" distR="0" wp14:anchorId="3695BC66" wp14:editId="2AB8428E">
            <wp:extent cx="5657850" cy="27978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6">
                      <a:extLst>
                        <a:ext uri="{28A0092B-C50C-407E-A947-70E740481C1C}">
                          <a14:useLocalDpi xmlns:a14="http://schemas.microsoft.com/office/drawing/2010/main" val="0"/>
                        </a:ext>
                      </a:extLst>
                    </a:blip>
                    <a:srcRect t="16667"/>
                    <a:stretch/>
                  </pic:blipFill>
                  <pic:spPr bwMode="auto">
                    <a:xfrm>
                      <a:off x="0" y="0"/>
                      <a:ext cx="5659910" cy="2798868"/>
                    </a:xfrm>
                    <a:prstGeom prst="rect">
                      <a:avLst/>
                    </a:prstGeom>
                    <a:noFill/>
                    <a:ln>
                      <a:noFill/>
                    </a:ln>
                    <a:extLst>
                      <a:ext uri="{53640926-AAD7-44D8-BBD7-CCE9431645EC}">
                        <a14:shadowObscured xmlns:a14="http://schemas.microsoft.com/office/drawing/2010/main"/>
                      </a:ext>
                    </a:extLst>
                  </pic:spPr>
                </pic:pic>
              </a:graphicData>
            </a:graphic>
          </wp:inline>
        </w:drawing>
      </w:r>
    </w:p>
    <w:p w:rsidR="00D67B5E" w:rsidRPr="001F29E3" w:rsidRDefault="00D67B5E" w:rsidP="00D67B5E">
      <w:pPr>
        <w:jc w:val="center"/>
        <w:rPr>
          <w:rFonts w:cs="Arial"/>
        </w:rPr>
      </w:pPr>
    </w:p>
    <w:p w:rsidR="00D67B5E" w:rsidRDefault="00D67B5E" w:rsidP="00D67B5E">
      <w:pPr>
        <w:pStyle w:val="Caption"/>
      </w:pPr>
    </w:p>
    <w:p w:rsidR="00C34661" w:rsidRDefault="00C34661">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D67B5E" w:rsidRPr="00D26B24" w:rsidRDefault="00D67B5E" w:rsidP="00D67B5E">
      <w:pPr>
        <w:pStyle w:val="Caption"/>
        <w:spacing w:after="0" w:line="240" w:lineRule="auto"/>
        <w:jc w:val="left"/>
        <w:rPr>
          <w:rFonts w:cs="Arial"/>
          <w:color w:val="365F91" w:themeColor="accent1" w:themeShade="BF"/>
        </w:rPr>
      </w:pPr>
      <w:r w:rsidRPr="00D26B24">
        <w:rPr>
          <w:rFonts w:cs="Arial"/>
          <w:color w:val="365F91" w:themeColor="accent1" w:themeShade="BF"/>
        </w:rPr>
        <w:t xml:space="preserve">Table </w:t>
      </w:r>
      <w:r w:rsidR="005654CD" w:rsidRPr="00D26B24">
        <w:rPr>
          <w:rFonts w:cs="Arial"/>
          <w:color w:val="365F91" w:themeColor="accent1" w:themeShade="BF"/>
        </w:rPr>
        <w:t>2</w:t>
      </w:r>
      <w:r w:rsidRPr="00D26B24">
        <w:rPr>
          <w:rFonts w:cs="Arial"/>
          <w:color w:val="365F91" w:themeColor="accent1" w:themeShade="BF"/>
        </w:rPr>
        <w:t>.8.1: Government subsidised student contact hours in foundation skills courses, 2008-201</w:t>
      </w:r>
      <w:r w:rsidR="002F1E1A">
        <w:rPr>
          <w:rFonts w:cs="Arial"/>
          <w:color w:val="365F91" w:themeColor="accent1" w:themeShade="BF"/>
        </w:rPr>
        <w:t>3</w:t>
      </w:r>
    </w:p>
    <w:tbl>
      <w:tblPr>
        <w:tblW w:w="8919" w:type="dxa"/>
        <w:tblInd w:w="109"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199"/>
        <w:gridCol w:w="1120"/>
        <w:gridCol w:w="1120"/>
        <w:gridCol w:w="1120"/>
        <w:gridCol w:w="1120"/>
        <w:gridCol w:w="1120"/>
        <w:gridCol w:w="1120"/>
      </w:tblGrid>
      <w:tr w:rsidR="00D26B24" w:rsidRPr="00D26B24" w:rsidTr="00D26B24">
        <w:trPr>
          <w:trHeight w:val="720"/>
        </w:trPr>
        <w:tc>
          <w:tcPr>
            <w:tcW w:w="2199" w:type="dxa"/>
            <w:shd w:val="clear" w:color="000000" w:fill="366092"/>
            <w:noWrap/>
            <w:vAlign w:val="center"/>
            <w:hideMark/>
          </w:tcPr>
          <w:p w:rsidR="00D26B24" w:rsidRPr="00D26B24" w:rsidRDefault="00D26B24" w:rsidP="00D26B24">
            <w:pPr>
              <w:spacing w:after="0" w:line="240" w:lineRule="auto"/>
              <w:ind w:firstLineChars="100" w:firstLine="181"/>
              <w:jc w:val="left"/>
              <w:rPr>
                <w:rFonts w:cs="Arial"/>
                <w:b/>
                <w:bCs/>
                <w:color w:val="FFFFFF"/>
                <w:sz w:val="18"/>
                <w:szCs w:val="18"/>
                <w:lang w:eastAsia="en-AU"/>
              </w:rPr>
            </w:pPr>
            <w:r w:rsidRPr="00D26B24">
              <w:rPr>
                <w:rFonts w:cs="Arial"/>
                <w:b/>
                <w:bCs/>
                <w:color w:val="FFFFFF"/>
                <w:sz w:val="18"/>
                <w:szCs w:val="18"/>
                <w:lang w:eastAsia="en-AU"/>
              </w:rPr>
              <w:t> </w:t>
            </w:r>
          </w:p>
        </w:tc>
        <w:tc>
          <w:tcPr>
            <w:tcW w:w="1120" w:type="dxa"/>
            <w:shd w:val="clear" w:color="000000" w:fill="366092"/>
            <w:vAlign w:val="center"/>
            <w:hideMark/>
          </w:tcPr>
          <w:p w:rsidR="00D26B24" w:rsidRPr="00D26B24" w:rsidRDefault="00D26B24" w:rsidP="00D26B24">
            <w:pPr>
              <w:spacing w:after="0" w:line="240" w:lineRule="auto"/>
              <w:ind w:firstLineChars="100" w:firstLine="181"/>
              <w:jc w:val="right"/>
              <w:rPr>
                <w:rFonts w:cs="Arial"/>
                <w:b/>
                <w:bCs/>
                <w:color w:val="FFFFFF"/>
                <w:sz w:val="18"/>
                <w:szCs w:val="18"/>
                <w:lang w:eastAsia="en-AU"/>
              </w:rPr>
            </w:pPr>
            <w:r w:rsidRPr="00D26B24">
              <w:rPr>
                <w:rFonts w:cs="Arial"/>
                <w:b/>
                <w:bCs/>
                <w:color w:val="FFFFFF"/>
                <w:sz w:val="18"/>
                <w:szCs w:val="18"/>
                <w:lang w:eastAsia="en-AU"/>
              </w:rPr>
              <w:t>2008</w:t>
            </w:r>
          </w:p>
        </w:tc>
        <w:tc>
          <w:tcPr>
            <w:tcW w:w="1120" w:type="dxa"/>
            <w:shd w:val="clear" w:color="000000" w:fill="366092"/>
            <w:vAlign w:val="center"/>
            <w:hideMark/>
          </w:tcPr>
          <w:p w:rsidR="00D26B24" w:rsidRPr="00D26B24" w:rsidRDefault="00D26B24" w:rsidP="00D26B24">
            <w:pPr>
              <w:spacing w:after="0" w:line="240" w:lineRule="auto"/>
              <w:ind w:firstLineChars="100" w:firstLine="181"/>
              <w:jc w:val="right"/>
              <w:rPr>
                <w:rFonts w:cs="Arial"/>
                <w:b/>
                <w:bCs/>
                <w:color w:val="FFFFFF"/>
                <w:sz w:val="18"/>
                <w:szCs w:val="18"/>
                <w:lang w:eastAsia="en-AU"/>
              </w:rPr>
            </w:pPr>
            <w:r w:rsidRPr="00D26B24">
              <w:rPr>
                <w:rFonts w:cs="Arial"/>
                <w:b/>
                <w:bCs/>
                <w:color w:val="FFFFFF"/>
                <w:sz w:val="18"/>
                <w:szCs w:val="18"/>
                <w:lang w:eastAsia="en-AU"/>
              </w:rPr>
              <w:t>2009</w:t>
            </w:r>
          </w:p>
        </w:tc>
        <w:tc>
          <w:tcPr>
            <w:tcW w:w="1120" w:type="dxa"/>
            <w:shd w:val="clear" w:color="000000" w:fill="366092"/>
            <w:vAlign w:val="center"/>
            <w:hideMark/>
          </w:tcPr>
          <w:p w:rsidR="00D26B24" w:rsidRPr="00D26B24" w:rsidRDefault="00D26B24" w:rsidP="00D26B24">
            <w:pPr>
              <w:spacing w:after="0" w:line="240" w:lineRule="auto"/>
              <w:ind w:firstLineChars="100" w:firstLine="181"/>
              <w:jc w:val="right"/>
              <w:rPr>
                <w:rFonts w:cs="Arial"/>
                <w:b/>
                <w:bCs/>
                <w:color w:val="FFFFFF"/>
                <w:sz w:val="18"/>
                <w:szCs w:val="18"/>
                <w:lang w:eastAsia="en-AU"/>
              </w:rPr>
            </w:pPr>
            <w:r w:rsidRPr="00D26B24">
              <w:rPr>
                <w:rFonts w:cs="Arial"/>
                <w:b/>
                <w:bCs/>
                <w:color w:val="FFFFFF"/>
                <w:sz w:val="18"/>
                <w:szCs w:val="18"/>
                <w:lang w:eastAsia="en-AU"/>
              </w:rPr>
              <w:t>2010</w:t>
            </w:r>
          </w:p>
        </w:tc>
        <w:tc>
          <w:tcPr>
            <w:tcW w:w="1120" w:type="dxa"/>
            <w:shd w:val="clear" w:color="000000" w:fill="366092"/>
            <w:vAlign w:val="center"/>
            <w:hideMark/>
          </w:tcPr>
          <w:p w:rsidR="00D26B24" w:rsidRPr="00D26B24" w:rsidRDefault="00D26B24" w:rsidP="00D26B24">
            <w:pPr>
              <w:spacing w:after="0" w:line="240" w:lineRule="auto"/>
              <w:ind w:firstLineChars="100" w:firstLine="181"/>
              <w:jc w:val="right"/>
              <w:rPr>
                <w:rFonts w:cs="Arial"/>
                <w:b/>
                <w:bCs/>
                <w:color w:val="FFFFFF"/>
                <w:sz w:val="18"/>
                <w:szCs w:val="18"/>
                <w:lang w:eastAsia="en-AU"/>
              </w:rPr>
            </w:pPr>
            <w:r w:rsidRPr="00D26B24">
              <w:rPr>
                <w:rFonts w:cs="Arial"/>
                <w:b/>
                <w:bCs/>
                <w:color w:val="FFFFFF"/>
                <w:sz w:val="18"/>
                <w:szCs w:val="18"/>
                <w:lang w:eastAsia="en-AU"/>
              </w:rPr>
              <w:t>2011</w:t>
            </w:r>
          </w:p>
        </w:tc>
        <w:tc>
          <w:tcPr>
            <w:tcW w:w="1120" w:type="dxa"/>
            <w:shd w:val="clear" w:color="000000" w:fill="366092"/>
            <w:vAlign w:val="center"/>
            <w:hideMark/>
          </w:tcPr>
          <w:p w:rsidR="00D26B24" w:rsidRPr="00D26B24" w:rsidRDefault="00D26B24" w:rsidP="00D26B24">
            <w:pPr>
              <w:spacing w:after="0" w:line="240" w:lineRule="auto"/>
              <w:ind w:firstLineChars="100" w:firstLine="181"/>
              <w:jc w:val="right"/>
              <w:rPr>
                <w:rFonts w:cs="Arial"/>
                <w:b/>
                <w:bCs/>
                <w:color w:val="FFFFFF"/>
                <w:sz w:val="18"/>
                <w:szCs w:val="18"/>
                <w:lang w:eastAsia="en-AU"/>
              </w:rPr>
            </w:pPr>
            <w:r w:rsidRPr="00D26B24">
              <w:rPr>
                <w:rFonts w:cs="Arial"/>
                <w:b/>
                <w:bCs/>
                <w:color w:val="FFFFFF"/>
                <w:sz w:val="18"/>
                <w:szCs w:val="18"/>
                <w:lang w:eastAsia="en-AU"/>
              </w:rPr>
              <w:t>2012</w:t>
            </w:r>
          </w:p>
        </w:tc>
        <w:tc>
          <w:tcPr>
            <w:tcW w:w="1120" w:type="dxa"/>
            <w:shd w:val="clear" w:color="000000" w:fill="366092"/>
            <w:vAlign w:val="center"/>
            <w:hideMark/>
          </w:tcPr>
          <w:p w:rsidR="00D26B24" w:rsidRPr="00D26B24" w:rsidRDefault="00D26B24" w:rsidP="00D26B24">
            <w:pPr>
              <w:spacing w:after="0" w:line="240" w:lineRule="auto"/>
              <w:ind w:firstLineChars="100" w:firstLine="181"/>
              <w:jc w:val="right"/>
              <w:rPr>
                <w:rFonts w:cs="Arial"/>
                <w:b/>
                <w:bCs/>
                <w:color w:val="FFFFFF"/>
                <w:sz w:val="18"/>
                <w:szCs w:val="18"/>
                <w:lang w:eastAsia="en-AU"/>
              </w:rPr>
            </w:pPr>
            <w:r w:rsidRPr="00D26B24">
              <w:rPr>
                <w:rFonts w:cs="Arial"/>
                <w:b/>
                <w:bCs/>
                <w:color w:val="FFFFFF"/>
                <w:sz w:val="18"/>
                <w:szCs w:val="18"/>
                <w:lang w:eastAsia="en-AU"/>
              </w:rPr>
              <w:t>2013</w:t>
            </w:r>
          </w:p>
        </w:tc>
      </w:tr>
      <w:tr w:rsidR="00D26B24" w:rsidRPr="00D26B24" w:rsidTr="00FE017F">
        <w:trPr>
          <w:trHeight w:val="345"/>
        </w:trPr>
        <w:tc>
          <w:tcPr>
            <w:tcW w:w="2199" w:type="dxa"/>
            <w:shd w:val="clear" w:color="000000" w:fill="FFFFFF"/>
            <w:noWrap/>
            <w:vAlign w:val="center"/>
            <w:hideMark/>
          </w:tcPr>
          <w:p w:rsidR="00D26B24" w:rsidRPr="00D26B24" w:rsidRDefault="00D26B24" w:rsidP="00FE017F">
            <w:pPr>
              <w:spacing w:after="0" w:line="240" w:lineRule="auto"/>
              <w:jc w:val="left"/>
              <w:rPr>
                <w:rFonts w:cs="Arial"/>
                <w:color w:val="366092"/>
                <w:sz w:val="18"/>
                <w:szCs w:val="18"/>
                <w:lang w:eastAsia="en-AU"/>
              </w:rPr>
            </w:pPr>
            <w:r w:rsidRPr="00D26B24">
              <w:rPr>
                <w:rFonts w:cs="Arial"/>
                <w:color w:val="366092"/>
                <w:sz w:val="18"/>
                <w:szCs w:val="18"/>
                <w:lang w:eastAsia="en-AU"/>
              </w:rPr>
              <w:t>Student contact hours</w:t>
            </w:r>
          </w:p>
        </w:tc>
        <w:tc>
          <w:tcPr>
            <w:tcW w:w="1120" w:type="dxa"/>
            <w:shd w:val="clear" w:color="auto" w:fill="auto"/>
            <w:noWrap/>
            <w:vAlign w:val="bottom"/>
            <w:hideMark/>
          </w:tcPr>
          <w:p w:rsidR="00D26B24" w:rsidRPr="00D26B24" w:rsidRDefault="00D26B24" w:rsidP="00D26B24">
            <w:pPr>
              <w:spacing w:after="0" w:line="240" w:lineRule="auto"/>
              <w:jc w:val="right"/>
              <w:rPr>
                <w:rFonts w:cs="Arial"/>
                <w:sz w:val="18"/>
                <w:szCs w:val="18"/>
                <w:lang w:eastAsia="en-AU"/>
              </w:rPr>
            </w:pPr>
            <w:r w:rsidRPr="00D26B24">
              <w:rPr>
                <w:rFonts w:cs="Arial"/>
                <w:sz w:val="18"/>
                <w:szCs w:val="18"/>
                <w:lang w:eastAsia="en-AU"/>
              </w:rPr>
              <w:t xml:space="preserve">9.7 </w:t>
            </w:r>
          </w:p>
        </w:tc>
        <w:tc>
          <w:tcPr>
            <w:tcW w:w="1120" w:type="dxa"/>
            <w:shd w:val="clear" w:color="auto" w:fill="auto"/>
            <w:noWrap/>
            <w:vAlign w:val="bottom"/>
            <w:hideMark/>
          </w:tcPr>
          <w:p w:rsidR="00D26B24" w:rsidRPr="00D26B24" w:rsidRDefault="00D26B24" w:rsidP="00D26B24">
            <w:pPr>
              <w:spacing w:after="0" w:line="240" w:lineRule="auto"/>
              <w:jc w:val="right"/>
              <w:rPr>
                <w:rFonts w:cs="Arial"/>
                <w:sz w:val="18"/>
                <w:szCs w:val="18"/>
                <w:lang w:eastAsia="en-AU"/>
              </w:rPr>
            </w:pPr>
            <w:r w:rsidRPr="00D26B24">
              <w:rPr>
                <w:rFonts w:cs="Arial"/>
                <w:sz w:val="18"/>
                <w:szCs w:val="18"/>
                <w:lang w:eastAsia="en-AU"/>
              </w:rPr>
              <w:t xml:space="preserve">10.4 </w:t>
            </w:r>
          </w:p>
        </w:tc>
        <w:tc>
          <w:tcPr>
            <w:tcW w:w="1120" w:type="dxa"/>
            <w:shd w:val="clear" w:color="auto" w:fill="auto"/>
            <w:noWrap/>
            <w:vAlign w:val="bottom"/>
            <w:hideMark/>
          </w:tcPr>
          <w:p w:rsidR="00D26B24" w:rsidRPr="00D26B24" w:rsidRDefault="00D26B24" w:rsidP="00D26B24">
            <w:pPr>
              <w:spacing w:after="0" w:line="240" w:lineRule="auto"/>
              <w:jc w:val="right"/>
              <w:rPr>
                <w:rFonts w:cs="Arial"/>
                <w:sz w:val="18"/>
                <w:szCs w:val="18"/>
                <w:lang w:eastAsia="en-AU"/>
              </w:rPr>
            </w:pPr>
            <w:r w:rsidRPr="00D26B24">
              <w:rPr>
                <w:rFonts w:cs="Arial"/>
                <w:sz w:val="18"/>
                <w:szCs w:val="18"/>
                <w:lang w:eastAsia="en-AU"/>
              </w:rPr>
              <w:t xml:space="preserve">9.5 </w:t>
            </w:r>
          </w:p>
        </w:tc>
        <w:tc>
          <w:tcPr>
            <w:tcW w:w="1120" w:type="dxa"/>
            <w:shd w:val="clear" w:color="auto" w:fill="auto"/>
            <w:noWrap/>
            <w:vAlign w:val="bottom"/>
            <w:hideMark/>
          </w:tcPr>
          <w:p w:rsidR="00D26B24" w:rsidRPr="00D26B24" w:rsidRDefault="00D26B24" w:rsidP="00D26B24">
            <w:pPr>
              <w:spacing w:after="0" w:line="240" w:lineRule="auto"/>
              <w:jc w:val="right"/>
              <w:rPr>
                <w:rFonts w:cs="Arial"/>
                <w:sz w:val="18"/>
                <w:szCs w:val="18"/>
                <w:lang w:eastAsia="en-AU"/>
              </w:rPr>
            </w:pPr>
            <w:r w:rsidRPr="00D26B24">
              <w:rPr>
                <w:rFonts w:cs="Arial"/>
                <w:sz w:val="18"/>
                <w:szCs w:val="18"/>
                <w:lang w:eastAsia="en-AU"/>
              </w:rPr>
              <w:t xml:space="preserve">14.7 </w:t>
            </w:r>
          </w:p>
        </w:tc>
        <w:tc>
          <w:tcPr>
            <w:tcW w:w="1120" w:type="dxa"/>
            <w:shd w:val="clear" w:color="auto" w:fill="auto"/>
            <w:noWrap/>
            <w:vAlign w:val="bottom"/>
            <w:hideMark/>
          </w:tcPr>
          <w:p w:rsidR="00D26B24" w:rsidRPr="00D26B24" w:rsidRDefault="00D26B24" w:rsidP="00D26B24">
            <w:pPr>
              <w:spacing w:after="0" w:line="240" w:lineRule="auto"/>
              <w:jc w:val="right"/>
              <w:rPr>
                <w:rFonts w:cs="Arial"/>
                <w:sz w:val="18"/>
                <w:szCs w:val="18"/>
                <w:lang w:eastAsia="en-AU"/>
              </w:rPr>
            </w:pPr>
            <w:r w:rsidRPr="00D26B24">
              <w:rPr>
                <w:rFonts w:cs="Arial"/>
                <w:sz w:val="18"/>
                <w:szCs w:val="18"/>
                <w:lang w:eastAsia="en-AU"/>
              </w:rPr>
              <w:t xml:space="preserve">22.6 </w:t>
            </w:r>
          </w:p>
        </w:tc>
        <w:tc>
          <w:tcPr>
            <w:tcW w:w="1120" w:type="dxa"/>
            <w:shd w:val="clear" w:color="auto" w:fill="auto"/>
            <w:noWrap/>
            <w:vAlign w:val="bottom"/>
            <w:hideMark/>
          </w:tcPr>
          <w:p w:rsidR="00D26B24" w:rsidRPr="00D26B24" w:rsidRDefault="00D26B24" w:rsidP="00D26B24">
            <w:pPr>
              <w:spacing w:after="0" w:line="240" w:lineRule="auto"/>
              <w:jc w:val="right"/>
              <w:rPr>
                <w:rFonts w:cs="Arial"/>
                <w:sz w:val="18"/>
                <w:szCs w:val="18"/>
                <w:lang w:eastAsia="en-AU"/>
              </w:rPr>
            </w:pPr>
            <w:r w:rsidRPr="00D26B24">
              <w:rPr>
                <w:rFonts w:cs="Arial"/>
                <w:sz w:val="18"/>
                <w:szCs w:val="18"/>
                <w:lang w:eastAsia="en-AU"/>
              </w:rPr>
              <w:t xml:space="preserve">30.8 </w:t>
            </w:r>
          </w:p>
        </w:tc>
      </w:tr>
    </w:tbl>
    <w:p w:rsidR="00D26B24" w:rsidRDefault="00D26B24" w:rsidP="00D26B24"/>
    <w:p w:rsidR="00D26B24" w:rsidRPr="00D26B24" w:rsidRDefault="00D26B24" w:rsidP="00D26B24"/>
    <w:p w:rsidR="00D67B5E" w:rsidRDefault="00D67B5E" w:rsidP="00D67B5E">
      <w:pPr>
        <w:pStyle w:val="Caption"/>
        <w:spacing w:after="0" w:line="240" w:lineRule="auto"/>
        <w:jc w:val="left"/>
        <w:rPr>
          <w:rFonts w:cs="Arial"/>
          <w:color w:val="365F91" w:themeColor="accent1" w:themeShade="BF"/>
        </w:rPr>
      </w:pPr>
      <w:r w:rsidRPr="00D26B24">
        <w:rPr>
          <w:rFonts w:cs="Arial"/>
          <w:color w:val="365F91" w:themeColor="accent1" w:themeShade="BF"/>
        </w:rPr>
        <w:t xml:space="preserve">Table </w:t>
      </w:r>
      <w:r w:rsidR="005654CD" w:rsidRPr="00D26B24">
        <w:rPr>
          <w:rFonts w:cs="Arial"/>
          <w:color w:val="365F91" w:themeColor="accent1" w:themeShade="BF"/>
        </w:rPr>
        <w:t>2</w:t>
      </w:r>
      <w:r w:rsidRPr="00D26B24">
        <w:rPr>
          <w:rFonts w:cs="Arial"/>
          <w:color w:val="365F91" w:themeColor="accent1" w:themeShade="BF"/>
        </w:rPr>
        <w:t>.8.2</w:t>
      </w:r>
      <w:r w:rsidR="00D26B24">
        <w:rPr>
          <w:rFonts w:cs="Arial"/>
          <w:color w:val="365F91" w:themeColor="accent1" w:themeShade="BF"/>
        </w:rPr>
        <w:t>: Change in g</w:t>
      </w:r>
      <w:r w:rsidRPr="00D26B24">
        <w:rPr>
          <w:rFonts w:cs="Arial"/>
          <w:color w:val="365F91" w:themeColor="accent1" w:themeShade="BF"/>
        </w:rPr>
        <w:t>overnment subsidised student contact hours in foundation skills courses</w:t>
      </w:r>
    </w:p>
    <w:tbl>
      <w:tblPr>
        <w:tblW w:w="5811" w:type="dxa"/>
        <w:tblInd w:w="109" w:type="dxa"/>
        <w:tblLayout w:type="fixed"/>
        <w:tblLook w:val="04A0" w:firstRow="1" w:lastRow="0" w:firstColumn="1" w:lastColumn="0" w:noHBand="0" w:noVBand="1"/>
      </w:tblPr>
      <w:tblGrid>
        <w:gridCol w:w="2199"/>
        <w:gridCol w:w="1204"/>
        <w:gridCol w:w="1204"/>
        <w:gridCol w:w="1204"/>
      </w:tblGrid>
      <w:tr w:rsidR="009E226C" w:rsidRPr="009E226C" w:rsidTr="00FE017F">
        <w:trPr>
          <w:trHeight w:val="720"/>
        </w:trPr>
        <w:tc>
          <w:tcPr>
            <w:tcW w:w="2199"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9E226C" w:rsidRPr="009E226C" w:rsidRDefault="009E226C" w:rsidP="009E226C">
            <w:pPr>
              <w:spacing w:after="0" w:line="240" w:lineRule="auto"/>
              <w:ind w:firstLineChars="100" w:firstLine="181"/>
              <w:jc w:val="left"/>
              <w:rPr>
                <w:rFonts w:cs="Arial"/>
                <w:b/>
                <w:bCs/>
                <w:color w:val="FFFFFF"/>
                <w:sz w:val="18"/>
                <w:szCs w:val="18"/>
                <w:lang w:eastAsia="en-AU"/>
              </w:rPr>
            </w:pPr>
            <w:r w:rsidRPr="009E226C">
              <w:rPr>
                <w:rFonts w:cs="Arial"/>
                <w:b/>
                <w:bCs/>
                <w:color w:val="FFFFFF"/>
                <w:sz w:val="18"/>
                <w:szCs w:val="18"/>
                <w:lang w:eastAsia="en-AU"/>
              </w:rPr>
              <w:t> </w:t>
            </w:r>
          </w:p>
        </w:tc>
        <w:tc>
          <w:tcPr>
            <w:tcW w:w="1204" w:type="dxa"/>
            <w:tcBorders>
              <w:top w:val="single" w:sz="4" w:space="0" w:color="366092"/>
              <w:left w:val="nil"/>
              <w:bottom w:val="single" w:sz="4" w:space="0" w:color="366092"/>
              <w:right w:val="single" w:sz="4" w:space="0" w:color="366092"/>
            </w:tcBorders>
            <w:shd w:val="clear" w:color="000000" w:fill="366092"/>
            <w:vAlign w:val="center"/>
            <w:hideMark/>
          </w:tcPr>
          <w:p w:rsidR="009E226C" w:rsidRPr="009E226C" w:rsidRDefault="009E226C" w:rsidP="009E226C">
            <w:pPr>
              <w:spacing w:after="0" w:line="240" w:lineRule="auto"/>
              <w:jc w:val="center"/>
              <w:rPr>
                <w:rFonts w:cs="Arial"/>
                <w:b/>
                <w:bCs/>
                <w:color w:val="FFFFFF"/>
                <w:sz w:val="18"/>
                <w:szCs w:val="18"/>
                <w:lang w:eastAsia="en-AU"/>
              </w:rPr>
            </w:pPr>
            <w:r w:rsidRPr="009E226C">
              <w:rPr>
                <w:rFonts w:cs="Arial"/>
                <w:b/>
                <w:bCs/>
                <w:color w:val="FFFFFF"/>
                <w:sz w:val="18"/>
                <w:szCs w:val="18"/>
                <w:lang w:eastAsia="en-AU"/>
              </w:rPr>
              <w:t>% change</w:t>
            </w:r>
            <w:r w:rsidRPr="009E226C">
              <w:rPr>
                <w:rFonts w:cs="Arial"/>
                <w:b/>
                <w:bCs/>
                <w:color w:val="FFFFFF"/>
                <w:sz w:val="18"/>
                <w:szCs w:val="18"/>
                <w:lang w:eastAsia="en-AU"/>
              </w:rPr>
              <w:br/>
              <w:t>2008-2013</w:t>
            </w:r>
          </w:p>
        </w:tc>
        <w:tc>
          <w:tcPr>
            <w:tcW w:w="1204" w:type="dxa"/>
            <w:tcBorders>
              <w:top w:val="single" w:sz="4" w:space="0" w:color="366092"/>
              <w:left w:val="nil"/>
              <w:bottom w:val="single" w:sz="4" w:space="0" w:color="366092"/>
              <w:right w:val="single" w:sz="4" w:space="0" w:color="366092"/>
            </w:tcBorders>
            <w:shd w:val="clear" w:color="000000" w:fill="366092"/>
            <w:vAlign w:val="center"/>
            <w:hideMark/>
          </w:tcPr>
          <w:p w:rsidR="009E226C" w:rsidRPr="009E226C" w:rsidRDefault="009E226C" w:rsidP="009E226C">
            <w:pPr>
              <w:spacing w:after="0" w:line="240" w:lineRule="auto"/>
              <w:jc w:val="center"/>
              <w:rPr>
                <w:rFonts w:cs="Arial"/>
                <w:b/>
                <w:bCs/>
                <w:color w:val="FFFFFF"/>
                <w:sz w:val="18"/>
                <w:szCs w:val="18"/>
                <w:lang w:eastAsia="en-AU"/>
              </w:rPr>
            </w:pPr>
            <w:r w:rsidRPr="009E226C">
              <w:rPr>
                <w:rFonts w:cs="Arial"/>
                <w:b/>
                <w:bCs/>
                <w:color w:val="FFFFFF"/>
                <w:sz w:val="18"/>
                <w:szCs w:val="18"/>
                <w:lang w:eastAsia="en-AU"/>
              </w:rPr>
              <w:t>% change</w:t>
            </w:r>
            <w:r w:rsidRPr="009E226C">
              <w:rPr>
                <w:rFonts w:cs="Arial"/>
                <w:b/>
                <w:bCs/>
                <w:color w:val="FFFFFF"/>
                <w:sz w:val="18"/>
                <w:szCs w:val="18"/>
                <w:lang w:eastAsia="en-AU"/>
              </w:rPr>
              <w:br/>
              <w:t>2011-2013 </w:t>
            </w:r>
          </w:p>
        </w:tc>
        <w:tc>
          <w:tcPr>
            <w:tcW w:w="1204" w:type="dxa"/>
            <w:tcBorders>
              <w:top w:val="single" w:sz="4" w:space="0" w:color="366092"/>
              <w:left w:val="nil"/>
              <w:bottom w:val="single" w:sz="4" w:space="0" w:color="366092"/>
              <w:right w:val="single" w:sz="4" w:space="0" w:color="366092"/>
            </w:tcBorders>
            <w:shd w:val="clear" w:color="000000" w:fill="366092"/>
            <w:vAlign w:val="center"/>
            <w:hideMark/>
          </w:tcPr>
          <w:p w:rsidR="009E226C" w:rsidRPr="009E226C" w:rsidRDefault="009E226C" w:rsidP="009E226C">
            <w:pPr>
              <w:spacing w:after="0" w:line="240" w:lineRule="auto"/>
              <w:jc w:val="center"/>
              <w:rPr>
                <w:rFonts w:cs="Arial"/>
                <w:b/>
                <w:bCs/>
                <w:color w:val="FFFFFF"/>
                <w:sz w:val="18"/>
                <w:szCs w:val="18"/>
                <w:lang w:eastAsia="en-AU"/>
              </w:rPr>
            </w:pPr>
            <w:r w:rsidRPr="009E226C">
              <w:rPr>
                <w:rFonts w:cs="Arial"/>
                <w:b/>
                <w:bCs/>
                <w:color w:val="FFFFFF"/>
                <w:sz w:val="18"/>
                <w:szCs w:val="18"/>
                <w:lang w:eastAsia="en-AU"/>
              </w:rPr>
              <w:t>% change</w:t>
            </w:r>
            <w:r w:rsidRPr="009E226C">
              <w:rPr>
                <w:rFonts w:cs="Arial"/>
                <w:b/>
                <w:bCs/>
                <w:color w:val="FFFFFF"/>
                <w:sz w:val="18"/>
                <w:szCs w:val="18"/>
                <w:lang w:eastAsia="en-AU"/>
              </w:rPr>
              <w:br/>
              <w:t>2012-2013</w:t>
            </w:r>
          </w:p>
        </w:tc>
      </w:tr>
      <w:tr w:rsidR="009E226C" w:rsidRPr="009E226C" w:rsidTr="00FE017F">
        <w:trPr>
          <w:trHeight w:val="345"/>
        </w:trPr>
        <w:tc>
          <w:tcPr>
            <w:tcW w:w="2199" w:type="dxa"/>
            <w:tcBorders>
              <w:top w:val="nil"/>
              <w:left w:val="single" w:sz="4" w:space="0" w:color="366092"/>
              <w:bottom w:val="single" w:sz="4" w:space="0" w:color="366092"/>
              <w:right w:val="single" w:sz="4" w:space="0" w:color="366092"/>
            </w:tcBorders>
            <w:shd w:val="clear" w:color="000000" w:fill="FFFFFF"/>
            <w:noWrap/>
            <w:vAlign w:val="center"/>
            <w:hideMark/>
          </w:tcPr>
          <w:p w:rsidR="009E226C" w:rsidRPr="009E226C" w:rsidRDefault="009E226C" w:rsidP="00FE017F">
            <w:pPr>
              <w:spacing w:after="0" w:line="240" w:lineRule="auto"/>
              <w:jc w:val="left"/>
              <w:rPr>
                <w:rFonts w:cs="Arial"/>
                <w:color w:val="366092"/>
                <w:sz w:val="18"/>
                <w:szCs w:val="18"/>
                <w:lang w:eastAsia="en-AU"/>
              </w:rPr>
            </w:pPr>
            <w:r w:rsidRPr="009E226C">
              <w:rPr>
                <w:rFonts w:cs="Arial"/>
                <w:color w:val="366092"/>
                <w:sz w:val="18"/>
                <w:szCs w:val="18"/>
                <w:lang w:eastAsia="en-AU"/>
              </w:rPr>
              <w:t>Student contact hours</w:t>
            </w:r>
          </w:p>
        </w:tc>
        <w:tc>
          <w:tcPr>
            <w:tcW w:w="1204" w:type="dxa"/>
            <w:tcBorders>
              <w:top w:val="nil"/>
              <w:left w:val="nil"/>
              <w:bottom w:val="single" w:sz="4" w:space="0" w:color="366092"/>
              <w:right w:val="single" w:sz="4" w:space="0" w:color="366092"/>
            </w:tcBorders>
            <w:shd w:val="clear" w:color="auto" w:fill="auto"/>
            <w:noWrap/>
            <w:vAlign w:val="bottom"/>
            <w:hideMark/>
          </w:tcPr>
          <w:p w:rsidR="009E226C" w:rsidRPr="009E226C" w:rsidRDefault="009E226C" w:rsidP="009E226C">
            <w:pPr>
              <w:spacing w:after="0" w:line="240" w:lineRule="auto"/>
              <w:ind w:firstLineChars="100" w:firstLine="180"/>
              <w:jc w:val="right"/>
              <w:rPr>
                <w:rFonts w:cs="Arial"/>
                <w:sz w:val="18"/>
                <w:szCs w:val="18"/>
                <w:lang w:eastAsia="en-AU"/>
              </w:rPr>
            </w:pPr>
            <w:r w:rsidRPr="009E226C">
              <w:rPr>
                <w:rFonts w:cs="Arial"/>
                <w:sz w:val="18"/>
                <w:szCs w:val="18"/>
                <w:lang w:eastAsia="en-AU"/>
              </w:rPr>
              <w:t>217%</w:t>
            </w:r>
          </w:p>
        </w:tc>
        <w:tc>
          <w:tcPr>
            <w:tcW w:w="1204" w:type="dxa"/>
            <w:tcBorders>
              <w:top w:val="nil"/>
              <w:left w:val="nil"/>
              <w:bottom w:val="single" w:sz="4" w:space="0" w:color="366092"/>
              <w:right w:val="single" w:sz="4" w:space="0" w:color="366092"/>
            </w:tcBorders>
            <w:shd w:val="clear" w:color="auto" w:fill="auto"/>
            <w:noWrap/>
            <w:vAlign w:val="bottom"/>
            <w:hideMark/>
          </w:tcPr>
          <w:p w:rsidR="009E226C" w:rsidRPr="009E226C" w:rsidRDefault="009E226C" w:rsidP="009E226C">
            <w:pPr>
              <w:spacing w:after="0" w:line="240" w:lineRule="auto"/>
              <w:ind w:firstLineChars="100" w:firstLine="180"/>
              <w:jc w:val="right"/>
              <w:rPr>
                <w:rFonts w:cs="Arial"/>
                <w:sz w:val="18"/>
                <w:szCs w:val="18"/>
                <w:lang w:eastAsia="en-AU"/>
              </w:rPr>
            </w:pPr>
            <w:r w:rsidRPr="009E226C">
              <w:rPr>
                <w:rFonts w:cs="Arial"/>
                <w:sz w:val="18"/>
                <w:szCs w:val="18"/>
                <w:lang w:eastAsia="en-AU"/>
              </w:rPr>
              <w:t>110%</w:t>
            </w:r>
          </w:p>
        </w:tc>
        <w:tc>
          <w:tcPr>
            <w:tcW w:w="1204" w:type="dxa"/>
            <w:tcBorders>
              <w:top w:val="nil"/>
              <w:left w:val="nil"/>
              <w:bottom w:val="single" w:sz="4" w:space="0" w:color="366092"/>
              <w:right w:val="single" w:sz="4" w:space="0" w:color="366092"/>
            </w:tcBorders>
            <w:shd w:val="clear" w:color="auto" w:fill="auto"/>
            <w:noWrap/>
            <w:vAlign w:val="bottom"/>
            <w:hideMark/>
          </w:tcPr>
          <w:p w:rsidR="009E226C" w:rsidRPr="009E226C" w:rsidRDefault="009E226C" w:rsidP="009E226C">
            <w:pPr>
              <w:spacing w:after="0" w:line="240" w:lineRule="auto"/>
              <w:ind w:firstLineChars="100" w:firstLine="180"/>
              <w:jc w:val="right"/>
              <w:rPr>
                <w:rFonts w:cs="Arial"/>
                <w:sz w:val="18"/>
                <w:szCs w:val="18"/>
                <w:lang w:eastAsia="en-AU"/>
              </w:rPr>
            </w:pPr>
            <w:r w:rsidRPr="009E226C">
              <w:rPr>
                <w:rFonts w:cs="Arial"/>
                <w:sz w:val="18"/>
                <w:szCs w:val="18"/>
                <w:lang w:eastAsia="en-AU"/>
              </w:rPr>
              <w:t>36%</w:t>
            </w:r>
          </w:p>
        </w:tc>
      </w:tr>
    </w:tbl>
    <w:p w:rsidR="009E226C" w:rsidRDefault="009E226C" w:rsidP="009E226C"/>
    <w:p w:rsidR="00D67B5E" w:rsidRPr="00C7735A" w:rsidRDefault="00D67B5E" w:rsidP="00D67B5E"/>
    <w:p w:rsidR="00D67B5E" w:rsidRDefault="005654CD" w:rsidP="00F156DC">
      <w:pPr>
        <w:pStyle w:val="Caption"/>
        <w:spacing w:after="0"/>
        <w:jc w:val="left"/>
        <w:rPr>
          <w:rFonts w:cs="Arial"/>
          <w:color w:val="365F91" w:themeColor="accent1" w:themeShade="BF"/>
        </w:rPr>
      </w:pPr>
      <w:r w:rsidRPr="002F1E1A">
        <w:rPr>
          <w:rFonts w:cs="Arial"/>
          <w:color w:val="365F91" w:themeColor="accent1" w:themeShade="BF"/>
        </w:rPr>
        <w:t>Table 2</w:t>
      </w:r>
      <w:r w:rsidR="00D67B5E" w:rsidRPr="002F1E1A">
        <w:rPr>
          <w:rFonts w:cs="Arial"/>
          <w:color w:val="365F91" w:themeColor="accent1" w:themeShade="BF"/>
        </w:rPr>
        <w:t>.9.1: Government subsidised students in foundation skills courses by age group, 2008-201</w:t>
      </w:r>
      <w:r w:rsidR="002F1E1A">
        <w:rPr>
          <w:rFonts w:cs="Arial"/>
          <w:color w:val="365F91" w:themeColor="accent1" w:themeShade="BF"/>
        </w:rPr>
        <w:t>3</w:t>
      </w:r>
    </w:p>
    <w:tbl>
      <w:tblPr>
        <w:tblW w:w="9179" w:type="dxa"/>
        <w:tblInd w:w="109"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385"/>
        <w:gridCol w:w="1132"/>
        <w:gridCol w:w="1132"/>
        <w:gridCol w:w="1133"/>
        <w:gridCol w:w="1132"/>
        <w:gridCol w:w="1132"/>
        <w:gridCol w:w="1133"/>
      </w:tblGrid>
      <w:tr w:rsidR="002F1E1A" w:rsidRPr="002F1E1A" w:rsidTr="00C6238D">
        <w:trPr>
          <w:trHeight w:val="675"/>
        </w:trPr>
        <w:tc>
          <w:tcPr>
            <w:tcW w:w="2385" w:type="dxa"/>
            <w:shd w:val="clear" w:color="000000" w:fill="366092"/>
            <w:noWrap/>
            <w:vAlign w:val="center"/>
            <w:hideMark/>
          </w:tcPr>
          <w:p w:rsidR="002F1E1A" w:rsidRPr="002F1E1A" w:rsidRDefault="002F1E1A" w:rsidP="002F1E1A">
            <w:pPr>
              <w:spacing w:after="0" w:line="240" w:lineRule="auto"/>
              <w:ind w:firstLineChars="100" w:firstLine="181"/>
              <w:jc w:val="left"/>
              <w:rPr>
                <w:rFonts w:cs="Arial"/>
                <w:b/>
                <w:bCs/>
                <w:color w:val="FFFFFF"/>
                <w:sz w:val="18"/>
                <w:szCs w:val="18"/>
                <w:lang w:eastAsia="en-AU"/>
              </w:rPr>
            </w:pPr>
            <w:r w:rsidRPr="002F1E1A">
              <w:rPr>
                <w:rFonts w:cs="Arial"/>
                <w:b/>
                <w:bCs/>
                <w:color w:val="FFFFFF"/>
                <w:sz w:val="18"/>
                <w:szCs w:val="18"/>
                <w:lang w:eastAsia="en-AU"/>
              </w:rPr>
              <w:t> </w:t>
            </w:r>
          </w:p>
        </w:tc>
        <w:tc>
          <w:tcPr>
            <w:tcW w:w="1132" w:type="dxa"/>
            <w:shd w:val="clear" w:color="000000" w:fill="366092"/>
            <w:vAlign w:val="center"/>
            <w:hideMark/>
          </w:tcPr>
          <w:p w:rsidR="002F1E1A" w:rsidRPr="002F1E1A" w:rsidRDefault="002F1E1A" w:rsidP="002F1E1A">
            <w:pPr>
              <w:spacing w:after="0" w:line="240" w:lineRule="auto"/>
              <w:ind w:firstLineChars="100" w:firstLine="181"/>
              <w:jc w:val="right"/>
              <w:rPr>
                <w:rFonts w:cs="Arial"/>
                <w:b/>
                <w:bCs/>
                <w:color w:val="FFFFFF"/>
                <w:sz w:val="18"/>
                <w:szCs w:val="18"/>
                <w:lang w:eastAsia="en-AU"/>
              </w:rPr>
            </w:pPr>
            <w:r w:rsidRPr="002F1E1A">
              <w:rPr>
                <w:rFonts w:cs="Arial"/>
                <w:b/>
                <w:bCs/>
                <w:color w:val="FFFFFF"/>
                <w:sz w:val="18"/>
                <w:szCs w:val="18"/>
                <w:lang w:eastAsia="en-AU"/>
              </w:rPr>
              <w:t>2008</w:t>
            </w:r>
          </w:p>
        </w:tc>
        <w:tc>
          <w:tcPr>
            <w:tcW w:w="1132" w:type="dxa"/>
            <w:shd w:val="clear" w:color="000000" w:fill="366092"/>
            <w:vAlign w:val="center"/>
            <w:hideMark/>
          </w:tcPr>
          <w:p w:rsidR="002F1E1A" w:rsidRPr="002F1E1A" w:rsidRDefault="002F1E1A" w:rsidP="002F1E1A">
            <w:pPr>
              <w:spacing w:after="0" w:line="240" w:lineRule="auto"/>
              <w:ind w:firstLineChars="100" w:firstLine="181"/>
              <w:jc w:val="right"/>
              <w:rPr>
                <w:rFonts w:cs="Arial"/>
                <w:b/>
                <w:bCs/>
                <w:color w:val="FFFFFF"/>
                <w:sz w:val="18"/>
                <w:szCs w:val="18"/>
                <w:lang w:eastAsia="en-AU"/>
              </w:rPr>
            </w:pPr>
            <w:r w:rsidRPr="002F1E1A">
              <w:rPr>
                <w:rFonts w:cs="Arial"/>
                <w:b/>
                <w:bCs/>
                <w:color w:val="FFFFFF"/>
                <w:sz w:val="18"/>
                <w:szCs w:val="18"/>
                <w:lang w:eastAsia="en-AU"/>
              </w:rPr>
              <w:t>2009</w:t>
            </w:r>
          </w:p>
        </w:tc>
        <w:tc>
          <w:tcPr>
            <w:tcW w:w="1133" w:type="dxa"/>
            <w:shd w:val="clear" w:color="000000" w:fill="366092"/>
            <w:vAlign w:val="center"/>
            <w:hideMark/>
          </w:tcPr>
          <w:p w:rsidR="002F1E1A" w:rsidRPr="002F1E1A" w:rsidRDefault="002F1E1A" w:rsidP="002F1E1A">
            <w:pPr>
              <w:spacing w:after="0" w:line="240" w:lineRule="auto"/>
              <w:ind w:firstLineChars="100" w:firstLine="181"/>
              <w:jc w:val="right"/>
              <w:rPr>
                <w:rFonts w:cs="Arial"/>
                <w:b/>
                <w:bCs/>
                <w:color w:val="FFFFFF"/>
                <w:sz w:val="18"/>
                <w:szCs w:val="18"/>
                <w:lang w:eastAsia="en-AU"/>
              </w:rPr>
            </w:pPr>
            <w:r w:rsidRPr="002F1E1A">
              <w:rPr>
                <w:rFonts w:cs="Arial"/>
                <w:b/>
                <w:bCs/>
                <w:color w:val="FFFFFF"/>
                <w:sz w:val="18"/>
                <w:szCs w:val="18"/>
                <w:lang w:eastAsia="en-AU"/>
              </w:rPr>
              <w:t>2010</w:t>
            </w:r>
          </w:p>
        </w:tc>
        <w:tc>
          <w:tcPr>
            <w:tcW w:w="1132" w:type="dxa"/>
            <w:shd w:val="clear" w:color="000000" w:fill="366092"/>
            <w:vAlign w:val="center"/>
            <w:hideMark/>
          </w:tcPr>
          <w:p w:rsidR="002F1E1A" w:rsidRPr="002F1E1A" w:rsidRDefault="002F1E1A" w:rsidP="002F1E1A">
            <w:pPr>
              <w:spacing w:after="0" w:line="240" w:lineRule="auto"/>
              <w:ind w:firstLineChars="100" w:firstLine="181"/>
              <w:jc w:val="right"/>
              <w:rPr>
                <w:rFonts w:cs="Arial"/>
                <w:b/>
                <w:bCs/>
                <w:color w:val="FFFFFF"/>
                <w:sz w:val="18"/>
                <w:szCs w:val="18"/>
                <w:lang w:eastAsia="en-AU"/>
              </w:rPr>
            </w:pPr>
            <w:r w:rsidRPr="002F1E1A">
              <w:rPr>
                <w:rFonts w:cs="Arial"/>
                <w:b/>
                <w:bCs/>
                <w:color w:val="FFFFFF"/>
                <w:sz w:val="18"/>
                <w:szCs w:val="18"/>
                <w:lang w:eastAsia="en-AU"/>
              </w:rPr>
              <w:t>2011</w:t>
            </w:r>
          </w:p>
        </w:tc>
        <w:tc>
          <w:tcPr>
            <w:tcW w:w="1132" w:type="dxa"/>
            <w:shd w:val="clear" w:color="000000" w:fill="366092"/>
            <w:vAlign w:val="center"/>
            <w:hideMark/>
          </w:tcPr>
          <w:p w:rsidR="002F1E1A" w:rsidRPr="002F1E1A" w:rsidRDefault="002F1E1A" w:rsidP="002F1E1A">
            <w:pPr>
              <w:spacing w:after="0" w:line="240" w:lineRule="auto"/>
              <w:ind w:firstLineChars="100" w:firstLine="181"/>
              <w:jc w:val="right"/>
              <w:rPr>
                <w:rFonts w:cs="Arial"/>
                <w:b/>
                <w:bCs/>
                <w:color w:val="FFFFFF"/>
                <w:sz w:val="18"/>
                <w:szCs w:val="18"/>
                <w:lang w:eastAsia="en-AU"/>
              </w:rPr>
            </w:pPr>
            <w:r w:rsidRPr="002F1E1A">
              <w:rPr>
                <w:rFonts w:cs="Arial"/>
                <w:b/>
                <w:bCs/>
                <w:color w:val="FFFFFF"/>
                <w:sz w:val="18"/>
                <w:szCs w:val="18"/>
                <w:lang w:eastAsia="en-AU"/>
              </w:rPr>
              <w:t>2012</w:t>
            </w:r>
          </w:p>
        </w:tc>
        <w:tc>
          <w:tcPr>
            <w:tcW w:w="1133" w:type="dxa"/>
            <w:shd w:val="clear" w:color="000000" w:fill="366092"/>
            <w:vAlign w:val="center"/>
            <w:hideMark/>
          </w:tcPr>
          <w:p w:rsidR="002F1E1A" w:rsidRPr="002F1E1A" w:rsidRDefault="002F1E1A" w:rsidP="002F1E1A">
            <w:pPr>
              <w:spacing w:after="0" w:line="240" w:lineRule="auto"/>
              <w:ind w:firstLineChars="100" w:firstLine="181"/>
              <w:jc w:val="right"/>
              <w:rPr>
                <w:rFonts w:cs="Arial"/>
                <w:b/>
                <w:bCs/>
                <w:color w:val="FFFFFF"/>
                <w:sz w:val="18"/>
                <w:szCs w:val="18"/>
                <w:lang w:eastAsia="en-AU"/>
              </w:rPr>
            </w:pPr>
            <w:r w:rsidRPr="002F1E1A">
              <w:rPr>
                <w:rFonts w:cs="Arial"/>
                <w:b/>
                <w:bCs/>
                <w:color w:val="FFFFFF"/>
                <w:sz w:val="18"/>
                <w:szCs w:val="18"/>
                <w:lang w:eastAsia="en-AU"/>
              </w:rPr>
              <w:t>2013</w:t>
            </w:r>
          </w:p>
        </w:tc>
      </w:tr>
      <w:tr w:rsidR="002F1E1A" w:rsidRPr="002F1E1A" w:rsidTr="00C6238D">
        <w:trPr>
          <w:trHeight w:val="345"/>
        </w:trPr>
        <w:tc>
          <w:tcPr>
            <w:tcW w:w="2385" w:type="dxa"/>
            <w:shd w:val="clear" w:color="000000" w:fill="FFFFFF"/>
            <w:noWrap/>
            <w:vAlign w:val="center"/>
            <w:hideMark/>
          </w:tcPr>
          <w:p w:rsidR="002F1E1A" w:rsidRPr="002F1E1A" w:rsidRDefault="002F1E1A" w:rsidP="00C6238D">
            <w:pPr>
              <w:spacing w:after="0" w:line="240" w:lineRule="auto"/>
              <w:jc w:val="left"/>
              <w:rPr>
                <w:rFonts w:cs="Arial"/>
                <w:color w:val="366092"/>
                <w:sz w:val="18"/>
                <w:szCs w:val="18"/>
                <w:lang w:eastAsia="en-AU"/>
              </w:rPr>
            </w:pPr>
            <w:r w:rsidRPr="002F1E1A">
              <w:rPr>
                <w:rFonts w:cs="Arial"/>
                <w:color w:val="366092"/>
                <w:sz w:val="18"/>
                <w:szCs w:val="18"/>
                <w:lang w:eastAsia="en-AU"/>
              </w:rPr>
              <w:t>15 to 19</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10,500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10,800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12,600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19,200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39,400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48,300</w:t>
            </w:r>
          </w:p>
        </w:tc>
      </w:tr>
      <w:tr w:rsidR="002F1E1A" w:rsidRPr="002F1E1A" w:rsidTr="00C6238D">
        <w:trPr>
          <w:trHeight w:val="345"/>
        </w:trPr>
        <w:tc>
          <w:tcPr>
            <w:tcW w:w="2385" w:type="dxa"/>
            <w:shd w:val="clear" w:color="000000" w:fill="FFFFFF"/>
            <w:noWrap/>
            <w:vAlign w:val="center"/>
            <w:hideMark/>
          </w:tcPr>
          <w:p w:rsidR="002F1E1A" w:rsidRPr="002F1E1A" w:rsidRDefault="002F1E1A" w:rsidP="00C6238D">
            <w:pPr>
              <w:spacing w:after="0" w:line="240" w:lineRule="auto"/>
              <w:jc w:val="left"/>
              <w:rPr>
                <w:rFonts w:cs="Arial"/>
                <w:color w:val="366092"/>
                <w:sz w:val="18"/>
                <w:szCs w:val="18"/>
                <w:lang w:eastAsia="en-AU"/>
              </w:rPr>
            </w:pPr>
            <w:r w:rsidRPr="002F1E1A">
              <w:rPr>
                <w:rFonts w:cs="Arial"/>
                <w:color w:val="366092"/>
                <w:sz w:val="18"/>
                <w:szCs w:val="18"/>
                <w:lang w:eastAsia="en-AU"/>
              </w:rPr>
              <w:t>20 to 24</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4,600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4,100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5,000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8,500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22,500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31,000</w:t>
            </w:r>
          </w:p>
        </w:tc>
      </w:tr>
      <w:tr w:rsidR="002F1E1A" w:rsidRPr="002F1E1A" w:rsidTr="00C6238D">
        <w:trPr>
          <w:trHeight w:val="345"/>
        </w:trPr>
        <w:tc>
          <w:tcPr>
            <w:tcW w:w="2385" w:type="dxa"/>
            <w:shd w:val="clear" w:color="000000" w:fill="FFFFFF"/>
            <w:noWrap/>
            <w:vAlign w:val="center"/>
            <w:hideMark/>
          </w:tcPr>
          <w:p w:rsidR="002F1E1A" w:rsidRPr="002F1E1A" w:rsidRDefault="002F1E1A" w:rsidP="00C6238D">
            <w:pPr>
              <w:spacing w:after="0" w:line="240" w:lineRule="auto"/>
              <w:jc w:val="left"/>
              <w:rPr>
                <w:rFonts w:cs="Arial"/>
                <w:color w:val="366092"/>
                <w:sz w:val="18"/>
                <w:szCs w:val="18"/>
                <w:lang w:eastAsia="en-AU"/>
              </w:rPr>
            </w:pPr>
            <w:r w:rsidRPr="002F1E1A">
              <w:rPr>
                <w:rFonts w:cs="Arial"/>
                <w:color w:val="366092"/>
                <w:sz w:val="18"/>
                <w:szCs w:val="18"/>
                <w:lang w:eastAsia="en-AU"/>
              </w:rPr>
              <w:t>25 to 44</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15,200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13,100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13,400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20,700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37,300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48,700</w:t>
            </w:r>
          </w:p>
        </w:tc>
      </w:tr>
      <w:tr w:rsidR="002F1E1A" w:rsidRPr="002F1E1A" w:rsidTr="00C6238D">
        <w:trPr>
          <w:trHeight w:val="345"/>
        </w:trPr>
        <w:tc>
          <w:tcPr>
            <w:tcW w:w="2385" w:type="dxa"/>
            <w:shd w:val="clear" w:color="000000" w:fill="FFFFFF"/>
            <w:noWrap/>
            <w:vAlign w:val="center"/>
            <w:hideMark/>
          </w:tcPr>
          <w:p w:rsidR="002F1E1A" w:rsidRPr="002F1E1A" w:rsidRDefault="002F1E1A" w:rsidP="00C6238D">
            <w:pPr>
              <w:spacing w:after="0" w:line="240" w:lineRule="auto"/>
              <w:jc w:val="left"/>
              <w:rPr>
                <w:rFonts w:cs="Arial"/>
                <w:color w:val="366092"/>
                <w:sz w:val="18"/>
                <w:szCs w:val="18"/>
                <w:lang w:eastAsia="en-AU"/>
              </w:rPr>
            </w:pPr>
            <w:r w:rsidRPr="002F1E1A">
              <w:rPr>
                <w:rFonts w:cs="Arial"/>
                <w:color w:val="366092"/>
                <w:sz w:val="18"/>
                <w:szCs w:val="18"/>
                <w:lang w:eastAsia="en-AU"/>
              </w:rPr>
              <w:t>45 to 64</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7,300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6,700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7,000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11,200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20,400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24,900</w:t>
            </w:r>
          </w:p>
        </w:tc>
      </w:tr>
      <w:tr w:rsidR="002F1E1A" w:rsidRPr="002F1E1A" w:rsidTr="00C6238D">
        <w:trPr>
          <w:trHeight w:val="345"/>
        </w:trPr>
        <w:tc>
          <w:tcPr>
            <w:tcW w:w="2385" w:type="dxa"/>
            <w:shd w:val="clear" w:color="000000" w:fill="FFFFFF"/>
            <w:noWrap/>
            <w:vAlign w:val="center"/>
            <w:hideMark/>
          </w:tcPr>
          <w:p w:rsidR="002F1E1A" w:rsidRPr="002F1E1A" w:rsidRDefault="002F1E1A" w:rsidP="00C6238D">
            <w:pPr>
              <w:spacing w:after="0" w:line="240" w:lineRule="auto"/>
              <w:jc w:val="left"/>
              <w:rPr>
                <w:rFonts w:cs="Arial"/>
                <w:color w:val="366092"/>
                <w:sz w:val="18"/>
                <w:szCs w:val="18"/>
                <w:lang w:eastAsia="en-AU"/>
              </w:rPr>
            </w:pPr>
            <w:r w:rsidRPr="002F1E1A">
              <w:rPr>
                <w:rFonts w:cs="Arial"/>
                <w:color w:val="366092"/>
                <w:sz w:val="18"/>
                <w:szCs w:val="18"/>
                <w:lang w:eastAsia="en-AU"/>
              </w:rPr>
              <w:t>Under 15, over 64, not stated</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1,300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1,200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1,000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1,400</w:t>
            </w:r>
          </w:p>
        </w:tc>
        <w:tc>
          <w:tcPr>
            <w:tcW w:w="1132"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4,200</w:t>
            </w:r>
          </w:p>
        </w:tc>
        <w:tc>
          <w:tcPr>
            <w:tcW w:w="1133" w:type="dxa"/>
            <w:shd w:val="clear" w:color="auto" w:fill="auto"/>
            <w:noWrap/>
            <w:vAlign w:val="center"/>
            <w:hideMark/>
          </w:tcPr>
          <w:p w:rsidR="002F1E1A" w:rsidRPr="002F1E1A" w:rsidRDefault="002F1E1A" w:rsidP="002F1E1A">
            <w:pPr>
              <w:spacing w:after="0" w:line="240" w:lineRule="auto"/>
              <w:jc w:val="right"/>
              <w:rPr>
                <w:rFonts w:cs="Arial"/>
                <w:sz w:val="18"/>
                <w:szCs w:val="18"/>
                <w:lang w:eastAsia="en-AU"/>
              </w:rPr>
            </w:pPr>
            <w:r w:rsidRPr="002F1E1A">
              <w:rPr>
                <w:rFonts w:cs="Arial"/>
                <w:sz w:val="18"/>
                <w:szCs w:val="18"/>
                <w:lang w:eastAsia="en-AU"/>
              </w:rPr>
              <w:t>4,300</w:t>
            </w:r>
          </w:p>
        </w:tc>
      </w:tr>
      <w:tr w:rsidR="002F1E1A" w:rsidRPr="002F1E1A" w:rsidTr="00C6238D">
        <w:trPr>
          <w:trHeight w:val="345"/>
        </w:trPr>
        <w:tc>
          <w:tcPr>
            <w:tcW w:w="2385" w:type="dxa"/>
            <w:shd w:val="clear" w:color="000000" w:fill="366092"/>
            <w:noWrap/>
            <w:vAlign w:val="bottom"/>
            <w:hideMark/>
          </w:tcPr>
          <w:p w:rsidR="002F1E1A" w:rsidRPr="002F1E1A" w:rsidRDefault="002F1E1A" w:rsidP="002F1E1A">
            <w:pPr>
              <w:spacing w:after="0" w:line="240" w:lineRule="auto"/>
              <w:jc w:val="left"/>
              <w:rPr>
                <w:rFonts w:cs="Arial"/>
                <w:b/>
                <w:bCs/>
                <w:color w:val="FFFFFF"/>
                <w:sz w:val="18"/>
                <w:szCs w:val="18"/>
                <w:lang w:eastAsia="en-AU"/>
              </w:rPr>
            </w:pPr>
            <w:r w:rsidRPr="002F1E1A">
              <w:rPr>
                <w:rFonts w:cs="Arial"/>
                <w:b/>
                <w:bCs/>
                <w:color w:val="FFFFFF"/>
                <w:sz w:val="18"/>
                <w:szCs w:val="18"/>
                <w:lang w:eastAsia="en-AU"/>
              </w:rPr>
              <w:t>Total</w:t>
            </w:r>
          </w:p>
        </w:tc>
        <w:tc>
          <w:tcPr>
            <w:tcW w:w="1132" w:type="dxa"/>
            <w:shd w:val="clear" w:color="000000" w:fill="366092"/>
            <w:noWrap/>
            <w:vAlign w:val="bottom"/>
            <w:hideMark/>
          </w:tcPr>
          <w:p w:rsidR="002F1E1A" w:rsidRPr="002F1E1A" w:rsidRDefault="002F1E1A" w:rsidP="002F1E1A">
            <w:pPr>
              <w:spacing w:after="0" w:line="240" w:lineRule="auto"/>
              <w:jc w:val="right"/>
              <w:rPr>
                <w:rFonts w:cs="Arial"/>
                <w:b/>
                <w:bCs/>
                <w:color w:val="FFFFFF"/>
                <w:sz w:val="18"/>
                <w:szCs w:val="18"/>
                <w:lang w:eastAsia="en-AU"/>
              </w:rPr>
            </w:pPr>
            <w:r w:rsidRPr="002F1E1A">
              <w:rPr>
                <w:rFonts w:cs="Arial"/>
                <w:b/>
                <w:bCs/>
                <w:color w:val="FFFFFF"/>
                <w:sz w:val="18"/>
                <w:szCs w:val="18"/>
                <w:lang w:eastAsia="en-AU"/>
              </w:rPr>
              <w:t xml:space="preserve">         38,800 </w:t>
            </w:r>
          </w:p>
        </w:tc>
        <w:tc>
          <w:tcPr>
            <w:tcW w:w="1132" w:type="dxa"/>
            <w:shd w:val="clear" w:color="000000" w:fill="366092"/>
            <w:noWrap/>
            <w:vAlign w:val="bottom"/>
            <w:hideMark/>
          </w:tcPr>
          <w:p w:rsidR="002F1E1A" w:rsidRPr="002F1E1A" w:rsidRDefault="002F1E1A" w:rsidP="002F1E1A">
            <w:pPr>
              <w:spacing w:after="0" w:line="240" w:lineRule="auto"/>
              <w:jc w:val="right"/>
              <w:rPr>
                <w:rFonts w:cs="Arial"/>
                <w:b/>
                <w:bCs/>
                <w:color w:val="FFFFFF"/>
                <w:sz w:val="18"/>
                <w:szCs w:val="18"/>
                <w:lang w:eastAsia="en-AU"/>
              </w:rPr>
            </w:pPr>
            <w:r w:rsidRPr="002F1E1A">
              <w:rPr>
                <w:rFonts w:cs="Arial"/>
                <w:b/>
                <w:bCs/>
                <w:color w:val="FFFFFF"/>
                <w:sz w:val="18"/>
                <w:szCs w:val="18"/>
                <w:lang w:eastAsia="en-AU"/>
              </w:rPr>
              <w:t xml:space="preserve">         35,900 </w:t>
            </w:r>
          </w:p>
        </w:tc>
        <w:tc>
          <w:tcPr>
            <w:tcW w:w="1133" w:type="dxa"/>
            <w:shd w:val="clear" w:color="000000" w:fill="366092"/>
            <w:noWrap/>
            <w:vAlign w:val="bottom"/>
            <w:hideMark/>
          </w:tcPr>
          <w:p w:rsidR="002F1E1A" w:rsidRPr="002F1E1A" w:rsidRDefault="002F1E1A" w:rsidP="002F1E1A">
            <w:pPr>
              <w:spacing w:after="0" w:line="240" w:lineRule="auto"/>
              <w:jc w:val="right"/>
              <w:rPr>
                <w:rFonts w:cs="Arial"/>
                <w:b/>
                <w:bCs/>
                <w:color w:val="FFFFFF"/>
                <w:sz w:val="18"/>
                <w:szCs w:val="18"/>
                <w:lang w:eastAsia="en-AU"/>
              </w:rPr>
            </w:pPr>
            <w:r w:rsidRPr="002F1E1A">
              <w:rPr>
                <w:rFonts w:cs="Arial"/>
                <w:b/>
                <w:bCs/>
                <w:color w:val="FFFFFF"/>
                <w:sz w:val="18"/>
                <w:szCs w:val="18"/>
                <w:lang w:eastAsia="en-AU"/>
              </w:rPr>
              <w:t xml:space="preserve">         38,900 </w:t>
            </w:r>
          </w:p>
        </w:tc>
        <w:tc>
          <w:tcPr>
            <w:tcW w:w="1132" w:type="dxa"/>
            <w:shd w:val="clear" w:color="000000" w:fill="366092"/>
            <w:noWrap/>
            <w:vAlign w:val="bottom"/>
            <w:hideMark/>
          </w:tcPr>
          <w:p w:rsidR="002F1E1A" w:rsidRPr="002F1E1A" w:rsidRDefault="002F1E1A" w:rsidP="002F1E1A">
            <w:pPr>
              <w:spacing w:after="0" w:line="240" w:lineRule="auto"/>
              <w:jc w:val="right"/>
              <w:rPr>
                <w:rFonts w:cs="Arial"/>
                <w:b/>
                <w:bCs/>
                <w:color w:val="FFFFFF"/>
                <w:sz w:val="18"/>
                <w:szCs w:val="18"/>
                <w:lang w:eastAsia="en-AU"/>
              </w:rPr>
            </w:pPr>
            <w:r w:rsidRPr="002F1E1A">
              <w:rPr>
                <w:rFonts w:cs="Arial"/>
                <w:b/>
                <w:bCs/>
                <w:color w:val="FFFFFF"/>
                <w:sz w:val="18"/>
                <w:szCs w:val="18"/>
                <w:lang w:eastAsia="en-AU"/>
              </w:rPr>
              <w:t xml:space="preserve">         61,100 </w:t>
            </w:r>
          </w:p>
        </w:tc>
        <w:tc>
          <w:tcPr>
            <w:tcW w:w="1132" w:type="dxa"/>
            <w:shd w:val="clear" w:color="000000" w:fill="366092"/>
            <w:noWrap/>
            <w:vAlign w:val="bottom"/>
            <w:hideMark/>
          </w:tcPr>
          <w:p w:rsidR="002F1E1A" w:rsidRPr="002F1E1A" w:rsidRDefault="002F1E1A" w:rsidP="002F1E1A">
            <w:pPr>
              <w:spacing w:after="0" w:line="240" w:lineRule="auto"/>
              <w:jc w:val="right"/>
              <w:rPr>
                <w:rFonts w:cs="Arial"/>
                <w:b/>
                <w:bCs/>
                <w:color w:val="FFFFFF"/>
                <w:sz w:val="18"/>
                <w:szCs w:val="18"/>
                <w:lang w:eastAsia="en-AU"/>
              </w:rPr>
            </w:pPr>
            <w:r w:rsidRPr="002F1E1A">
              <w:rPr>
                <w:rFonts w:cs="Arial"/>
                <w:b/>
                <w:bCs/>
                <w:color w:val="FFFFFF"/>
                <w:sz w:val="18"/>
                <w:szCs w:val="18"/>
                <w:lang w:eastAsia="en-AU"/>
              </w:rPr>
              <w:t xml:space="preserve">       123,900 </w:t>
            </w:r>
          </w:p>
        </w:tc>
        <w:tc>
          <w:tcPr>
            <w:tcW w:w="1133" w:type="dxa"/>
            <w:shd w:val="clear" w:color="000000" w:fill="366092"/>
            <w:noWrap/>
            <w:vAlign w:val="bottom"/>
            <w:hideMark/>
          </w:tcPr>
          <w:p w:rsidR="002F1E1A" w:rsidRPr="002F1E1A" w:rsidRDefault="002F1E1A" w:rsidP="002F1E1A">
            <w:pPr>
              <w:spacing w:after="0" w:line="240" w:lineRule="auto"/>
              <w:jc w:val="right"/>
              <w:rPr>
                <w:rFonts w:cs="Arial"/>
                <w:b/>
                <w:bCs/>
                <w:color w:val="FFFFFF"/>
                <w:sz w:val="18"/>
                <w:szCs w:val="18"/>
                <w:lang w:eastAsia="en-AU"/>
              </w:rPr>
            </w:pPr>
            <w:r w:rsidRPr="002F1E1A">
              <w:rPr>
                <w:rFonts w:cs="Arial"/>
                <w:b/>
                <w:bCs/>
                <w:color w:val="FFFFFF"/>
                <w:sz w:val="18"/>
                <w:szCs w:val="18"/>
                <w:lang w:eastAsia="en-AU"/>
              </w:rPr>
              <w:t xml:space="preserve">       157,200 </w:t>
            </w:r>
          </w:p>
        </w:tc>
      </w:tr>
    </w:tbl>
    <w:p w:rsidR="002F1E1A" w:rsidRDefault="002F1E1A" w:rsidP="002F1E1A"/>
    <w:p w:rsidR="002F1E1A" w:rsidRPr="002F1E1A" w:rsidRDefault="002F1E1A" w:rsidP="002F1E1A"/>
    <w:p w:rsidR="00D67B5E" w:rsidRDefault="00D67B5E" w:rsidP="00F156DC">
      <w:pPr>
        <w:pStyle w:val="Caption"/>
        <w:spacing w:after="0"/>
        <w:jc w:val="left"/>
        <w:rPr>
          <w:rFonts w:cs="Arial"/>
          <w:color w:val="365F91" w:themeColor="accent1" w:themeShade="BF"/>
        </w:rPr>
      </w:pPr>
      <w:r w:rsidRPr="003D7A1B">
        <w:rPr>
          <w:rFonts w:cs="Arial"/>
          <w:color w:val="365F91" w:themeColor="accent1" w:themeShade="BF"/>
        </w:rPr>
        <w:t xml:space="preserve">Table </w:t>
      </w:r>
      <w:r w:rsidR="005654CD" w:rsidRPr="003D7A1B">
        <w:rPr>
          <w:rFonts w:cs="Arial"/>
          <w:color w:val="365F91" w:themeColor="accent1" w:themeShade="BF"/>
        </w:rPr>
        <w:t>2</w:t>
      </w:r>
      <w:r w:rsidRPr="003D7A1B">
        <w:rPr>
          <w:rFonts w:cs="Arial"/>
          <w:color w:val="365F91" w:themeColor="accent1" w:themeShade="BF"/>
        </w:rPr>
        <w:t>.9.2</w:t>
      </w:r>
      <w:r w:rsidR="003D7A1B" w:rsidRPr="003D7A1B">
        <w:rPr>
          <w:rFonts w:cs="Arial"/>
          <w:color w:val="365F91" w:themeColor="accent1" w:themeShade="BF"/>
        </w:rPr>
        <w:t>: Change in g</w:t>
      </w:r>
      <w:r w:rsidRPr="003D7A1B">
        <w:rPr>
          <w:rFonts w:cs="Arial"/>
          <w:color w:val="365F91" w:themeColor="accent1" w:themeShade="BF"/>
        </w:rPr>
        <w:t>overnment subsidised students in foundation skills courses by age group</w:t>
      </w:r>
    </w:p>
    <w:tbl>
      <w:tblPr>
        <w:tblW w:w="6159" w:type="dxa"/>
        <w:tblInd w:w="109" w:type="dxa"/>
        <w:tblLayout w:type="fixed"/>
        <w:tblLook w:val="04A0" w:firstRow="1" w:lastRow="0" w:firstColumn="1" w:lastColumn="0" w:noHBand="0" w:noVBand="1"/>
      </w:tblPr>
      <w:tblGrid>
        <w:gridCol w:w="2410"/>
        <w:gridCol w:w="1249"/>
        <w:gridCol w:w="1250"/>
        <w:gridCol w:w="1250"/>
      </w:tblGrid>
      <w:tr w:rsidR="003D7A1B" w:rsidRPr="003D7A1B" w:rsidTr="003D7A1B">
        <w:trPr>
          <w:trHeight w:val="762"/>
        </w:trPr>
        <w:tc>
          <w:tcPr>
            <w:tcW w:w="2410"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3D7A1B" w:rsidRPr="003D7A1B" w:rsidRDefault="003D7A1B" w:rsidP="003D7A1B">
            <w:pPr>
              <w:spacing w:after="0" w:line="240" w:lineRule="auto"/>
              <w:ind w:firstLineChars="100" w:firstLine="181"/>
              <w:jc w:val="left"/>
              <w:rPr>
                <w:rFonts w:cs="Arial"/>
                <w:b/>
                <w:bCs/>
                <w:color w:val="FFFFFF"/>
                <w:sz w:val="18"/>
                <w:szCs w:val="18"/>
                <w:lang w:eastAsia="en-AU"/>
              </w:rPr>
            </w:pPr>
            <w:r w:rsidRPr="003D7A1B">
              <w:rPr>
                <w:rFonts w:cs="Arial"/>
                <w:b/>
                <w:bCs/>
                <w:color w:val="FFFFFF"/>
                <w:sz w:val="18"/>
                <w:szCs w:val="18"/>
                <w:lang w:eastAsia="en-AU"/>
              </w:rPr>
              <w:t> </w:t>
            </w:r>
          </w:p>
        </w:tc>
        <w:tc>
          <w:tcPr>
            <w:tcW w:w="1249" w:type="dxa"/>
            <w:tcBorders>
              <w:top w:val="single" w:sz="4" w:space="0" w:color="366092"/>
              <w:left w:val="nil"/>
              <w:bottom w:val="single" w:sz="4" w:space="0" w:color="366092"/>
              <w:right w:val="single" w:sz="4" w:space="0" w:color="366092"/>
            </w:tcBorders>
            <w:shd w:val="clear" w:color="000000" w:fill="366092"/>
            <w:vAlign w:val="center"/>
            <w:hideMark/>
          </w:tcPr>
          <w:p w:rsidR="003D7A1B" w:rsidRPr="003D7A1B" w:rsidRDefault="003D7A1B" w:rsidP="003D7A1B">
            <w:pPr>
              <w:spacing w:after="0" w:line="240" w:lineRule="auto"/>
              <w:jc w:val="right"/>
              <w:rPr>
                <w:rFonts w:cs="Arial"/>
                <w:b/>
                <w:bCs/>
                <w:color w:val="FFFFFF"/>
                <w:sz w:val="18"/>
                <w:szCs w:val="18"/>
                <w:lang w:eastAsia="en-AU"/>
              </w:rPr>
            </w:pPr>
            <w:r w:rsidRPr="003D7A1B">
              <w:rPr>
                <w:rFonts w:cs="Arial"/>
                <w:b/>
                <w:bCs/>
                <w:color w:val="FFFFFF"/>
                <w:sz w:val="18"/>
                <w:szCs w:val="18"/>
                <w:lang w:eastAsia="en-AU"/>
              </w:rPr>
              <w:t>% change</w:t>
            </w:r>
            <w:r w:rsidRPr="003D7A1B">
              <w:rPr>
                <w:rFonts w:cs="Arial"/>
                <w:b/>
                <w:bCs/>
                <w:color w:val="FFFFFF"/>
                <w:sz w:val="18"/>
                <w:szCs w:val="18"/>
                <w:lang w:eastAsia="en-AU"/>
              </w:rPr>
              <w:br/>
              <w:t>2008-2013</w:t>
            </w:r>
          </w:p>
        </w:tc>
        <w:tc>
          <w:tcPr>
            <w:tcW w:w="1250" w:type="dxa"/>
            <w:tcBorders>
              <w:top w:val="single" w:sz="4" w:space="0" w:color="366092"/>
              <w:left w:val="nil"/>
              <w:bottom w:val="single" w:sz="4" w:space="0" w:color="366092"/>
              <w:right w:val="single" w:sz="4" w:space="0" w:color="366092"/>
            </w:tcBorders>
            <w:shd w:val="clear" w:color="000000" w:fill="366092"/>
            <w:vAlign w:val="center"/>
            <w:hideMark/>
          </w:tcPr>
          <w:p w:rsidR="003D7A1B" w:rsidRPr="003D7A1B" w:rsidRDefault="003D7A1B" w:rsidP="003D7A1B">
            <w:pPr>
              <w:spacing w:after="0" w:line="240" w:lineRule="auto"/>
              <w:jc w:val="right"/>
              <w:rPr>
                <w:rFonts w:cs="Arial"/>
                <w:b/>
                <w:bCs/>
                <w:color w:val="FFFFFF"/>
                <w:sz w:val="18"/>
                <w:szCs w:val="18"/>
                <w:lang w:eastAsia="en-AU"/>
              </w:rPr>
            </w:pPr>
            <w:r w:rsidRPr="003D7A1B">
              <w:rPr>
                <w:rFonts w:cs="Arial"/>
                <w:b/>
                <w:bCs/>
                <w:color w:val="FFFFFF"/>
                <w:sz w:val="18"/>
                <w:szCs w:val="18"/>
                <w:lang w:eastAsia="en-AU"/>
              </w:rPr>
              <w:t>% change</w:t>
            </w:r>
            <w:r w:rsidRPr="003D7A1B">
              <w:rPr>
                <w:rFonts w:cs="Arial"/>
                <w:b/>
                <w:bCs/>
                <w:color w:val="FFFFFF"/>
                <w:sz w:val="18"/>
                <w:szCs w:val="18"/>
                <w:lang w:eastAsia="en-AU"/>
              </w:rPr>
              <w:br/>
              <w:t>2011-2013 </w:t>
            </w:r>
          </w:p>
        </w:tc>
        <w:tc>
          <w:tcPr>
            <w:tcW w:w="1250" w:type="dxa"/>
            <w:tcBorders>
              <w:top w:val="single" w:sz="4" w:space="0" w:color="366092"/>
              <w:left w:val="nil"/>
              <w:bottom w:val="single" w:sz="4" w:space="0" w:color="366092"/>
              <w:right w:val="single" w:sz="4" w:space="0" w:color="366092"/>
            </w:tcBorders>
            <w:shd w:val="clear" w:color="000000" w:fill="366092"/>
            <w:vAlign w:val="center"/>
            <w:hideMark/>
          </w:tcPr>
          <w:p w:rsidR="003D7A1B" w:rsidRPr="003D7A1B" w:rsidRDefault="003D7A1B" w:rsidP="003D7A1B">
            <w:pPr>
              <w:spacing w:after="0" w:line="240" w:lineRule="auto"/>
              <w:jc w:val="right"/>
              <w:rPr>
                <w:rFonts w:cs="Arial"/>
                <w:b/>
                <w:bCs/>
                <w:color w:val="FFFFFF"/>
                <w:sz w:val="18"/>
                <w:szCs w:val="18"/>
                <w:lang w:eastAsia="en-AU"/>
              </w:rPr>
            </w:pPr>
            <w:r w:rsidRPr="003D7A1B">
              <w:rPr>
                <w:rFonts w:cs="Arial"/>
                <w:b/>
                <w:bCs/>
                <w:color w:val="FFFFFF"/>
                <w:sz w:val="18"/>
                <w:szCs w:val="18"/>
                <w:lang w:eastAsia="en-AU"/>
              </w:rPr>
              <w:t>% change</w:t>
            </w:r>
            <w:r w:rsidRPr="003D7A1B">
              <w:rPr>
                <w:rFonts w:cs="Arial"/>
                <w:b/>
                <w:bCs/>
                <w:color w:val="FFFFFF"/>
                <w:sz w:val="18"/>
                <w:szCs w:val="18"/>
                <w:lang w:eastAsia="en-AU"/>
              </w:rPr>
              <w:br/>
              <w:t>2012-2013</w:t>
            </w:r>
          </w:p>
        </w:tc>
      </w:tr>
      <w:tr w:rsidR="003D7A1B" w:rsidRPr="003D7A1B" w:rsidTr="00FE017F">
        <w:trPr>
          <w:trHeight w:val="345"/>
        </w:trPr>
        <w:tc>
          <w:tcPr>
            <w:tcW w:w="2410" w:type="dxa"/>
            <w:tcBorders>
              <w:top w:val="nil"/>
              <w:left w:val="single" w:sz="4" w:space="0" w:color="366092"/>
              <w:bottom w:val="single" w:sz="4" w:space="0" w:color="366092"/>
              <w:right w:val="single" w:sz="4" w:space="0" w:color="366092"/>
            </w:tcBorders>
            <w:shd w:val="clear" w:color="000000" w:fill="FFFFFF"/>
            <w:noWrap/>
            <w:vAlign w:val="center"/>
            <w:hideMark/>
          </w:tcPr>
          <w:p w:rsidR="003D7A1B" w:rsidRPr="003D7A1B" w:rsidRDefault="003D7A1B" w:rsidP="00FE017F">
            <w:pPr>
              <w:spacing w:after="0" w:line="240" w:lineRule="auto"/>
              <w:jc w:val="left"/>
              <w:rPr>
                <w:rFonts w:cs="Arial"/>
                <w:color w:val="366092"/>
                <w:sz w:val="18"/>
                <w:szCs w:val="18"/>
                <w:lang w:eastAsia="en-AU"/>
              </w:rPr>
            </w:pPr>
            <w:r w:rsidRPr="003D7A1B">
              <w:rPr>
                <w:rFonts w:cs="Arial"/>
                <w:color w:val="366092"/>
                <w:sz w:val="18"/>
                <w:szCs w:val="18"/>
                <w:lang w:eastAsia="en-AU"/>
              </w:rPr>
              <w:t>15 to 19</w:t>
            </w:r>
          </w:p>
        </w:tc>
        <w:tc>
          <w:tcPr>
            <w:tcW w:w="1249"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362%</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151%</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22%</w:t>
            </w:r>
          </w:p>
        </w:tc>
      </w:tr>
      <w:tr w:rsidR="003D7A1B" w:rsidRPr="003D7A1B" w:rsidTr="00FE017F">
        <w:trPr>
          <w:trHeight w:val="345"/>
        </w:trPr>
        <w:tc>
          <w:tcPr>
            <w:tcW w:w="2410" w:type="dxa"/>
            <w:tcBorders>
              <w:top w:val="nil"/>
              <w:left w:val="single" w:sz="4" w:space="0" w:color="366092"/>
              <w:bottom w:val="single" w:sz="4" w:space="0" w:color="366092"/>
              <w:right w:val="single" w:sz="4" w:space="0" w:color="366092"/>
            </w:tcBorders>
            <w:shd w:val="clear" w:color="000000" w:fill="FFFFFF"/>
            <w:noWrap/>
            <w:vAlign w:val="center"/>
            <w:hideMark/>
          </w:tcPr>
          <w:p w:rsidR="003D7A1B" w:rsidRPr="003D7A1B" w:rsidRDefault="003D7A1B" w:rsidP="00FE017F">
            <w:pPr>
              <w:spacing w:after="0" w:line="240" w:lineRule="auto"/>
              <w:jc w:val="left"/>
              <w:rPr>
                <w:rFonts w:cs="Arial"/>
                <w:color w:val="366092"/>
                <w:sz w:val="18"/>
                <w:szCs w:val="18"/>
                <w:lang w:eastAsia="en-AU"/>
              </w:rPr>
            </w:pPr>
            <w:r w:rsidRPr="003D7A1B">
              <w:rPr>
                <w:rFonts w:cs="Arial"/>
                <w:color w:val="366092"/>
                <w:sz w:val="18"/>
                <w:szCs w:val="18"/>
                <w:lang w:eastAsia="en-AU"/>
              </w:rPr>
              <w:t>20 to 24</w:t>
            </w:r>
          </w:p>
        </w:tc>
        <w:tc>
          <w:tcPr>
            <w:tcW w:w="1249"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577%</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264%</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38%</w:t>
            </w:r>
          </w:p>
        </w:tc>
      </w:tr>
      <w:tr w:rsidR="003D7A1B" w:rsidRPr="003D7A1B" w:rsidTr="00FE017F">
        <w:trPr>
          <w:trHeight w:val="345"/>
        </w:trPr>
        <w:tc>
          <w:tcPr>
            <w:tcW w:w="2410" w:type="dxa"/>
            <w:tcBorders>
              <w:top w:val="nil"/>
              <w:left w:val="single" w:sz="4" w:space="0" w:color="366092"/>
              <w:bottom w:val="single" w:sz="4" w:space="0" w:color="366092"/>
              <w:right w:val="single" w:sz="4" w:space="0" w:color="366092"/>
            </w:tcBorders>
            <w:shd w:val="clear" w:color="000000" w:fill="FFFFFF"/>
            <w:noWrap/>
            <w:vAlign w:val="center"/>
            <w:hideMark/>
          </w:tcPr>
          <w:p w:rsidR="003D7A1B" w:rsidRPr="003D7A1B" w:rsidRDefault="003D7A1B" w:rsidP="00FE017F">
            <w:pPr>
              <w:spacing w:after="0" w:line="240" w:lineRule="auto"/>
              <w:jc w:val="left"/>
              <w:rPr>
                <w:rFonts w:cs="Arial"/>
                <w:color w:val="366092"/>
                <w:sz w:val="18"/>
                <w:szCs w:val="18"/>
                <w:lang w:eastAsia="en-AU"/>
              </w:rPr>
            </w:pPr>
            <w:r w:rsidRPr="003D7A1B">
              <w:rPr>
                <w:rFonts w:cs="Arial"/>
                <w:color w:val="366092"/>
                <w:sz w:val="18"/>
                <w:szCs w:val="18"/>
                <w:lang w:eastAsia="en-AU"/>
              </w:rPr>
              <w:t>25 to 44</w:t>
            </w:r>
          </w:p>
        </w:tc>
        <w:tc>
          <w:tcPr>
            <w:tcW w:w="1249"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219%</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135%</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31%</w:t>
            </w:r>
          </w:p>
        </w:tc>
      </w:tr>
      <w:tr w:rsidR="003D7A1B" w:rsidRPr="003D7A1B" w:rsidTr="00FE017F">
        <w:trPr>
          <w:trHeight w:val="345"/>
        </w:trPr>
        <w:tc>
          <w:tcPr>
            <w:tcW w:w="2410" w:type="dxa"/>
            <w:tcBorders>
              <w:top w:val="nil"/>
              <w:left w:val="single" w:sz="4" w:space="0" w:color="366092"/>
              <w:bottom w:val="single" w:sz="4" w:space="0" w:color="366092"/>
              <w:right w:val="single" w:sz="4" w:space="0" w:color="366092"/>
            </w:tcBorders>
            <w:shd w:val="clear" w:color="000000" w:fill="FFFFFF"/>
            <w:noWrap/>
            <w:vAlign w:val="center"/>
            <w:hideMark/>
          </w:tcPr>
          <w:p w:rsidR="003D7A1B" w:rsidRPr="003D7A1B" w:rsidRDefault="003D7A1B" w:rsidP="00FE017F">
            <w:pPr>
              <w:spacing w:after="0" w:line="240" w:lineRule="auto"/>
              <w:jc w:val="left"/>
              <w:rPr>
                <w:rFonts w:cs="Arial"/>
                <w:color w:val="366092"/>
                <w:sz w:val="18"/>
                <w:szCs w:val="18"/>
                <w:lang w:eastAsia="en-AU"/>
              </w:rPr>
            </w:pPr>
            <w:r w:rsidRPr="003D7A1B">
              <w:rPr>
                <w:rFonts w:cs="Arial"/>
                <w:color w:val="366092"/>
                <w:sz w:val="18"/>
                <w:szCs w:val="18"/>
                <w:lang w:eastAsia="en-AU"/>
              </w:rPr>
              <w:t>45 to 64</w:t>
            </w:r>
          </w:p>
        </w:tc>
        <w:tc>
          <w:tcPr>
            <w:tcW w:w="1249"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242%</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123%</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22%</w:t>
            </w:r>
          </w:p>
        </w:tc>
      </w:tr>
      <w:tr w:rsidR="003D7A1B" w:rsidRPr="003D7A1B" w:rsidTr="00FE017F">
        <w:trPr>
          <w:trHeight w:val="345"/>
        </w:trPr>
        <w:tc>
          <w:tcPr>
            <w:tcW w:w="2410" w:type="dxa"/>
            <w:tcBorders>
              <w:top w:val="nil"/>
              <w:left w:val="single" w:sz="4" w:space="0" w:color="366092"/>
              <w:bottom w:val="single" w:sz="4" w:space="0" w:color="366092"/>
              <w:right w:val="single" w:sz="4" w:space="0" w:color="366092"/>
            </w:tcBorders>
            <w:shd w:val="clear" w:color="000000" w:fill="FFFFFF"/>
            <w:noWrap/>
            <w:vAlign w:val="center"/>
            <w:hideMark/>
          </w:tcPr>
          <w:p w:rsidR="003D7A1B" w:rsidRPr="003D7A1B" w:rsidRDefault="003D7A1B" w:rsidP="00FE017F">
            <w:pPr>
              <w:spacing w:after="0" w:line="240" w:lineRule="auto"/>
              <w:jc w:val="left"/>
              <w:rPr>
                <w:rFonts w:cs="Arial"/>
                <w:color w:val="366092"/>
                <w:sz w:val="18"/>
                <w:szCs w:val="18"/>
                <w:lang w:eastAsia="en-AU"/>
              </w:rPr>
            </w:pPr>
            <w:r w:rsidRPr="003D7A1B">
              <w:rPr>
                <w:rFonts w:cs="Arial"/>
                <w:color w:val="366092"/>
                <w:sz w:val="18"/>
                <w:szCs w:val="18"/>
                <w:lang w:eastAsia="en-AU"/>
              </w:rPr>
              <w:t>Under 15, over 64, not stated</w:t>
            </w:r>
          </w:p>
        </w:tc>
        <w:tc>
          <w:tcPr>
            <w:tcW w:w="1249"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244%</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197%</w:t>
            </w:r>
          </w:p>
        </w:tc>
        <w:tc>
          <w:tcPr>
            <w:tcW w:w="1250" w:type="dxa"/>
            <w:tcBorders>
              <w:top w:val="nil"/>
              <w:left w:val="nil"/>
              <w:bottom w:val="single" w:sz="4" w:space="0" w:color="366092"/>
              <w:right w:val="single" w:sz="4" w:space="0" w:color="366092"/>
            </w:tcBorders>
            <w:shd w:val="clear" w:color="auto" w:fill="auto"/>
            <w:noWrap/>
            <w:vAlign w:val="center"/>
            <w:hideMark/>
          </w:tcPr>
          <w:p w:rsidR="003D7A1B" w:rsidRPr="003D7A1B" w:rsidRDefault="003D7A1B" w:rsidP="003D7A1B">
            <w:pPr>
              <w:spacing w:after="0" w:line="240" w:lineRule="auto"/>
              <w:jc w:val="right"/>
              <w:rPr>
                <w:rFonts w:cs="Arial"/>
                <w:sz w:val="18"/>
                <w:szCs w:val="18"/>
                <w:lang w:eastAsia="en-AU"/>
              </w:rPr>
            </w:pPr>
            <w:r w:rsidRPr="003D7A1B">
              <w:rPr>
                <w:rFonts w:cs="Arial"/>
                <w:sz w:val="18"/>
                <w:szCs w:val="18"/>
                <w:lang w:eastAsia="en-AU"/>
              </w:rPr>
              <w:t>1%</w:t>
            </w:r>
          </w:p>
        </w:tc>
      </w:tr>
      <w:tr w:rsidR="003D7A1B" w:rsidRPr="003D7A1B" w:rsidTr="003D7A1B">
        <w:trPr>
          <w:trHeight w:val="342"/>
        </w:trPr>
        <w:tc>
          <w:tcPr>
            <w:tcW w:w="2410" w:type="dxa"/>
            <w:tcBorders>
              <w:top w:val="nil"/>
              <w:left w:val="single" w:sz="4" w:space="0" w:color="366092"/>
              <w:bottom w:val="single" w:sz="4" w:space="0" w:color="366092"/>
              <w:right w:val="single" w:sz="4" w:space="0" w:color="366092"/>
            </w:tcBorders>
            <w:shd w:val="clear" w:color="000000" w:fill="366092"/>
            <w:noWrap/>
            <w:vAlign w:val="bottom"/>
            <w:hideMark/>
          </w:tcPr>
          <w:p w:rsidR="003D7A1B" w:rsidRPr="003D7A1B" w:rsidRDefault="003D7A1B" w:rsidP="003D7A1B">
            <w:pPr>
              <w:spacing w:after="0" w:line="240" w:lineRule="auto"/>
              <w:jc w:val="left"/>
              <w:rPr>
                <w:rFonts w:cs="Arial"/>
                <w:b/>
                <w:bCs/>
                <w:color w:val="FFFFFF"/>
                <w:sz w:val="18"/>
                <w:szCs w:val="18"/>
                <w:lang w:eastAsia="en-AU"/>
              </w:rPr>
            </w:pPr>
            <w:r w:rsidRPr="003D7A1B">
              <w:rPr>
                <w:rFonts w:cs="Arial"/>
                <w:b/>
                <w:bCs/>
                <w:color w:val="FFFFFF"/>
                <w:sz w:val="18"/>
                <w:szCs w:val="18"/>
                <w:lang w:eastAsia="en-AU"/>
              </w:rPr>
              <w:t>Total</w:t>
            </w:r>
          </w:p>
        </w:tc>
        <w:tc>
          <w:tcPr>
            <w:tcW w:w="1249" w:type="dxa"/>
            <w:tcBorders>
              <w:top w:val="nil"/>
              <w:left w:val="nil"/>
              <w:bottom w:val="single" w:sz="4" w:space="0" w:color="366092"/>
              <w:right w:val="single" w:sz="4" w:space="0" w:color="366092"/>
            </w:tcBorders>
            <w:shd w:val="clear" w:color="000000" w:fill="366092"/>
            <w:noWrap/>
            <w:vAlign w:val="center"/>
            <w:hideMark/>
          </w:tcPr>
          <w:p w:rsidR="003D7A1B" w:rsidRPr="003D7A1B" w:rsidRDefault="003D7A1B" w:rsidP="003D7A1B">
            <w:pPr>
              <w:spacing w:after="0" w:line="240" w:lineRule="auto"/>
              <w:jc w:val="right"/>
              <w:rPr>
                <w:rFonts w:cs="Arial"/>
                <w:b/>
                <w:bCs/>
                <w:color w:val="FFFFFF"/>
                <w:sz w:val="18"/>
                <w:szCs w:val="18"/>
                <w:lang w:eastAsia="en-AU"/>
              </w:rPr>
            </w:pPr>
            <w:r w:rsidRPr="003D7A1B">
              <w:rPr>
                <w:rFonts w:cs="Arial"/>
                <w:b/>
                <w:bCs/>
                <w:color w:val="FFFFFF"/>
                <w:sz w:val="18"/>
                <w:szCs w:val="18"/>
                <w:lang w:eastAsia="en-AU"/>
              </w:rPr>
              <w:t>305%</w:t>
            </w:r>
          </w:p>
        </w:tc>
        <w:tc>
          <w:tcPr>
            <w:tcW w:w="1250" w:type="dxa"/>
            <w:tcBorders>
              <w:top w:val="nil"/>
              <w:left w:val="nil"/>
              <w:bottom w:val="single" w:sz="4" w:space="0" w:color="366092"/>
              <w:right w:val="single" w:sz="4" w:space="0" w:color="366092"/>
            </w:tcBorders>
            <w:shd w:val="clear" w:color="000000" w:fill="366092"/>
            <w:noWrap/>
            <w:vAlign w:val="center"/>
            <w:hideMark/>
          </w:tcPr>
          <w:p w:rsidR="003D7A1B" w:rsidRPr="003D7A1B" w:rsidRDefault="003D7A1B" w:rsidP="003D7A1B">
            <w:pPr>
              <w:spacing w:after="0" w:line="240" w:lineRule="auto"/>
              <w:jc w:val="right"/>
              <w:rPr>
                <w:rFonts w:cs="Arial"/>
                <w:b/>
                <w:bCs/>
                <w:color w:val="FFFFFF"/>
                <w:sz w:val="18"/>
                <w:szCs w:val="18"/>
                <w:lang w:eastAsia="en-AU"/>
              </w:rPr>
            </w:pPr>
            <w:r w:rsidRPr="003D7A1B">
              <w:rPr>
                <w:rFonts w:cs="Arial"/>
                <w:b/>
                <w:bCs/>
                <w:color w:val="FFFFFF"/>
                <w:sz w:val="18"/>
                <w:szCs w:val="18"/>
                <w:lang w:eastAsia="en-AU"/>
              </w:rPr>
              <w:t>157%</w:t>
            </w:r>
          </w:p>
        </w:tc>
        <w:tc>
          <w:tcPr>
            <w:tcW w:w="1250" w:type="dxa"/>
            <w:tcBorders>
              <w:top w:val="nil"/>
              <w:left w:val="nil"/>
              <w:bottom w:val="single" w:sz="4" w:space="0" w:color="366092"/>
              <w:right w:val="single" w:sz="4" w:space="0" w:color="366092"/>
            </w:tcBorders>
            <w:shd w:val="clear" w:color="000000" w:fill="366092"/>
            <w:noWrap/>
            <w:vAlign w:val="center"/>
            <w:hideMark/>
          </w:tcPr>
          <w:p w:rsidR="003D7A1B" w:rsidRPr="003D7A1B" w:rsidRDefault="003D7A1B" w:rsidP="003D7A1B">
            <w:pPr>
              <w:spacing w:after="0" w:line="240" w:lineRule="auto"/>
              <w:jc w:val="right"/>
              <w:rPr>
                <w:rFonts w:cs="Arial"/>
                <w:b/>
                <w:bCs/>
                <w:color w:val="FFFFFF"/>
                <w:sz w:val="18"/>
                <w:szCs w:val="18"/>
                <w:lang w:eastAsia="en-AU"/>
              </w:rPr>
            </w:pPr>
            <w:r w:rsidRPr="003D7A1B">
              <w:rPr>
                <w:rFonts w:cs="Arial"/>
                <w:b/>
                <w:bCs/>
                <w:color w:val="FFFFFF"/>
                <w:sz w:val="18"/>
                <w:szCs w:val="18"/>
                <w:lang w:eastAsia="en-AU"/>
              </w:rPr>
              <w:t>27%</w:t>
            </w:r>
          </w:p>
        </w:tc>
      </w:tr>
    </w:tbl>
    <w:p w:rsidR="003D7A1B" w:rsidRDefault="003D7A1B" w:rsidP="003D7A1B"/>
    <w:p w:rsidR="003D7A1B" w:rsidRPr="003D7A1B" w:rsidRDefault="003D7A1B" w:rsidP="003D7A1B"/>
    <w:p w:rsidR="00D67B5E" w:rsidRPr="0086172F" w:rsidRDefault="00D67B5E" w:rsidP="00D67B5E"/>
    <w:p w:rsidR="00D24593" w:rsidRPr="00BF797E" w:rsidRDefault="00D24593" w:rsidP="00BF797E">
      <w:pPr>
        <w:spacing w:after="0" w:line="240" w:lineRule="auto"/>
        <w:jc w:val="left"/>
        <w:rPr>
          <w:rFonts w:cs="Arial"/>
          <w:b/>
          <w:bCs/>
          <w:color w:val="76923C" w:themeColor="accent3" w:themeShade="BF"/>
          <w:sz w:val="18"/>
          <w:szCs w:val="16"/>
        </w:rPr>
      </w:pPr>
    </w:p>
    <w:p w:rsidR="00D24593" w:rsidRPr="00D24593" w:rsidRDefault="00D24593" w:rsidP="00D24593"/>
    <w:bookmarkEnd w:id="46"/>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rsidR="00704EB3" w:rsidRDefault="00704EB3" w:rsidP="00D67B5E">
      <w:pPr>
        <w:pStyle w:val="Caption"/>
        <w:jc w:val="left"/>
        <w:rPr>
          <w:rFonts w:cs="Arial"/>
        </w:rPr>
      </w:pPr>
    </w:p>
    <w:p w:rsidR="00704EB3" w:rsidRDefault="00704EB3">
      <w:pPr>
        <w:spacing w:after="0" w:line="240" w:lineRule="auto"/>
        <w:jc w:val="left"/>
        <w:rPr>
          <w:rFonts w:cs="Arial"/>
          <w:b/>
          <w:bCs/>
          <w:color w:val="76923C" w:themeColor="accent3" w:themeShade="BF"/>
          <w:sz w:val="18"/>
          <w:szCs w:val="16"/>
        </w:rPr>
      </w:pPr>
      <w:r>
        <w:rPr>
          <w:rFonts w:cs="Arial"/>
        </w:rPr>
        <w:br w:type="page"/>
      </w:r>
    </w:p>
    <w:p w:rsidR="00F72C48" w:rsidRPr="00707C20" w:rsidRDefault="00F72C48" w:rsidP="00F72C48">
      <w:pPr>
        <w:pStyle w:val="Heading1"/>
        <w:rPr>
          <w:rStyle w:val="Heading1Char"/>
        </w:rPr>
      </w:pPr>
      <w:bookmarkStart w:id="92" w:name="_Toc366588126"/>
      <w:bookmarkStart w:id="93" w:name="_Toc388340459"/>
      <w:r w:rsidRPr="00707C20">
        <w:rPr>
          <w:rStyle w:val="Heading1Char"/>
        </w:rPr>
        <w:t>Alignment of Training to Industry Skills Needs</w:t>
      </w:r>
      <w:bookmarkEnd w:id="92"/>
      <w:bookmarkEnd w:id="93"/>
    </w:p>
    <w:p w:rsidR="00F72C48" w:rsidRDefault="00F72C48" w:rsidP="00F72C48">
      <w:pPr>
        <w:pStyle w:val="Heading3"/>
      </w:pPr>
    </w:p>
    <w:p w:rsidR="00F72C48" w:rsidRPr="00DD0BB9" w:rsidRDefault="00F72C48" w:rsidP="00F72C48">
      <w:pPr>
        <w:pStyle w:val="Heading3"/>
      </w:pPr>
      <w:r w:rsidRPr="00DD0BB9">
        <w:t>Introduction</w:t>
      </w:r>
    </w:p>
    <w:p w:rsidR="00F72C48" w:rsidRPr="000D77C3" w:rsidRDefault="00F72C48" w:rsidP="00F72C48">
      <w:pPr>
        <w:rPr>
          <w:rFonts w:cs="Arial"/>
          <w:highlight w:val="cyan"/>
        </w:rPr>
      </w:pPr>
      <w:r>
        <w:t xml:space="preserve">The demand driven system for vocational training allows businesses, students and training providers to respond to the changing needs of the economy. </w:t>
      </w:r>
      <w:r w:rsidRPr="004154A2">
        <w:rPr>
          <w:rFonts w:cs="Arial"/>
        </w:rPr>
        <w:t>Over the period between 2012 and 2013 there have been shifts towards training delivered in areas that better meet the training requirements of the Victorian economy. The training market has been dynamic and responsive in seeking to align with these areas of need.</w:t>
      </w:r>
      <w:r w:rsidRPr="000D77C3">
        <w:rPr>
          <w:rFonts w:cs="Arial"/>
          <w:highlight w:val="cyan"/>
        </w:rPr>
        <w:t xml:space="preserve"> </w:t>
      </w:r>
    </w:p>
    <w:p w:rsidR="00F72C48" w:rsidRPr="004A6DB1" w:rsidRDefault="00F72C48" w:rsidP="00F72C48">
      <w:r w:rsidRPr="002357C1">
        <w:rPr>
          <w:rFonts w:cs="Arial"/>
        </w:rPr>
        <w:t xml:space="preserve">There has been a reduction in courses that experienced unprecedented high levels of enrolments in 2012 </w:t>
      </w:r>
      <w:r w:rsidRPr="004A6DB1">
        <w:rPr>
          <w:rFonts w:cs="Arial"/>
        </w:rPr>
        <w:t xml:space="preserve">that were not aligned with the employment trends of related industries.  Challenges remain as government seeks to support apprenticeships in a climate of business contraction in trade related industries as well as managing growth in training areas that are not aligned with industry or student needs such as foundation skills for individuals who already have </w:t>
      </w:r>
      <w:r w:rsidR="009E27BE">
        <w:rPr>
          <w:rFonts w:cs="Arial"/>
          <w:szCs w:val="19"/>
        </w:rPr>
        <w:t>well</w:t>
      </w:r>
      <w:r w:rsidRPr="004A6DB1">
        <w:rPr>
          <w:rFonts w:cs="Arial"/>
          <w:szCs w:val="19"/>
        </w:rPr>
        <w:t xml:space="preserve"> developed literacy, numeracy and workplace skills</w:t>
      </w:r>
      <w:r w:rsidRPr="004A6DB1">
        <w:rPr>
          <w:rFonts w:cs="Arial"/>
        </w:rPr>
        <w:t xml:space="preserve"> and </w:t>
      </w:r>
      <w:r w:rsidR="009E27BE">
        <w:rPr>
          <w:rFonts w:cs="Arial"/>
        </w:rPr>
        <w:t>recognition of prior learning in</w:t>
      </w:r>
      <w:r w:rsidRPr="004A6DB1">
        <w:rPr>
          <w:rFonts w:cs="Arial"/>
        </w:rPr>
        <w:t xml:space="preserve"> unlicensed occupations.</w:t>
      </w:r>
    </w:p>
    <w:p w:rsidR="00F72C48" w:rsidRPr="004A6DB1" w:rsidRDefault="00F72C48" w:rsidP="00F72C48">
      <w:pPr>
        <w:rPr>
          <w:rFonts w:cs="Arial"/>
        </w:rPr>
      </w:pPr>
      <w:r w:rsidRPr="004A6DB1">
        <w:t xml:space="preserve">The Victorian Government released the </w:t>
      </w:r>
      <w:r w:rsidRPr="004A6DB1">
        <w:rPr>
          <w:i/>
        </w:rPr>
        <w:t>Refocusing Vocational Training</w:t>
      </w:r>
      <w:r w:rsidRPr="004A6DB1">
        <w:t xml:space="preserve"> (RVT) in Victoria reform package in May 2012 to shift training activity to areas of industry and economic need. </w:t>
      </w:r>
      <w:r w:rsidRPr="004A6DB1">
        <w:rPr>
          <w:rFonts w:cs="Arial"/>
        </w:rPr>
        <w:t>Under the new subsidy bands, weightings have been refined to apply at the course level to strengthen Government investment in training for specialised skills, training to address skills in shortage, training related to areas of growing employment opportunity and sectors delivering essential services. The reforms also assessed the extent to which government investment is required to stimulate delivery of, and participation in, this training to meet industry needs.</w:t>
      </w:r>
    </w:p>
    <w:p w:rsidR="00F72C48" w:rsidRPr="004A6DB1" w:rsidRDefault="00F72C48" w:rsidP="00F72C48">
      <w:r w:rsidRPr="00E957D5">
        <w:rPr>
          <w:rFonts w:cs="Arial"/>
        </w:rPr>
        <w:t>Overall, the highest subsidy levels have been provided to courses where contribution to the economy is assessed as high, and where government subsidy is seen as essential in enabling delivery and participation in training.</w:t>
      </w:r>
      <w:r>
        <w:rPr>
          <w:rFonts w:cs="Arial"/>
        </w:rPr>
        <w:t xml:space="preserve"> </w:t>
      </w:r>
      <w:r>
        <w:t>Lower subsidy levels may indicate evidence of over-supply, or that less government support is required to promote training in these areas.  For example, diplomas often attract lower subsidy rates in recognition of the greater private benefits flowing to students from completing these qualifications and because students can access financial support through VET FEE-HELP to meet upfront costs.</w:t>
      </w:r>
    </w:p>
    <w:p w:rsidR="00F72C48" w:rsidRPr="000D77C3" w:rsidRDefault="00F72C48" w:rsidP="00F72C48">
      <w:pPr>
        <w:spacing w:after="0" w:line="240" w:lineRule="auto"/>
        <w:jc w:val="left"/>
        <w:rPr>
          <w:rFonts w:cs="Arial"/>
          <w:sz w:val="16"/>
          <w:szCs w:val="16"/>
          <w:highlight w:val="cyan"/>
        </w:rPr>
      </w:pPr>
    </w:p>
    <w:tbl>
      <w:tblPr>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Layout w:type="fixed"/>
        <w:tblCellMar>
          <w:left w:w="0" w:type="dxa"/>
          <w:right w:w="0" w:type="dxa"/>
        </w:tblCellMar>
        <w:tblLook w:val="01E0" w:firstRow="1" w:lastRow="1" w:firstColumn="1" w:lastColumn="1" w:noHBand="0" w:noVBand="0"/>
      </w:tblPr>
      <w:tblGrid>
        <w:gridCol w:w="9082"/>
      </w:tblGrid>
      <w:tr w:rsidR="00F72C48" w:rsidRPr="000D77C3" w:rsidTr="00440176">
        <w:trPr>
          <w:trHeight w:val="1467"/>
        </w:trPr>
        <w:tc>
          <w:tcPr>
            <w:tcW w:w="9088" w:type="dxa"/>
          </w:tcPr>
          <w:p w:rsidR="00F72C48" w:rsidRDefault="00F72C48" w:rsidP="00440176">
            <w:pPr>
              <w:pStyle w:val="Heading3"/>
            </w:pPr>
            <w:r w:rsidRPr="00517F52">
              <w:t xml:space="preserve">Key Points </w:t>
            </w:r>
          </w:p>
          <w:p w:rsidR="00F72C48" w:rsidRPr="000D7401" w:rsidRDefault="00F72C48" w:rsidP="00440176"/>
          <w:p w:rsidR="00F72C48" w:rsidRPr="004A6DB1" w:rsidRDefault="00F72C48" w:rsidP="00D83827">
            <w:pPr>
              <w:pStyle w:val="ListBullet"/>
              <w:numPr>
                <w:ilvl w:val="0"/>
                <w:numId w:val="22"/>
              </w:numPr>
              <w:tabs>
                <w:tab w:val="clear" w:pos="113"/>
                <w:tab w:val="num" w:pos="431"/>
              </w:tabs>
              <w:ind w:left="431" w:right="113" w:hanging="284"/>
              <w:rPr>
                <w:rFonts w:cs="Arial"/>
              </w:rPr>
            </w:pPr>
            <w:r w:rsidRPr="004067AA">
              <w:rPr>
                <w:rFonts w:cs="Arial"/>
              </w:rPr>
              <w:t xml:space="preserve">Proportionally there has been a marked shift in commencement patterns when comparing 2013 with Pre-July 2012. Data from 2013 shows that 69 per cent of all government subsidised commencing enrolments were within subsidy bands A and B, compared with 49 per cent of commencements in subsidy bands A and B over the same period in 2012. </w:t>
            </w:r>
            <w:r w:rsidRPr="004A6DB1">
              <w:rPr>
                <w:rFonts w:cs="Arial"/>
              </w:rPr>
              <w:t xml:space="preserve">Courses such as the Certificate III in Carpentry, Certificate III in Aged Care, Certificate III in Automotive Mechanical Technology, Certificate III in Driving Operations and the Certificate III in Electrotechnology Electrician are represented in these funding bands. </w:t>
            </w:r>
          </w:p>
          <w:p w:rsidR="00F72C48" w:rsidRPr="004067AA" w:rsidRDefault="00F72C48" w:rsidP="00D83827">
            <w:pPr>
              <w:pStyle w:val="ListBullet"/>
              <w:numPr>
                <w:ilvl w:val="0"/>
                <w:numId w:val="22"/>
              </w:numPr>
              <w:tabs>
                <w:tab w:val="clear" w:pos="113"/>
                <w:tab w:val="num" w:pos="431"/>
              </w:tabs>
              <w:ind w:left="431" w:right="113" w:hanging="284"/>
              <w:rPr>
                <w:rFonts w:cs="Arial"/>
              </w:rPr>
            </w:pPr>
            <w:r w:rsidRPr="004067AA">
              <w:rPr>
                <w:rFonts w:cs="Arial"/>
              </w:rPr>
              <w:t xml:space="preserve">Courses with less vocational outcome, or labour market requirement (Band D </w:t>
            </w:r>
            <w:r>
              <w:rPr>
                <w:rFonts w:cs="Arial"/>
              </w:rPr>
              <w:t>and</w:t>
            </w:r>
            <w:r w:rsidRPr="004067AA">
              <w:rPr>
                <w:rFonts w:cs="Arial"/>
              </w:rPr>
              <w:t xml:space="preserve"> E) represented 9 per cent of all government subsidised commencements in 2013. It was 31 per cent over the same period in 2012.</w:t>
            </w:r>
          </w:p>
        </w:tc>
      </w:tr>
    </w:tbl>
    <w:p w:rsidR="00F72C48" w:rsidRDefault="00F72C48" w:rsidP="00F72C48">
      <w:pPr>
        <w:pStyle w:val="Caption"/>
        <w:jc w:val="left"/>
        <w:rPr>
          <w:rFonts w:cs="Arial"/>
          <w:highlight w:val="cyan"/>
        </w:rPr>
      </w:pPr>
    </w:p>
    <w:p w:rsidR="00F72C48" w:rsidRDefault="00F72C48" w:rsidP="00F72C48">
      <w:pPr>
        <w:spacing w:after="200" w:line="276" w:lineRule="auto"/>
        <w:jc w:val="left"/>
        <w:rPr>
          <w:rFonts w:cs="Arial"/>
          <w:b/>
          <w:bCs/>
          <w:color w:val="4F81BD"/>
          <w:sz w:val="18"/>
          <w:szCs w:val="16"/>
        </w:rPr>
      </w:pPr>
      <w:r>
        <w:rPr>
          <w:rFonts w:cs="Arial"/>
          <w:color w:val="4F81BD"/>
        </w:rPr>
        <w:br w:type="page"/>
      </w:r>
    </w:p>
    <w:p w:rsidR="00F72C48" w:rsidRPr="00284A99" w:rsidRDefault="00F72C48" w:rsidP="00F72C48">
      <w:pPr>
        <w:pStyle w:val="Caption"/>
        <w:jc w:val="left"/>
        <w:rPr>
          <w:rFonts w:cs="Arial"/>
          <w:color w:val="4F81BD"/>
        </w:rPr>
      </w:pPr>
      <w:r w:rsidRPr="00284A99">
        <w:rPr>
          <w:rFonts w:cs="Arial"/>
          <w:color w:val="4F81BD"/>
        </w:rPr>
        <w:t xml:space="preserve">Figure 3.1: Government subsidised commencing course enrolments: proportion of commencing enrolments by subsidy band, Pre-July 2012, 2013, July-December 2012 </w:t>
      </w:r>
    </w:p>
    <w:p w:rsidR="00F72C48" w:rsidRPr="000D77C3" w:rsidRDefault="00575616" w:rsidP="00F72C48">
      <w:pPr>
        <w:rPr>
          <w:rFonts w:cs="Arial"/>
          <w:sz w:val="16"/>
          <w:szCs w:val="16"/>
          <w:highlight w:val="cyan"/>
        </w:rPr>
      </w:pPr>
      <w:r>
        <w:rPr>
          <w:rFonts w:cs="Arial"/>
          <w:noProof/>
          <w:sz w:val="16"/>
          <w:szCs w:val="16"/>
          <w:lang w:eastAsia="en-AU"/>
        </w:rPr>
        <w:drawing>
          <wp:inline distT="0" distB="0" distL="0" distR="0" wp14:anchorId="69189A35" wp14:editId="3F8965F8">
            <wp:extent cx="5753100" cy="21534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3715" cy="2153724"/>
                    </a:xfrm>
                    <a:prstGeom prst="rect">
                      <a:avLst/>
                    </a:prstGeom>
                    <a:noFill/>
                  </pic:spPr>
                </pic:pic>
              </a:graphicData>
            </a:graphic>
          </wp:inline>
        </w:drawing>
      </w:r>
    </w:p>
    <w:p w:rsidR="00F72C48" w:rsidRPr="000D7401" w:rsidRDefault="00F72C48" w:rsidP="00F72C48">
      <w:pPr>
        <w:rPr>
          <w:rFonts w:cs="Arial"/>
          <w:color w:val="365F91" w:themeColor="accent1" w:themeShade="BF"/>
          <w:sz w:val="16"/>
          <w:szCs w:val="16"/>
        </w:rPr>
      </w:pPr>
      <w:r w:rsidRPr="000D7401">
        <w:rPr>
          <w:rFonts w:cs="Arial"/>
          <w:color w:val="365F91" w:themeColor="accent1" w:themeShade="BF"/>
          <w:sz w:val="16"/>
          <w:szCs w:val="16"/>
        </w:rPr>
        <w:t>*Pre-July 2012 refers to January to June 2012. Subsidy bands were introduced in 2012 and apply specifically to qualifications in 2012 and onward. In order to allow comparison with previous years, superseded courses have been assigned a subsidy band for analysis purposes only based on the bands of the current course to which they most closely align.</w:t>
      </w:r>
    </w:p>
    <w:p w:rsidR="00F72C48" w:rsidRDefault="00F72C48" w:rsidP="00F72C48">
      <w:pPr>
        <w:pStyle w:val="Heading3"/>
      </w:pPr>
    </w:p>
    <w:p w:rsidR="00F72C48" w:rsidRDefault="00F72C48" w:rsidP="0023338B">
      <w:pPr>
        <w:pStyle w:val="Heading2"/>
      </w:pPr>
      <w:bookmarkStart w:id="94" w:name="_Toc388340460"/>
      <w:r>
        <w:t>Enrolments by Industry</w:t>
      </w:r>
      <w:r w:rsidR="0023338B">
        <w:t xml:space="preserve"> and Occupation</w:t>
      </w:r>
      <w:bookmarkEnd w:id="94"/>
    </w:p>
    <w:p w:rsidR="0023338B" w:rsidRDefault="0023338B" w:rsidP="0023338B"/>
    <w:p w:rsidR="0023338B" w:rsidRPr="0023338B" w:rsidRDefault="0023338B" w:rsidP="0023338B">
      <w:pPr>
        <w:pStyle w:val="Heading3"/>
      </w:pPr>
      <w:r w:rsidRPr="0023338B">
        <w:t xml:space="preserve">Enrolments by Industry </w:t>
      </w:r>
    </w:p>
    <w:p w:rsidR="00F72C48" w:rsidRPr="00625E34" w:rsidRDefault="00F72C48" w:rsidP="00F72C48">
      <w:r w:rsidRPr="00625E34">
        <w:t xml:space="preserve">Victorian reforms in vocational training enhance the alignment between vocational training and the needs of industry. For students this provides the opportunity for improved career and education pathways and employment outcomes following completion of training. Analysis of vocational training data has shown a </w:t>
      </w:r>
      <w:r>
        <w:t>good alignment</w:t>
      </w:r>
      <w:r w:rsidRPr="00625E34">
        <w:t xml:space="preserve"> between share of employment and share of training delivery in Victoria's largest industries (also refer to </w:t>
      </w:r>
      <w:r>
        <w:t>Figure 3.2</w:t>
      </w:r>
      <w:r w:rsidRPr="00625E34">
        <w:t xml:space="preserve"> for a comparison between employment and enrolment by industry):</w:t>
      </w:r>
    </w:p>
    <w:p w:rsidR="00F72C48" w:rsidRPr="00D54261" w:rsidRDefault="00F72C48" w:rsidP="00F72C48"/>
    <w:p w:rsidR="00F72C48" w:rsidRPr="00D54261" w:rsidRDefault="00F72C48" w:rsidP="00D83827">
      <w:pPr>
        <w:numPr>
          <w:ilvl w:val="0"/>
          <w:numId w:val="21"/>
        </w:numPr>
        <w:rPr>
          <w:szCs w:val="19"/>
        </w:rPr>
      </w:pPr>
      <w:r w:rsidRPr="00D54261">
        <w:rPr>
          <w:szCs w:val="19"/>
        </w:rPr>
        <w:t>60 per cent of training was delivered in the six highest employing Victorian industry sectors, which account for 59 per cent of all Victorian jobs - Health Care and Social Assistance, Retail Trade, Manufacturing, Professional, Scientific and Technical Services, Construction and Education and Training.</w:t>
      </w:r>
    </w:p>
    <w:p w:rsidR="00F72C48" w:rsidRDefault="00F72C48" w:rsidP="00D83827">
      <w:pPr>
        <w:numPr>
          <w:ilvl w:val="0"/>
          <w:numId w:val="15"/>
        </w:numPr>
      </w:pPr>
      <w:r w:rsidRPr="0000645A">
        <w:t xml:space="preserve">There were around </w:t>
      </w:r>
      <w:r>
        <w:t>448</w:t>
      </w:r>
      <w:r w:rsidRPr="0000645A">
        <w:t>,</w:t>
      </w:r>
      <w:r>
        <w:t>1</w:t>
      </w:r>
      <w:r w:rsidRPr="0000645A">
        <w:t xml:space="preserve">00 enrolments in all industry-specific training, including </w:t>
      </w:r>
      <w:r>
        <w:t>60</w:t>
      </w:r>
      <w:r w:rsidRPr="0000645A">
        <w:t>,</w:t>
      </w:r>
      <w:r>
        <w:t>3</w:t>
      </w:r>
      <w:r w:rsidRPr="0000645A">
        <w:t>00 enrolments in Cross-industry training, which encompasses a broad range of skills applicable to all Victorian industries.</w:t>
      </w:r>
      <w:r>
        <w:br w:type="page"/>
      </w:r>
    </w:p>
    <w:p w:rsidR="00F72C48" w:rsidRPr="001C4CE5" w:rsidRDefault="00F72C48" w:rsidP="00F72C48">
      <w:pPr>
        <w:rPr>
          <w:b/>
        </w:rPr>
      </w:pPr>
      <w:r>
        <w:rPr>
          <w:b/>
          <w:color w:val="4F81BD"/>
        </w:rPr>
        <w:t xml:space="preserve">Figure </w:t>
      </w:r>
      <w:r w:rsidRPr="001C4CE5">
        <w:rPr>
          <w:b/>
          <w:color w:val="4F81BD"/>
        </w:rPr>
        <w:t>3.2: Industry share of Victorian employment and vocational training 2013</w:t>
      </w:r>
    </w:p>
    <w:p w:rsidR="00F72C48" w:rsidRDefault="00F72C48" w:rsidP="00F72C48">
      <w:pPr>
        <w:jc w:val="center"/>
      </w:pPr>
      <w:r>
        <w:rPr>
          <w:noProof/>
          <w:lang w:eastAsia="en-AU"/>
        </w:rPr>
        <w:drawing>
          <wp:inline distT="0" distB="0" distL="0" distR="0" wp14:anchorId="37F1FA16" wp14:editId="5913EF5D">
            <wp:extent cx="5695950" cy="3797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02020" cy="3801347"/>
                    </a:xfrm>
                    <a:prstGeom prst="rect">
                      <a:avLst/>
                    </a:prstGeom>
                    <a:noFill/>
                  </pic:spPr>
                </pic:pic>
              </a:graphicData>
            </a:graphic>
          </wp:inline>
        </w:drawing>
      </w:r>
    </w:p>
    <w:p w:rsidR="00F72C48" w:rsidRDefault="00F72C48" w:rsidP="00F72C48">
      <w:r>
        <w:t xml:space="preserve">Figure 3.2 shows how training within industries is tracking against employment needs. The following table, Table 3.1, highlights the top enrolling industries. The table </w:t>
      </w:r>
      <w:r w:rsidRPr="00163236">
        <w:t>shows training in government subsidised qualifications, sorted highest to lowest by 2013 enrolments (excludes foundation training).  Rank by industry share of Victorian employment and equivalent 2008 ranks are also displayed.</w:t>
      </w:r>
    </w:p>
    <w:p w:rsidR="00F72C48" w:rsidRDefault="00F72C48" w:rsidP="00F72C48">
      <w:pPr>
        <w:spacing w:after="0" w:line="240" w:lineRule="auto"/>
        <w:jc w:val="left"/>
        <w:rPr>
          <w:b/>
          <w:bCs/>
          <w:color w:val="76923C" w:themeColor="accent3" w:themeShade="BF"/>
          <w:sz w:val="18"/>
          <w:szCs w:val="16"/>
        </w:rPr>
      </w:pPr>
      <w:r>
        <w:br w:type="page"/>
      </w:r>
    </w:p>
    <w:p w:rsidR="00F72C48" w:rsidRDefault="00F72C48" w:rsidP="00F72C48">
      <w:pPr>
        <w:pStyle w:val="Caption"/>
      </w:pPr>
      <w:r w:rsidRPr="000D77C3">
        <w:rPr>
          <w:color w:val="4F81BD"/>
        </w:rPr>
        <w:t>Table 3.1: Industry-specific</w:t>
      </w:r>
      <w:r>
        <w:rPr>
          <w:rStyle w:val="FootnoteReference"/>
          <w:color w:val="4F81BD"/>
        </w:rPr>
        <w:footnoteReference w:id="7"/>
      </w:r>
      <w:r w:rsidRPr="000D77C3">
        <w:rPr>
          <w:color w:val="4F81BD"/>
        </w:rPr>
        <w:t xml:space="preserve"> training and employment: 201</w:t>
      </w:r>
      <w:r>
        <w:rPr>
          <w:color w:val="4F81BD"/>
        </w:rPr>
        <w:t>3</w:t>
      </w:r>
      <w:r w:rsidRPr="000D77C3">
        <w:rPr>
          <w:color w:val="4F81BD"/>
        </w:rPr>
        <w:t xml:space="preserve"> vs. 2008</w:t>
      </w:r>
    </w:p>
    <w:tbl>
      <w:tblPr>
        <w:tblW w:w="5000" w:type="pct"/>
        <w:tblCellMar>
          <w:left w:w="0" w:type="dxa"/>
          <w:right w:w="0" w:type="dxa"/>
        </w:tblCellMar>
        <w:tblLook w:val="04A0" w:firstRow="1" w:lastRow="0" w:firstColumn="1" w:lastColumn="0" w:noHBand="0" w:noVBand="1"/>
      </w:tblPr>
      <w:tblGrid>
        <w:gridCol w:w="3992"/>
        <w:gridCol w:w="983"/>
        <w:gridCol w:w="667"/>
        <w:gridCol w:w="847"/>
        <w:gridCol w:w="847"/>
        <w:gridCol w:w="880"/>
        <w:gridCol w:w="876"/>
      </w:tblGrid>
      <w:tr w:rsidR="00F72C48" w:rsidRPr="0024635B" w:rsidTr="00440176">
        <w:trPr>
          <w:trHeight w:val="300"/>
        </w:trPr>
        <w:tc>
          <w:tcPr>
            <w:tcW w:w="2195" w:type="pct"/>
            <w:vMerge w:val="restart"/>
            <w:tcBorders>
              <w:top w:val="single" w:sz="8" w:space="0" w:color="366092"/>
              <w:left w:val="single" w:sz="8" w:space="0" w:color="366092"/>
              <w:bottom w:val="single" w:sz="4" w:space="0" w:color="366092"/>
              <w:right w:val="single" w:sz="4" w:space="0" w:color="366092"/>
            </w:tcBorders>
            <w:shd w:val="clear" w:color="000000" w:fill="366092"/>
            <w:noWrap/>
            <w:vAlign w:val="center"/>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Industry</w:t>
            </w:r>
          </w:p>
        </w:tc>
        <w:tc>
          <w:tcPr>
            <w:tcW w:w="907" w:type="pct"/>
            <w:gridSpan w:val="2"/>
            <w:tcBorders>
              <w:top w:val="single" w:sz="8" w:space="0" w:color="366092"/>
              <w:left w:val="nil"/>
              <w:bottom w:val="single" w:sz="4" w:space="0" w:color="366092"/>
              <w:right w:val="single" w:sz="8" w:space="0" w:color="366092"/>
            </w:tcBorders>
            <w:shd w:val="clear" w:color="000000" w:fill="366092"/>
            <w:noWrap/>
            <w:vAlign w:val="center"/>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2013 Enrolments</w:t>
            </w:r>
          </w:p>
        </w:tc>
        <w:tc>
          <w:tcPr>
            <w:tcW w:w="932" w:type="pct"/>
            <w:gridSpan w:val="2"/>
            <w:tcBorders>
              <w:top w:val="single" w:sz="8" w:space="0" w:color="366092"/>
              <w:left w:val="nil"/>
              <w:bottom w:val="single" w:sz="4" w:space="0" w:color="366092"/>
              <w:right w:val="single" w:sz="8" w:space="0" w:color="366092"/>
            </w:tcBorders>
            <w:shd w:val="clear" w:color="000000" w:fill="366092"/>
            <w:noWrap/>
            <w:vAlign w:val="center"/>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Training Rank</w:t>
            </w:r>
          </w:p>
        </w:tc>
        <w:tc>
          <w:tcPr>
            <w:tcW w:w="967" w:type="pct"/>
            <w:gridSpan w:val="2"/>
            <w:tcBorders>
              <w:top w:val="single" w:sz="8" w:space="0" w:color="366092"/>
              <w:left w:val="nil"/>
              <w:bottom w:val="single" w:sz="4" w:space="0" w:color="366092"/>
              <w:right w:val="single" w:sz="8" w:space="0" w:color="366092"/>
            </w:tcBorders>
            <w:shd w:val="clear" w:color="000000" w:fill="366092"/>
            <w:noWrap/>
            <w:vAlign w:val="center"/>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Employment Rank</w:t>
            </w:r>
          </w:p>
        </w:tc>
      </w:tr>
      <w:tr w:rsidR="00F72C48" w:rsidRPr="0024635B" w:rsidTr="00440176">
        <w:trPr>
          <w:trHeight w:val="330"/>
        </w:trPr>
        <w:tc>
          <w:tcPr>
            <w:tcW w:w="2195" w:type="pct"/>
            <w:vMerge/>
            <w:tcBorders>
              <w:top w:val="single" w:sz="8" w:space="0" w:color="366092"/>
              <w:left w:val="single" w:sz="8" w:space="0" w:color="366092"/>
              <w:bottom w:val="single" w:sz="4" w:space="0" w:color="366092"/>
              <w:right w:val="single" w:sz="4" w:space="0" w:color="366092"/>
            </w:tcBorders>
            <w:vAlign w:val="center"/>
            <w:hideMark/>
          </w:tcPr>
          <w:p w:rsidR="00F72C48" w:rsidRPr="0024635B" w:rsidRDefault="00F72C48" w:rsidP="00440176">
            <w:pPr>
              <w:rPr>
                <w:rFonts w:cs="Arial"/>
                <w:b/>
                <w:bCs/>
                <w:color w:val="FFFFFF"/>
                <w:sz w:val="18"/>
                <w:szCs w:val="18"/>
              </w:rPr>
            </w:pPr>
          </w:p>
        </w:tc>
        <w:tc>
          <w:tcPr>
            <w:tcW w:w="540" w:type="pct"/>
            <w:tcBorders>
              <w:top w:val="nil"/>
              <w:left w:val="nil"/>
              <w:bottom w:val="single" w:sz="4" w:space="0" w:color="366092"/>
              <w:right w:val="single" w:sz="4"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 xml:space="preserve">Number </w:t>
            </w:r>
          </w:p>
        </w:tc>
        <w:tc>
          <w:tcPr>
            <w:tcW w:w="367" w:type="pct"/>
            <w:tcBorders>
              <w:top w:val="nil"/>
              <w:left w:val="nil"/>
              <w:bottom w:val="single" w:sz="4" w:space="0" w:color="366092"/>
              <w:right w:val="single" w:sz="8"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Share</w:t>
            </w:r>
          </w:p>
        </w:tc>
        <w:tc>
          <w:tcPr>
            <w:tcW w:w="466" w:type="pct"/>
            <w:tcBorders>
              <w:top w:val="nil"/>
              <w:left w:val="nil"/>
              <w:bottom w:val="single" w:sz="4" w:space="0" w:color="366092"/>
              <w:right w:val="single" w:sz="4"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2013</w:t>
            </w:r>
          </w:p>
        </w:tc>
        <w:tc>
          <w:tcPr>
            <w:tcW w:w="466" w:type="pct"/>
            <w:tcBorders>
              <w:top w:val="nil"/>
              <w:left w:val="nil"/>
              <w:bottom w:val="single" w:sz="4" w:space="0" w:color="366092"/>
              <w:right w:val="single" w:sz="8"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2008</w:t>
            </w:r>
          </w:p>
        </w:tc>
        <w:tc>
          <w:tcPr>
            <w:tcW w:w="484" w:type="pct"/>
            <w:tcBorders>
              <w:top w:val="nil"/>
              <w:left w:val="nil"/>
              <w:bottom w:val="single" w:sz="4" w:space="0" w:color="366092"/>
              <w:right w:val="single" w:sz="4"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2013</w:t>
            </w:r>
          </w:p>
        </w:tc>
        <w:tc>
          <w:tcPr>
            <w:tcW w:w="483" w:type="pct"/>
            <w:tcBorders>
              <w:top w:val="nil"/>
              <w:left w:val="nil"/>
              <w:bottom w:val="single" w:sz="4" w:space="0" w:color="366092"/>
              <w:right w:val="single" w:sz="8"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2008</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Health Care and Social Assistance</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87,300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23%</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2</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3</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Construction</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62,700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16%</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2</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5</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4</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Transport, Postal and Warehousing</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46,100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12%</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3</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10</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8</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8</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Manufacturing</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43,500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11%</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4</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3</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3</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Accommodation and Food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30,300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8%</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5</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4</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7</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7</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Other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21,100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5%</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6</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9</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12</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11</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Arts and Recreation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15,900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4%</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7</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7</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16</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16</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Administrative and Support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15,600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4%</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8</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6</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13</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13</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Retail Trade</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15,400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4%</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9</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5</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2</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2</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Education and Training</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12,700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3%</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10</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12</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6</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5</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Professional, Scientific and Technical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10,500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3%</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11</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8</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4</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6</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Agriculture, Forestry and Fishing</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8,300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2%</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12</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11</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14</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14</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Public Administration and Safety</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8,100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2%</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13</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13</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9</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9</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Information Media and Telecommunications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3,300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14</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14</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15</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15</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Financial and Insurance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3,100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15</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15</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11</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12</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Rental, Hiring and Real Estate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1,700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0.4%</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16</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17</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17</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17</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Wholesale Trade</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1,000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0.3%</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17</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17</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10</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10</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Electricity, Gas, Water and Waste Services</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800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0.2%</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18</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16</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18</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18</w:t>
            </w:r>
          </w:p>
        </w:tc>
      </w:tr>
      <w:tr w:rsidR="00F72C48" w:rsidRPr="0024635B" w:rsidTr="00C6238D">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center"/>
            <w:hideMark/>
          </w:tcPr>
          <w:p w:rsidR="00F72C48" w:rsidRPr="0024635B" w:rsidRDefault="00F72C48" w:rsidP="00C6238D">
            <w:pPr>
              <w:jc w:val="left"/>
              <w:rPr>
                <w:rFonts w:cs="Arial"/>
                <w:color w:val="366092"/>
                <w:sz w:val="18"/>
                <w:szCs w:val="18"/>
              </w:rPr>
            </w:pPr>
            <w:r w:rsidRPr="0024635B">
              <w:rPr>
                <w:rFonts w:cs="Arial"/>
                <w:color w:val="366092"/>
                <w:sz w:val="18"/>
                <w:szCs w:val="18"/>
              </w:rPr>
              <w:t>Mining</w:t>
            </w:r>
          </w:p>
        </w:tc>
        <w:tc>
          <w:tcPr>
            <w:tcW w:w="540"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 xml:space="preserve">         400 </w:t>
            </w:r>
          </w:p>
        </w:tc>
        <w:tc>
          <w:tcPr>
            <w:tcW w:w="367"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0.1%</w:t>
            </w:r>
          </w:p>
        </w:tc>
        <w:tc>
          <w:tcPr>
            <w:tcW w:w="466"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19</w:t>
            </w:r>
          </w:p>
        </w:tc>
        <w:tc>
          <w:tcPr>
            <w:tcW w:w="466"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19</w:t>
            </w:r>
          </w:p>
        </w:tc>
        <w:tc>
          <w:tcPr>
            <w:tcW w:w="484" w:type="pct"/>
            <w:tcBorders>
              <w:top w:val="nil"/>
              <w:left w:val="nil"/>
              <w:bottom w:val="single" w:sz="4" w:space="0" w:color="366092"/>
              <w:right w:val="single" w:sz="4"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19</w:t>
            </w:r>
          </w:p>
        </w:tc>
        <w:tc>
          <w:tcPr>
            <w:tcW w:w="483" w:type="pct"/>
            <w:tcBorders>
              <w:top w:val="nil"/>
              <w:left w:val="nil"/>
              <w:bottom w:val="single" w:sz="4" w:space="0" w:color="366092"/>
              <w:right w:val="single" w:sz="8" w:space="0" w:color="366092"/>
            </w:tcBorders>
            <w:shd w:val="clear" w:color="auto" w:fill="auto"/>
            <w:noWrap/>
            <w:vAlign w:val="center"/>
            <w:hideMark/>
          </w:tcPr>
          <w:p w:rsidR="00F72C48" w:rsidRPr="0024635B" w:rsidRDefault="00F72C48" w:rsidP="00C6238D">
            <w:pPr>
              <w:jc w:val="right"/>
              <w:rPr>
                <w:rFonts w:cs="Arial"/>
                <w:color w:val="000000"/>
                <w:sz w:val="18"/>
                <w:szCs w:val="18"/>
              </w:rPr>
            </w:pPr>
            <w:r w:rsidRPr="0024635B">
              <w:rPr>
                <w:rFonts w:cs="Arial"/>
                <w:color w:val="000000"/>
                <w:sz w:val="18"/>
                <w:szCs w:val="18"/>
              </w:rPr>
              <w:t>19</w:t>
            </w:r>
          </w:p>
        </w:tc>
      </w:tr>
      <w:tr w:rsidR="00F72C48" w:rsidRPr="0024635B" w:rsidTr="00440176">
        <w:trPr>
          <w:trHeight w:val="225"/>
        </w:trPr>
        <w:tc>
          <w:tcPr>
            <w:tcW w:w="2195" w:type="pct"/>
            <w:tcBorders>
              <w:top w:val="nil"/>
              <w:left w:val="single" w:sz="8" w:space="0" w:color="366092"/>
              <w:bottom w:val="single" w:sz="4" w:space="0" w:color="366092"/>
              <w:right w:val="single" w:sz="4" w:space="0" w:color="366092"/>
            </w:tcBorders>
            <w:shd w:val="clear" w:color="000000" w:fill="366092"/>
            <w:noWrap/>
            <w:vAlign w:val="bottom"/>
            <w:hideMark/>
          </w:tcPr>
          <w:p w:rsidR="00F72C48" w:rsidRPr="0024635B" w:rsidRDefault="00F72C48" w:rsidP="00440176">
            <w:pPr>
              <w:rPr>
                <w:rFonts w:cs="Arial"/>
                <w:b/>
                <w:bCs/>
                <w:color w:val="FFFFFF"/>
                <w:sz w:val="18"/>
                <w:szCs w:val="18"/>
              </w:rPr>
            </w:pPr>
            <w:r w:rsidRPr="0024635B">
              <w:rPr>
                <w:rFonts w:cs="Arial"/>
                <w:b/>
                <w:bCs/>
                <w:color w:val="FFFFFF"/>
                <w:sz w:val="18"/>
                <w:szCs w:val="18"/>
              </w:rPr>
              <w:t>Industry specific</w:t>
            </w:r>
            <w:r w:rsidRPr="0024635B">
              <w:rPr>
                <w:sz w:val="18"/>
                <w:szCs w:val="18"/>
              </w:rPr>
              <w:t xml:space="preserve"> </w:t>
            </w:r>
            <w:r w:rsidRPr="0024635B">
              <w:rPr>
                <w:rFonts w:cs="Arial"/>
                <w:b/>
                <w:bCs/>
                <w:color w:val="FFFFFF"/>
                <w:sz w:val="18"/>
                <w:szCs w:val="18"/>
              </w:rPr>
              <w:t>training</w:t>
            </w:r>
          </w:p>
        </w:tc>
        <w:tc>
          <w:tcPr>
            <w:tcW w:w="540" w:type="pct"/>
            <w:tcBorders>
              <w:top w:val="nil"/>
              <w:left w:val="nil"/>
              <w:bottom w:val="single" w:sz="4" w:space="0" w:color="366092"/>
              <w:right w:val="single" w:sz="4" w:space="0" w:color="366092"/>
            </w:tcBorders>
            <w:shd w:val="clear" w:color="000000" w:fill="366092"/>
            <w:noWrap/>
            <w:vAlign w:val="bottom"/>
            <w:hideMark/>
          </w:tcPr>
          <w:p w:rsidR="00F72C48" w:rsidRPr="0024635B" w:rsidRDefault="00F72C48" w:rsidP="00440176">
            <w:pPr>
              <w:jc w:val="right"/>
              <w:rPr>
                <w:rFonts w:cs="Arial"/>
                <w:b/>
                <w:bCs/>
                <w:color w:val="FFFFFF"/>
                <w:sz w:val="18"/>
                <w:szCs w:val="18"/>
              </w:rPr>
            </w:pPr>
            <w:r w:rsidRPr="0024635B">
              <w:rPr>
                <w:rFonts w:cs="Arial"/>
                <w:b/>
                <w:bCs/>
                <w:color w:val="FFFFFF"/>
                <w:sz w:val="18"/>
                <w:szCs w:val="18"/>
              </w:rPr>
              <w:t xml:space="preserve">  387,800 </w:t>
            </w:r>
          </w:p>
        </w:tc>
        <w:tc>
          <w:tcPr>
            <w:tcW w:w="367" w:type="pct"/>
            <w:tcBorders>
              <w:top w:val="nil"/>
              <w:left w:val="nil"/>
              <w:bottom w:val="single" w:sz="4" w:space="0" w:color="366092"/>
              <w:right w:val="single" w:sz="8" w:space="0" w:color="366092"/>
            </w:tcBorders>
            <w:shd w:val="clear" w:color="000000" w:fill="366092"/>
            <w:noWrap/>
            <w:vAlign w:val="bottom"/>
            <w:hideMark/>
          </w:tcPr>
          <w:p w:rsidR="00F72C48" w:rsidRPr="0024635B" w:rsidRDefault="00F72C48" w:rsidP="00440176">
            <w:pPr>
              <w:jc w:val="right"/>
              <w:rPr>
                <w:rFonts w:cs="Arial"/>
                <w:b/>
                <w:bCs/>
                <w:color w:val="FFFFFF"/>
                <w:sz w:val="18"/>
                <w:szCs w:val="18"/>
              </w:rPr>
            </w:pPr>
            <w:r w:rsidRPr="0024635B">
              <w:rPr>
                <w:rFonts w:cs="Arial"/>
                <w:b/>
                <w:bCs/>
                <w:color w:val="FFFFFF"/>
                <w:sz w:val="18"/>
                <w:szCs w:val="18"/>
              </w:rPr>
              <w:t>100%</w:t>
            </w:r>
          </w:p>
        </w:tc>
        <w:tc>
          <w:tcPr>
            <w:tcW w:w="466" w:type="pct"/>
            <w:tcBorders>
              <w:top w:val="nil"/>
              <w:left w:val="nil"/>
              <w:bottom w:val="single" w:sz="4" w:space="0" w:color="366092"/>
              <w:right w:val="single" w:sz="4" w:space="0" w:color="366092"/>
            </w:tcBorders>
            <w:shd w:val="clear" w:color="000000" w:fill="366092"/>
            <w:noWrap/>
            <w:vAlign w:val="bottom"/>
            <w:hideMark/>
          </w:tcPr>
          <w:p w:rsidR="00F72C48" w:rsidRPr="0024635B" w:rsidRDefault="00F72C48" w:rsidP="00440176">
            <w:pPr>
              <w:rPr>
                <w:rFonts w:cs="Arial"/>
                <w:b/>
                <w:bCs/>
                <w:color w:val="FFFFFF"/>
                <w:sz w:val="18"/>
                <w:szCs w:val="18"/>
              </w:rPr>
            </w:pPr>
            <w:r w:rsidRPr="0024635B">
              <w:rPr>
                <w:rFonts w:cs="Arial"/>
                <w:b/>
                <w:bCs/>
                <w:color w:val="FFFFFF"/>
                <w:sz w:val="18"/>
                <w:szCs w:val="18"/>
              </w:rPr>
              <w:t> </w:t>
            </w:r>
          </w:p>
        </w:tc>
        <w:tc>
          <w:tcPr>
            <w:tcW w:w="466" w:type="pct"/>
            <w:tcBorders>
              <w:top w:val="nil"/>
              <w:left w:val="nil"/>
              <w:bottom w:val="single" w:sz="4" w:space="0" w:color="366092"/>
              <w:right w:val="single" w:sz="8" w:space="0" w:color="366092"/>
            </w:tcBorders>
            <w:shd w:val="clear" w:color="000000" w:fill="366092"/>
            <w:noWrap/>
            <w:vAlign w:val="bottom"/>
            <w:hideMark/>
          </w:tcPr>
          <w:p w:rsidR="00F72C48" w:rsidRPr="0024635B" w:rsidRDefault="00F72C48" w:rsidP="00440176">
            <w:pPr>
              <w:rPr>
                <w:rFonts w:cs="Arial"/>
                <w:b/>
                <w:bCs/>
                <w:color w:val="FFFFFF"/>
                <w:sz w:val="18"/>
                <w:szCs w:val="18"/>
              </w:rPr>
            </w:pPr>
            <w:r w:rsidRPr="0024635B">
              <w:rPr>
                <w:rFonts w:cs="Arial"/>
                <w:b/>
                <w:bCs/>
                <w:color w:val="FFFFFF"/>
                <w:sz w:val="18"/>
                <w:szCs w:val="18"/>
              </w:rPr>
              <w:t> </w:t>
            </w:r>
          </w:p>
        </w:tc>
        <w:tc>
          <w:tcPr>
            <w:tcW w:w="484" w:type="pct"/>
            <w:tcBorders>
              <w:top w:val="nil"/>
              <w:left w:val="nil"/>
              <w:bottom w:val="single" w:sz="4" w:space="0" w:color="366092"/>
              <w:right w:val="single" w:sz="4" w:space="0" w:color="366092"/>
            </w:tcBorders>
            <w:shd w:val="clear" w:color="000000" w:fill="366092"/>
            <w:noWrap/>
            <w:vAlign w:val="bottom"/>
            <w:hideMark/>
          </w:tcPr>
          <w:p w:rsidR="00F72C48" w:rsidRPr="0024635B" w:rsidRDefault="00F72C48" w:rsidP="00440176">
            <w:pPr>
              <w:rPr>
                <w:rFonts w:cs="Arial"/>
                <w:b/>
                <w:bCs/>
                <w:color w:val="FFFFFF"/>
                <w:sz w:val="18"/>
                <w:szCs w:val="18"/>
              </w:rPr>
            </w:pPr>
            <w:r w:rsidRPr="0024635B">
              <w:rPr>
                <w:rFonts w:cs="Arial"/>
                <w:b/>
                <w:bCs/>
                <w:color w:val="FFFFFF"/>
                <w:sz w:val="18"/>
                <w:szCs w:val="18"/>
              </w:rPr>
              <w:t> </w:t>
            </w:r>
          </w:p>
        </w:tc>
        <w:tc>
          <w:tcPr>
            <w:tcW w:w="483" w:type="pct"/>
            <w:tcBorders>
              <w:top w:val="nil"/>
              <w:left w:val="nil"/>
              <w:bottom w:val="single" w:sz="4" w:space="0" w:color="366092"/>
              <w:right w:val="single" w:sz="8" w:space="0" w:color="366092"/>
            </w:tcBorders>
            <w:shd w:val="clear" w:color="000000" w:fill="366092"/>
            <w:noWrap/>
            <w:vAlign w:val="bottom"/>
            <w:hideMark/>
          </w:tcPr>
          <w:p w:rsidR="00F72C48" w:rsidRPr="0024635B" w:rsidRDefault="00F72C48" w:rsidP="00440176">
            <w:pPr>
              <w:rPr>
                <w:rFonts w:cs="Arial"/>
                <w:b/>
                <w:bCs/>
                <w:color w:val="FFFFFF"/>
                <w:sz w:val="18"/>
                <w:szCs w:val="18"/>
              </w:rPr>
            </w:pPr>
            <w:r w:rsidRPr="0024635B">
              <w:rPr>
                <w:rFonts w:cs="Arial"/>
                <w:b/>
                <w:bCs/>
                <w:color w:val="FFFFFF"/>
                <w:sz w:val="18"/>
                <w:szCs w:val="18"/>
              </w:rPr>
              <w:t> </w:t>
            </w:r>
          </w:p>
        </w:tc>
      </w:tr>
      <w:tr w:rsidR="00F72C48" w:rsidRPr="0024635B" w:rsidTr="00440176">
        <w:trPr>
          <w:trHeight w:val="225"/>
        </w:trPr>
        <w:tc>
          <w:tcPr>
            <w:tcW w:w="2195" w:type="pct"/>
            <w:tcBorders>
              <w:top w:val="nil"/>
              <w:left w:val="single" w:sz="8" w:space="0" w:color="366092"/>
              <w:bottom w:val="single" w:sz="4" w:space="0" w:color="366092"/>
              <w:right w:val="single" w:sz="4" w:space="0" w:color="366092"/>
            </w:tcBorders>
            <w:shd w:val="clear" w:color="000000" w:fill="FFFFFF"/>
            <w:noWrap/>
            <w:vAlign w:val="bottom"/>
            <w:hideMark/>
          </w:tcPr>
          <w:p w:rsidR="00F72C48" w:rsidRPr="0024635B" w:rsidRDefault="00F72C48" w:rsidP="00440176">
            <w:pPr>
              <w:rPr>
                <w:rFonts w:cs="Arial"/>
                <w:color w:val="366092"/>
                <w:sz w:val="18"/>
                <w:szCs w:val="18"/>
              </w:rPr>
            </w:pPr>
            <w:r w:rsidRPr="0024635B">
              <w:rPr>
                <w:rFonts w:cs="Arial"/>
                <w:color w:val="366092"/>
                <w:sz w:val="18"/>
                <w:szCs w:val="18"/>
              </w:rPr>
              <w:t>Cross-industry training*</w:t>
            </w:r>
          </w:p>
        </w:tc>
        <w:tc>
          <w:tcPr>
            <w:tcW w:w="540"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jc w:val="right"/>
              <w:rPr>
                <w:rFonts w:cs="Arial"/>
                <w:color w:val="000000"/>
                <w:sz w:val="18"/>
                <w:szCs w:val="18"/>
              </w:rPr>
            </w:pPr>
            <w:r w:rsidRPr="0024635B">
              <w:rPr>
                <w:rFonts w:cs="Arial"/>
                <w:color w:val="000000"/>
                <w:sz w:val="18"/>
                <w:szCs w:val="18"/>
              </w:rPr>
              <w:t xml:space="preserve">    60,300 </w:t>
            </w:r>
          </w:p>
        </w:tc>
        <w:tc>
          <w:tcPr>
            <w:tcW w:w="367" w:type="pct"/>
            <w:tcBorders>
              <w:top w:val="nil"/>
              <w:left w:val="nil"/>
              <w:bottom w:val="single" w:sz="4" w:space="0" w:color="366092"/>
              <w:right w:val="single" w:sz="8" w:space="0" w:color="366092"/>
            </w:tcBorders>
            <w:shd w:val="clear" w:color="auto" w:fill="auto"/>
            <w:noWrap/>
            <w:vAlign w:val="bottom"/>
            <w:hideMark/>
          </w:tcPr>
          <w:p w:rsidR="00F72C48" w:rsidRPr="0024635B" w:rsidRDefault="00F72C48" w:rsidP="00440176">
            <w:pPr>
              <w:jc w:val="center"/>
              <w:rPr>
                <w:rFonts w:cs="Arial"/>
                <w:color w:val="000000"/>
                <w:sz w:val="18"/>
                <w:szCs w:val="18"/>
              </w:rPr>
            </w:pPr>
            <w:r w:rsidRPr="0024635B">
              <w:rPr>
                <w:rFonts w:cs="Arial"/>
                <w:color w:val="000000"/>
                <w:sz w:val="18"/>
                <w:szCs w:val="18"/>
              </w:rPr>
              <w:t>-</w:t>
            </w:r>
          </w:p>
        </w:tc>
        <w:tc>
          <w:tcPr>
            <w:tcW w:w="466"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jc w:val="center"/>
              <w:rPr>
                <w:rFonts w:cs="Arial"/>
                <w:color w:val="000000"/>
                <w:sz w:val="18"/>
                <w:szCs w:val="18"/>
              </w:rPr>
            </w:pPr>
            <w:r w:rsidRPr="0024635B">
              <w:rPr>
                <w:rFonts w:cs="Arial"/>
                <w:color w:val="000000"/>
                <w:sz w:val="18"/>
                <w:szCs w:val="18"/>
              </w:rPr>
              <w:t>-</w:t>
            </w:r>
          </w:p>
        </w:tc>
        <w:tc>
          <w:tcPr>
            <w:tcW w:w="466" w:type="pct"/>
            <w:tcBorders>
              <w:top w:val="nil"/>
              <w:left w:val="nil"/>
              <w:bottom w:val="single" w:sz="4" w:space="0" w:color="366092"/>
              <w:right w:val="single" w:sz="8" w:space="0" w:color="366092"/>
            </w:tcBorders>
            <w:shd w:val="clear" w:color="auto" w:fill="auto"/>
            <w:noWrap/>
            <w:vAlign w:val="bottom"/>
            <w:hideMark/>
          </w:tcPr>
          <w:p w:rsidR="00F72C48" w:rsidRPr="0024635B" w:rsidRDefault="00F72C48" w:rsidP="00440176">
            <w:pPr>
              <w:jc w:val="center"/>
              <w:rPr>
                <w:rFonts w:cs="Arial"/>
                <w:color w:val="000000"/>
                <w:sz w:val="18"/>
                <w:szCs w:val="18"/>
              </w:rPr>
            </w:pPr>
            <w:r w:rsidRPr="0024635B">
              <w:rPr>
                <w:rFonts w:cs="Arial"/>
                <w:color w:val="000000"/>
                <w:sz w:val="18"/>
                <w:szCs w:val="18"/>
              </w:rPr>
              <w:t>-</w:t>
            </w:r>
          </w:p>
        </w:tc>
        <w:tc>
          <w:tcPr>
            <w:tcW w:w="484"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jc w:val="center"/>
              <w:rPr>
                <w:rFonts w:cs="Arial"/>
                <w:color w:val="000000"/>
                <w:sz w:val="18"/>
                <w:szCs w:val="18"/>
              </w:rPr>
            </w:pPr>
            <w:r w:rsidRPr="0024635B">
              <w:rPr>
                <w:rFonts w:cs="Arial"/>
                <w:color w:val="000000"/>
                <w:sz w:val="18"/>
                <w:szCs w:val="18"/>
              </w:rPr>
              <w:t>-</w:t>
            </w:r>
          </w:p>
        </w:tc>
        <w:tc>
          <w:tcPr>
            <w:tcW w:w="483" w:type="pct"/>
            <w:tcBorders>
              <w:top w:val="nil"/>
              <w:left w:val="nil"/>
              <w:bottom w:val="single" w:sz="4" w:space="0" w:color="366092"/>
              <w:right w:val="single" w:sz="8" w:space="0" w:color="366092"/>
            </w:tcBorders>
            <w:shd w:val="clear" w:color="auto" w:fill="auto"/>
            <w:noWrap/>
            <w:vAlign w:val="bottom"/>
            <w:hideMark/>
          </w:tcPr>
          <w:p w:rsidR="00F72C48" w:rsidRPr="0024635B" w:rsidRDefault="00F72C48" w:rsidP="00440176">
            <w:pPr>
              <w:jc w:val="center"/>
              <w:rPr>
                <w:rFonts w:cs="Arial"/>
                <w:color w:val="000000"/>
                <w:sz w:val="18"/>
                <w:szCs w:val="18"/>
              </w:rPr>
            </w:pPr>
            <w:r w:rsidRPr="0024635B">
              <w:rPr>
                <w:rFonts w:cs="Arial"/>
                <w:color w:val="000000"/>
                <w:sz w:val="18"/>
                <w:szCs w:val="18"/>
              </w:rPr>
              <w:t>-</w:t>
            </w:r>
          </w:p>
        </w:tc>
      </w:tr>
      <w:tr w:rsidR="00F72C48" w:rsidRPr="0024635B" w:rsidTr="00440176">
        <w:trPr>
          <w:trHeight w:val="240"/>
        </w:trPr>
        <w:tc>
          <w:tcPr>
            <w:tcW w:w="2195" w:type="pct"/>
            <w:tcBorders>
              <w:top w:val="nil"/>
              <w:left w:val="single" w:sz="8" w:space="0" w:color="366092"/>
              <w:bottom w:val="single" w:sz="8" w:space="0" w:color="366092"/>
              <w:right w:val="single" w:sz="4" w:space="0" w:color="366092"/>
            </w:tcBorders>
            <w:shd w:val="clear" w:color="000000" w:fill="366092"/>
            <w:noWrap/>
            <w:vAlign w:val="bottom"/>
            <w:hideMark/>
          </w:tcPr>
          <w:p w:rsidR="00F72C48" w:rsidRPr="0024635B" w:rsidRDefault="00F72C48" w:rsidP="00440176">
            <w:pPr>
              <w:rPr>
                <w:rFonts w:cs="Arial"/>
                <w:b/>
                <w:bCs/>
                <w:color w:val="FFFFFF"/>
                <w:sz w:val="18"/>
                <w:szCs w:val="18"/>
              </w:rPr>
            </w:pPr>
            <w:r w:rsidRPr="0024635B">
              <w:rPr>
                <w:rFonts w:cs="Arial"/>
                <w:b/>
                <w:bCs/>
                <w:color w:val="FFFFFF"/>
                <w:sz w:val="18"/>
                <w:szCs w:val="18"/>
              </w:rPr>
              <w:t>Total industry training</w:t>
            </w:r>
          </w:p>
        </w:tc>
        <w:tc>
          <w:tcPr>
            <w:tcW w:w="540" w:type="pct"/>
            <w:tcBorders>
              <w:top w:val="nil"/>
              <w:left w:val="nil"/>
              <w:bottom w:val="single" w:sz="8" w:space="0" w:color="366092"/>
              <w:right w:val="single" w:sz="4" w:space="0" w:color="366092"/>
            </w:tcBorders>
            <w:shd w:val="clear" w:color="000000" w:fill="366092"/>
            <w:noWrap/>
            <w:vAlign w:val="bottom"/>
            <w:hideMark/>
          </w:tcPr>
          <w:p w:rsidR="00F72C48" w:rsidRPr="0024635B" w:rsidRDefault="00F72C48" w:rsidP="00440176">
            <w:pPr>
              <w:jc w:val="right"/>
              <w:rPr>
                <w:rFonts w:cs="Arial"/>
                <w:b/>
                <w:bCs/>
                <w:color w:val="FFFFFF"/>
                <w:sz w:val="18"/>
                <w:szCs w:val="18"/>
              </w:rPr>
            </w:pPr>
            <w:r w:rsidRPr="0024635B">
              <w:rPr>
                <w:rFonts w:cs="Arial"/>
                <w:b/>
                <w:bCs/>
                <w:color w:val="FFFFFF"/>
                <w:sz w:val="18"/>
                <w:szCs w:val="18"/>
              </w:rPr>
              <w:t xml:space="preserve">  448,100 </w:t>
            </w:r>
          </w:p>
        </w:tc>
        <w:tc>
          <w:tcPr>
            <w:tcW w:w="367" w:type="pct"/>
            <w:tcBorders>
              <w:top w:val="nil"/>
              <w:left w:val="nil"/>
              <w:bottom w:val="single" w:sz="8" w:space="0" w:color="366092"/>
              <w:right w:val="single" w:sz="8"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w:t>
            </w:r>
          </w:p>
        </w:tc>
        <w:tc>
          <w:tcPr>
            <w:tcW w:w="466" w:type="pct"/>
            <w:tcBorders>
              <w:top w:val="nil"/>
              <w:left w:val="nil"/>
              <w:bottom w:val="single" w:sz="8" w:space="0" w:color="366092"/>
              <w:right w:val="single" w:sz="4"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w:t>
            </w:r>
          </w:p>
        </w:tc>
        <w:tc>
          <w:tcPr>
            <w:tcW w:w="466" w:type="pct"/>
            <w:tcBorders>
              <w:top w:val="nil"/>
              <w:left w:val="nil"/>
              <w:bottom w:val="single" w:sz="8" w:space="0" w:color="366092"/>
              <w:right w:val="single" w:sz="8"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w:t>
            </w:r>
          </w:p>
        </w:tc>
        <w:tc>
          <w:tcPr>
            <w:tcW w:w="484" w:type="pct"/>
            <w:tcBorders>
              <w:top w:val="nil"/>
              <w:left w:val="nil"/>
              <w:bottom w:val="single" w:sz="8" w:space="0" w:color="366092"/>
              <w:right w:val="single" w:sz="4"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w:t>
            </w:r>
          </w:p>
        </w:tc>
        <w:tc>
          <w:tcPr>
            <w:tcW w:w="483" w:type="pct"/>
            <w:tcBorders>
              <w:top w:val="nil"/>
              <w:left w:val="nil"/>
              <w:bottom w:val="single" w:sz="8" w:space="0" w:color="366092"/>
              <w:right w:val="single" w:sz="8" w:space="0" w:color="366092"/>
            </w:tcBorders>
            <w:shd w:val="clear" w:color="000000" w:fill="366092"/>
            <w:noWrap/>
            <w:vAlign w:val="bottom"/>
            <w:hideMark/>
          </w:tcPr>
          <w:p w:rsidR="00F72C48" w:rsidRPr="0024635B" w:rsidRDefault="00F72C48" w:rsidP="00440176">
            <w:pPr>
              <w:jc w:val="center"/>
              <w:rPr>
                <w:rFonts w:cs="Arial"/>
                <w:b/>
                <w:bCs/>
                <w:color w:val="FFFFFF"/>
                <w:sz w:val="18"/>
                <w:szCs w:val="18"/>
              </w:rPr>
            </w:pPr>
            <w:r w:rsidRPr="0024635B">
              <w:rPr>
                <w:rFonts w:cs="Arial"/>
                <w:b/>
                <w:bCs/>
                <w:color w:val="FFFFFF"/>
                <w:sz w:val="18"/>
                <w:szCs w:val="18"/>
              </w:rPr>
              <w:t>-</w:t>
            </w:r>
          </w:p>
        </w:tc>
      </w:tr>
      <w:tr w:rsidR="00F72C48" w:rsidRPr="0024635B" w:rsidTr="00440176">
        <w:trPr>
          <w:trHeight w:val="225"/>
        </w:trPr>
        <w:tc>
          <w:tcPr>
            <w:tcW w:w="5000" w:type="pct"/>
            <w:gridSpan w:val="7"/>
            <w:tcBorders>
              <w:top w:val="single" w:sz="8" w:space="0" w:color="366092"/>
              <w:left w:val="nil"/>
              <w:bottom w:val="nil"/>
              <w:right w:val="nil"/>
            </w:tcBorders>
            <w:shd w:val="clear" w:color="auto" w:fill="auto"/>
            <w:vAlign w:val="bottom"/>
            <w:hideMark/>
          </w:tcPr>
          <w:p w:rsidR="00F72C48" w:rsidRPr="0024635B" w:rsidRDefault="00F72C48" w:rsidP="00440176">
            <w:pPr>
              <w:rPr>
                <w:rFonts w:cs="Arial"/>
                <w:color w:val="366092"/>
                <w:sz w:val="18"/>
                <w:szCs w:val="18"/>
              </w:rPr>
            </w:pPr>
            <w:r w:rsidRPr="0024635B">
              <w:rPr>
                <w:rFonts w:cs="Arial"/>
                <w:color w:val="366092"/>
                <w:sz w:val="18"/>
                <w:szCs w:val="18"/>
              </w:rPr>
              <w:t xml:space="preserve">Notes: </w:t>
            </w:r>
          </w:p>
        </w:tc>
      </w:tr>
      <w:tr w:rsidR="00F72C48" w:rsidRPr="0024635B" w:rsidTr="00440176">
        <w:trPr>
          <w:trHeight w:val="506"/>
        </w:trPr>
        <w:tc>
          <w:tcPr>
            <w:tcW w:w="5000" w:type="pct"/>
            <w:gridSpan w:val="7"/>
            <w:tcBorders>
              <w:top w:val="nil"/>
              <w:left w:val="nil"/>
              <w:bottom w:val="nil"/>
              <w:right w:val="nil"/>
            </w:tcBorders>
            <w:shd w:val="clear" w:color="auto" w:fill="auto"/>
            <w:hideMark/>
          </w:tcPr>
          <w:p w:rsidR="00F72C48" w:rsidRPr="0024635B" w:rsidRDefault="00F72C48" w:rsidP="00440176">
            <w:pPr>
              <w:rPr>
                <w:rFonts w:cs="Arial"/>
                <w:color w:val="366092"/>
                <w:sz w:val="18"/>
                <w:szCs w:val="18"/>
              </w:rPr>
            </w:pPr>
            <w:r w:rsidRPr="0024635B">
              <w:rPr>
                <w:rFonts w:cs="Arial"/>
                <w:color w:val="366092"/>
                <w:sz w:val="18"/>
                <w:szCs w:val="18"/>
              </w:rPr>
              <w:t xml:space="preserve">1. Cross-industry training (e.g. business administration, recordkeeping, computing) has been removed from the industry-specific analysis as this training develops business skills which are transferable across many industry sectors. </w:t>
            </w:r>
          </w:p>
        </w:tc>
      </w:tr>
      <w:tr w:rsidR="00F72C48" w:rsidRPr="0024635B" w:rsidTr="00440176">
        <w:trPr>
          <w:trHeight w:val="225"/>
        </w:trPr>
        <w:tc>
          <w:tcPr>
            <w:tcW w:w="5000" w:type="pct"/>
            <w:gridSpan w:val="7"/>
            <w:tcBorders>
              <w:top w:val="nil"/>
              <w:left w:val="nil"/>
              <w:bottom w:val="nil"/>
              <w:right w:val="nil"/>
            </w:tcBorders>
            <w:shd w:val="clear" w:color="auto" w:fill="auto"/>
            <w:hideMark/>
          </w:tcPr>
          <w:p w:rsidR="00F72C48" w:rsidRPr="0024635B" w:rsidRDefault="00F72C48" w:rsidP="00440176">
            <w:pPr>
              <w:rPr>
                <w:rFonts w:cs="Arial"/>
                <w:color w:val="366092"/>
                <w:sz w:val="18"/>
                <w:szCs w:val="18"/>
              </w:rPr>
            </w:pPr>
            <w:r w:rsidRPr="0024635B">
              <w:rPr>
                <w:rFonts w:cs="Arial"/>
                <w:color w:val="366092"/>
                <w:sz w:val="18"/>
                <w:szCs w:val="18"/>
              </w:rPr>
              <w:t>2. Employment data has been sourced from Monash CoPS Labour Market Forecasts, 2013.</w:t>
            </w:r>
          </w:p>
        </w:tc>
      </w:tr>
    </w:tbl>
    <w:p w:rsidR="00F72C48" w:rsidRDefault="00F72C48" w:rsidP="00F72C48">
      <w:pPr>
        <w:spacing w:after="200" w:line="276" w:lineRule="auto"/>
        <w:jc w:val="left"/>
      </w:pPr>
      <w:r>
        <w:t xml:space="preserve"> </w:t>
      </w:r>
      <w:r>
        <w:br w:type="page"/>
      </w:r>
    </w:p>
    <w:p w:rsidR="00F72C48" w:rsidRPr="009C5583" w:rsidRDefault="00F72C48" w:rsidP="00F72C48">
      <w:pPr>
        <w:pStyle w:val="Heading3"/>
      </w:pPr>
      <w:r w:rsidRPr="009C5583">
        <w:t>Subsidy bands analysis per industry</w:t>
      </w:r>
    </w:p>
    <w:p w:rsidR="00F72C48" w:rsidRPr="005C0CB9" w:rsidRDefault="00F72C48" w:rsidP="00F72C48">
      <w:pPr>
        <w:rPr>
          <w:rFonts w:cs="Arial"/>
        </w:rPr>
      </w:pPr>
      <w:r w:rsidRPr="009C5583">
        <w:rPr>
          <w:rFonts w:cs="Arial"/>
        </w:rPr>
        <w:t xml:space="preserve">The table below shows the top </w:t>
      </w:r>
      <w:r>
        <w:rPr>
          <w:rFonts w:cs="Arial"/>
        </w:rPr>
        <w:t>five</w:t>
      </w:r>
      <w:r w:rsidRPr="009C5583">
        <w:rPr>
          <w:rFonts w:cs="Arial"/>
        </w:rPr>
        <w:t xml:space="preserve"> highest enrolments by in</w:t>
      </w:r>
      <w:r>
        <w:rPr>
          <w:rFonts w:cs="Arial"/>
        </w:rPr>
        <w:t>dustries for each subsidy band.</w:t>
      </w:r>
    </w:p>
    <w:p w:rsidR="00F72C48" w:rsidRPr="00C91B0A" w:rsidRDefault="00F72C48" w:rsidP="00F72C48">
      <w:pPr>
        <w:pStyle w:val="Caption"/>
        <w:rPr>
          <w:color w:val="365F91" w:themeColor="accent1" w:themeShade="BF"/>
        </w:rPr>
      </w:pPr>
      <w:r w:rsidRPr="00C91B0A">
        <w:rPr>
          <w:color w:val="365F91" w:themeColor="accent1" w:themeShade="BF"/>
        </w:rPr>
        <w:t>Table 3.2: Industry-specific training by funding band, 2013</w:t>
      </w:r>
    </w:p>
    <w:tbl>
      <w:tblPr>
        <w:tblW w:w="4884" w:type="pct"/>
        <w:tblInd w:w="108" w:type="dxa"/>
        <w:tblLook w:val="04A0" w:firstRow="1" w:lastRow="0" w:firstColumn="1" w:lastColumn="0" w:noHBand="0" w:noVBand="1"/>
      </w:tblPr>
      <w:tblGrid>
        <w:gridCol w:w="4740"/>
        <w:gridCol w:w="2110"/>
        <w:gridCol w:w="2223"/>
      </w:tblGrid>
      <w:tr w:rsidR="00F72C48" w:rsidRPr="0024635B" w:rsidTr="00440176">
        <w:trPr>
          <w:trHeight w:val="225"/>
        </w:trPr>
        <w:tc>
          <w:tcPr>
            <w:tcW w:w="2612" w:type="pct"/>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F72C48" w:rsidRPr="0024635B" w:rsidRDefault="00F72C48" w:rsidP="0024635B">
            <w:pPr>
              <w:spacing w:after="0" w:line="240" w:lineRule="auto"/>
              <w:ind w:firstLineChars="100" w:firstLine="181"/>
              <w:jc w:val="left"/>
              <w:rPr>
                <w:rFonts w:cs="Arial"/>
                <w:b/>
                <w:bCs/>
                <w:color w:val="FFFFFF"/>
                <w:sz w:val="18"/>
                <w:szCs w:val="18"/>
                <w:lang w:eastAsia="en-AU"/>
              </w:rPr>
            </w:pPr>
            <w:r w:rsidRPr="0024635B">
              <w:rPr>
                <w:rFonts w:cs="Arial"/>
                <w:b/>
                <w:bCs/>
                <w:color w:val="FFFFFF"/>
                <w:sz w:val="18"/>
                <w:szCs w:val="18"/>
                <w:lang w:eastAsia="en-AU"/>
              </w:rPr>
              <w:t>Industry by funding band</w:t>
            </w:r>
          </w:p>
        </w:tc>
        <w:tc>
          <w:tcPr>
            <w:tcW w:w="1163" w:type="pct"/>
            <w:tcBorders>
              <w:top w:val="single" w:sz="4" w:space="0" w:color="366092"/>
              <w:left w:val="nil"/>
              <w:bottom w:val="single" w:sz="4" w:space="0" w:color="366092"/>
              <w:right w:val="single" w:sz="4" w:space="0" w:color="366092"/>
            </w:tcBorders>
            <w:shd w:val="clear" w:color="000000" w:fill="366092"/>
            <w:vAlign w:val="center"/>
            <w:hideMark/>
          </w:tcPr>
          <w:p w:rsidR="00F72C48" w:rsidRPr="0024635B" w:rsidRDefault="00F72C48" w:rsidP="00440176">
            <w:pPr>
              <w:spacing w:after="0" w:line="240" w:lineRule="auto"/>
              <w:jc w:val="center"/>
              <w:rPr>
                <w:rFonts w:cs="Arial"/>
                <w:b/>
                <w:bCs/>
                <w:color w:val="FFFFFF"/>
                <w:sz w:val="18"/>
                <w:szCs w:val="18"/>
                <w:lang w:eastAsia="en-AU"/>
              </w:rPr>
            </w:pPr>
            <w:r w:rsidRPr="0024635B">
              <w:rPr>
                <w:rFonts w:cs="Arial"/>
                <w:b/>
                <w:bCs/>
                <w:color w:val="FFFFFF"/>
                <w:sz w:val="18"/>
                <w:szCs w:val="18"/>
                <w:lang w:eastAsia="en-AU"/>
              </w:rPr>
              <w:t>2013 Enrolments</w:t>
            </w:r>
          </w:p>
        </w:tc>
        <w:tc>
          <w:tcPr>
            <w:tcW w:w="1225" w:type="pct"/>
            <w:tcBorders>
              <w:top w:val="single" w:sz="4" w:space="0" w:color="366092"/>
              <w:left w:val="nil"/>
              <w:bottom w:val="single" w:sz="4" w:space="0" w:color="366092"/>
              <w:right w:val="single" w:sz="4" w:space="0" w:color="366092"/>
            </w:tcBorders>
            <w:shd w:val="clear" w:color="000000" w:fill="366092"/>
            <w:vAlign w:val="center"/>
            <w:hideMark/>
          </w:tcPr>
          <w:p w:rsidR="00F72C48" w:rsidRPr="0024635B" w:rsidRDefault="00F72C48" w:rsidP="00440176">
            <w:pPr>
              <w:spacing w:after="0" w:line="240" w:lineRule="auto"/>
              <w:jc w:val="center"/>
              <w:rPr>
                <w:rFonts w:cs="Arial"/>
                <w:b/>
                <w:bCs/>
                <w:color w:val="FFFFFF"/>
                <w:sz w:val="18"/>
                <w:szCs w:val="18"/>
                <w:lang w:eastAsia="en-AU"/>
              </w:rPr>
            </w:pPr>
            <w:r w:rsidRPr="0024635B">
              <w:rPr>
                <w:rFonts w:cs="Arial"/>
                <w:b/>
                <w:bCs/>
                <w:color w:val="FFFFFF"/>
                <w:sz w:val="18"/>
                <w:szCs w:val="18"/>
                <w:lang w:eastAsia="en-AU"/>
              </w:rPr>
              <w:t>% enrolments 2013</w:t>
            </w:r>
          </w:p>
        </w:tc>
      </w:tr>
      <w:tr w:rsidR="00F72C48" w:rsidRPr="0024635B" w:rsidTr="00440176">
        <w:trPr>
          <w:trHeight w:val="225"/>
        </w:trPr>
        <w:tc>
          <w:tcPr>
            <w:tcW w:w="5000" w:type="pct"/>
            <w:gridSpan w:val="3"/>
            <w:tcBorders>
              <w:top w:val="single" w:sz="4" w:space="0" w:color="366092"/>
              <w:left w:val="single" w:sz="4" w:space="0" w:color="366092"/>
              <w:bottom w:val="single" w:sz="4" w:space="0" w:color="366092"/>
              <w:right w:val="single" w:sz="4" w:space="0" w:color="366092"/>
            </w:tcBorders>
            <w:shd w:val="clear" w:color="000000" w:fill="95B3D7"/>
            <w:noWrap/>
            <w:vAlign w:val="bottom"/>
            <w:hideMark/>
          </w:tcPr>
          <w:p w:rsidR="00F72C48" w:rsidRPr="0024635B" w:rsidRDefault="00F72C48" w:rsidP="00440176">
            <w:pPr>
              <w:spacing w:after="0" w:line="240" w:lineRule="auto"/>
              <w:jc w:val="center"/>
              <w:rPr>
                <w:rFonts w:cs="Arial"/>
                <w:b/>
                <w:bCs/>
                <w:color w:val="000000"/>
                <w:sz w:val="18"/>
                <w:szCs w:val="18"/>
                <w:lang w:eastAsia="en-AU"/>
              </w:rPr>
            </w:pPr>
            <w:r w:rsidRPr="0024635B">
              <w:rPr>
                <w:rFonts w:cs="Arial"/>
                <w:b/>
                <w:bCs/>
                <w:color w:val="000000"/>
                <w:sz w:val="18"/>
                <w:szCs w:val="18"/>
                <w:lang w:eastAsia="en-AU"/>
              </w:rPr>
              <w:t>Band A</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Construction</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42,700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55%</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Manufacturing</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10,200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13%</w:t>
            </w:r>
          </w:p>
        </w:tc>
      </w:tr>
      <w:tr w:rsidR="00F72C48" w:rsidRPr="0024635B" w:rsidTr="00440176">
        <w:trPr>
          <w:trHeight w:val="240"/>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Other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10,100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13%</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Accommodation and Food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7,300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9%</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Retail Trade</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3,100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4%</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Other industries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4,000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5%</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b/>
                <w:bCs/>
                <w:color w:val="000000"/>
                <w:sz w:val="18"/>
                <w:szCs w:val="18"/>
                <w:lang w:eastAsia="en-AU"/>
              </w:rPr>
            </w:pPr>
            <w:r w:rsidRPr="0024635B">
              <w:rPr>
                <w:rFonts w:cs="Arial"/>
                <w:b/>
                <w:bCs/>
                <w:color w:val="000000"/>
                <w:sz w:val="18"/>
                <w:szCs w:val="18"/>
                <w:lang w:eastAsia="en-AU"/>
              </w:rPr>
              <w:t>Total (Band A)</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77,400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100%</w:t>
            </w:r>
          </w:p>
        </w:tc>
      </w:tr>
      <w:tr w:rsidR="00F72C48" w:rsidRPr="0024635B" w:rsidTr="00440176">
        <w:trPr>
          <w:trHeight w:val="225"/>
        </w:trPr>
        <w:tc>
          <w:tcPr>
            <w:tcW w:w="5000" w:type="pct"/>
            <w:gridSpan w:val="3"/>
            <w:tcBorders>
              <w:top w:val="single" w:sz="4" w:space="0" w:color="366092"/>
              <w:left w:val="single" w:sz="4" w:space="0" w:color="366092"/>
              <w:bottom w:val="single" w:sz="4" w:space="0" w:color="366092"/>
              <w:right w:val="single" w:sz="4" w:space="0" w:color="366092"/>
            </w:tcBorders>
            <w:shd w:val="clear" w:color="000000" w:fill="95B3D7"/>
            <w:noWrap/>
            <w:vAlign w:val="bottom"/>
            <w:hideMark/>
          </w:tcPr>
          <w:p w:rsidR="00F72C48" w:rsidRPr="0024635B" w:rsidRDefault="00F72C48" w:rsidP="00440176">
            <w:pPr>
              <w:spacing w:after="0" w:line="240" w:lineRule="auto"/>
              <w:jc w:val="center"/>
              <w:rPr>
                <w:rFonts w:cs="Arial"/>
                <w:b/>
                <w:bCs/>
                <w:color w:val="000000"/>
                <w:sz w:val="18"/>
                <w:szCs w:val="18"/>
                <w:lang w:eastAsia="en-AU"/>
              </w:rPr>
            </w:pPr>
            <w:r w:rsidRPr="0024635B">
              <w:rPr>
                <w:rFonts w:cs="Arial"/>
                <w:b/>
                <w:bCs/>
                <w:color w:val="000000"/>
                <w:sz w:val="18"/>
                <w:szCs w:val="18"/>
                <w:lang w:eastAsia="en-AU"/>
              </w:rPr>
              <w:t>Band B</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Health Care and Social Assistance</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39,300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26%</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Transport, Postal and Warehousing</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38,600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26%</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Manufacturing</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24,000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16%</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Construction</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14,300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9%</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Accommodation and Food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8,700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6%</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Other industries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26,100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17%</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b/>
                <w:bCs/>
                <w:color w:val="000000"/>
                <w:sz w:val="18"/>
                <w:szCs w:val="18"/>
                <w:lang w:eastAsia="en-AU"/>
              </w:rPr>
            </w:pPr>
            <w:r w:rsidRPr="0024635B">
              <w:rPr>
                <w:rFonts w:cs="Arial"/>
                <w:b/>
                <w:bCs/>
                <w:color w:val="000000"/>
                <w:sz w:val="18"/>
                <w:szCs w:val="18"/>
                <w:lang w:eastAsia="en-AU"/>
              </w:rPr>
              <w:t>Total (Band B)</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151,000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100%</w:t>
            </w:r>
          </w:p>
        </w:tc>
      </w:tr>
      <w:tr w:rsidR="00F72C48" w:rsidRPr="0024635B" w:rsidTr="00440176">
        <w:trPr>
          <w:trHeight w:val="225"/>
        </w:trPr>
        <w:tc>
          <w:tcPr>
            <w:tcW w:w="5000" w:type="pct"/>
            <w:gridSpan w:val="3"/>
            <w:tcBorders>
              <w:top w:val="single" w:sz="4" w:space="0" w:color="366092"/>
              <w:left w:val="single" w:sz="4" w:space="0" w:color="366092"/>
              <w:bottom w:val="single" w:sz="4" w:space="0" w:color="366092"/>
              <w:right w:val="single" w:sz="4" w:space="0" w:color="366092"/>
            </w:tcBorders>
            <w:shd w:val="clear" w:color="000000" w:fill="95B3D7"/>
            <w:noWrap/>
            <w:vAlign w:val="bottom"/>
            <w:hideMark/>
          </w:tcPr>
          <w:p w:rsidR="00F72C48" w:rsidRPr="0024635B" w:rsidRDefault="00F72C48" w:rsidP="00440176">
            <w:pPr>
              <w:spacing w:after="0" w:line="240" w:lineRule="auto"/>
              <w:jc w:val="center"/>
              <w:rPr>
                <w:rFonts w:cs="Arial"/>
                <w:b/>
                <w:bCs/>
                <w:color w:val="000000"/>
                <w:sz w:val="18"/>
                <w:szCs w:val="18"/>
                <w:lang w:eastAsia="en-AU"/>
              </w:rPr>
            </w:pPr>
            <w:r w:rsidRPr="0024635B">
              <w:rPr>
                <w:rFonts w:cs="Arial"/>
                <w:b/>
                <w:bCs/>
                <w:color w:val="000000"/>
                <w:sz w:val="18"/>
                <w:szCs w:val="18"/>
                <w:lang w:eastAsia="en-AU"/>
              </w:rPr>
              <w:t>Band C</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Health Care and Social Assistance</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45,200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34%</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Cross-industry</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33,900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25%</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Education and Training</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8,700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7%</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Administrative and Support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6,900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5%</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Transport, Postal and Warehousing</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5,900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4%</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Other industries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32,700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25%</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b/>
                <w:bCs/>
                <w:color w:val="000000"/>
                <w:sz w:val="18"/>
                <w:szCs w:val="18"/>
                <w:lang w:eastAsia="en-AU"/>
              </w:rPr>
            </w:pPr>
            <w:r w:rsidRPr="0024635B">
              <w:rPr>
                <w:rFonts w:cs="Arial"/>
                <w:b/>
                <w:bCs/>
                <w:color w:val="000000"/>
                <w:sz w:val="18"/>
                <w:szCs w:val="18"/>
                <w:lang w:eastAsia="en-AU"/>
              </w:rPr>
              <w:t>Total (Band C)</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133,300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100%</w:t>
            </w:r>
          </w:p>
        </w:tc>
      </w:tr>
      <w:tr w:rsidR="00F72C48" w:rsidRPr="0024635B" w:rsidTr="00440176">
        <w:trPr>
          <w:trHeight w:val="225"/>
        </w:trPr>
        <w:tc>
          <w:tcPr>
            <w:tcW w:w="5000" w:type="pct"/>
            <w:gridSpan w:val="3"/>
            <w:tcBorders>
              <w:top w:val="single" w:sz="4" w:space="0" w:color="366092"/>
              <w:left w:val="single" w:sz="4" w:space="0" w:color="366092"/>
              <w:bottom w:val="single" w:sz="4" w:space="0" w:color="366092"/>
              <w:right w:val="single" w:sz="4" w:space="0" w:color="366092"/>
            </w:tcBorders>
            <w:shd w:val="clear" w:color="000000" w:fill="95B3D7"/>
            <w:noWrap/>
            <w:vAlign w:val="bottom"/>
            <w:hideMark/>
          </w:tcPr>
          <w:p w:rsidR="00F72C48" w:rsidRPr="0024635B" w:rsidRDefault="00F72C48" w:rsidP="00440176">
            <w:pPr>
              <w:spacing w:after="0" w:line="240" w:lineRule="auto"/>
              <w:jc w:val="center"/>
              <w:rPr>
                <w:rFonts w:cs="Arial"/>
                <w:b/>
                <w:bCs/>
                <w:color w:val="000000"/>
                <w:sz w:val="18"/>
                <w:szCs w:val="18"/>
                <w:lang w:eastAsia="en-AU"/>
              </w:rPr>
            </w:pPr>
            <w:r w:rsidRPr="0024635B">
              <w:rPr>
                <w:rFonts w:cs="Arial"/>
                <w:b/>
                <w:bCs/>
                <w:color w:val="000000"/>
                <w:sz w:val="18"/>
                <w:szCs w:val="18"/>
                <w:lang w:eastAsia="en-AU"/>
              </w:rPr>
              <w:t>Band D</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Cross-industry</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11,700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32%</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Administrative and Support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4,600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13%</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Retail Trade</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4,200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12%</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Public Administration and Safety</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3,500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10%</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Professional, Scientific and Technical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2,500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7%</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Other industries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9,700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27%</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b/>
                <w:bCs/>
                <w:color w:val="000000"/>
                <w:sz w:val="18"/>
                <w:szCs w:val="18"/>
                <w:lang w:eastAsia="en-AU"/>
              </w:rPr>
            </w:pPr>
            <w:r w:rsidRPr="0024635B">
              <w:rPr>
                <w:rFonts w:cs="Arial"/>
                <w:b/>
                <w:bCs/>
                <w:color w:val="000000"/>
                <w:sz w:val="18"/>
                <w:szCs w:val="18"/>
                <w:lang w:eastAsia="en-AU"/>
              </w:rPr>
              <w:t>Total (Band D)</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36,200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100%</w:t>
            </w:r>
          </w:p>
        </w:tc>
      </w:tr>
      <w:tr w:rsidR="00F72C48" w:rsidRPr="0024635B" w:rsidTr="00440176">
        <w:trPr>
          <w:trHeight w:val="225"/>
        </w:trPr>
        <w:tc>
          <w:tcPr>
            <w:tcW w:w="5000" w:type="pct"/>
            <w:gridSpan w:val="3"/>
            <w:tcBorders>
              <w:top w:val="single" w:sz="4" w:space="0" w:color="366092"/>
              <w:left w:val="single" w:sz="4" w:space="0" w:color="366092"/>
              <w:bottom w:val="single" w:sz="4" w:space="0" w:color="366092"/>
              <w:right w:val="single" w:sz="4" w:space="0" w:color="366092"/>
            </w:tcBorders>
            <w:shd w:val="clear" w:color="000000" w:fill="95B3D7"/>
            <w:noWrap/>
            <w:vAlign w:val="bottom"/>
            <w:hideMark/>
          </w:tcPr>
          <w:p w:rsidR="00F72C48" w:rsidRPr="0024635B" w:rsidRDefault="00F72C48" w:rsidP="00440176">
            <w:pPr>
              <w:spacing w:after="0" w:line="240" w:lineRule="auto"/>
              <w:jc w:val="center"/>
              <w:rPr>
                <w:rFonts w:cs="Arial"/>
                <w:b/>
                <w:bCs/>
                <w:color w:val="000000"/>
                <w:sz w:val="18"/>
                <w:szCs w:val="18"/>
                <w:lang w:eastAsia="en-AU"/>
              </w:rPr>
            </w:pPr>
            <w:r w:rsidRPr="0024635B">
              <w:rPr>
                <w:rFonts w:cs="Arial"/>
                <w:b/>
                <w:bCs/>
                <w:color w:val="000000"/>
                <w:sz w:val="18"/>
                <w:szCs w:val="18"/>
                <w:lang w:eastAsia="en-AU"/>
              </w:rPr>
              <w:t>Band E</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Cross-industry</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11,600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33%</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Accommodation and Food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5,900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17%</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Retail Trade</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5,600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16%</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Arts and Recreation Services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5,500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16%</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Manufacturing</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3,800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11%</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color w:val="000000"/>
                <w:sz w:val="18"/>
                <w:szCs w:val="18"/>
                <w:lang w:eastAsia="en-AU"/>
              </w:rPr>
            </w:pPr>
            <w:r w:rsidRPr="0024635B">
              <w:rPr>
                <w:rFonts w:cs="Arial"/>
                <w:color w:val="000000"/>
                <w:sz w:val="18"/>
                <w:szCs w:val="18"/>
                <w:lang w:eastAsia="en-AU"/>
              </w:rPr>
              <w:t>Other industries</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2,500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color w:val="000000"/>
                <w:sz w:val="18"/>
                <w:szCs w:val="18"/>
                <w:lang w:eastAsia="en-AU"/>
              </w:rPr>
            </w:pPr>
            <w:r w:rsidRPr="0024635B">
              <w:rPr>
                <w:rFonts w:cs="Arial"/>
                <w:color w:val="000000"/>
                <w:sz w:val="18"/>
                <w:szCs w:val="18"/>
                <w:lang w:eastAsia="en-AU"/>
              </w:rPr>
              <w:t>7%</w:t>
            </w:r>
          </w:p>
        </w:tc>
      </w:tr>
      <w:tr w:rsidR="00F72C48" w:rsidRPr="0024635B" w:rsidTr="00440176">
        <w:trPr>
          <w:trHeight w:val="225"/>
        </w:trPr>
        <w:tc>
          <w:tcPr>
            <w:tcW w:w="2612" w:type="pct"/>
            <w:tcBorders>
              <w:top w:val="nil"/>
              <w:left w:val="single" w:sz="4" w:space="0" w:color="366092"/>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left"/>
              <w:rPr>
                <w:rFonts w:cs="Arial"/>
                <w:b/>
                <w:bCs/>
                <w:color w:val="000000"/>
                <w:sz w:val="18"/>
                <w:szCs w:val="18"/>
                <w:lang w:eastAsia="en-AU"/>
              </w:rPr>
            </w:pPr>
            <w:r w:rsidRPr="0024635B">
              <w:rPr>
                <w:rFonts w:cs="Arial"/>
                <w:b/>
                <w:bCs/>
                <w:color w:val="000000"/>
                <w:sz w:val="18"/>
                <w:szCs w:val="18"/>
                <w:lang w:eastAsia="en-AU"/>
              </w:rPr>
              <w:t>Total (Band E)</w:t>
            </w:r>
          </w:p>
        </w:tc>
        <w:tc>
          <w:tcPr>
            <w:tcW w:w="1163"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34,900</w:t>
            </w:r>
          </w:p>
        </w:tc>
        <w:tc>
          <w:tcPr>
            <w:tcW w:w="1225" w:type="pct"/>
            <w:tcBorders>
              <w:top w:val="nil"/>
              <w:left w:val="nil"/>
              <w:bottom w:val="single" w:sz="4" w:space="0" w:color="366092"/>
              <w:right w:val="single" w:sz="4" w:space="0" w:color="366092"/>
            </w:tcBorders>
            <w:shd w:val="clear" w:color="auto" w:fill="auto"/>
            <w:noWrap/>
            <w:vAlign w:val="bottom"/>
            <w:hideMark/>
          </w:tcPr>
          <w:p w:rsidR="00F72C48" w:rsidRPr="0024635B" w:rsidRDefault="00F72C48" w:rsidP="00440176">
            <w:pPr>
              <w:spacing w:after="0" w:line="240" w:lineRule="auto"/>
              <w:jc w:val="right"/>
              <w:rPr>
                <w:rFonts w:cs="Arial"/>
                <w:b/>
                <w:bCs/>
                <w:color w:val="000000"/>
                <w:sz w:val="18"/>
                <w:szCs w:val="18"/>
                <w:lang w:eastAsia="en-AU"/>
              </w:rPr>
            </w:pPr>
            <w:r w:rsidRPr="0024635B">
              <w:rPr>
                <w:rFonts w:cs="Arial"/>
                <w:b/>
                <w:bCs/>
                <w:color w:val="000000"/>
                <w:sz w:val="18"/>
                <w:szCs w:val="18"/>
                <w:lang w:eastAsia="en-AU"/>
              </w:rPr>
              <w:t>100%</w:t>
            </w:r>
          </w:p>
        </w:tc>
      </w:tr>
    </w:tbl>
    <w:p w:rsidR="00F72C48" w:rsidRPr="009C5583" w:rsidRDefault="00F72C48" w:rsidP="00F72C48">
      <w:pPr>
        <w:rPr>
          <w:rFonts w:cs="Arial"/>
          <w:sz w:val="16"/>
          <w:szCs w:val="16"/>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CellMar>
          <w:left w:w="0" w:type="dxa"/>
          <w:right w:w="0" w:type="dxa"/>
        </w:tblCellMar>
        <w:tblLook w:val="01E0" w:firstRow="1" w:lastRow="1" w:firstColumn="1" w:lastColumn="1" w:noHBand="0" w:noVBand="0"/>
      </w:tblPr>
      <w:tblGrid>
        <w:gridCol w:w="9088"/>
      </w:tblGrid>
      <w:tr w:rsidR="00F72C48" w:rsidRPr="001F29E3" w:rsidTr="00440176">
        <w:tc>
          <w:tcPr>
            <w:tcW w:w="9088" w:type="dxa"/>
          </w:tcPr>
          <w:p w:rsidR="00F72C48" w:rsidRDefault="00F72C48" w:rsidP="00440176">
            <w:pPr>
              <w:pStyle w:val="Heading3"/>
            </w:pPr>
            <w:r w:rsidRPr="009C5583">
              <w:t>Key Points</w:t>
            </w:r>
          </w:p>
          <w:p w:rsidR="00F72C48" w:rsidRPr="002552F6" w:rsidRDefault="00F72C48" w:rsidP="00440176"/>
          <w:p w:rsidR="00F72C48" w:rsidRPr="009C5583" w:rsidRDefault="00F72C48" w:rsidP="00440176">
            <w:pPr>
              <w:pStyle w:val="Bullet"/>
              <w:tabs>
                <w:tab w:val="clear" w:pos="113"/>
                <w:tab w:val="num" w:pos="434"/>
              </w:tabs>
              <w:ind w:left="434" w:right="149" w:hanging="321"/>
            </w:pPr>
            <w:r>
              <w:t>In 2013, o</w:t>
            </w:r>
            <w:r w:rsidRPr="009C5583">
              <w:t>ver half of delivery in Band A (apprentice</w:t>
            </w:r>
            <w:r>
              <w:t>ships and non-apprenticeships) were</w:t>
            </w:r>
            <w:r w:rsidRPr="009C5583">
              <w:t xml:space="preserve"> in the Construction industry. Manufacturing accounted for 1</w:t>
            </w:r>
            <w:r>
              <w:t xml:space="preserve">3 </w:t>
            </w:r>
            <w:r w:rsidRPr="009C5583">
              <w:t xml:space="preserve">per cent of all Band A enrolments. </w:t>
            </w:r>
          </w:p>
          <w:p w:rsidR="00F72C48" w:rsidRPr="009C5583" w:rsidRDefault="00F72C48" w:rsidP="00440176">
            <w:pPr>
              <w:pStyle w:val="Bullet"/>
              <w:tabs>
                <w:tab w:val="clear" w:pos="113"/>
                <w:tab w:val="num" w:pos="434"/>
              </w:tabs>
              <w:ind w:left="434" w:right="149" w:hanging="321"/>
            </w:pPr>
            <w:r>
              <w:t>At 26 per cent respectively</w:t>
            </w:r>
            <w:r w:rsidRPr="009C5583">
              <w:t>, the largest block</w:t>
            </w:r>
            <w:r>
              <w:t>s</w:t>
            </w:r>
            <w:r w:rsidRPr="009C5583">
              <w:t xml:space="preserve"> of delivery</w:t>
            </w:r>
            <w:r>
              <w:t xml:space="preserve"> in Band B were in</w:t>
            </w:r>
            <w:r w:rsidRPr="009C5583">
              <w:t xml:space="preserve"> Health Care and Social Assistance </w:t>
            </w:r>
            <w:r>
              <w:t>and</w:t>
            </w:r>
            <w:r w:rsidRPr="009C5583">
              <w:t xml:space="preserve"> Transport, Postal and Warehousing</w:t>
            </w:r>
            <w:r>
              <w:t xml:space="preserve">. </w:t>
            </w:r>
          </w:p>
        </w:tc>
      </w:tr>
    </w:tbl>
    <w:p w:rsidR="00F72C48" w:rsidRDefault="00F72C48" w:rsidP="00F72C48">
      <w:pPr>
        <w:rPr>
          <w:rFonts w:cs="Arial"/>
        </w:rPr>
      </w:pPr>
    </w:p>
    <w:p w:rsidR="00F72C48" w:rsidRPr="00B35856" w:rsidRDefault="00F72C48" w:rsidP="00F72C48">
      <w:r>
        <w:br w:type="page"/>
      </w:r>
    </w:p>
    <w:p w:rsidR="00F72C48" w:rsidRPr="009C5583" w:rsidRDefault="00F72C48" w:rsidP="00F72C48">
      <w:pPr>
        <w:pStyle w:val="Heading3"/>
      </w:pPr>
      <w:r w:rsidRPr="009C5583">
        <w:t>Enrolments by Occupation</w:t>
      </w:r>
    </w:p>
    <w:p w:rsidR="00F72C48" w:rsidRPr="009C5583" w:rsidRDefault="00F72C48" w:rsidP="00F72C48">
      <w:pPr>
        <w:spacing w:after="200" w:line="276" w:lineRule="auto"/>
      </w:pPr>
      <w:r w:rsidRPr="009C5583">
        <w:t xml:space="preserve">In 2013, the five highest numbers of enrolments within Bands A and B were in courses related to the following occupations: </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Aged or Disabled Carers (18,</w:t>
      </w:r>
      <w:r>
        <w:rPr>
          <w:rFonts w:ascii="Arial" w:hAnsi="Arial"/>
          <w:sz w:val="19"/>
          <w:szCs w:val="24"/>
        </w:rPr>
        <w:t>8</w:t>
      </w:r>
      <w:r w:rsidRPr="009C5583">
        <w:rPr>
          <w:rFonts w:ascii="Arial" w:hAnsi="Arial"/>
          <w:sz w:val="19"/>
          <w:szCs w:val="24"/>
        </w:rPr>
        <w:t>00 enrolments in 2013)</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Storepersons (1</w:t>
      </w:r>
      <w:r>
        <w:rPr>
          <w:rFonts w:ascii="Arial" w:hAnsi="Arial"/>
          <w:sz w:val="19"/>
          <w:szCs w:val="24"/>
        </w:rPr>
        <w:t>5</w:t>
      </w:r>
      <w:r w:rsidRPr="009C5583">
        <w:rPr>
          <w:rFonts w:ascii="Arial" w:hAnsi="Arial"/>
          <w:sz w:val="19"/>
          <w:szCs w:val="24"/>
        </w:rPr>
        <w:t>,</w:t>
      </w:r>
      <w:r>
        <w:rPr>
          <w:rFonts w:ascii="Arial" w:hAnsi="Arial"/>
          <w:sz w:val="19"/>
          <w:szCs w:val="24"/>
        </w:rPr>
        <w:t>0</w:t>
      </w:r>
      <w:r w:rsidRPr="009C5583">
        <w:rPr>
          <w:rFonts w:ascii="Arial" w:hAnsi="Arial"/>
          <w:sz w:val="19"/>
          <w:szCs w:val="24"/>
        </w:rPr>
        <w:t>00 enrolments in 2013)</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Truck Drivers (General) (14,</w:t>
      </w:r>
      <w:r>
        <w:rPr>
          <w:rFonts w:ascii="Arial" w:hAnsi="Arial"/>
          <w:sz w:val="19"/>
          <w:szCs w:val="24"/>
        </w:rPr>
        <w:t>6</w:t>
      </w:r>
      <w:r w:rsidRPr="009C5583">
        <w:rPr>
          <w:rFonts w:ascii="Arial" w:hAnsi="Arial"/>
          <w:sz w:val="19"/>
          <w:szCs w:val="24"/>
        </w:rPr>
        <w:t>00 enrolments in 2013)</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Engineering Production Systems Workers (13,</w:t>
      </w:r>
      <w:r>
        <w:rPr>
          <w:rFonts w:ascii="Arial" w:hAnsi="Arial"/>
          <w:sz w:val="19"/>
          <w:szCs w:val="24"/>
        </w:rPr>
        <w:t>6</w:t>
      </w:r>
      <w:r w:rsidRPr="009C5583">
        <w:rPr>
          <w:rFonts w:ascii="Arial" w:hAnsi="Arial"/>
          <w:sz w:val="19"/>
          <w:szCs w:val="24"/>
        </w:rPr>
        <w:t>00 enrolments in 2013)</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Motor Mechanics (</w:t>
      </w:r>
      <w:r>
        <w:rPr>
          <w:rFonts w:ascii="Arial" w:hAnsi="Arial"/>
          <w:sz w:val="19"/>
          <w:szCs w:val="24"/>
        </w:rPr>
        <w:t>8</w:t>
      </w:r>
      <w:r w:rsidRPr="009C5583">
        <w:rPr>
          <w:rFonts w:ascii="Arial" w:hAnsi="Arial"/>
          <w:sz w:val="19"/>
          <w:szCs w:val="24"/>
        </w:rPr>
        <w:t>,</w:t>
      </w:r>
      <w:r>
        <w:rPr>
          <w:rFonts w:ascii="Arial" w:hAnsi="Arial"/>
          <w:sz w:val="19"/>
          <w:szCs w:val="24"/>
        </w:rPr>
        <w:t>4</w:t>
      </w:r>
      <w:r w:rsidRPr="009C5583">
        <w:rPr>
          <w:rFonts w:ascii="Arial" w:hAnsi="Arial"/>
          <w:sz w:val="19"/>
          <w:szCs w:val="24"/>
        </w:rPr>
        <w:t>00 enrolments in 2013)</w:t>
      </w:r>
    </w:p>
    <w:p w:rsidR="00F72C48" w:rsidRPr="009C5583" w:rsidRDefault="00F72C48" w:rsidP="00F72C48">
      <w:r w:rsidRPr="009C5583">
        <w:t>Employment trends within these occupations are outlined in the table below and show employment numbers in 201</w:t>
      </w:r>
      <w:r>
        <w:t>2</w:t>
      </w:r>
      <w:r w:rsidRPr="009C5583">
        <w:t>-1</w:t>
      </w:r>
      <w:r>
        <w:t>3</w:t>
      </w:r>
      <w:r w:rsidRPr="009C5583">
        <w:t>, average annual employment needs</w:t>
      </w:r>
      <w:r w:rsidRPr="009C5583">
        <w:rPr>
          <w:rStyle w:val="FootnoteReference"/>
        </w:rPr>
        <w:footnoteReference w:id="8"/>
      </w:r>
      <w:r w:rsidRPr="009C5583">
        <w:t xml:space="preserve"> over the next five years as well as patterns of forecast employment growth to 2017-18. Employment trends indicate growth in four of the five occupational groups related to highest number of courses in Bands A and B. Engineering Productions Systems Workers are forecast to see dampened demand over the next five years. These workers predominantly work in the Manufacturing industry, a critical industry for the Victorian economy undergoing significant industrial transition, and therefore remain a critical area for public invest</w:t>
      </w:r>
      <w:r>
        <w:t xml:space="preserve">ment in vocational training.   </w:t>
      </w:r>
    </w:p>
    <w:p w:rsidR="00F72C48" w:rsidRPr="009C5583" w:rsidRDefault="00F72C48" w:rsidP="00F72C48">
      <w:pPr>
        <w:pStyle w:val="Caption"/>
        <w:rPr>
          <w:color w:val="4F81BD"/>
        </w:rPr>
      </w:pPr>
      <w:r w:rsidRPr="009C5583">
        <w:rPr>
          <w:color w:val="4F81BD"/>
        </w:rPr>
        <w:t>Table 3.3: Employment trends in selected occupations (Bands A &amp; B), 2012-13 to 2017-18</w:t>
      </w:r>
    </w:p>
    <w:p w:rsidR="00F72C48" w:rsidRPr="009C5583" w:rsidRDefault="00F72C48" w:rsidP="00F72C48">
      <w:pPr>
        <w:spacing w:after="200" w:line="276" w:lineRule="auto"/>
        <w:jc w:val="left"/>
      </w:pPr>
      <w:r w:rsidRPr="007E2A5E">
        <w:rPr>
          <w:noProof/>
          <w:lang w:eastAsia="en-AU"/>
        </w:rPr>
        <w:drawing>
          <wp:inline distT="0" distB="0" distL="0" distR="0" wp14:anchorId="6CD2A6AA" wp14:editId="6850A677">
            <wp:extent cx="5760720" cy="172637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1726370"/>
                    </a:xfrm>
                    <a:prstGeom prst="rect">
                      <a:avLst/>
                    </a:prstGeom>
                    <a:noFill/>
                    <a:ln>
                      <a:noFill/>
                    </a:ln>
                  </pic:spPr>
                </pic:pic>
              </a:graphicData>
            </a:graphic>
          </wp:inline>
        </w:drawing>
      </w:r>
    </w:p>
    <w:p w:rsidR="00F72C48" w:rsidRPr="009C5583" w:rsidRDefault="00F72C48" w:rsidP="00F72C48">
      <w:pPr>
        <w:spacing w:after="200" w:line="276" w:lineRule="auto"/>
        <w:jc w:val="left"/>
      </w:pPr>
      <w:r w:rsidRPr="009C5583">
        <w:t>The five highest numbers of enrolments within Band</w:t>
      </w:r>
      <w:r>
        <w:t>s</w:t>
      </w:r>
      <w:r w:rsidRPr="009C5583">
        <w:t xml:space="preserve"> D and E in 2013 were in courses related to the following occupations: </w:t>
      </w:r>
    </w:p>
    <w:p w:rsidR="00F72C48"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Office Managers (1</w:t>
      </w:r>
      <w:r>
        <w:rPr>
          <w:rFonts w:ascii="Arial" w:hAnsi="Arial"/>
          <w:sz w:val="19"/>
          <w:szCs w:val="24"/>
        </w:rPr>
        <w:t>2,4</w:t>
      </w:r>
      <w:r w:rsidRPr="009C5583">
        <w:rPr>
          <w:rFonts w:ascii="Arial" w:hAnsi="Arial"/>
          <w:sz w:val="19"/>
          <w:szCs w:val="24"/>
        </w:rPr>
        <w:t>00 enrolments in 2013)</w:t>
      </w:r>
    </w:p>
    <w:p w:rsidR="00F72C48" w:rsidRPr="00E97F8B"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Sales Assistants (General) (</w:t>
      </w:r>
      <w:r>
        <w:rPr>
          <w:rFonts w:ascii="Arial" w:hAnsi="Arial"/>
          <w:sz w:val="19"/>
          <w:szCs w:val="24"/>
        </w:rPr>
        <w:t>6</w:t>
      </w:r>
      <w:r w:rsidRPr="009C5583">
        <w:rPr>
          <w:rFonts w:ascii="Arial" w:hAnsi="Arial"/>
          <w:sz w:val="19"/>
          <w:szCs w:val="24"/>
        </w:rPr>
        <w:t>,900 enrolments in 2013)</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General Clerks (6</w:t>
      </w:r>
      <w:r>
        <w:rPr>
          <w:rFonts w:ascii="Arial" w:hAnsi="Arial"/>
          <w:sz w:val="19"/>
          <w:szCs w:val="24"/>
        </w:rPr>
        <w:t>,8</w:t>
      </w:r>
      <w:r w:rsidRPr="009C5583">
        <w:rPr>
          <w:rFonts w:ascii="Arial" w:hAnsi="Arial"/>
          <w:sz w:val="19"/>
          <w:szCs w:val="24"/>
        </w:rPr>
        <w:t>00 enrolments in 2013)</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Waiters (</w:t>
      </w:r>
      <w:r>
        <w:rPr>
          <w:rFonts w:ascii="Arial" w:hAnsi="Arial"/>
          <w:sz w:val="19"/>
          <w:szCs w:val="24"/>
        </w:rPr>
        <w:t>5</w:t>
      </w:r>
      <w:r w:rsidRPr="009C5583">
        <w:rPr>
          <w:rFonts w:ascii="Arial" w:hAnsi="Arial"/>
          <w:sz w:val="19"/>
          <w:szCs w:val="24"/>
        </w:rPr>
        <w:t>,</w:t>
      </w:r>
      <w:r>
        <w:rPr>
          <w:rFonts w:ascii="Arial" w:hAnsi="Arial"/>
          <w:sz w:val="19"/>
          <w:szCs w:val="24"/>
        </w:rPr>
        <w:t>7</w:t>
      </w:r>
      <w:r w:rsidRPr="009C5583">
        <w:rPr>
          <w:rFonts w:ascii="Arial" w:hAnsi="Arial"/>
          <w:sz w:val="19"/>
          <w:szCs w:val="24"/>
        </w:rPr>
        <w:t>00 enrolments in 2013)</w:t>
      </w:r>
    </w:p>
    <w:p w:rsidR="00F72C48" w:rsidRPr="009C5583" w:rsidRDefault="00F72C48" w:rsidP="00D83827">
      <w:pPr>
        <w:pStyle w:val="ListParagraph"/>
        <w:numPr>
          <w:ilvl w:val="0"/>
          <w:numId w:val="18"/>
        </w:numPr>
        <w:spacing w:after="90" w:line="220" w:lineRule="atLeast"/>
        <w:contextualSpacing/>
        <w:jc w:val="both"/>
        <w:rPr>
          <w:rFonts w:ascii="Arial" w:hAnsi="Arial"/>
          <w:sz w:val="19"/>
          <w:szCs w:val="24"/>
        </w:rPr>
      </w:pPr>
      <w:r w:rsidRPr="009C5583">
        <w:rPr>
          <w:rFonts w:ascii="Arial" w:hAnsi="Arial"/>
          <w:sz w:val="19"/>
          <w:szCs w:val="24"/>
        </w:rPr>
        <w:t>Call or Contact Centre Workers (</w:t>
      </w:r>
      <w:r>
        <w:rPr>
          <w:rFonts w:ascii="Arial" w:hAnsi="Arial"/>
          <w:sz w:val="19"/>
          <w:szCs w:val="24"/>
        </w:rPr>
        <w:t>5</w:t>
      </w:r>
      <w:r w:rsidRPr="009C5583">
        <w:rPr>
          <w:rFonts w:ascii="Arial" w:hAnsi="Arial"/>
          <w:sz w:val="19"/>
          <w:szCs w:val="24"/>
        </w:rPr>
        <w:t>,</w:t>
      </w:r>
      <w:r>
        <w:rPr>
          <w:rFonts w:ascii="Arial" w:hAnsi="Arial"/>
          <w:sz w:val="19"/>
          <w:szCs w:val="24"/>
        </w:rPr>
        <w:t>3</w:t>
      </w:r>
      <w:r w:rsidRPr="009C5583">
        <w:rPr>
          <w:rFonts w:ascii="Arial" w:hAnsi="Arial"/>
          <w:sz w:val="19"/>
          <w:szCs w:val="24"/>
        </w:rPr>
        <w:t>00 enrolments in 2013)</w:t>
      </w:r>
    </w:p>
    <w:p w:rsidR="00F72C48" w:rsidRDefault="00F72C48" w:rsidP="00F72C48">
      <w:r w:rsidRPr="009C5583">
        <w:t>As above, Table 3.4 shows employment trends for occupations related to top five highest numbers of enrolments within Band D and E. Characteristic of these occupations in the Victorian labour market are jobs that have high levels of turnover</w:t>
      </w:r>
      <w:r>
        <w:t>, casual work</w:t>
      </w:r>
      <w:r w:rsidRPr="009C5583">
        <w:t xml:space="preserve"> and mixed employment prospects. Employment of Office Managers, for example, is likely to fall through to 2017-18. Sales Assistants, General Clerks, Call or Contact Centre Workers and Waiters are forecast to see employment growth, however present less of a requirement for vocational training investment made by government to support meeting this labour market need.</w:t>
      </w:r>
    </w:p>
    <w:p w:rsidR="00F72C48" w:rsidRPr="009C5583" w:rsidRDefault="00F72C48" w:rsidP="00F72C48">
      <w:r>
        <w:br w:type="page"/>
      </w:r>
    </w:p>
    <w:p w:rsidR="00F72C48" w:rsidRPr="00D350AD" w:rsidRDefault="00F72C48" w:rsidP="00F72C48">
      <w:pPr>
        <w:spacing w:after="0" w:line="240" w:lineRule="auto"/>
        <w:jc w:val="left"/>
        <w:rPr>
          <w:b/>
          <w:bCs/>
          <w:color w:val="76923C" w:themeColor="accent3" w:themeShade="BF"/>
          <w:sz w:val="18"/>
          <w:szCs w:val="16"/>
        </w:rPr>
      </w:pPr>
      <w:r w:rsidRPr="00D350AD">
        <w:rPr>
          <w:b/>
          <w:color w:val="4F81BD"/>
        </w:rPr>
        <w:t>Table 3.4: Employment trends in selected occupations (Band D &amp; E), 2012-13 to 2017-18</w:t>
      </w:r>
    </w:p>
    <w:p w:rsidR="00F72C48" w:rsidRPr="009C5583" w:rsidRDefault="00F72C48" w:rsidP="00F72C48">
      <w:pPr>
        <w:rPr>
          <w:b/>
          <w:color w:val="76923C" w:themeColor="accent3" w:themeShade="BF"/>
        </w:rPr>
      </w:pPr>
      <w:r w:rsidRPr="00941D1F">
        <w:rPr>
          <w:noProof/>
          <w:lang w:eastAsia="en-AU"/>
        </w:rPr>
        <w:drawing>
          <wp:inline distT="0" distB="0" distL="0" distR="0" wp14:anchorId="790F13D8" wp14:editId="7B4DB0CB">
            <wp:extent cx="5076000" cy="174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76000" cy="1742400"/>
                    </a:xfrm>
                    <a:prstGeom prst="rect">
                      <a:avLst/>
                    </a:prstGeom>
                    <a:noFill/>
                    <a:ln>
                      <a:noFill/>
                    </a:ln>
                  </pic:spPr>
                </pic:pic>
              </a:graphicData>
            </a:graphic>
          </wp:inline>
        </w:drawing>
      </w:r>
    </w:p>
    <w:p w:rsidR="00F72C48" w:rsidRPr="009C5583" w:rsidRDefault="00F72C48" w:rsidP="0023338B">
      <w:pPr>
        <w:pStyle w:val="Heading2"/>
        <w:rPr>
          <w:sz w:val="16"/>
          <w:szCs w:val="16"/>
        </w:rPr>
      </w:pPr>
      <w:bookmarkStart w:id="95" w:name="_Toc388340461"/>
      <w:r w:rsidRPr="009C5583">
        <w:t>Apprentices</w:t>
      </w:r>
      <w:bookmarkEnd w:id="95"/>
    </w:p>
    <w:p w:rsidR="00F72C48" w:rsidRPr="000D77C3" w:rsidRDefault="00F72C48" w:rsidP="00F72C48">
      <w:pPr>
        <w:pStyle w:val="ListBullet"/>
        <w:numPr>
          <w:ilvl w:val="0"/>
          <w:numId w:val="0"/>
        </w:numPr>
        <w:ind w:right="113"/>
        <w:rPr>
          <w:rFonts w:cs="Arial"/>
          <w:highlight w:val="cyan"/>
        </w:rPr>
      </w:pPr>
      <w:r w:rsidRPr="00980643">
        <w:rPr>
          <w:rFonts w:cs="Arial"/>
        </w:rPr>
        <w:t xml:space="preserve">Since July 2012 courses such as Apprenticeships, attract government subsidy at the highest level in recognition of current and projected future industry skill needs. </w:t>
      </w:r>
      <w:r>
        <w:rPr>
          <w:rFonts w:cs="Arial"/>
        </w:rPr>
        <w:t xml:space="preserve"> </w:t>
      </w:r>
      <w:r w:rsidRPr="00DE7F14">
        <w:rPr>
          <w:rFonts w:cs="Arial"/>
        </w:rPr>
        <w:t>Apprenticeships receive the highest level of subsidy,</w:t>
      </w:r>
      <w:r>
        <w:rPr>
          <w:rFonts w:cs="Arial"/>
        </w:rPr>
        <w:t xml:space="preserve"> and enrolments for apprenticeships have increased by 3 per cent since 2008.</w:t>
      </w:r>
      <w:r w:rsidRPr="00DE7F14">
        <w:rPr>
          <w:rFonts w:cs="Arial"/>
        </w:rPr>
        <w:t xml:space="preserve">  In Victoria just over half (54 per cent) of all Apprentice enrolments in 2013 were in the Construction industry, </w:t>
      </w:r>
      <w:r>
        <w:rPr>
          <w:rFonts w:cs="Arial"/>
        </w:rPr>
        <w:t>a</w:t>
      </w:r>
      <w:r w:rsidRPr="00DE7F14">
        <w:rPr>
          <w:rFonts w:cs="Arial"/>
        </w:rPr>
        <w:t xml:space="preserve"> sector </w:t>
      </w:r>
      <w:r>
        <w:rPr>
          <w:rFonts w:cs="Arial"/>
        </w:rPr>
        <w:t xml:space="preserve">that </w:t>
      </w:r>
      <w:r w:rsidRPr="00DE7F14">
        <w:rPr>
          <w:rFonts w:cs="Arial"/>
        </w:rPr>
        <w:t xml:space="preserve">has been facing some challenging business conditions over recent years. </w:t>
      </w:r>
      <w:r w:rsidRPr="00BF37DA">
        <w:rPr>
          <w:rFonts w:cs="Arial"/>
        </w:rPr>
        <w:t xml:space="preserve">Apprentice numbers are highly correlated with business conditions and this close relationship is demonstrated in the chart </w:t>
      </w:r>
      <w:r w:rsidR="009E27BE">
        <w:rPr>
          <w:rFonts w:cs="Arial"/>
        </w:rPr>
        <w:t>below</w:t>
      </w:r>
      <w:r w:rsidRPr="00BF37DA">
        <w:rPr>
          <w:rFonts w:cs="Arial"/>
        </w:rPr>
        <w:t xml:space="preserve"> shows similar</w:t>
      </w:r>
      <w:r w:rsidR="009F6ECF">
        <w:rPr>
          <w:rFonts w:cs="Arial"/>
        </w:rPr>
        <w:t xml:space="preserve"> overall</w:t>
      </w:r>
      <w:r w:rsidRPr="00BF37DA">
        <w:rPr>
          <w:rFonts w:cs="Arial"/>
        </w:rPr>
        <w:t xml:space="preserve"> trends between apprenticeship commencements</w:t>
      </w:r>
      <w:r w:rsidRPr="00BF37DA">
        <w:rPr>
          <w:rStyle w:val="FootnoteReference"/>
        </w:rPr>
        <w:footnoteReference w:id="9"/>
      </w:r>
      <w:r w:rsidRPr="00BF37DA">
        <w:rPr>
          <w:rFonts w:cs="Arial"/>
        </w:rPr>
        <w:t xml:space="preserve"> and new dwelling commencements</w:t>
      </w:r>
      <w:r w:rsidRPr="00BF37DA">
        <w:rPr>
          <w:rStyle w:val="FootnoteReference"/>
        </w:rPr>
        <w:footnoteReference w:id="10"/>
      </w:r>
      <w:r w:rsidRPr="00BF37DA">
        <w:rPr>
          <w:rFonts w:cs="Arial"/>
        </w:rPr>
        <w:t xml:space="preserve">, especially in the last few years. </w:t>
      </w:r>
    </w:p>
    <w:p w:rsidR="00F72C48" w:rsidRPr="00AC7F98" w:rsidRDefault="00F72C48" w:rsidP="00F72C48"/>
    <w:p w:rsidR="00F72C48" w:rsidRPr="00AC7F98" w:rsidRDefault="00F72C48" w:rsidP="00F72C48">
      <w:pPr>
        <w:pStyle w:val="Caption"/>
        <w:rPr>
          <w:color w:val="365F91" w:themeColor="accent1" w:themeShade="BF"/>
        </w:rPr>
      </w:pPr>
      <w:r w:rsidRPr="00AC7F98">
        <w:rPr>
          <w:color w:val="365F91" w:themeColor="accent1" w:themeShade="BF"/>
        </w:rPr>
        <w:t>Figure 3.3: Number of apprenticeship commencements and new dwelling units commenced all sectors</w:t>
      </w:r>
      <w:r w:rsidRPr="00AC7F98">
        <w:rPr>
          <w:color w:val="365F91" w:themeColor="accent1" w:themeShade="BF"/>
        </w:rPr>
        <w:br/>
        <w:t xml:space="preserve">2000 to 2013 </w:t>
      </w:r>
    </w:p>
    <w:p w:rsidR="0023338B" w:rsidRPr="00980643" w:rsidRDefault="00C05EEE" w:rsidP="0023338B">
      <w:r>
        <w:rPr>
          <w:noProof/>
          <w:lang w:eastAsia="en-AU"/>
        </w:rPr>
        <w:drawing>
          <wp:inline distT="0" distB="0" distL="0" distR="0" wp14:anchorId="6822AA73" wp14:editId="33473F10">
            <wp:extent cx="5772150" cy="3326122"/>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9082" cy="3324354"/>
                    </a:xfrm>
                    <a:prstGeom prst="rect">
                      <a:avLst/>
                    </a:prstGeom>
                    <a:noFill/>
                  </pic:spPr>
                </pic:pic>
              </a:graphicData>
            </a:graphic>
          </wp:inline>
        </w:drawing>
      </w:r>
    </w:p>
    <w:p w:rsidR="00BF37DA" w:rsidRDefault="00BF37DA">
      <w:pPr>
        <w:spacing w:after="0" w:line="240" w:lineRule="auto"/>
        <w:jc w:val="left"/>
        <w:rPr>
          <w:rFonts w:cs="Arial"/>
          <w:bCs/>
          <w:iCs/>
          <w:color w:val="365F91" w:themeColor="accent1" w:themeShade="BF"/>
          <w:sz w:val="28"/>
          <w:szCs w:val="28"/>
        </w:rPr>
      </w:pPr>
      <w:r>
        <w:br w:type="page"/>
      </w:r>
    </w:p>
    <w:p w:rsidR="000C304C" w:rsidRPr="00C95D57" w:rsidRDefault="000C304C" w:rsidP="000C304C">
      <w:pPr>
        <w:pStyle w:val="Caption"/>
        <w:spacing w:after="0"/>
        <w:jc w:val="left"/>
        <w:rPr>
          <w:rFonts w:cs="Arial"/>
          <w:color w:val="365F91" w:themeColor="accent1" w:themeShade="BF"/>
          <w:highlight w:val="cyan"/>
        </w:rPr>
      </w:pPr>
      <w:r w:rsidRPr="00C95D57">
        <w:rPr>
          <w:rFonts w:cs="Arial"/>
          <w:color w:val="365F91" w:themeColor="accent1" w:themeShade="BF"/>
        </w:rPr>
        <w:t>Table 3.</w:t>
      </w:r>
      <w:r w:rsidR="00C91B0A">
        <w:rPr>
          <w:rFonts w:cs="Arial"/>
          <w:color w:val="365F91" w:themeColor="accent1" w:themeShade="BF"/>
        </w:rPr>
        <w:t>5</w:t>
      </w:r>
      <w:r w:rsidRPr="00C95D57">
        <w:rPr>
          <w:rFonts w:cs="Arial"/>
          <w:color w:val="365F91" w:themeColor="accent1" w:themeShade="BF"/>
        </w:rPr>
        <w:t xml:space="preserve">.1: Government subsidised enrolments by </w:t>
      </w:r>
      <w:r>
        <w:rPr>
          <w:rFonts w:cs="Arial"/>
          <w:color w:val="365F91" w:themeColor="accent1" w:themeShade="BF"/>
        </w:rPr>
        <w:t>Apprentices</w:t>
      </w:r>
      <w:r w:rsidRPr="00C95D57">
        <w:rPr>
          <w:rFonts w:cs="Arial"/>
          <w:color w:val="365F91" w:themeColor="accent1" w:themeShade="BF"/>
        </w:rPr>
        <w:t xml:space="preserve"> by age, 2008–201</w:t>
      </w:r>
      <w:r>
        <w:rPr>
          <w:rFonts w:cs="Arial"/>
          <w:color w:val="365F91" w:themeColor="accent1" w:themeShade="BF"/>
        </w:rPr>
        <w:t>3</w:t>
      </w:r>
    </w:p>
    <w:tbl>
      <w:tblPr>
        <w:tblW w:w="8145"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385"/>
        <w:gridCol w:w="960"/>
        <w:gridCol w:w="960"/>
        <w:gridCol w:w="960"/>
        <w:gridCol w:w="960"/>
        <w:gridCol w:w="960"/>
        <w:gridCol w:w="960"/>
      </w:tblGrid>
      <w:tr w:rsidR="000C304C" w:rsidRPr="00C95D57" w:rsidTr="009F6ECF">
        <w:trPr>
          <w:trHeight w:val="617"/>
        </w:trPr>
        <w:tc>
          <w:tcPr>
            <w:tcW w:w="2385" w:type="dxa"/>
            <w:shd w:val="clear" w:color="000000" w:fill="366092"/>
            <w:noWrap/>
            <w:vAlign w:val="center"/>
            <w:hideMark/>
          </w:tcPr>
          <w:p w:rsidR="000C304C" w:rsidRPr="00C95D57" w:rsidRDefault="000C304C" w:rsidP="00144BC3">
            <w:pPr>
              <w:spacing w:after="0" w:line="240" w:lineRule="auto"/>
              <w:ind w:firstLineChars="100" w:firstLine="181"/>
              <w:jc w:val="left"/>
              <w:rPr>
                <w:rFonts w:cs="Arial"/>
                <w:b/>
                <w:bCs/>
                <w:color w:val="FFFFFF"/>
                <w:sz w:val="18"/>
                <w:szCs w:val="18"/>
                <w:lang w:eastAsia="en-AU"/>
              </w:rPr>
            </w:pPr>
            <w:r w:rsidRPr="00C95D57">
              <w:rPr>
                <w:rFonts w:cs="Arial"/>
                <w:b/>
                <w:bCs/>
                <w:color w:val="FFFFFF"/>
                <w:sz w:val="18"/>
                <w:szCs w:val="18"/>
                <w:lang w:eastAsia="en-AU"/>
              </w:rPr>
              <w:t> </w:t>
            </w:r>
          </w:p>
        </w:tc>
        <w:tc>
          <w:tcPr>
            <w:tcW w:w="960" w:type="dxa"/>
            <w:shd w:val="clear" w:color="000000" w:fill="366092"/>
            <w:vAlign w:val="center"/>
            <w:hideMark/>
          </w:tcPr>
          <w:p w:rsidR="000C304C" w:rsidRPr="00C95D57" w:rsidRDefault="000C304C" w:rsidP="00144BC3">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2008</w:t>
            </w:r>
          </w:p>
        </w:tc>
        <w:tc>
          <w:tcPr>
            <w:tcW w:w="960" w:type="dxa"/>
            <w:shd w:val="clear" w:color="000000" w:fill="366092"/>
            <w:vAlign w:val="center"/>
            <w:hideMark/>
          </w:tcPr>
          <w:p w:rsidR="000C304C" w:rsidRPr="00C95D57" w:rsidRDefault="000C304C" w:rsidP="00144BC3">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2009</w:t>
            </w:r>
          </w:p>
        </w:tc>
        <w:tc>
          <w:tcPr>
            <w:tcW w:w="960" w:type="dxa"/>
            <w:shd w:val="clear" w:color="000000" w:fill="366092"/>
            <w:vAlign w:val="center"/>
            <w:hideMark/>
          </w:tcPr>
          <w:p w:rsidR="000C304C" w:rsidRPr="00C95D57" w:rsidRDefault="000C304C" w:rsidP="00144BC3">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2010</w:t>
            </w:r>
          </w:p>
        </w:tc>
        <w:tc>
          <w:tcPr>
            <w:tcW w:w="960" w:type="dxa"/>
            <w:shd w:val="clear" w:color="000000" w:fill="366092"/>
            <w:vAlign w:val="center"/>
            <w:hideMark/>
          </w:tcPr>
          <w:p w:rsidR="000C304C" w:rsidRPr="00C95D57" w:rsidRDefault="000C304C" w:rsidP="00144BC3">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2011</w:t>
            </w:r>
          </w:p>
        </w:tc>
        <w:tc>
          <w:tcPr>
            <w:tcW w:w="960" w:type="dxa"/>
            <w:shd w:val="clear" w:color="000000" w:fill="366092"/>
            <w:vAlign w:val="center"/>
            <w:hideMark/>
          </w:tcPr>
          <w:p w:rsidR="000C304C" w:rsidRPr="00C95D57" w:rsidRDefault="000C304C" w:rsidP="00144BC3">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2012</w:t>
            </w:r>
          </w:p>
        </w:tc>
        <w:tc>
          <w:tcPr>
            <w:tcW w:w="960" w:type="dxa"/>
            <w:shd w:val="clear" w:color="000000" w:fill="366092"/>
            <w:vAlign w:val="center"/>
            <w:hideMark/>
          </w:tcPr>
          <w:p w:rsidR="000C304C" w:rsidRPr="00C95D57" w:rsidRDefault="000C304C" w:rsidP="00144BC3">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2013</w:t>
            </w:r>
          </w:p>
        </w:tc>
      </w:tr>
      <w:tr w:rsidR="009F6ECF" w:rsidRPr="00C95D57" w:rsidTr="002169A8">
        <w:trPr>
          <w:trHeight w:val="300"/>
        </w:trPr>
        <w:tc>
          <w:tcPr>
            <w:tcW w:w="2385" w:type="dxa"/>
            <w:shd w:val="clear" w:color="000000" w:fill="FFFFFF"/>
            <w:noWrap/>
            <w:vAlign w:val="center"/>
            <w:hideMark/>
          </w:tcPr>
          <w:p w:rsidR="009F6ECF" w:rsidRPr="00C95D57" w:rsidRDefault="009F6ECF" w:rsidP="002169A8">
            <w:pPr>
              <w:spacing w:after="0" w:line="240" w:lineRule="auto"/>
              <w:jc w:val="left"/>
              <w:rPr>
                <w:rFonts w:cs="Arial"/>
                <w:color w:val="366092"/>
                <w:sz w:val="18"/>
                <w:szCs w:val="18"/>
                <w:lang w:eastAsia="en-AU"/>
              </w:rPr>
            </w:pPr>
            <w:r w:rsidRPr="00C95D57">
              <w:rPr>
                <w:rFonts w:cs="Arial"/>
                <w:color w:val="366092"/>
                <w:sz w:val="18"/>
                <w:szCs w:val="18"/>
                <w:lang w:eastAsia="en-AU"/>
              </w:rPr>
              <w:t>15 to 19</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19,100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18,400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19,400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19,300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17,300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15,200 </w:t>
            </w:r>
          </w:p>
        </w:tc>
      </w:tr>
      <w:tr w:rsidR="009F6ECF" w:rsidRPr="00C95D57" w:rsidTr="002169A8">
        <w:trPr>
          <w:trHeight w:val="300"/>
        </w:trPr>
        <w:tc>
          <w:tcPr>
            <w:tcW w:w="2385" w:type="dxa"/>
            <w:shd w:val="clear" w:color="000000" w:fill="FFFFFF"/>
            <w:noWrap/>
            <w:vAlign w:val="center"/>
            <w:hideMark/>
          </w:tcPr>
          <w:p w:rsidR="009F6ECF" w:rsidRPr="00C95D57" w:rsidRDefault="009F6ECF" w:rsidP="002169A8">
            <w:pPr>
              <w:spacing w:after="0" w:line="240" w:lineRule="auto"/>
              <w:jc w:val="left"/>
              <w:rPr>
                <w:rFonts w:cs="Arial"/>
                <w:color w:val="366092"/>
                <w:sz w:val="18"/>
                <w:szCs w:val="18"/>
                <w:lang w:eastAsia="en-AU"/>
              </w:rPr>
            </w:pPr>
            <w:r w:rsidRPr="00C95D57">
              <w:rPr>
                <w:rFonts w:cs="Arial"/>
                <w:color w:val="366092"/>
                <w:sz w:val="18"/>
                <w:szCs w:val="18"/>
                <w:lang w:eastAsia="en-AU"/>
              </w:rPr>
              <w:t>20 to 24</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16,300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16,500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18,100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18,500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18,800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18,200 </w:t>
            </w:r>
          </w:p>
        </w:tc>
      </w:tr>
      <w:tr w:rsidR="009F6ECF" w:rsidRPr="00C95D57" w:rsidTr="002169A8">
        <w:trPr>
          <w:trHeight w:val="300"/>
        </w:trPr>
        <w:tc>
          <w:tcPr>
            <w:tcW w:w="2385" w:type="dxa"/>
            <w:shd w:val="clear" w:color="000000" w:fill="FFFFFF"/>
            <w:noWrap/>
            <w:vAlign w:val="center"/>
            <w:hideMark/>
          </w:tcPr>
          <w:p w:rsidR="009F6ECF" w:rsidRPr="00C95D57" w:rsidRDefault="009F6ECF" w:rsidP="002169A8">
            <w:pPr>
              <w:spacing w:after="0" w:line="240" w:lineRule="auto"/>
              <w:jc w:val="left"/>
              <w:rPr>
                <w:rFonts w:cs="Arial"/>
                <w:color w:val="366092"/>
                <w:sz w:val="18"/>
                <w:szCs w:val="18"/>
                <w:lang w:eastAsia="en-AU"/>
              </w:rPr>
            </w:pPr>
            <w:r w:rsidRPr="00C95D57">
              <w:rPr>
                <w:rFonts w:cs="Arial"/>
                <w:color w:val="366092"/>
                <w:sz w:val="18"/>
                <w:szCs w:val="18"/>
                <w:lang w:eastAsia="en-AU"/>
              </w:rPr>
              <w:t>25 to 44</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5,900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6,300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7,100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7,800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8,100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8,500 </w:t>
            </w:r>
          </w:p>
        </w:tc>
      </w:tr>
      <w:tr w:rsidR="009F6ECF" w:rsidRPr="00C95D57" w:rsidTr="002169A8">
        <w:trPr>
          <w:trHeight w:val="300"/>
        </w:trPr>
        <w:tc>
          <w:tcPr>
            <w:tcW w:w="2385" w:type="dxa"/>
            <w:shd w:val="clear" w:color="000000" w:fill="FFFFFF"/>
            <w:noWrap/>
            <w:vAlign w:val="center"/>
            <w:hideMark/>
          </w:tcPr>
          <w:p w:rsidR="009F6ECF" w:rsidRPr="00C95D57" w:rsidRDefault="009F6ECF" w:rsidP="002169A8">
            <w:pPr>
              <w:spacing w:after="0" w:line="240" w:lineRule="auto"/>
              <w:jc w:val="left"/>
              <w:rPr>
                <w:rFonts w:cs="Arial"/>
                <w:color w:val="366092"/>
                <w:sz w:val="18"/>
                <w:szCs w:val="18"/>
                <w:lang w:eastAsia="en-AU"/>
              </w:rPr>
            </w:pPr>
            <w:r w:rsidRPr="00C95D57">
              <w:rPr>
                <w:rFonts w:cs="Arial"/>
                <w:color w:val="366092"/>
                <w:sz w:val="18"/>
                <w:szCs w:val="18"/>
                <w:lang w:eastAsia="en-AU"/>
              </w:rPr>
              <w:t>45 to 64</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500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500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600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650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850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1,300 </w:t>
            </w:r>
          </w:p>
        </w:tc>
      </w:tr>
      <w:tr w:rsidR="009F6ECF" w:rsidRPr="00C95D57" w:rsidTr="002169A8">
        <w:trPr>
          <w:trHeight w:val="300"/>
        </w:trPr>
        <w:tc>
          <w:tcPr>
            <w:tcW w:w="2385" w:type="dxa"/>
            <w:shd w:val="clear" w:color="000000" w:fill="FFFFFF"/>
            <w:noWrap/>
            <w:vAlign w:val="center"/>
            <w:hideMark/>
          </w:tcPr>
          <w:p w:rsidR="009F6ECF" w:rsidRPr="00C95D57" w:rsidRDefault="009F6ECF" w:rsidP="002169A8">
            <w:pPr>
              <w:spacing w:after="0" w:line="240" w:lineRule="auto"/>
              <w:jc w:val="left"/>
              <w:rPr>
                <w:rFonts w:cs="Arial"/>
                <w:color w:val="366092"/>
                <w:sz w:val="18"/>
                <w:szCs w:val="18"/>
                <w:lang w:eastAsia="en-AU"/>
              </w:rPr>
            </w:pPr>
            <w:r w:rsidRPr="00C95D57">
              <w:rPr>
                <w:rFonts w:cs="Arial"/>
                <w:color w:val="366092"/>
                <w:sz w:val="18"/>
                <w:szCs w:val="18"/>
                <w:lang w:eastAsia="en-AU"/>
              </w:rPr>
              <w:t>Under 15, over 64, not stated</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50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30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20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20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10 </w:t>
            </w:r>
          </w:p>
        </w:tc>
        <w:tc>
          <w:tcPr>
            <w:tcW w:w="960" w:type="dxa"/>
            <w:shd w:val="clear" w:color="auto" w:fill="auto"/>
            <w:noWrap/>
            <w:vAlign w:val="center"/>
          </w:tcPr>
          <w:p w:rsidR="009F6ECF" w:rsidRPr="00C95D57" w:rsidRDefault="009F6ECF" w:rsidP="00144BC3">
            <w:pPr>
              <w:spacing w:after="0" w:line="240" w:lineRule="auto"/>
              <w:jc w:val="right"/>
              <w:rPr>
                <w:rFonts w:cs="Arial"/>
                <w:sz w:val="18"/>
                <w:szCs w:val="18"/>
                <w:lang w:eastAsia="en-AU"/>
              </w:rPr>
            </w:pPr>
            <w:r>
              <w:rPr>
                <w:rFonts w:cs="Arial"/>
                <w:sz w:val="18"/>
                <w:szCs w:val="18"/>
              </w:rPr>
              <w:t xml:space="preserve">30 </w:t>
            </w:r>
          </w:p>
        </w:tc>
      </w:tr>
      <w:tr w:rsidR="009F6ECF" w:rsidRPr="00C95D57" w:rsidTr="009F6ECF">
        <w:trPr>
          <w:trHeight w:val="300"/>
        </w:trPr>
        <w:tc>
          <w:tcPr>
            <w:tcW w:w="2385" w:type="dxa"/>
            <w:shd w:val="clear" w:color="000000" w:fill="366092"/>
            <w:noWrap/>
            <w:vAlign w:val="bottom"/>
            <w:hideMark/>
          </w:tcPr>
          <w:p w:rsidR="009F6ECF" w:rsidRPr="00C95D57" w:rsidRDefault="009F6ECF" w:rsidP="00144BC3">
            <w:pPr>
              <w:spacing w:after="0" w:line="240" w:lineRule="auto"/>
              <w:jc w:val="left"/>
              <w:rPr>
                <w:rFonts w:cs="Arial"/>
                <w:b/>
                <w:bCs/>
                <w:color w:val="FFFFFF"/>
                <w:sz w:val="18"/>
                <w:szCs w:val="18"/>
                <w:lang w:eastAsia="en-AU"/>
              </w:rPr>
            </w:pPr>
            <w:r>
              <w:rPr>
                <w:rFonts w:cs="Arial"/>
                <w:b/>
                <w:bCs/>
                <w:color w:val="FFFFFF"/>
                <w:sz w:val="18"/>
                <w:szCs w:val="18"/>
                <w:lang w:eastAsia="en-AU"/>
              </w:rPr>
              <w:t>Apprentices</w:t>
            </w:r>
          </w:p>
        </w:tc>
        <w:tc>
          <w:tcPr>
            <w:tcW w:w="960" w:type="dxa"/>
            <w:shd w:val="clear" w:color="000000" w:fill="366092"/>
            <w:noWrap/>
            <w:vAlign w:val="center"/>
          </w:tcPr>
          <w:p w:rsidR="009F6ECF" w:rsidRPr="00C95D57" w:rsidRDefault="009F6ECF" w:rsidP="00144BC3">
            <w:pPr>
              <w:spacing w:after="0" w:line="240" w:lineRule="auto"/>
              <w:jc w:val="right"/>
              <w:rPr>
                <w:rFonts w:cs="Arial"/>
                <w:b/>
                <w:bCs/>
                <w:color w:val="FFFFFF"/>
                <w:sz w:val="18"/>
                <w:szCs w:val="18"/>
                <w:lang w:eastAsia="en-AU"/>
              </w:rPr>
            </w:pPr>
            <w:r>
              <w:rPr>
                <w:rFonts w:cs="Arial"/>
                <w:b/>
                <w:bCs/>
                <w:color w:val="FFFFFF"/>
                <w:sz w:val="18"/>
                <w:szCs w:val="18"/>
              </w:rPr>
              <w:t xml:space="preserve">41,900 </w:t>
            </w:r>
          </w:p>
        </w:tc>
        <w:tc>
          <w:tcPr>
            <w:tcW w:w="960" w:type="dxa"/>
            <w:shd w:val="clear" w:color="000000" w:fill="366092"/>
            <w:noWrap/>
            <w:vAlign w:val="center"/>
          </w:tcPr>
          <w:p w:rsidR="009F6ECF" w:rsidRPr="00C95D57" w:rsidRDefault="009F6ECF" w:rsidP="00144BC3">
            <w:pPr>
              <w:spacing w:after="0" w:line="240" w:lineRule="auto"/>
              <w:jc w:val="right"/>
              <w:rPr>
                <w:rFonts w:cs="Arial"/>
                <w:b/>
                <w:bCs/>
                <w:color w:val="FFFFFF"/>
                <w:sz w:val="18"/>
                <w:szCs w:val="18"/>
                <w:lang w:eastAsia="en-AU"/>
              </w:rPr>
            </w:pPr>
            <w:r>
              <w:rPr>
                <w:rFonts w:cs="Arial"/>
                <w:b/>
                <w:bCs/>
                <w:color w:val="FFFFFF"/>
                <w:sz w:val="18"/>
                <w:szCs w:val="18"/>
              </w:rPr>
              <w:t xml:space="preserve">41,600 </w:t>
            </w:r>
          </w:p>
        </w:tc>
        <w:tc>
          <w:tcPr>
            <w:tcW w:w="960" w:type="dxa"/>
            <w:shd w:val="clear" w:color="000000" w:fill="366092"/>
            <w:noWrap/>
            <w:vAlign w:val="center"/>
          </w:tcPr>
          <w:p w:rsidR="009F6ECF" w:rsidRPr="00C95D57" w:rsidRDefault="009F6ECF" w:rsidP="00144BC3">
            <w:pPr>
              <w:spacing w:after="0" w:line="240" w:lineRule="auto"/>
              <w:jc w:val="right"/>
              <w:rPr>
                <w:rFonts w:cs="Arial"/>
                <w:b/>
                <w:bCs/>
                <w:color w:val="FFFFFF"/>
                <w:sz w:val="18"/>
                <w:szCs w:val="18"/>
                <w:lang w:eastAsia="en-AU"/>
              </w:rPr>
            </w:pPr>
            <w:r>
              <w:rPr>
                <w:rFonts w:cs="Arial"/>
                <w:b/>
                <w:bCs/>
                <w:color w:val="FFFFFF"/>
                <w:sz w:val="18"/>
                <w:szCs w:val="18"/>
              </w:rPr>
              <w:t xml:space="preserve">45,300 </w:t>
            </w:r>
          </w:p>
        </w:tc>
        <w:tc>
          <w:tcPr>
            <w:tcW w:w="960" w:type="dxa"/>
            <w:shd w:val="clear" w:color="000000" w:fill="366092"/>
            <w:noWrap/>
            <w:vAlign w:val="center"/>
          </w:tcPr>
          <w:p w:rsidR="009F6ECF" w:rsidRPr="00C95D57" w:rsidRDefault="009F6ECF" w:rsidP="00144BC3">
            <w:pPr>
              <w:spacing w:after="0" w:line="240" w:lineRule="auto"/>
              <w:jc w:val="right"/>
              <w:rPr>
                <w:rFonts w:cs="Arial"/>
                <w:b/>
                <w:bCs/>
                <w:color w:val="FFFFFF"/>
                <w:sz w:val="18"/>
                <w:szCs w:val="18"/>
                <w:lang w:eastAsia="en-AU"/>
              </w:rPr>
            </w:pPr>
            <w:r>
              <w:rPr>
                <w:rFonts w:cs="Arial"/>
                <w:b/>
                <w:bCs/>
                <w:color w:val="FFFFFF"/>
                <w:sz w:val="18"/>
                <w:szCs w:val="18"/>
              </w:rPr>
              <w:t xml:space="preserve">46,300 </w:t>
            </w:r>
          </w:p>
        </w:tc>
        <w:tc>
          <w:tcPr>
            <w:tcW w:w="960" w:type="dxa"/>
            <w:shd w:val="clear" w:color="000000" w:fill="366092"/>
            <w:noWrap/>
            <w:vAlign w:val="center"/>
          </w:tcPr>
          <w:p w:rsidR="009F6ECF" w:rsidRPr="00C95D57" w:rsidRDefault="009F6ECF" w:rsidP="00144BC3">
            <w:pPr>
              <w:spacing w:after="0" w:line="240" w:lineRule="auto"/>
              <w:jc w:val="right"/>
              <w:rPr>
                <w:rFonts w:cs="Arial"/>
                <w:b/>
                <w:bCs/>
                <w:color w:val="FFFFFF"/>
                <w:sz w:val="18"/>
                <w:szCs w:val="18"/>
                <w:lang w:eastAsia="en-AU"/>
              </w:rPr>
            </w:pPr>
            <w:r>
              <w:rPr>
                <w:rFonts w:cs="Arial"/>
                <w:b/>
                <w:bCs/>
                <w:color w:val="FFFFFF"/>
                <w:sz w:val="18"/>
                <w:szCs w:val="18"/>
              </w:rPr>
              <w:t xml:space="preserve">45,000 </w:t>
            </w:r>
          </w:p>
        </w:tc>
        <w:tc>
          <w:tcPr>
            <w:tcW w:w="960" w:type="dxa"/>
            <w:shd w:val="clear" w:color="000000" w:fill="366092"/>
            <w:noWrap/>
            <w:vAlign w:val="center"/>
          </w:tcPr>
          <w:p w:rsidR="009F6ECF" w:rsidRPr="00C95D57" w:rsidRDefault="009F6ECF" w:rsidP="00144BC3">
            <w:pPr>
              <w:spacing w:after="0" w:line="240" w:lineRule="auto"/>
              <w:jc w:val="right"/>
              <w:rPr>
                <w:rFonts w:cs="Arial"/>
                <w:b/>
                <w:bCs/>
                <w:color w:val="FFFFFF"/>
                <w:sz w:val="18"/>
                <w:szCs w:val="18"/>
                <w:lang w:eastAsia="en-AU"/>
              </w:rPr>
            </w:pPr>
            <w:r>
              <w:rPr>
                <w:rFonts w:cs="Arial"/>
                <w:b/>
                <w:bCs/>
                <w:color w:val="FFFFFF"/>
                <w:sz w:val="18"/>
                <w:szCs w:val="18"/>
              </w:rPr>
              <w:t xml:space="preserve">43,200 </w:t>
            </w:r>
          </w:p>
        </w:tc>
      </w:tr>
    </w:tbl>
    <w:p w:rsidR="000C304C" w:rsidRDefault="000C304C">
      <w:pPr>
        <w:spacing w:after="0" w:line="240" w:lineRule="auto"/>
        <w:jc w:val="left"/>
      </w:pPr>
    </w:p>
    <w:p w:rsidR="000C304C" w:rsidRDefault="000C304C" w:rsidP="000C304C">
      <w:pPr>
        <w:pStyle w:val="Caption"/>
        <w:spacing w:after="0"/>
        <w:jc w:val="left"/>
        <w:rPr>
          <w:rFonts w:cs="Arial"/>
          <w:color w:val="365F91" w:themeColor="accent1" w:themeShade="BF"/>
        </w:rPr>
      </w:pPr>
    </w:p>
    <w:p w:rsidR="000C304C" w:rsidRPr="00C95D57" w:rsidRDefault="00C91B0A" w:rsidP="000C304C">
      <w:pPr>
        <w:pStyle w:val="Caption"/>
        <w:spacing w:after="0"/>
        <w:jc w:val="left"/>
        <w:rPr>
          <w:rFonts w:cs="Arial"/>
          <w:color w:val="365F91" w:themeColor="accent1" w:themeShade="BF"/>
          <w:highlight w:val="cyan"/>
        </w:rPr>
      </w:pPr>
      <w:r>
        <w:rPr>
          <w:rFonts w:cs="Arial"/>
          <w:color w:val="365F91" w:themeColor="accent1" w:themeShade="BF"/>
        </w:rPr>
        <w:t>Table 3.5</w:t>
      </w:r>
      <w:r w:rsidR="000C304C">
        <w:rPr>
          <w:rFonts w:cs="Arial"/>
          <w:color w:val="365F91" w:themeColor="accent1" w:themeShade="BF"/>
        </w:rPr>
        <w:t>.</w:t>
      </w:r>
      <w:r w:rsidR="008378F2">
        <w:rPr>
          <w:rFonts w:cs="Arial"/>
          <w:color w:val="365F91" w:themeColor="accent1" w:themeShade="BF"/>
        </w:rPr>
        <w:t>2</w:t>
      </w:r>
      <w:r w:rsidR="000C304C">
        <w:rPr>
          <w:rFonts w:cs="Arial"/>
          <w:color w:val="365F91" w:themeColor="accent1" w:themeShade="BF"/>
        </w:rPr>
        <w:t>: Change in g</w:t>
      </w:r>
      <w:r w:rsidR="000C304C" w:rsidRPr="00C95D57">
        <w:rPr>
          <w:rFonts w:cs="Arial"/>
          <w:color w:val="365F91" w:themeColor="accent1" w:themeShade="BF"/>
        </w:rPr>
        <w:t xml:space="preserve">overnment subsidised enrolments by </w:t>
      </w:r>
      <w:r w:rsidR="000C304C">
        <w:rPr>
          <w:rFonts w:cs="Arial"/>
          <w:color w:val="365F91" w:themeColor="accent1" w:themeShade="BF"/>
        </w:rPr>
        <w:t>Apprentices</w:t>
      </w:r>
      <w:r w:rsidR="000C304C" w:rsidRPr="00C95D57">
        <w:rPr>
          <w:rFonts w:cs="Arial"/>
          <w:color w:val="365F91" w:themeColor="accent1" w:themeShade="BF"/>
        </w:rPr>
        <w:t xml:space="preserve"> by age, 2008–201</w:t>
      </w:r>
      <w:r w:rsidR="000C304C">
        <w:rPr>
          <w:rFonts w:cs="Arial"/>
          <w:color w:val="365F91" w:themeColor="accent1" w:themeShade="BF"/>
        </w:rPr>
        <w:t>3</w:t>
      </w:r>
    </w:p>
    <w:tbl>
      <w:tblPr>
        <w:tblW w:w="6237"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385"/>
        <w:gridCol w:w="1284"/>
        <w:gridCol w:w="1284"/>
        <w:gridCol w:w="1284"/>
      </w:tblGrid>
      <w:tr w:rsidR="009F6ECF" w:rsidRPr="00C95D57" w:rsidTr="009F6ECF">
        <w:trPr>
          <w:trHeight w:val="617"/>
        </w:trPr>
        <w:tc>
          <w:tcPr>
            <w:tcW w:w="2385" w:type="dxa"/>
            <w:shd w:val="clear" w:color="000000" w:fill="366092"/>
            <w:noWrap/>
            <w:vAlign w:val="center"/>
            <w:hideMark/>
          </w:tcPr>
          <w:p w:rsidR="009F6ECF" w:rsidRPr="00C95D57" w:rsidRDefault="009F6ECF" w:rsidP="00144BC3">
            <w:pPr>
              <w:spacing w:after="0" w:line="240" w:lineRule="auto"/>
              <w:ind w:firstLineChars="100" w:firstLine="181"/>
              <w:jc w:val="left"/>
              <w:rPr>
                <w:rFonts w:cs="Arial"/>
                <w:b/>
                <w:bCs/>
                <w:color w:val="FFFFFF"/>
                <w:sz w:val="18"/>
                <w:szCs w:val="18"/>
                <w:lang w:eastAsia="en-AU"/>
              </w:rPr>
            </w:pPr>
            <w:r w:rsidRPr="00C95D57">
              <w:rPr>
                <w:rFonts w:cs="Arial"/>
                <w:b/>
                <w:bCs/>
                <w:color w:val="FFFFFF"/>
                <w:sz w:val="18"/>
                <w:szCs w:val="18"/>
                <w:lang w:eastAsia="en-AU"/>
              </w:rPr>
              <w:t> </w:t>
            </w:r>
          </w:p>
        </w:tc>
        <w:tc>
          <w:tcPr>
            <w:tcW w:w="1284" w:type="dxa"/>
            <w:shd w:val="clear" w:color="000000" w:fill="366092"/>
            <w:vAlign w:val="center"/>
            <w:hideMark/>
          </w:tcPr>
          <w:p w:rsidR="009F6ECF" w:rsidRPr="00C95D57" w:rsidRDefault="00EE527D" w:rsidP="00EE527D">
            <w:pPr>
              <w:spacing w:after="0" w:line="240" w:lineRule="auto"/>
              <w:jc w:val="center"/>
              <w:rPr>
                <w:rFonts w:cs="Arial"/>
                <w:b/>
                <w:bCs/>
                <w:color w:val="FFFFFF"/>
                <w:sz w:val="18"/>
                <w:szCs w:val="18"/>
                <w:lang w:eastAsia="en-AU"/>
              </w:rPr>
            </w:pPr>
            <w:r>
              <w:rPr>
                <w:rFonts w:cs="Arial"/>
                <w:b/>
                <w:bCs/>
                <w:color w:val="FFFFFF"/>
                <w:sz w:val="18"/>
                <w:szCs w:val="18"/>
                <w:lang w:eastAsia="en-AU"/>
              </w:rPr>
              <w:t xml:space="preserve">% </w:t>
            </w:r>
            <w:r w:rsidR="009F6ECF" w:rsidRPr="00DA2D8D">
              <w:rPr>
                <w:rFonts w:cs="Arial"/>
                <w:b/>
                <w:bCs/>
                <w:color w:val="FFFFFF"/>
                <w:sz w:val="18"/>
                <w:szCs w:val="18"/>
                <w:lang w:eastAsia="en-AU"/>
              </w:rPr>
              <w:t>change</w:t>
            </w:r>
            <w:r>
              <w:rPr>
                <w:rFonts w:cs="Arial"/>
                <w:b/>
                <w:bCs/>
                <w:color w:val="FFFFFF"/>
                <w:sz w:val="18"/>
                <w:szCs w:val="18"/>
                <w:lang w:eastAsia="en-AU"/>
              </w:rPr>
              <w:t xml:space="preserve"> </w:t>
            </w:r>
            <w:r w:rsidR="009F6ECF" w:rsidRPr="00DA2D8D">
              <w:rPr>
                <w:rFonts w:cs="Arial"/>
                <w:b/>
                <w:bCs/>
                <w:color w:val="FFFFFF"/>
                <w:sz w:val="18"/>
                <w:szCs w:val="18"/>
                <w:lang w:eastAsia="en-AU"/>
              </w:rPr>
              <w:t>2008-2013</w:t>
            </w:r>
          </w:p>
        </w:tc>
        <w:tc>
          <w:tcPr>
            <w:tcW w:w="1284" w:type="dxa"/>
            <w:shd w:val="clear" w:color="000000" w:fill="366092"/>
            <w:vAlign w:val="center"/>
            <w:hideMark/>
          </w:tcPr>
          <w:p w:rsidR="009F6ECF" w:rsidRPr="00C95D57" w:rsidRDefault="00EE527D" w:rsidP="00EE527D">
            <w:pPr>
              <w:spacing w:after="0" w:line="240" w:lineRule="auto"/>
              <w:ind w:firstLineChars="100" w:firstLine="181"/>
              <w:jc w:val="center"/>
              <w:rPr>
                <w:rFonts w:cs="Arial"/>
                <w:b/>
                <w:bCs/>
                <w:color w:val="FFFFFF"/>
                <w:sz w:val="18"/>
                <w:szCs w:val="18"/>
                <w:lang w:eastAsia="en-AU"/>
              </w:rPr>
            </w:pPr>
            <w:r>
              <w:rPr>
                <w:rFonts w:cs="Arial"/>
                <w:b/>
                <w:bCs/>
                <w:color w:val="FFFFFF"/>
                <w:sz w:val="18"/>
                <w:szCs w:val="18"/>
                <w:lang w:eastAsia="en-AU"/>
              </w:rPr>
              <w:t xml:space="preserve">% </w:t>
            </w:r>
            <w:r w:rsidR="009F6ECF" w:rsidRPr="00DA2D8D">
              <w:rPr>
                <w:rFonts w:cs="Arial"/>
                <w:b/>
                <w:bCs/>
                <w:color w:val="FFFFFF"/>
                <w:sz w:val="18"/>
                <w:szCs w:val="18"/>
                <w:lang w:eastAsia="en-AU"/>
              </w:rPr>
              <w:t>change</w:t>
            </w:r>
            <w:r>
              <w:rPr>
                <w:rFonts w:cs="Arial"/>
                <w:b/>
                <w:bCs/>
                <w:color w:val="FFFFFF"/>
                <w:sz w:val="18"/>
                <w:szCs w:val="18"/>
                <w:lang w:eastAsia="en-AU"/>
              </w:rPr>
              <w:t xml:space="preserve"> </w:t>
            </w:r>
            <w:r w:rsidR="009F6ECF" w:rsidRPr="00DA2D8D">
              <w:rPr>
                <w:rFonts w:cs="Arial"/>
                <w:b/>
                <w:bCs/>
                <w:color w:val="FFFFFF"/>
                <w:sz w:val="18"/>
                <w:szCs w:val="18"/>
                <w:lang w:eastAsia="en-AU"/>
              </w:rPr>
              <w:t>2011-2013</w:t>
            </w:r>
          </w:p>
        </w:tc>
        <w:tc>
          <w:tcPr>
            <w:tcW w:w="1284" w:type="dxa"/>
            <w:shd w:val="clear" w:color="000000" w:fill="366092"/>
            <w:vAlign w:val="center"/>
            <w:hideMark/>
          </w:tcPr>
          <w:p w:rsidR="009F6ECF" w:rsidRPr="00C95D57" w:rsidRDefault="00EE527D" w:rsidP="00EE527D">
            <w:pPr>
              <w:spacing w:after="0" w:line="240" w:lineRule="auto"/>
              <w:ind w:firstLineChars="100" w:firstLine="181"/>
              <w:jc w:val="center"/>
              <w:rPr>
                <w:rFonts w:cs="Arial"/>
                <w:b/>
                <w:bCs/>
                <w:color w:val="FFFFFF"/>
                <w:sz w:val="18"/>
                <w:szCs w:val="18"/>
                <w:lang w:eastAsia="en-AU"/>
              </w:rPr>
            </w:pPr>
            <w:r>
              <w:rPr>
                <w:rFonts w:cs="Arial"/>
                <w:b/>
                <w:bCs/>
                <w:color w:val="FFFFFF"/>
                <w:sz w:val="18"/>
                <w:szCs w:val="18"/>
                <w:lang w:eastAsia="en-AU"/>
              </w:rPr>
              <w:t xml:space="preserve">% </w:t>
            </w:r>
            <w:r w:rsidR="009F6ECF" w:rsidRPr="00DA2D8D">
              <w:rPr>
                <w:rFonts w:cs="Arial"/>
                <w:b/>
                <w:bCs/>
                <w:color w:val="FFFFFF"/>
                <w:sz w:val="18"/>
                <w:szCs w:val="18"/>
                <w:lang w:eastAsia="en-AU"/>
              </w:rPr>
              <w:t>change</w:t>
            </w:r>
            <w:r>
              <w:rPr>
                <w:rFonts w:cs="Arial"/>
                <w:b/>
                <w:bCs/>
                <w:color w:val="FFFFFF"/>
                <w:sz w:val="18"/>
                <w:szCs w:val="18"/>
                <w:lang w:eastAsia="en-AU"/>
              </w:rPr>
              <w:t xml:space="preserve"> </w:t>
            </w:r>
            <w:r w:rsidR="009F6ECF" w:rsidRPr="00DA2D8D">
              <w:rPr>
                <w:rFonts w:cs="Arial"/>
                <w:b/>
                <w:bCs/>
                <w:color w:val="FFFFFF"/>
                <w:sz w:val="18"/>
                <w:szCs w:val="18"/>
                <w:lang w:eastAsia="en-AU"/>
              </w:rPr>
              <w:t>2012-2013</w:t>
            </w:r>
          </w:p>
        </w:tc>
      </w:tr>
      <w:tr w:rsidR="00A96BB4" w:rsidRPr="00C95D57" w:rsidTr="002169A8">
        <w:trPr>
          <w:trHeight w:val="300"/>
        </w:trPr>
        <w:tc>
          <w:tcPr>
            <w:tcW w:w="2385" w:type="dxa"/>
            <w:shd w:val="clear" w:color="000000" w:fill="FFFFFF"/>
            <w:noWrap/>
            <w:vAlign w:val="center"/>
            <w:hideMark/>
          </w:tcPr>
          <w:p w:rsidR="00A96BB4" w:rsidRPr="00C95D57" w:rsidRDefault="00A96BB4" w:rsidP="002169A8">
            <w:pPr>
              <w:spacing w:after="0" w:line="240" w:lineRule="auto"/>
              <w:jc w:val="left"/>
              <w:rPr>
                <w:rFonts w:cs="Arial"/>
                <w:color w:val="366092"/>
                <w:sz w:val="18"/>
                <w:szCs w:val="18"/>
                <w:lang w:eastAsia="en-AU"/>
              </w:rPr>
            </w:pPr>
            <w:r w:rsidRPr="00C95D57">
              <w:rPr>
                <w:rFonts w:cs="Arial"/>
                <w:color w:val="366092"/>
                <w:sz w:val="18"/>
                <w:szCs w:val="18"/>
                <w:lang w:eastAsia="en-AU"/>
              </w:rPr>
              <w:t>15 to 19</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-20%</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-21%</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-12%</w:t>
            </w:r>
          </w:p>
        </w:tc>
      </w:tr>
      <w:tr w:rsidR="00A96BB4" w:rsidRPr="00C95D57" w:rsidTr="002169A8">
        <w:trPr>
          <w:trHeight w:val="300"/>
        </w:trPr>
        <w:tc>
          <w:tcPr>
            <w:tcW w:w="2385" w:type="dxa"/>
            <w:shd w:val="clear" w:color="000000" w:fill="FFFFFF"/>
            <w:noWrap/>
            <w:vAlign w:val="center"/>
            <w:hideMark/>
          </w:tcPr>
          <w:p w:rsidR="00A96BB4" w:rsidRPr="00C95D57" w:rsidRDefault="00A96BB4" w:rsidP="002169A8">
            <w:pPr>
              <w:spacing w:after="0" w:line="240" w:lineRule="auto"/>
              <w:jc w:val="left"/>
              <w:rPr>
                <w:rFonts w:cs="Arial"/>
                <w:color w:val="366092"/>
                <w:sz w:val="18"/>
                <w:szCs w:val="18"/>
                <w:lang w:eastAsia="en-AU"/>
              </w:rPr>
            </w:pPr>
            <w:r w:rsidRPr="00C95D57">
              <w:rPr>
                <w:rFonts w:cs="Arial"/>
                <w:color w:val="366092"/>
                <w:sz w:val="18"/>
                <w:szCs w:val="18"/>
                <w:lang w:eastAsia="en-AU"/>
              </w:rPr>
              <w:t>20 to 24</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11%</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-2%</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-3%</w:t>
            </w:r>
          </w:p>
        </w:tc>
      </w:tr>
      <w:tr w:rsidR="00A96BB4" w:rsidRPr="00C95D57" w:rsidTr="002169A8">
        <w:trPr>
          <w:trHeight w:val="300"/>
        </w:trPr>
        <w:tc>
          <w:tcPr>
            <w:tcW w:w="2385" w:type="dxa"/>
            <w:shd w:val="clear" w:color="000000" w:fill="FFFFFF"/>
            <w:noWrap/>
            <w:vAlign w:val="center"/>
            <w:hideMark/>
          </w:tcPr>
          <w:p w:rsidR="00A96BB4" w:rsidRPr="00C95D57" w:rsidRDefault="00A96BB4" w:rsidP="002169A8">
            <w:pPr>
              <w:spacing w:after="0" w:line="240" w:lineRule="auto"/>
              <w:jc w:val="left"/>
              <w:rPr>
                <w:rFonts w:cs="Arial"/>
                <w:color w:val="366092"/>
                <w:sz w:val="18"/>
                <w:szCs w:val="18"/>
                <w:lang w:eastAsia="en-AU"/>
              </w:rPr>
            </w:pPr>
            <w:r w:rsidRPr="00C95D57">
              <w:rPr>
                <w:rFonts w:cs="Arial"/>
                <w:color w:val="366092"/>
                <w:sz w:val="18"/>
                <w:szCs w:val="18"/>
                <w:lang w:eastAsia="en-AU"/>
              </w:rPr>
              <w:t>25 to 44</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43%</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10%</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5%</w:t>
            </w:r>
          </w:p>
        </w:tc>
      </w:tr>
      <w:tr w:rsidR="00A96BB4" w:rsidRPr="00C95D57" w:rsidTr="002169A8">
        <w:trPr>
          <w:trHeight w:val="300"/>
        </w:trPr>
        <w:tc>
          <w:tcPr>
            <w:tcW w:w="2385" w:type="dxa"/>
            <w:shd w:val="clear" w:color="000000" w:fill="FFFFFF"/>
            <w:noWrap/>
            <w:vAlign w:val="center"/>
            <w:hideMark/>
          </w:tcPr>
          <w:p w:rsidR="00A96BB4" w:rsidRPr="00C95D57" w:rsidRDefault="00A96BB4" w:rsidP="002169A8">
            <w:pPr>
              <w:spacing w:after="0" w:line="240" w:lineRule="auto"/>
              <w:jc w:val="left"/>
              <w:rPr>
                <w:rFonts w:cs="Arial"/>
                <w:color w:val="366092"/>
                <w:sz w:val="18"/>
                <w:szCs w:val="18"/>
                <w:lang w:eastAsia="en-AU"/>
              </w:rPr>
            </w:pPr>
            <w:r w:rsidRPr="00C95D57">
              <w:rPr>
                <w:rFonts w:cs="Arial"/>
                <w:color w:val="366092"/>
                <w:sz w:val="18"/>
                <w:szCs w:val="18"/>
                <w:lang w:eastAsia="en-AU"/>
              </w:rPr>
              <w:t>45 to 64</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159%</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92%</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53%</w:t>
            </w:r>
          </w:p>
        </w:tc>
      </w:tr>
      <w:tr w:rsidR="00A96BB4" w:rsidRPr="00C95D57" w:rsidTr="002169A8">
        <w:trPr>
          <w:trHeight w:val="300"/>
        </w:trPr>
        <w:tc>
          <w:tcPr>
            <w:tcW w:w="2385" w:type="dxa"/>
            <w:shd w:val="clear" w:color="000000" w:fill="FFFFFF"/>
            <w:noWrap/>
            <w:vAlign w:val="center"/>
            <w:hideMark/>
          </w:tcPr>
          <w:p w:rsidR="00A96BB4" w:rsidRPr="00C95D57" w:rsidRDefault="00A96BB4" w:rsidP="002169A8">
            <w:pPr>
              <w:spacing w:after="0" w:line="240" w:lineRule="auto"/>
              <w:jc w:val="left"/>
              <w:rPr>
                <w:rFonts w:cs="Arial"/>
                <w:color w:val="366092"/>
                <w:sz w:val="18"/>
                <w:szCs w:val="18"/>
                <w:lang w:eastAsia="en-AU"/>
              </w:rPr>
            </w:pPr>
            <w:r w:rsidRPr="00C95D57">
              <w:rPr>
                <w:rFonts w:cs="Arial"/>
                <w:color w:val="366092"/>
                <w:sz w:val="18"/>
                <w:szCs w:val="18"/>
                <w:lang w:eastAsia="en-AU"/>
              </w:rPr>
              <w:t>Under 15, over 64, not stated</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-45%</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87%</w:t>
            </w:r>
          </w:p>
        </w:tc>
        <w:tc>
          <w:tcPr>
            <w:tcW w:w="1284" w:type="dxa"/>
            <w:shd w:val="clear" w:color="auto" w:fill="auto"/>
            <w:noWrap/>
            <w:vAlign w:val="center"/>
          </w:tcPr>
          <w:p w:rsidR="00A96BB4" w:rsidRPr="00C95D57" w:rsidRDefault="00A96BB4" w:rsidP="00144BC3">
            <w:pPr>
              <w:spacing w:after="0" w:line="240" w:lineRule="auto"/>
              <w:jc w:val="right"/>
              <w:rPr>
                <w:rFonts w:cs="Arial"/>
                <w:sz w:val="18"/>
                <w:szCs w:val="18"/>
                <w:lang w:eastAsia="en-AU"/>
              </w:rPr>
            </w:pPr>
            <w:r>
              <w:rPr>
                <w:rFonts w:cs="Arial"/>
                <w:sz w:val="18"/>
                <w:szCs w:val="18"/>
              </w:rPr>
              <w:t>180%</w:t>
            </w:r>
          </w:p>
        </w:tc>
      </w:tr>
      <w:tr w:rsidR="00A96BB4" w:rsidRPr="00C95D57" w:rsidTr="009F6ECF">
        <w:trPr>
          <w:trHeight w:val="300"/>
        </w:trPr>
        <w:tc>
          <w:tcPr>
            <w:tcW w:w="2385" w:type="dxa"/>
            <w:shd w:val="clear" w:color="000000" w:fill="366092"/>
            <w:noWrap/>
            <w:vAlign w:val="bottom"/>
            <w:hideMark/>
          </w:tcPr>
          <w:p w:rsidR="00A96BB4" w:rsidRPr="00C95D57" w:rsidRDefault="00A96BB4" w:rsidP="00144BC3">
            <w:pPr>
              <w:spacing w:after="0" w:line="240" w:lineRule="auto"/>
              <w:jc w:val="left"/>
              <w:rPr>
                <w:rFonts w:cs="Arial"/>
                <w:b/>
                <w:bCs/>
                <w:color w:val="FFFFFF"/>
                <w:sz w:val="18"/>
                <w:szCs w:val="18"/>
                <w:lang w:eastAsia="en-AU"/>
              </w:rPr>
            </w:pPr>
            <w:r>
              <w:rPr>
                <w:rFonts w:cs="Arial"/>
                <w:b/>
                <w:bCs/>
                <w:color w:val="FFFFFF"/>
                <w:sz w:val="18"/>
                <w:szCs w:val="18"/>
                <w:lang w:eastAsia="en-AU"/>
              </w:rPr>
              <w:t>Apprentices</w:t>
            </w:r>
          </w:p>
        </w:tc>
        <w:tc>
          <w:tcPr>
            <w:tcW w:w="1284" w:type="dxa"/>
            <w:shd w:val="clear" w:color="000000" w:fill="366092"/>
            <w:noWrap/>
            <w:vAlign w:val="center"/>
          </w:tcPr>
          <w:p w:rsidR="00A96BB4" w:rsidRPr="00C95D57" w:rsidRDefault="00A96BB4" w:rsidP="00144BC3">
            <w:pPr>
              <w:spacing w:after="0" w:line="240" w:lineRule="auto"/>
              <w:jc w:val="right"/>
              <w:rPr>
                <w:rFonts w:cs="Arial"/>
                <w:b/>
                <w:bCs/>
                <w:color w:val="FFFFFF"/>
                <w:sz w:val="18"/>
                <w:szCs w:val="18"/>
                <w:lang w:eastAsia="en-AU"/>
              </w:rPr>
            </w:pPr>
            <w:r>
              <w:rPr>
                <w:rFonts w:cs="Arial"/>
                <w:b/>
                <w:bCs/>
                <w:color w:val="FFFFFF"/>
                <w:sz w:val="18"/>
                <w:szCs w:val="18"/>
              </w:rPr>
              <w:t>3%</w:t>
            </w:r>
          </w:p>
        </w:tc>
        <w:tc>
          <w:tcPr>
            <w:tcW w:w="1284" w:type="dxa"/>
            <w:shd w:val="clear" w:color="000000" w:fill="366092"/>
            <w:noWrap/>
            <w:vAlign w:val="center"/>
          </w:tcPr>
          <w:p w:rsidR="00A96BB4" w:rsidRPr="00C95D57" w:rsidRDefault="00A96BB4" w:rsidP="00144BC3">
            <w:pPr>
              <w:spacing w:after="0" w:line="240" w:lineRule="auto"/>
              <w:jc w:val="right"/>
              <w:rPr>
                <w:rFonts w:cs="Arial"/>
                <w:b/>
                <w:bCs/>
                <w:color w:val="FFFFFF"/>
                <w:sz w:val="18"/>
                <w:szCs w:val="18"/>
                <w:lang w:eastAsia="en-AU"/>
              </w:rPr>
            </w:pPr>
            <w:r>
              <w:rPr>
                <w:rFonts w:cs="Arial"/>
                <w:b/>
                <w:bCs/>
                <w:color w:val="FFFFFF"/>
                <w:sz w:val="18"/>
                <w:szCs w:val="18"/>
              </w:rPr>
              <w:t>-7%</w:t>
            </w:r>
          </w:p>
        </w:tc>
        <w:tc>
          <w:tcPr>
            <w:tcW w:w="1284" w:type="dxa"/>
            <w:shd w:val="clear" w:color="000000" w:fill="366092"/>
            <w:noWrap/>
            <w:vAlign w:val="center"/>
          </w:tcPr>
          <w:p w:rsidR="00A96BB4" w:rsidRPr="00C95D57" w:rsidRDefault="00A96BB4" w:rsidP="00144BC3">
            <w:pPr>
              <w:spacing w:after="0" w:line="240" w:lineRule="auto"/>
              <w:jc w:val="right"/>
              <w:rPr>
                <w:rFonts w:cs="Arial"/>
                <w:b/>
                <w:bCs/>
                <w:color w:val="FFFFFF"/>
                <w:sz w:val="18"/>
                <w:szCs w:val="18"/>
                <w:lang w:eastAsia="en-AU"/>
              </w:rPr>
            </w:pPr>
            <w:r>
              <w:rPr>
                <w:rFonts w:cs="Arial"/>
                <w:b/>
                <w:bCs/>
                <w:color w:val="FFFFFF"/>
                <w:sz w:val="18"/>
                <w:szCs w:val="18"/>
              </w:rPr>
              <w:t>-4%</w:t>
            </w:r>
          </w:p>
        </w:tc>
      </w:tr>
    </w:tbl>
    <w:p w:rsidR="000C304C" w:rsidRDefault="000C304C">
      <w:pPr>
        <w:spacing w:after="0" w:line="240" w:lineRule="auto"/>
        <w:jc w:val="left"/>
      </w:pPr>
    </w:p>
    <w:p w:rsidR="000C304C" w:rsidRDefault="000C304C" w:rsidP="000C304C">
      <w:pPr>
        <w:pStyle w:val="Caption"/>
        <w:spacing w:after="0"/>
        <w:jc w:val="left"/>
        <w:rPr>
          <w:rFonts w:cs="Arial"/>
          <w:color w:val="365F91" w:themeColor="accent1" w:themeShade="BF"/>
        </w:rPr>
      </w:pPr>
    </w:p>
    <w:p w:rsidR="000C304C" w:rsidRPr="00C66DA2" w:rsidRDefault="000C304C" w:rsidP="000C304C">
      <w:pPr>
        <w:pStyle w:val="Caption"/>
        <w:spacing w:after="0"/>
        <w:jc w:val="left"/>
        <w:rPr>
          <w:rFonts w:cs="Arial"/>
          <w:color w:val="365F91" w:themeColor="accent1" w:themeShade="BF"/>
        </w:rPr>
      </w:pPr>
      <w:r w:rsidRPr="00C66DA2">
        <w:rPr>
          <w:rFonts w:cs="Arial"/>
          <w:color w:val="365F91" w:themeColor="accent1" w:themeShade="BF"/>
        </w:rPr>
        <w:t>Table</w:t>
      </w:r>
      <w:r w:rsidR="00C91B0A">
        <w:rPr>
          <w:rFonts w:cs="Arial"/>
          <w:color w:val="365F91" w:themeColor="accent1" w:themeShade="BF"/>
        </w:rPr>
        <w:t xml:space="preserve"> 3.6</w:t>
      </w:r>
      <w:r w:rsidRPr="00C66DA2">
        <w:rPr>
          <w:rFonts w:cs="Arial"/>
          <w:color w:val="365F91" w:themeColor="accent1" w:themeShade="BF"/>
        </w:rPr>
        <w:t xml:space="preserve">.1: Government subsidised enrolments by </w:t>
      </w:r>
      <w:r>
        <w:rPr>
          <w:rFonts w:cs="Arial"/>
          <w:color w:val="365F91" w:themeColor="accent1" w:themeShade="BF"/>
        </w:rPr>
        <w:t>Apprentices</w:t>
      </w:r>
      <w:r w:rsidRPr="00C66DA2">
        <w:rPr>
          <w:rFonts w:cs="Arial"/>
          <w:color w:val="365F91" w:themeColor="accent1" w:themeShade="BF"/>
        </w:rPr>
        <w:t xml:space="preserve"> by qualification level, 2008–201</w:t>
      </w:r>
      <w:r>
        <w:rPr>
          <w:rFonts w:cs="Arial"/>
          <w:color w:val="365F91" w:themeColor="accent1" w:themeShade="BF"/>
        </w:rPr>
        <w:t>3</w:t>
      </w:r>
    </w:p>
    <w:tbl>
      <w:tblPr>
        <w:tblW w:w="0" w:type="auto"/>
        <w:tblInd w:w="108" w:type="dxa"/>
        <w:tblLayout w:type="fixed"/>
        <w:tblLook w:val="04A0" w:firstRow="1" w:lastRow="0" w:firstColumn="1" w:lastColumn="0" w:noHBand="0" w:noVBand="1"/>
      </w:tblPr>
      <w:tblGrid>
        <w:gridCol w:w="1549"/>
        <w:gridCol w:w="1003"/>
        <w:gridCol w:w="1134"/>
        <w:gridCol w:w="1134"/>
        <w:gridCol w:w="992"/>
        <w:gridCol w:w="1134"/>
        <w:gridCol w:w="992"/>
      </w:tblGrid>
      <w:tr w:rsidR="000C304C" w:rsidRPr="009E27BE" w:rsidTr="00144BC3">
        <w:trPr>
          <w:trHeight w:val="475"/>
        </w:trPr>
        <w:tc>
          <w:tcPr>
            <w:tcW w:w="1549"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0C304C" w:rsidRPr="009E27BE" w:rsidRDefault="000C304C" w:rsidP="00144BC3">
            <w:pPr>
              <w:spacing w:after="0" w:line="240" w:lineRule="auto"/>
              <w:jc w:val="center"/>
              <w:rPr>
                <w:rFonts w:cs="Arial"/>
                <w:b/>
                <w:bCs/>
                <w:color w:val="FFFFFF"/>
                <w:sz w:val="16"/>
                <w:szCs w:val="16"/>
                <w:lang w:eastAsia="en-AU"/>
              </w:rPr>
            </w:pPr>
          </w:p>
        </w:tc>
        <w:tc>
          <w:tcPr>
            <w:tcW w:w="1003" w:type="dxa"/>
            <w:tcBorders>
              <w:top w:val="single" w:sz="4" w:space="0" w:color="366092"/>
              <w:left w:val="nil"/>
              <w:bottom w:val="single" w:sz="4" w:space="0" w:color="366092"/>
              <w:right w:val="single" w:sz="4" w:space="0" w:color="366092"/>
            </w:tcBorders>
            <w:shd w:val="clear" w:color="000000" w:fill="366092"/>
            <w:vAlign w:val="center"/>
            <w:hideMark/>
          </w:tcPr>
          <w:p w:rsidR="000C304C" w:rsidRPr="009E27BE" w:rsidRDefault="000C304C" w:rsidP="00144BC3">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2008</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0C304C" w:rsidRPr="009E27BE" w:rsidRDefault="000C304C" w:rsidP="00144BC3">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2009</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0C304C" w:rsidRPr="009E27BE" w:rsidRDefault="000C304C" w:rsidP="00144BC3">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2010</w:t>
            </w:r>
          </w:p>
        </w:tc>
        <w:tc>
          <w:tcPr>
            <w:tcW w:w="992" w:type="dxa"/>
            <w:tcBorders>
              <w:top w:val="single" w:sz="4" w:space="0" w:color="366092"/>
              <w:left w:val="nil"/>
              <w:bottom w:val="single" w:sz="4" w:space="0" w:color="366092"/>
              <w:right w:val="single" w:sz="4" w:space="0" w:color="366092"/>
            </w:tcBorders>
            <w:shd w:val="clear" w:color="000000" w:fill="366092"/>
            <w:vAlign w:val="center"/>
            <w:hideMark/>
          </w:tcPr>
          <w:p w:rsidR="000C304C" w:rsidRPr="009E27BE" w:rsidRDefault="000C304C" w:rsidP="00144BC3">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2011</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0C304C" w:rsidRPr="009E27BE" w:rsidRDefault="000C304C" w:rsidP="00144BC3">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2012</w:t>
            </w:r>
          </w:p>
        </w:tc>
        <w:tc>
          <w:tcPr>
            <w:tcW w:w="992" w:type="dxa"/>
            <w:tcBorders>
              <w:top w:val="single" w:sz="4" w:space="0" w:color="366092"/>
              <w:left w:val="nil"/>
              <w:bottom w:val="single" w:sz="4" w:space="0" w:color="366092"/>
              <w:right w:val="single" w:sz="4" w:space="0" w:color="366092"/>
            </w:tcBorders>
            <w:shd w:val="clear" w:color="000000" w:fill="366092"/>
            <w:vAlign w:val="center"/>
            <w:hideMark/>
          </w:tcPr>
          <w:p w:rsidR="000C304C" w:rsidRPr="009E27BE" w:rsidRDefault="000C304C" w:rsidP="00144BC3">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2013</w:t>
            </w:r>
          </w:p>
        </w:tc>
      </w:tr>
      <w:tr w:rsidR="00D3788A" w:rsidRPr="00C66DA2" w:rsidTr="00D3788A">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D3788A" w:rsidRPr="00C66DA2" w:rsidRDefault="00D3788A" w:rsidP="00144BC3">
            <w:pPr>
              <w:spacing w:after="0" w:line="240" w:lineRule="auto"/>
              <w:jc w:val="left"/>
              <w:rPr>
                <w:rFonts w:cs="Arial"/>
                <w:color w:val="366092"/>
                <w:szCs w:val="19"/>
                <w:lang w:eastAsia="en-AU"/>
              </w:rPr>
            </w:pPr>
            <w:r w:rsidRPr="00C66DA2">
              <w:rPr>
                <w:rFonts w:cs="Arial"/>
                <w:color w:val="366092"/>
                <w:szCs w:val="19"/>
                <w:lang w:eastAsia="en-AU"/>
              </w:rPr>
              <w:t>Cert III-IV</w:t>
            </w:r>
          </w:p>
        </w:tc>
        <w:tc>
          <w:tcPr>
            <w:tcW w:w="1003"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41,800 </w:t>
            </w:r>
          </w:p>
        </w:tc>
        <w:tc>
          <w:tcPr>
            <w:tcW w:w="1134"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41,500 </w:t>
            </w:r>
          </w:p>
        </w:tc>
        <w:tc>
          <w:tcPr>
            <w:tcW w:w="1134"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45,100 </w:t>
            </w:r>
          </w:p>
        </w:tc>
        <w:tc>
          <w:tcPr>
            <w:tcW w:w="992"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46,200 </w:t>
            </w:r>
          </w:p>
        </w:tc>
        <w:tc>
          <w:tcPr>
            <w:tcW w:w="1134"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45,000 </w:t>
            </w:r>
          </w:p>
        </w:tc>
        <w:tc>
          <w:tcPr>
            <w:tcW w:w="992"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43,100 </w:t>
            </w:r>
          </w:p>
        </w:tc>
      </w:tr>
      <w:tr w:rsidR="00D3788A" w:rsidRPr="00C66DA2" w:rsidTr="00D3788A">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D3788A" w:rsidRPr="00C66DA2" w:rsidRDefault="00D3788A" w:rsidP="00144BC3">
            <w:pPr>
              <w:spacing w:after="0" w:line="240" w:lineRule="auto"/>
              <w:jc w:val="left"/>
              <w:rPr>
                <w:rFonts w:cs="Arial"/>
                <w:color w:val="366092"/>
                <w:szCs w:val="19"/>
                <w:lang w:eastAsia="en-AU"/>
              </w:rPr>
            </w:pPr>
            <w:r w:rsidRPr="00C66DA2">
              <w:rPr>
                <w:rFonts w:cs="Arial"/>
                <w:color w:val="366092"/>
                <w:szCs w:val="19"/>
                <w:lang w:eastAsia="en-AU"/>
              </w:rPr>
              <w:t>Diploma &amp; Above</w:t>
            </w:r>
          </w:p>
        </w:tc>
        <w:tc>
          <w:tcPr>
            <w:tcW w:w="1003"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100 </w:t>
            </w:r>
          </w:p>
        </w:tc>
        <w:tc>
          <w:tcPr>
            <w:tcW w:w="1134"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100 </w:t>
            </w:r>
          </w:p>
        </w:tc>
        <w:tc>
          <w:tcPr>
            <w:tcW w:w="1134"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100 </w:t>
            </w:r>
          </w:p>
        </w:tc>
        <w:tc>
          <w:tcPr>
            <w:tcW w:w="992"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100 </w:t>
            </w:r>
          </w:p>
        </w:tc>
        <w:tc>
          <w:tcPr>
            <w:tcW w:w="1134"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90 </w:t>
            </w:r>
          </w:p>
        </w:tc>
        <w:tc>
          <w:tcPr>
            <w:tcW w:w="992" w:type="dxa"/>
            <w:tcBorders>
              <w:top w:val="nil"/>
              <w:left w:val="nil"/>
              <w:bottom w:val="single" w:sz="4" w:space="0" w:color="366092"/>
              <w:right w:val="single" w:sz="4" w:space="0" w:color="366092"/>
            </w:tcBorders>
            <w:shd w:val="clear" w:color="auto" w:fill="auto"/>
            <w:noWrap/>
            <w:vAlign w:val="center"/>
          </w:tcPr>
          <w:p w:rsidR="00D3788A" w:rsidRPr="00BF37DA" w:rsidRDefault="00D3788A" w:rsidP="00D3788A">
            <w:pPr>
              <w:spacing w:after="0" w:line="240" w:lineRule="auto"/>
              <w:jc w:val="right"/>
              <w:rPr>
                <w:rFonts w:cs="Arial"/>
                <w:color w:val="000000"/>
                <w:sz w:val="18"/>
                <w:szCs w:val="18"/>
                <w:lang w:eastAsia="en-AU"/>
              </w:rPr>
            </w:pPr>
            <w:r>
              <w:rPr>
                <w:rFonts w:cs="Arial"/>
                <w:sz w:val="18"/>
                <w:szCs w:val="18"/>
              </w:rPr>
              <w:t xml:space="preserve">70 </w:t>
            </w:r>
          </w:p>
        </w:tc>
      </w:tr>
    </w:tbl>
    <w:p w:rsidR="000C304C" w:rsidRPr="000D77C3" w:rsidRDefault="000C304C" w:rsidP="000C304C">
      <w:pPr>
        <w:spacing w:after="0" w:line="240" w:lineRule="auto"/>
        <w:jc w:val="left"/>
        <w:rPr>
          <w:rFonts w:cs="Arial"/>
          <w:b/>
          <w:bCs/>
          <w:color w:val="76923C" w:themeColor="accent3" w:themeShade="BF"/>
          <w:sz w:val="18"/>
          <w:szCs w:val="16"/>
          <w:highlight w:val="cyan"/>
        </w:rPr>
      </w:pPr>
    </w:p>
    <w:p w:rsidR="000C304C" w:rsidRDefault="000C304C" w:rsidP="000C304C">
      <w:pPr>
        <w:pStyle w:val="Caption"/>
        <w:spacing w:after="0"/>
        <w:jc w:val="left"/>
        <w:rPr>
          <w:rFonts w:cs="Arial"/>
          <w:color w:val="365F91" w:themeColor="accent1" w:themeShade="BF"/>
        </w:rPr>
      </w:pPr>
    </w:p>
    <w:p w:rsidR="00996FB1" w:rsidRPr="00C66DA2" w:rsidRDefault="00C91B0A" w:rsidP="00996FB1">
      <w:pPr>
        <w:pStyle w:val="Caption"/>
        <w:spacing w:after="0"/>
        <w:jc w:val="left"/>
        <w:rPr>
          <w:rFonts w:cs="Arial"/>
          <w:color w:val="365F91" w:themeColor="accent1" w:themeShade="BF"/>
        </w:rPr>
      </w:pPr>
      <w:r>
        <w:rPr>
          <w:rFonts w:cs="Arial"/>
          <w:color w:val="365F91" w:themeColor="accent1" w:themeShade="BF"/>
        </w:rPr>
        <w:t>Table 3.6</w:t>
      </w:r>
      <w:r w:rsidR="00996FB1">
        <w:rPr>
          <w:rFonts w:cs="Arial"/>
          <w:color w:val="365F91" w:themeColor="accent1" w:themeShade="BF"/>
        </w:rPr>
        <w:t>.</w:t>
      </w:r>
      <w:r w:rsidR="008378F2">
        <w:rPr>
          <w:rFonts w:cs="Arial"/>
          <w:color w:val="365F91" w:themeColor="accent1" w:themeShade="BF"/>
        </w:rPr>
        <w:t>2</w:t>
      </w:r>
      <w:r w:rsidR="00996FB1">
        <w:rPr>
          <w:rFonts w:cs="Arial"/>
          <w:color w:val="365F91" w:themeColor="accent1" w:themeShade="BF"/>
        </w:rPr>
        <w:t>: Change in g</w:t>
      </w:r>
      <w:r w:rsidR="00996FB1" w:rsidRPr="00C66DA2">
        <w:rPr>
          <w:rFonts w:cs="Arial"/>
          <w:color w:val="365F91" w:themeColor="accent1" w:themeShade="BF"/>
        </w:rPr>
        <w:t xml:space="preserve">overnment subsidised enrolments by </w:t>
      </w:r>
      <w:r w:rsidR="00996FB1">
        <w:rPr>
          <w:rFonts w:cs="Arial"/>
          <w:color w:val="365F91" w:themeColor="accent1" w:themeShade="BF"/>
        </w:rPr>
        <w:t>Apprentices</w:t>
      </w:r>
      <w:r w:rsidR="00996FB1" w:rsidRPr="00C66DA2">
        <w:rPr>
          <w:rFonts w:cs="Arial"/>
          <w:color w:val="365F91" w:themeColor="accent1" w:themeShade="BF"/>
        </w:rPr>
        <w:t xml:space="preserve"> by qualification level, 2008–201</w:t>
      </w:r>
      <w:r w:rsidR="00996FB1">
        <w:rPr>
          <w:rFonts w:cs="Arial"/>
          <w:color w:val="365F91" w:themeColor="accent1" w:themeShade="BF"/>
        </w:rPr>
        <w:t>3</w:t>
      </w:r>
    </w:p>
    <w:tbl>
      <w:tblPr>
        <w:tblW w:w="0" w:type="auto"/>
        <w:tblInd w:w="108" w:type="dxa"/>
        <w:tblLayout w:type="fixed"/>
        <w:tblLook w:val="04A0" w:firstRow="1" w:lastRow="0" w:firstColumn="1" w:lastColumn="0" w:noHBand="0" w:noVBand="1"/>
      </w:tblPr>
      <w:tblGrid>
        <w:gridCol w:w="1549"/>
        <w:gridCol w:w="1184"/>
        <w:gridCol w:w="1185"/>
        <w:gridCol w:w="1185"/>
      </w:tblGrid>
      <w:tr w:rsidR="00D3788A" w:rsidRPr="009E27BE" w:rsidTr="00D8489E">
        <w:trPr>
          <w:trHeight w:val="475"/>
        </w:trPr>
        <w:tc>
          <w:tcPr>
            <w:tcW w:w="1549" w:type="dxa"/>
            <w:tcBorders>
              <w:top w:val="single" w:sz="4" w:space="0" w:color="366092"/>
              <w:left w:val="single" w:sz="4" w:space="0" w:color="366092"/>
              <w:bottom w:val="single" w:sz="4" w:space="0" w:color="366092"/>
              <w:right w:val="single" w:sz="4" w:space="0" w:color="366092"/>
            </w:tcBorders>
            <w:shd w:val="clear" w:color="auto" w:fill="365F91" w:themeFill="accent1" w:themeFillShade="BF"/>
            <w:noWrap/>
            <w:vAlign w:val="center"/>
            <w:hideMark/>
          </w:tcPr>
          <w:p w:rsidR="00D3788A" w:rsidRPr="009E27BE" w:rsidRDefault="00D3788A" w:rsidP="00144BC3">
            <w:pPr>
              <w:spacing w:after="0" w:line="240" w:lineRule="auto"/>
              <w:jc w:val="center"/>
              <w:rPr>
                <w:rFonts w:cs="Arial"/>
                <w:b/>
                <w:bCs/>
                <w:color w:val="FFFFFF"/>
                <w:sz w:val="16"/>
                <w:szCs w:val="16"/>
                <w:lang w:eastAsia="en-AU"/>
              </w:rPr>
            </w:pPr>
          </w:p>
        </w:tc>
        <w:tc>
          <w:tcPr>
            <w:tcW w:w="1184"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D3788A" w:rsidRPr="009E27BE" w:rsidRDefault="00D3788A" w:rsidP="00144BC3">
            <w:pPr>
              <w:spacing w:after="0" w:line="240" w:lineRule="auto"/>
              <w:jc w:val="center"/>
              <w:rPr>
                <w:rFonts w:cs="Arial"/>
                <w:b/>
                <w:bCs/>
                <w:color w:val="FFFFFF"/>
                <w:sz w:val="16"/>
                <w:szCs w:val="16"/>
                <w:lang w:eastAsia="en-AU"/>
              </w:rPr>
            </w:pPr>
            <w:r>
              <w:rPr>
                <w:rFonts w:cs="Arial"/>
                <w:b/>
                <w:bCs/>
                <w:color w:val="FFFFFF"/>
                <w:sz w:val="18"/>
                <w:szCs w:val="18"/>
                <w:lang w:eastAsia="en-AU"/>
              </w:rPr>
              <w:t xml:space="preserve">% </w:t>
            </w:r>
            <w:r w:rsidRPr="00DA2D8D">
              <w:rPr>
                <w:rFonts w:cs="Arial"/>
                <w:b/>
                <w:bCs/>
                <w:color w:val="FFFFFF"/>
                <w:sz w:val="18"/>
                <w:szCs w:val="18"/>
                <w:lang w:eastAsia="en-AU"/>
              </w:rPr>
              <w:t>change</w:t>
            </w:r>
            <w:r>
              <w:rPr>
                <w:rFonts w:cs="Arial"/>
                <w:b/>
                <w:bCs/>
                <w:color w:val="FFFFFF"/>
                <w:sz w:val="18"/>
                <w:szCs w:val="18"/>
                <w:lang w:eastAsia="en-AU"/>
              </w:rPr>
              <w:t xml:space="preserve"> </w:t>
            </w:r>
            <w:r w:rsidRPr="00DA2D8D">
              <w:rPr>
                <w:rFonts w:cs="Arial"/>
                <w:b/>
                <w:bCs/>
                <w:color w:val="FFFFFF"/>
                <w:sz w:val="18"/>
                <w:szCs w:val="18"/>
                <w:lang w:eastAsia="en-AU"/>
              </w:rPr>
              <w:t>2008-2013</w:t>
            </w:r>
          </w:p>
        </w:tc>
        <w:tc>
          <w:tcPr>
            <w:tcW w:w="1185"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D3788A" w:rsidRPr="009E27BE" w:rsidRDefault="00D3788A" w:rsidP="00144BC3">
            <w:pPr>
              <w:spacing w:after="0" w:line="240" w:lineRule="auto"/>
              <w:jc w:val="center"/>
              <w:rPr>
                <w:rFonts w:cs="Arial"/>
                <w:b/>
                <w:bCs/>
                <w:color w:val="FFFFFF"/>
                <w:sz w:val="16"/>
                <w:szCs w:val="16"/>
                <w:lang w:eastAsia="en-AU"/>
              </w:rPr>
            </w:pPr>
            <w:r>
              <w:rPr>
                <w:rFonts w:cs="Arial"/>
                <w:b/>
                <w:bCs/>
                <w:color w:val="FFFFFF"/>
                <w:sz w:val="18"/>
                <w:szCs w:val="18"/>
                <w:lang w:eastAsia="en-AU"/>
              </w:rPr>
              <w:t xml:space="preserve">% </w:t>
            </w:r>
            <w:r w:rsidRPr="00DA2D8D">
              <w:rPr>
                <w:rFonts w:cs="Arial"/>
                <w:b/>
                <w:bCs/>
                <w:color w:val="FFFFFF"/>
                <w:sz w:val="18"/>
                <w:szCs w:val="18"/>
                <w:lang w:eastAsia="en-AU"/>
              </w:rPr>
              <w:t>change</w:t>
            </w:r>
            <w:r>
              <w:rPr>
                <w:rFonts w:cs="Arial"/>
                <w:b/>
                <w:bCs/>
                <w:color w:val="FFFFFF"/>
                <w:sz w:val="18"/>
                <w:szCs w:val="18"/>
                <w:lang w:eastAsia="en-AU"/>
              </w:rPr>
              <w:t xml:space="preserve"> </w:t>
            </w:r>
            <w:r w:rsidRPr="00DA2D8D">
              <w:rPr>
                <w:rFonts w:cs="Arial"/>
                <w:b/>
                <w:bCs/>
                <w:color w:val="FFFFFF"/>
                <w:sz w:val="18"/>
                <w:szCs w:val="18"/>
                <w:lang w:eastAsia="en-AU"/>
              </w:rPr>
              <w:t>2011-2013</w:t>
            </w:r>
          </w:p>
        </w:tc>
        <w:tc>
          <w:tcPr>
            <w:tcW w:w="1185" w:type="dxa"/>
            <w:tcBorders>
              <w:top w:val="single" w:sz="4" w:space="0" w:color="366092"/>
              <w:left w:val="nil"/>
              <w:bottom w:val="single" w:sz="4" w:space="0" w:color="366092"/>
              <w:right w:val="single" w:sz="4" w:space="0" w:color="366092"/>
            </w:tcBorders>
            <w:shd w:val="clear" w:color="auto" w:fill="365F91" w:themeFill="accent1" w:themeFillShade="BF"/>
            <w:vAlign w:val="center"/>
            <w:hideMark/>
          </w:tcPr>
          <w:p w:rsidR="00D3788A" w:rsidRPr="009E27BE" w:rsidRDefault="00D3788A" w:rsidP="00144BC3">
            <w:pPr>
              <w:spacing w:after="0" w:line="240" w:lineRule="auto"/>
              <w:jc w:val="center"/>
              <w:rPr>
                <w:rFonts w:cs="Arial"/>
                <w:b/>
                <w:bCs/>
                <w:color w:val="FFFFFF"/>
                <w:sz w:val="16"/>
                <w:szCs w:val="16"/>
                <w:lang w:eastAsia="en-AU"/>
              </w:rPr>
            </w:pPr>
            <w:r>
              <w:rPr>
                <w:rFonts w:cs="Arial"/>
                <w:b/>
                <w:bCs/>
                <w:color w:val="FFFFFF"/>
                <w:sz w:val="18"/>
                <w:szCs w:val="18"/>
                <w:lang w:eastAsia="en-AU"/>
              </w:rPr>
              <w:t xml:space="preserve">% </w:t>
            </w:r>
            <w:r w:rsidRPr="00DA2D8D">
              <w:rPr>
                <w:rFonts w:cs="Arial"/>
                <w:b/>
                <w:bCs/>
                <w:color w:val="FFFFFF"/>
                <w:sz w:val="18"/>
                <w:szCs w:val="18"/>
                <w:lang w:eastAsia="en-AU"/>
              </w:rPr>
              <w:t>change</w:t>
            </w:r>
            <w:r>
              <w:rPr>
                <w:rFonts w:cs="Arial"/>
                <w:b/>
                <w:bCs/>
                <w:color w:val="FFFFFF"/>
                <w:sz w:val="18"/>
                <w:szCs w:val="18"/>
                <w:lang w:eastAsia="en-AU"/>
              </w:rPr>
              <w:t xml:space="preserve"> </w:t>
            </w:r>
            <w:r w:rsidRPr="00DA2D8D">
              <w:rPr>
                <w:rFonts w:cs="Arial"/>
                <w:b/>
                <w:bCs/>
                <w:color w:val="FFFFFF"/>
                <w:sz w:val="18"/>
                <w:szCs w:val="18"/>
                <w:lang w:eastAsia="en-AU"/>
              </w:rPr>
              <w:t>2012-2013</w:t>
            </w:r>
          </w:p>
        </w:tc>
      </w:tr>
      <w:tr w:rsidR="007462D2" w:rsidRPr="00C66DA2" w:rsidTr="00D3788A">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7462D2" w:rsidRPr="00C66DA2" w:rsidRDefault="007462D2" w:rsidP="00144BC3">
            <w:pPr>
              <w:spacing w:after="0" w:line="240" w:lineRule="auto"/>
              <w:jc w:val="left"/>
              <w:rPr>
                <w:rFonts w:cs="Arial"/>
                <w:color w:val="366092"/>
                <w:szCs w:val="19"/>
                <w:lang w:eastAsia="en-AU"/>
              </w:rPr>
            </w:pPr>
            <w:r w:rsidRPr="00C66DA2">
              <w:rPr>
                <w:rFonts w:cs="Arial"/>
                <w:color w:val="366092"/>
                <w:szCs w:val="19"/>
                <w:lang w:eastAsia="en-AU"/>
              </w:rPr>
              <w:t>Cert III-IV</w:t>
            </w:r>
          </w:p>
        </w:tc>
        <w:tc>
          <w:tcPr>
            <w:tcW w:w="1184" w:type="dxa"/>
            <w:tcBorders>
              <w:top w:val="nil"/>
              <w:left w:val="nil"/>
              <w:bottom w:val="single" w:sz="4" w:space="0" w:color="366092"/>
              <w:right w:val="single" w:sz="4" w:space="0" w:color="366092"/>
            </w:tcBorders>
            <w:shd w:val="clear" w:color="auto" w:fill="auto"/>
            <w:noWrap/>
            <w:vAlign w:val="center"/>
          </w:tcPr>
          <w:p w:rsidR="007462D2" w:rsidRPr="00BF37DA" w:rsidRDefault="007462D2" w:rsidP="00144BC3">
            <w:pPr>
              <w:spacing w:after="0" w:line="240" w:lineRule="auto"/>
              <w:jc w:val="right"/>
              <w:rPr>
                <w:rFonts w:cs="Arial"/>
                <w:color w:val="000000"/>
                <w:sz w:val="18"/>
                <w:szCs w:val="18"/>
                <w:lang w:eastAsia="en-AU"/>
              </w:rPr>
            </w:pPr>
            <w:r>
              <w:rPr>
                <w:rFonts w:cs="Arial"/>
                <w:sz w:val="18"/>
                <w:szCs w:val="18"/>
              </w:rPr>
              <w:t>3%</w:t>
            </w:r>
          </w:p>
        </w:tc>
        <w:tc>
          <w:tcPr>
            <w:tcW w:w="1185" w:type="dxa"/>
            <w:tcBorders>
              <w:top w:val="nil"/>
              <w:left w:val="nil"/>
              <w:bottom w:val="single" w:sz="4" w:space="0" w:color="366092"/>
              <w:right w:val="single" w:sz="4" w:space="0" w:color="366092"/>
            </w:tcBorders>
            <w:shd w:val="clear" w:color="auto" w:fill="auto"/>
            <w:noWrap/>
            <w:vAlign w:val="center"/>
          </w:tcPr>
          <w:p w:rsidR="007462D2" w:rsidRPr="00BF37DA" w:rsidRDefault="007462D2" w:rsidP="00144BC3">
            <w:pPr>
              <w:spacing w:after="0" w:line="240" w:lineRule="auto"/>
              <w:jc w:val="right"/>
              <w:rPr>
                <w:rFonts w:cs="Arial"/>
                <w:color w:val="000000"/>
                <w:sz w:val="18"/>
                <w:szCs w:val="18"/>
                <w:lang w:eastAsia="en-AU"/>
              </w:rPr>
            </w:pPr>
            <w:r>
              <w:rPr>
                <w:rFonts w:cs="Arial"/>
                <w:sz w:val="18"/>
                <w:szCs w:val="18"/>
              </w:rPr>
              <w:t>-7%</w:t>
            </w:r>
          </w:p>
        </w:tc>
        <w:tc>
          <w:tcPr>
            <w:tcW w:w="1185" w:type="dxa"/>
            <w:tcBorders>
              <w:top w:val="nil"/>
              <w:left w:val="nil"/>
              <w:bottom w:val="single" w:sz="4" w:space="0" w:color="366092"/>
              <w:right w:val="single" w:sz="4" w:space="0" w:color="366092"/>
            </w:tcBorders>
            <w:shd w:val="clear" w:color="auto" w:fill="auto"/>
            <w:noWrap/>
            <w:vAlign w:val="center"/>
          </w:tcPr>
          <w:p w:rsidR="007462D2" w:rsidRPr="00BF37DA" w:rsidRDefault="007462D2" w:rsidP="00144BC3">
            <w:pPr>
              <w:spacing w:after="0" w:line="240" w:lineRule="auto"/>
              <w:jc w:val="right"/>
              <w:rPr>
                <w:rFonts w:cs="Arial"/>
                <w:color w:val="000000"/>
                <w:sz w:val="18"/>
                <w:szCs w:val="18"/>
                <w:lang w:eastAsia="en-AU"/>
              </w:rPr>
            </w:pPr>
            <w:r>
              <w:rPr>
                <w:rFonts w:cs="Arial"/>
                <w:sz w:val="18"/>
                <w:szCs w:val="18"/>
              </w:rPr>
              <w:t>-4%</w:t>
            </w:r>
          </w:p>
        </w:tc>
      </w:tr>
      <w:tr w:rsidR="007462D2" w:rsidRPr="00C66DA2" w:rsidTr="00D3788A">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7462D2" w:rsidRPr="00C66DA2" w:rsidRDefault="007462D2" w:rsidP="00144BC3">
            <w:pPr>
              <w:spacing w:after="0" w:line="240" w:lineRule="auto"/>
              <w:jc w:val="left"/>
              <w:rPr>
                <w:rFonts w:cs="Arial"/>
                <w:color w:val="366092"/>
                <w:szCs w:val="19"/>
                <w:lang w:eastAsia="en-AU"/>
              </w:rPr>
            </w:pPr>
            <w:r w:rsidRPr="00C66DA2">
              <w:rPr>
                <w:rFonts w:cs="Arial"/>
                <w:color w:val="366092"/>
                <w:szCs w:val="19"/>
                <w:lang w:eastAsia="en-AU"/>
              </w:rPr>
              <w:t>Diploma &amp; Above</w:t>
            </w:r>
          </w:p>
        </w:tc>
        <w:tc>
          <w:tcPr>
            <w:tcW w:w="1184" w:type="dxa"/>
            <w:tcBorders>
              <w:top w:val="nil"/>
              <w:left w:val="nil"/>
              <w:bottom w:val="single" w:sz="4" w:space="0" w:color="366092"/>
              <w:right w:val="single" w:sz="4" w:space="0" w:color="366092"/>
            </w:tcBorders>
            <w:shd w:val="clear" w:color="auto" w:fill="auto"/>
            <w:noWrap/>
            <w:vAlign w:val="center"/>
          </w:tcPr>
          <w:p w:rsidR="007462D2" w:rsidRPr="00BF37DA" w:rsidRDefault="007462D2" w:rsidP="00144BC3">
            <w:pPr>
              <w:spacing w:after="0" w:line="240" w:lineRule="auto"/>
              <w:jc w:val="right"/>
              <w:rPr>
                <w:rFonts w:cs="Arial"/>
                <w:color w:val="000000"/>
                <w:sz w:val="18"/>
                <w:szCs w:val="18"/>
                <w:lang w:eastAsia="en-AU"/>
              </w:rPr>
            </w:pPr>
            <w:r>
              <w:rPr>
                <w:rFonts w:cs="Arial"/>
                <w:sz w:val="18"/>
                <w:szCs w:val="18"/>
              </w:rPr>
              <w:t>-30%</w:t>
            </w:r>
          </w:p>
        </w:tc>
        <w:tc>
          <w:tcPr>
            <w:tcW w:w="1185" w:type="dxa"/>
            <w:tcBorders>
              <w:top w:val="nil"/>
              <w:left w:val="nil"/>
              <w:bottom w:val="single" w:sz="4" w:space="0" w:color="366092"/>
              <w:right w:val="single" w:sz="4" w:space="0" w:color="366092"/>
            </w:tcBorders>
            <w:shd w:val="clear" w:color="auto" w:fill="auto"/>
            <w:noWrap/>
            <w:vAlign w:val="center"/>
          </w:tcPr>
          <w:p w:rsidR="007462D2" w:rsidRPr="00BF37DA" w:rsidRDefault="007462D2" w:rsidP="00144BC3">
            <w:pPr>
              <w:spacing w:after="0" w:line="240" w:lineRule="auto"/>
              <w:jc w:val="right"/>
              <w:rPr>
                <w:rFonts w:cs="Arial"/>
                <w:color w:val="000000"/>
                <w:sz w:val="18"/>
                <w:szCs w:val="18"/>
                <w:lang w:eastAsia="en-AU"/>
              </w:rPr>
            </w:pPr>
            <w:r>
              <w:rPr>
                <w:rFonts w:cs="Arial"/>
                <w:sz w:val="18"/>
                <w:szCs w:val="18"/>
              </w:rPr>
              <w:t>-35%</w:t>
            </w:r>
          </w:p>
        </w:tc>
        <w:tc>
          <w:tcPr>
            <w:tcW w:w="1185" w:type="dxa"/>
            <w:tcBorders>
              <w:top w:val="nil"/>
              <w:left w:val="nil"/>
              <w:bottom w:val="single" w:sz="4" w:space="0" w:color="366092"/>
              <w:right w:val="single" w:sz="4" w:space="0" w:color="366092"/>
            </w:tcBorders>
            <w:shd w:val="clear" w:color="auto" w:fill="auto"/>
            <w:noWrap/>
            <w:vAlign w:val="center"/>
          </w:tcPr>
          <w:p w:rsidR="007462D2" w:rsidRPr="00BF37DA" w:rsidRDefault="007462D2" w:rsidP="00144BC3">
            <w:pPr>
              <w:spacing w:after="0" w:line="240" w:lineRule="auto"/>
              <w:jc w:val="right"/>
              <w:rPr>
                <w:rFonts w:cs="Arial"/>
                <w:color w:val="000000"/>
                <w:sz w:val="18"/>
                <w:szCs w:val="18"/>
                <w:lang w:eastAsia="en-AU"/>
              </w:rPr>
            </w:pPr>
            <w:r>
              <w:rPr>
                <w:rFonts w:cs="Arial"/>
                <w:sz w:val="18"/>
                <w:szCs w:val="18"/>
              </w:rPr>
              <w:t>-23%</w:t>
            </w:r>
          </w:p>
        </w:tc>
      </w:tr>
    </w:tbl>
    <w:p w:rsidR="000C304C" w:rsidRDefault="000C304C">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0C304C" w:rsidRPr="00C66DA2" w:rsidRDefault="00C91B0A" w:rsidP="000C304C">
      <w:pPr>
        <w:pStyle w:val="Caption"/>
        <w:spacing w:after="0"/>
        <w:jc w:val="left"/>
        <w:rPr>
          <w:rFonts w:cs="Arial"/>
          <w:color w:val="365F91" w:themeColor="accent1" w:themeShade="BF"/>
        </w:rPr>
      </w:pPr>
      <w:r>
        <w:rPr>
          <w:rFonts w:cs="Arial"/>
          <w:color w:val="365F91" w:themeColor="accent1" w:themeShade="BF"/>
        </w:rPr>
        <w:t>Table 3.7.1</w:t>
      </w:r>
      <w:r w:rsidR="000C304C" w:rsidRPr="00C66DA2">
        <w:rPr>
          <w:rFonts w:cs="Arial"/>
          <w:color w:val="365F91" w:themeColor="accent1" w:themeShade="BF"/>
        </w:rPr>
        <w:t xml:space="preserve">: Government subsidised enrolments by </w:t>
      </w:r>
      <w:r w:rsidR="000C304C">
        <w:rPr>
          <w:rFonts w:cs="Arial"/>
          <w:color w:val="365F91" w:themeColor="accent1" w:themeShade="BF"/>
        </w:rPr>
        <w:t>Apprentices</w:t>
      </w:r>
      <w:r w:rsidR="000C304C" w:rsidRPr="00C66DA2">
        <w:rPr>
          <w:rFonts w:cs="Arial"/>
          <w:color w:val="365F91" w:themeColor="accent1" w:themeShade="BF"/>
        </w:rPr>
        <w:t xml:space="preserve"> by industry, </w:t>
      </w:r>
      <w:r w:rsidR="000C304C" w:rsidRPr="00331F30">
        <w:rPr>
          <w:rFonts w:cs="Arial"/>
          <w:color w:val="365F91" w:themeColor="accent1" w:themeShade="BF"/>
        </w:rPr>
        <w:t>20</w:t>
      </w:r>
      <w:r w:rsidR="000C304C">
        <w:rPr>
          <w:rFonts w:cs="Arial"/>
          <w:color w:val="365F91" w:themeColor="accent1" w:themeShade="BF"/>
        </w:rPr>
        <w:t xml:space="preserve">08- </w:t>
      </w:r>
      <w:r w:rsidR="000C304C" w:rsidRPr="00331F30">
        <w:rPr>
          <w:rFonts w:cs="Arial"/>
          <w:color w:val="365F91" w:themeColor="accent1" w:themeShade="BF"/>
        </w:rPr>
        <w:t>2013</w:t>
      </w:r>
    </w:p>
    <w:tbl>
      <w:tblPr>
        <w:tblW w:w="9019"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3544"/>
        <w:gridCol w:w="912"/>
        <w:gridCol w:w="913"/>
        <w:gridCol w:w="912"/>
        <w:gridCol w:w="913"/>
        <w:gridCol w:w="912"/>
        <w:gridCol w:w="913"/>
      </w:tblGrid>
      <w:tr w:rsidR="007C4E08" w:rsidRPr="00D8489E" w:rsidTr="00F502F5">
        <w:trPr>
          <w:trHeight w:val="795"/>
        </w:trPr>
        <w:tc>
          <w:tcPr>
            <w:tcW w:w="3544" w:type="dxa"/>
            <w:shd w:val="clear" w:color="000000" w:fill="366092"/>
            <w:noWrap/>
            <w:vAlign w:val="center"/>
            <w:hideMark/>
          </w:tcPr>
          <w:p w:rsidR="00D8489E" w:rsidRPr="00D8489E" w:rsidRDefault="00D8489E" w:rsidP="00D8489E">
            <w:pPr>
              <w:spacing w:after="0" w:line="240" w:lineRule="auto"/>
              <w:ind w:firstLineChars="100" w:firstLine="181"/>
              <w:jc w:val="left"/>
              <w:rPr>
                <w:rFonts w:cs="Arial"/>
                <w:b/>
                <w:bCs/>
                <w:color w:val="FFFFFF"/>
                <w:sz w:val="18"/>
                <w:szCs w:val="18"/>
                <w:lang w:eastAsia="en-AU"/>
              </w:rPr>
            </w:pPr>
            <w:r w:rsidRPr="00D8489E">
              <w:rPr>
                <w:rFonts w:cs="Arial"/>
                <w:b/>
                <w:bCs/>
                <w:color w:val="FFFFFF"/>
                <w:sz w:val="18"/>
                <w:szCs w:val="18"/>
                <w:lang w:eastAsia="en-AU"/>
              </w:rPr>
              <w:t> </w:t>
            </w:r>
          </w:p>
        </w:tc>
        <w:tc>
          <w:tcPr>
            <w:tcW w:w="912" w:type="dxa"/>
            <w:shd w:val="clear" w:color="000000" w:fill="366092"/>
            <w:vAlign w:val="center"/>
            <w:hideMark/>
          </w:tcPr>
          <w:p w:rsidR="00D8489E" w:rsidRPr="00D8489E" w:rsidRDefault="00D8489E" w:rsidP="00D8489E">
            <w:pPr>
              <w:spacing w:after="0" w:line="240" w:lineRule="auto"/>
              <w:ind w:firstLineChars="100" w:firstLine="181"/>
              <w:jc w:val="right"/>
              <w:rPr>
                <w:rFonts w:cs="Arial"/>
                <w:b/>
                <w:bCs/>
                <w:color w:val="FFFFFF"/>
                <w:sz w:val="18"/>
                <w:szCs w:val="18"/>
                <w:lang w:eastAsia="en-AU"/>
              </w:rPr>
            </w:pPr>
            <w:r w:rsidRPr="00D8489E">
              <w:rPr>
                <w:rFonts w:cs="Arial"/>
                <w:b/>
                <w:bCs/>
                <w:color w:val="FFFFFF"/>
                <w:sz w:val="18"/>
                <w:szCs w:val="18"/>
                <w:lang w:eastAsia="en-AU"/>
              </w:rPr>
              <w:t>2008</w:t>
            </w:r>
          </w:p>
        </w:tc>
        <w:tc>
          <w:tcPr>
            <w:tcW w:w="913" w:type="dxa"/>
            <w:shd w:val="clear" w:color="000000" w:fill="366092"/>
            <w:vAlign w:val="center"/>
            <w:hideMark/>
          </w:tcPr>
          <w:p w:rsidR="00D8489E" w:rsidRPr="00D8489E" w:rsidRDefault="00D8489E" w:rsidP="00D8489E">
            <w:pPr>
              <w:spacing w:after="0" w:line="240" w:lineRule="auto"/>
              <w:ind w:firstLineChars="100" w:firstLine="181"/>
              <w:jc w:val="right"/>
              <w:rPr>
                <w:rFonts w:cs="Arial"/>
                <w:b/>
                <w:bCs/>
                <w:color w:val="FFFFFF"/>
                <w:sz w:val="18"/>
                <w:szCs w:val="18"/>
                <w:lang w:eastAsia="en-AU"/>
              </w:rPr>
            </w:pPr>
            <w:r w:rsidRPr="00D8489E">
              <w:rPr>
                <w:rFonts w:cs="Arial"/>
                <w:b/>
                <w:bCs/>
                <w:color w:val="FFFFFF"/>
                <w:sz w:val="18"/>
                <w:szCs w:val="18"/>
                <w:lang w:eastAsia="en-AU"/>
              </w:rPr>
              <w:t>2009</w:t>
            </w:r>
          </w:p>
        </w:tc>
        <w:tc>
          <w:tcPr>
            <w:tcW w:w="912" w:type="dxa"/>
            <w:shd w:val="clear" w:color="000000" w:fill="366092"/>
            <w:vAlign w:val="center"/>
            <w:hideMark/>
          </w:tcPr>
          <w:p w:rsidR="00D8489E" w:rsidRPr="00D8489E" w:rsidRDefault="00D8489E" w:rsidP="00D8489E">
            <w:pPr>
              <w:spacing w:after="0" w:line="240" w:lineRule="auto"/>
              <w:ind w:firstLineChars="100" w:firstLine="181"/>
              <w:jc w:val="right"/>
              <w:rPr>
                <w:rFonts w:cs="Arial"/>
                <w:b/>
                <w:bCs/>
                <w:color w:val="FFFFFF"/>
                <w:sz w:val="18"/>
                <w:szCs w:val="18"/>
                <w:lang w:eastAsia="en-AU"/>
              </w:rPr>
            </w:pPr>
            <w:r w:rsidRPr="00D8489E">
              <w:rPr>
                <w:rFonts w:cs="Arial"/>
                <w:b/>
                <w:bCs/>
                <w:color w:val="FFFFFF"/>
                <w:sz w:val="18"/>
                <w:szCs w:val="18"/>
                <w:lang w:eastAsia="en-AU"/>
              </w:rPr>
              <w:t>2010</w:t>
            </w:r>
          </w:p>
        </w:tc>
        <w:tc>
          <w:tcPr>
            <w:tcW w:w="913" w:type="dxa"/>
            <w:shd w:val="clear" w:color="000000" w:fill="366092"/>
            <w:vAlign w:val="center"/>
            <w:hideMark/>
          </w:tcPr>
          <w:p w:rsidR="00D8489E" w:rsidRPr="00D8489E" w:rsidRDefault="00D8489E" w:rsidP="00D8489E">
            <w:pPr>
              <w:spacing w:after="0" w:line="240" w:lineRule="auto"/>
              <w:ind w:firstLineChars="100" w:firstLine="181"/>
              <w:jc w:val="right"/>
              <w:rPr>
                <w:rFonts w:cs="Arial"/>
                <w:b/>
                <w:bCs/>
                <w:color w:val="FFFFFF"/>
                <w:sz w:val="18"/>
                <w:szCs w:val="18"/>
                <w:lang w:eastAsia="en-AU"/>
              </w:rPr>
            </w:pPr>
            <w:r w:rsidRPr="00D8489E">
              <w:rPr>
                <w:rFonts w:cs="Arial"/>
                <w:b/>
                <w:bCs/>
                <w:color w:val="FFFFFF"/>
                <w:sz w:val="18"/>
                <w:szCs w:val="18"/>
                <w:lang w:eastAsia="en-AU"/>
              </w:rPr>
              <w:t>2011</w:t>
            </w:r>
          </w:p>
        </w:tc>
        <w:tc>
          <w:tcPr>
            <w:tcW w:w="912" w:type="dxa"/>
            <w:shd w:val="clear" w:color="000000" w:fill="366092"/>
            <w:vAlign w:val="center"/>
            <w:hideMark/>
          </w:tcPr>
          <w:p w:rsidR="00D8489E" w:rsidRPr="00D8489E" w:rsidRDefault="00D8489E" w:rsidP="00D8489E">
            <w:pPr>
              <w:spacing w:after="0" w:line="240" w:lineRule="auto"/>
              <w:ind w:firstLineChars="100" w:firstLine="181"/>
              <w:jc w:val="right"/>
              <w:rPr>
                <w:rFonts w:cs="Arial"/>
                <w:b/>
                <w:bCs/>
                <w:color w:val="FFFFFF"/>
                <w:sz w:val="18"/>
                <w:szCs w:val="18"/>
                <w:lang w:eastAsia="en-AU"/>
              </w:rPr>
            </w:pPr>
            <w:r w:rsidRPr="00D8489E">
              <w:rPr>
                <w:rFonts w:cs="Arial"/>
                <w:b/>
                <w:bCs/>
                <w:color w:val="FFFFFF"/>
                <w:sz w:val="18"/>
                <w:szCs w:val="18"/>
                <w:lang w:eastAsia="en-AU"/>
              </w:rPr>
              <w:t>2012</w:t>
            </w:r>
          </w:p>
        </w:tc>
        <w:tc>
          <w:tcPr>
            <w:tcW w:w="913" w:type="dxa"/>
            <w:shd w:val="clear" w:color="000000" w:fill="366092"/>
            <w:vAlign w:val="center"/>
            <w:hideMark/>
          </w:tcPr>
          <w:p w:rsidR="00D8489E" w:rsidRPr="00D8489E" w:rsidRDefault="00D8489E" w:rsidP="00D8489E">
            <w:pPr>
              <w:spacing w:after="0" w:line="240" w:lineRule="auto"/>
              <w:ind w:firstLineChars="100" w:firstLine="181"/>
              <w:jc w:val="right"/>
              <w:rPr>
                <w:rFonts w:cs="Arial"/>
                <w:b/>
                <w:bCs/>
                <w:color w:val="FFFFFF"/>
                <w:sz w:val="18"/>
                <w:szCs w:val="18"/>
                <w:lang w:eastAsia="en-AU"/>
              </w:rPr>
            </w:pPr>
            <w:r w:rsidRPr="00D8489E">
              <w:rPr>
                <w:rFonts w:cs="Arial"/>
                <w:b/>
                <w:bCs/>
                <w:color w:val="FFFFFF"/>
                <w:sz w:val="18"/>
                <w:szCs w:val="18"/>
                <w:lang w:eastAsia="en-AU"/>
              </w:rPr>
              <w:t>2013</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A: Agriculture, Forestry and Fishing</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40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80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B: Mining</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C: Manufacturing</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7,300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6,800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6,900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6,700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6,800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6,600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D: Electricity, Gas, Water and Waste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250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300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E: Construction</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20,700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21,800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24,800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26,100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24,700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23,300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F: Wholesale Trade</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90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90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40 </w:t>
            </w:r>
          </w:p>
        </w:tc>
      </w:tr>
      <w:tr w:rsidR="007C4E08" w:rsidRPr="00D8489E" w:rsidTr="00B65AE0">
        <w:trPr>
          <w:trHeight w:val="25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G: Retail Trade</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1,900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1,900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2,000 </w:t>
            </w:r>
          </w:p>
        </w:tc>
      </w:tr>
      <w:tr w:rsidR="007C4E08" w:rsidRPr="00D8489E" w:rsidTr="00B65AE0">
        <w:trPr>
          <w:trHeight w:val="25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H: Accommodation and Food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2,800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2,800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2,600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2,700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3,000 </w:t>
            </w:r>
          </w:p>
        </w:tc>
      </w:tr>
      <w:tr w:rsidR="007C4E08" w:rsidRPr="00D8489E" w:rsidTr="00B65AE0">
        <w:trPr>
          <w:trHeight w:val="25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I: Transport, Postal and Warehousing</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r>
      <w:tr w:rsidR="007C4E08" w:rsidRPr="00D8489E" w:rsidTr="00B65AE0">
        <w:trPr>
          <w:trHeight w:val="25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J: Information Media and Telecommunications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r>
      <w:tr w:rsidR="007C4E08" w:rsidRPr="00D8489E" w:rsidTr="00B65AE0">
        <w:trPr>
          <w:trHeight w:val="25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K: Financial and Insurance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r>
      <w:tr w:rsidR="007C4E08" w:rsidRPr="00D8489E" w:rsidTr="00B65AE0">
        <w:trPr>
          <w:trHeight w:val="25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L: Rental, Hiring and Real Estate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r>
      <w:tr w:rsidR="007C4E08" w:rsidRPr="00D8489E" w:rsidTr="00B65AE0">
        <w:trPr>
          <w:trHeight w:val="25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M: Professional, Scientific and Technical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150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150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300 </w:t>
            </w:r>
          </w:p>
        </w:tc>
      </w:tr>
      <w:tr w:rsidR="007C4E08" w:rsidRPr="00D8489E" w:rsidTr="00B65AE0">
        <w:trPr>
          <w:trHeight w:val="6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N: Administrative and Support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450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450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550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550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450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250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O: Public Administration and Safety</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70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90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P: Education and Training</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Q: Health Care and Social Assistance</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80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70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R: Arts and Recreation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550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550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650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650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600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S: Other Services</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7,200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6,700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7,000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6,800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6,800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6,500 </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T: Cross-industry</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U: Foundation Skills and LOTE</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r>
      <w:tr w:rsidR="007C4E08" w:rsidRPr="00D8489E" w:rsidTr="00B65AE0">
        <w:trPr>
          <w:trHeight w:val="345"/>
        </w:trPr>
        <w:tc>
          <w:tcPr>
            <w:tcW w:w="3544" w:type="dxa"/>
            <w:shd w:val="clear" w:color="000000" w:fill="FFFFFF"/>
            <w:noWrap/>
            <w:vAlign w:val="center"/>
            <w:hideMark/>
          </w:tcPr>
          <w:p w:rsidR="00D8489E" w:rsidRPr="00D8489E" w:rsidRDefault="00D8489E" w:rsidP="00B65AE0">
            <w:pPr>
              <w:spacing w:after="0" w:line="240" w:lineRule="auto"/>
              <w:jc w:val="left"/>
              <w:rPr>
                <w:rFonts w:cs="Arial"/>
                <w:color w:val="366092"/>
                <w:sz w:val="18"/>
                <w:szCs w:val="18"/>
                <w:lang w:eastAsia="en-AU"/>
              </w:rPr>
            </w:pPr>
            <w:r w:rsidRPr="00D8489E">
              <w:rPr>
                <w:rFonts w:cs="Arial"/>
                <w:color w:val="366092"/>
                <w:sz w:val="18"/>
                <w:szCs w:val="18"/>
                <w:lang w:eastAsia="en-AU"/>
              </w:rPr>
              <w:t>Not applicable / Unknown</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0 </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2"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w:t>
            </w:r>
          </w:p>
        </w:tc>
        <w:tc>
          <w:tcPr>
            <w:tcW w:w="913" w:type="dxa"/>
            <w:shd w:val="clear" w:color="auto" w:fill="auto"/>
            <w:noWrap/>
            <w:vAlign w:val="center"/>
            <w:hideMark/>
          </w:tcPr>
          <w:p w:rsidR="00D8489E" w:rsidRPr="00D8489E" w:rsidRDefault="00D8489E" w:rsidP="00B65AE0">
            <w:pPr>
              <w:spacing w:after="0" w:line="240" w:lineRule="auto"/>
              <w:jc w:val="right"/>
              <w:rPr>
                <w:rFonts w:cs="Arial"/>
                <w:sz w:val="18"/>
                <w:szCs w:val="18"/>
                <w:lang w:eastAsia="en-AU"/>
              </w:rPr>
            </w:pPr>
            <w:r w:rsidRPr="00D8489E">
              <w:rPr>
                <w:rFonts w:cs="Arial"/>
                <w:sz w:val="18"/>
                <w:szCs w:val="18"/>
                <w:lang w:eastAsia="en-AU"/>
              </w:rPr>
              <w:t xml:space="preserve">10 </w:t>
            </w:r>
          </w:p>
        </w:tc>
      </w:tr>
      <w:tr w:rsidR="007C4E08" w:rsidRPr="00D8489E" w:rsidTr="00F502F5">
        <w:trPr>
          <w:trHeight w:val="345"/>
        </w:trPr>
        <w:tc>
          <w:tcPr>
            <w:tcW w:w="3544" w:type="dxa"/>
            <w:shd w:val="clear" w:color="000000" w:fill="366092"/>
            <w:noWrap/>
            <w:vAlign w:val="bottom"/>
            <w:hideMark/>
          </w:tcPr>
          <w:p w:rsidR="00D8489E" w:rsidRPr="00D8489E" w:rsidRDefault="00D8489E" w:rsidP="00D8489E">
            <w:pPr>
              <w:spacing w:after="0" w:line="240" w:lineRule="auto"/>
              <w:jc w:val="left"/>
              <w:rPr>
                <w:rFonts w:cs="Arial"/>
                <w:b/>
                <w:bCs/>
                <w:color w:val="FFFFFF"/>
                <w:sz w:val="18"/>
                <w:szCs w:val="18"/>
                <w:lang w:eastAsia="en-AU"/>
              </w:rPr>
            </w:pPr>
            <w:r w:rsidRPr="00D8489E">
              <w:rPr>
                <w:rFonts w:cs="Arial"/>
                <w:b/>
                <w:bCs/>
                <w:color w:val="FFFFFF"/>
                <w:sz w:val="18"/>
                <w:szCs w:val="18"/>
                <w:lang w:eastAsia="en-AU"/>
              </w:rPr>
              <w:t>Total</w:t>
            </w:r>
          </w:p>
        </w:tc>
        <w:tc>
          <w:tcPr>
            <w:tcW w:w="912" w:type="dxa"/>
            <w:shd w:val="clear" w:color="000000" w:fill="366092"/>
            <w:noWrap/>
            <w:vAlign w:val="bottom"/>
            <w:hideMark/>
          </w:tcPr>
          <w:p w:rsidR="00D8489E" w:rsidRPr="00D8489E" w:rsidRDefault="00D8489E" w:rsidP="00D8489E">
            <w:pPr>
              <w:spacing w:after="0" w:line="240" w:lineRule="auto"/>
              <w:jc w:val="right"/>
              <w:rPr>
                <w:rFonts w:cs="Arial"/>
                <w:b/>
                <w:bCs/>
                <w:color w:val="FFFFFF"/>
                <w:sz w:val="18"/>
                <w:szCs w:val="18"/>
                <w:lang w:eastAsia="en-AU"/>
              </w:rPr>
            </w:pPr>
            <w:r w:rsidRPr="00D8489E">
              <w:rPr>
                <w:rFonts w:cs="Arial"/>
                <w:b/>
                <w:bCs/>
                <w:color w:val="FFFFFF"/>
                <w:sz w:val="18"/>
                <w:szCs w:val="18"/>
                <w:lang w:eastAsia="en-AU"/>
              </w:rPr>
              <w:t xml:space="preserve">41,900 </w:t>
            </w:r>
          </w:p>
        </w:tc>
        <w:tc>
          <w:tcPr>
            <w:tcW w:w="913" w:type="dxa"/>
            <w:shd w:val="clear" w:color="000000" w:fill="366092"/>
            <w:noWrap/>
            <w:vAlign w:val="bottom"/>
            <w:hideMark/>
          </w:tcPr>
          <w:p w:rsidR="00D8489E" w:rsidRPr="00D8489E" w:rsidRDefault="00D8489E" w:rsidP="00D8489E">
            <w:pPr>
              <w:spacing w:after="0" w:line="240" w:lineRule="auto"/>
              <w:jc w:val="right"/>
              <w:rPr>
                <w:rFonts w:cs="Arial"/>
                <w:b/>
                <w:bCs/>
                <w:color w:val="FFFFFF"/>
                <w:sz w:val="18"/>
                <w:szCs w:val="18"/>
                <w:lang w:eastAsia="en-AU"/>
              </w:rPr>
            </w:pPr>
            <w:r w:rsidRPr="00D8489E">
              <w:rPr>
                <w:rFonts w:cs="Arial"/>
                <w:b/>
                <w:bCs/>
                <w:color w:val="FFFFFF"/>
                <w:sz w:val="18"/>
                <w:szCs w:val="18"/>
                <w:lang w:eastAsia="en-AU"/>
              </w:rPr>
              <w:t xml:space="preserve">41,600 </w:t>
            </w:r>
          </w:p>
        </w:tc>
        <w:tc>
          <w:tcPr>
            <w:tcW w:w="912" w:type="dxa"/>
            <w:shd w:val="clear" w:color="000000" w:fill="366092"/>
            <w:noWrap/>
            <w:vAlign w:val="bottom"/>
            <w:hideMark/>
          </w:tcPr>
          <w:p w:rsidR="00D8489E" w:rsidRPr="00D8489E" w:rsidRDefault="00D8489E" w:rsidP="00D8489E">
            <w:pPr>
              <w:spacing w:after="0" w:line="240" w:lineRule="auto"/>
              <w:jc w:val="right"/>
              <w:rPr>
                <w:rFonts w:cs="Arial"/>
                <w:b/>
                <w:bCs/>
                <w:color w:val="FFFFFF"/>
                <w:sz w:val="18"/>
                <w:szCs w:val="18"/>
                <w:lang w:eastAsia="en-AU"/>
              </w:rPr>
            </w:pPr>
            <w:r w:rsidRPr="00D8489E">
              <w:rPr>
                <w:rFonts w:cs="Arial"/>
                <w:b/>
                <w:bCs/>
                <w:color w:val="FFFFFF"/>
                <w:sz w:val="18"/>
                <w:szCs w:val="18"/>
                <w:lang w:eastAsia="en-AU"/>
              </w:rPr>
              <w:t xml:space="preserve">45,300 </w:t>
            </w:r>
          </w:p>
        </w:tc>
        <w:tc>
          <w:tcPr>
            <w:tcW w:w="913" w:type="dxa"/>
            <w:shd w:val="clear" w:color="000000" w:fill="366092"/>
            <w:noWrap/>
            <w:vAlign w:val="bottom"/>
            <w:hideMark/>
          </w:tcPr>
          <w:p w:rsidR="00D8489E" w:rsidRPr="00D8489E" w:rsidRDefault="00D8489E" w:rsidP="00D8489E">
            <w:pPr>
              <w:spacing w:after="0" w:line="240" w:lineRule="auto"/>
              <w:jc w:val="right"/>
              <w:rPr>
                <w:rFonts w:cs="Arial"/>
                <w:b/>
                <w:bCs/>
                <w:color w:val="FFFFFF"/>
                <w:sz w:val="18"/>
                <w:szCs w:val="18"/>
                <w:lang w:eastAsia="en-AU"/>
              </w:rPr>
            </w:pPr>
            <w:r w:rsidRPr="00D8489E">
              <w:rPr>
                <w:rFonts w:cs="Arial"/>
                <w:b/>
                <w:bCs/>
                <w:color w:val="FFFFFF"/>
                <w:sz w:val="18"/>
                <w:szCs w:val="18"/>
                <w:lang w:eastAsia="en-AU"/>
              </w:rPr>
              <w:t xml:space="preserve">46,300 </w:t>
            </w:r>
          </w:p>
        </w:tc>
        <w:tc>
          <w:tcPr>
            <w:tcW w:w="912" w:type="dxa"/>
            <w:shd w:val="clear" w:color="000000" w:fill="366092"/>
            <w:noWrap/>
            <w:vAlign w:val="bottom"/>
            <w:hideMark/>
          </w:tcPr>
          <w:p w:rsidR="00D8489E" w:rsidRPr="00D8489E" w:rsidRDefault="00D8489E" w:rsidP="00D8489E">
            <w:pPr>
              <w:spacing w:after="0" w:line="240" w:lineRule="auto"/>
              <w:jc w:val="right"/>
              <w:rPr>
                <w:rFonts w:cs="Arial"/>
                <w:b/>
                <w:bCs/>
                <w:color w:val="FFFFFF"/>
                <w:sz w:val="18"/>
                <w:szCs w:val="18"/>
                <w:lang w:eastAsia="en-AU"/>
              </w:rPr>
            </w:pPr>
            <w:r w:rsidRPr="00D8489E">
              <w:rPr>
                <w:rFonts w:cs="Arial"/>
                <w:b/>
                <w:bCs/>
                <w:color w:val="FFFFFF"/>
                <w:sz w:val="18"/>
                <w:szCs w:val="18"/>
                <w:lang w:eastAsia="en-AU"/>
              </w:rPr>
              <w:t xml:space="preserve">45,000 </w:t>
            </w:r>
          </w:p>
        </w:tc>
        <w:tc>
          <w:tcPr>
            <w:tcW w:w="913" w:type="dxa"/>
            <w:shd w:val="clear" w:color="000000" w:fill="366092"/>
            <w:noWrap/>
            <w:vAlign w:val="bottom"/>
            <w:hideMark/>
          </w:tcPr>
          <w:p w:rsidR="00D8489E" w:rsidRPr="00D8489E" w:rsidRDefault="00D8489E" w:rsidP="00D8489E">
            <w:pPr>
              <w:spacing w:after="0" w:line="240" w:lineRule="auto"/>
              <w:jc w:val="right"/>
              <w:rPr>
                <w:rFonts w:cs="Arial"/>
                <w:b/>
                <w:bCs/>
                <w:color w:val="FFFFFF"/>
                <w:sz w:val="18"/>
                <w:szCs w:val="18"/>
                <w:lang w:eastAsia="en-AU"/>
              </w:rPr>
            </w:pPr>
            <w:r w:rsidRPr="00D8489E">
              <w:rPr>
                <w:rFonts w:cs="Arial"/>
                <w:b/>
                <w:bCs/>
                <w:color w:val="FFFFFF"/>
                <w:sz w:val="18"/>
                <w:szCs w:val="18"/>
                <w:lang w:eastAsia="en-AU"/>
              </w:rPr>
              <w:t xml:space="preserve">43,200 </w:t>
            </w:r>
          </w:p>
        </w:tc>
      </w:tr>
    </w:tbl>
    <w:p w:rsidR="007462D2" w:rsidRDefault="007462D2">
      <w:pPr>
        <w:spacing w:after="0" w:line="240" w:lineRule="auto"/>
        <w:jc w:val="left"/>
      </w:pPr>
    </w:p>
    <w:p w:rsidR="007462D2" w:rsidRDefault="007462D2">
      <w:pPr>
        <w:spacing w:after="0" w:line="240" w:lineRule="auto"/>
        <w:jc w:val="left"/>
      </w:pPr>
      <w:r>
        <w:br w:type="page"/>
      </w:r>
    </w:p>
    <w:p w:rsidR="007462D2" w:rsidRPr="00C66DA2" w:rsidRDefault="007462D2" w:rsidP="007462D2">
      <w:pPr>
        <w:pStyle w:val="Caption"/>
        <w:spacing w:after="0"/>
        <w:jc w:val="left"/>
        <w:rPr>
          <w:rFonts w:cs="Arial"/>
          <w:color w:val="365F91" w:themeColor="accent1" w:themeShade="BF"/>
        </w:rPr>
      </w:pPr>
      <w:r>
        <w:rPr>
          <w:rFonts w:cs="Arial"/>
          <w:color w:val="365F91" w:themeColor="accent1" w:themeShade="BF"/>
        </w:rPr>
        <w:t>Table 3.</w:t>
      </w:r>
      <w:r w:rsidR="00C91B0A">
        <w:rPr>
          <w:rFonts w:cs="Arial"/>
          <w:color w:val="365F91" w:themeColor="accent1" w:themeShade="BF"/>
        </w:rPr>
        <w:t>7.2</w:t>
      </w:r>
      <w:r>
        <w:rPr>
          <w:rFonts w:cs="Arial"/>
          <w:color w:val="365F91" w:themeColor="accent1" w:themeShade="BF"/>
        </w:rPr>
        <w:t>: Change in g</w:t>
      </w:r>
      <w:r w:rsidRPr="00C66DA2">
        <w:rPr>
          <w:rFonts w:cs="Arial"/>
          <w:color w:val="365F91" w:themeColor="accent1" w:themeShade="BF"/>
        </w:rPr>
        <w:t xml:space="preserve">overnment subsidised enrolments by </w:t>
      </w:r>
      <w:r>
        <w:rPr>
          <w:rFonts w:cs="Arial"/>
          <w:color w:val="365F91" w:themeColor="accent1" w:themeShade="BF"/>
        </w:rPr>
        <w:t>Apprentices</w:t>
      </w:r>
      <w:r w:rsidRPr="00C66DA2">
        <w:rPr>
          <w:rFonts w:cs="Arial"/>
          <w:color w:val="365F91" w:themeColor="accent1" w:themeShade="BF"/>
        </w:rPr>
        <w:t xml:space="preserve"> by industry, </w:t>
      </w:r>
      <w:r w:rsidRPr="00331F30">
        <w:rPr>
          <w:rFonts w:cs="Arial"/>
          <w:color w:val="365F91" w:themeColor="accent1" w:themeShade="BF"/>
        </w:rPr>
        <w:t>20</w:t>
      </w:r>
      <w:r>
        <w:rPr>
          <w:rFonts w:cs="Arial"/>
          <w:color w:val="365F91" w:themeColor="accent1" w:themeShade="BF"/>
        </w:rPr>
        <w:t xml:space="preserve">08- </w:t>
      </w:r>
      <w:r w:rsidRPr="00331F30">
        <w:rPr>
          <w:rFonts w:cs="Arial"/>
          <w:color w:val="365F91" w:themeColor="accent1" w:themeShade="BF"/>
        </w:rPr>
        <w:t>2013</w:t>
      </w:r>
    </w:p>
    <w:tbl>
      <w:tblPr>
        <w:tblW w:w="7371"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3544"/>
        <w:gridCol w:w="1275"/>
        <w:gridCol w:w="1276"/>
        <w:gridCol w:w="1276"/>
      </w:tblGrid>
      <w:tr w:rsidR="007C4E08" w:rsidRPr="00D8489E" w:rsidTr="00F502F5">
        <w:trPr>
          <w:trHeight w:val="617"/>
        </w:trPr>
        <w:tc>
          <w:tcPr>
            <w:tcW w:w="3544" w:type="dxa"/>
            <w:shd w:val="clear" w:color="000000" w:fill="366092"/>
            <w:noWrap/>
            <w:vAlign w:val="center"/>
            <w:hideMark/>
          </w:tcPr>
          <w:p w:rsidR="007C4E08" w:rsidRPr="00D8489E" w:rsidRDefault="007C4E08" w:rsidP="00144BC3">
            <w:pPr>
              <w:spacing w:after="0" w:line="240" w:lineRule="auto"/>
              <w:ind w:firstLineChars="100" w:firstLine="181"/>
              <w:jc w:val="left"/>
              <w:rPr>
                <w:rFonts w:cs="Arial"/>
                <w:b/>
                <w:bCs/>
                <w:color w:val="FFFFFF"/>
                <w:sz w:val="18"/>
                <w:szCs w:val="18"/>
                <w:lang w:eastAsia="en-AU"/>
              </w:rPr>
            </w:pPr>
            <w:r w:rsidRPr="00D8489E">
              <w:rPr>
                <w:rFonts w:cs="Arial"/>
                <w:b/>
                <w:bCs/>
                <w:color w:val="FFFFFF"/>
                <w:sz w:val="18"/>
                <w:szCs w:val="18"/>
                <w:lang w:eastAsia="en-AU"/>
              </w:rPr>
              <w:t> </w:t>
            </w:r>
          </w:p>
        </w:tc>
        <w:tc>
          <w:tcPr>
            <w:tcW w:w="1275" w:type="dxa"/>
            <w:shd w:val="clear" w:color="000000" w:fill="366092"/>
            <w:vAlign w:val="center"/>
            <w:hideMark/>
          </w:tcPr>
          <w:p w:rsidR="007C4E08" w:rsidRPr="00D8489E" w:rsidRDefault="007C4E08" w:rsidP="00144BC3">
            <w:pPr>
              <w:spacing w:after="0" w:line="240" w:lineRule="auto"/>
              <w:ind w:firstLineChars="100" w:firstLine="181"/>
              <w:jc w:val="right"/>
              <w:rPr>
                <w:rFonts w:cs="Arial"/>
                <w:b/>
                <w:bCs/>
                <w:color w:val="FFFFFF"/>
                <w:sz w:val="18"/>
                <w:szCs w:val="18"/>
                <w:lang w:eastAsia="en-AU"/>
              </w:rPr>
            </w:pPr>
            <w:r w:rsidRPr="007C4E08">
              <w:rPr>
                <w:rFonts w:cs="Arial"/>
                <w:b/>
                <w:bCs/>
                <w:color w:val="FFFFFF"/>
                <w:sz w:val="18"/>
                <w:szCs w:val="18"/>
                <w:lang w:eastAsia="en-AU"/>
              </w:rPr>
              <w:t>% change 2008-2013</w:t>
            </w:r>
          </w:p>
        </w:tc>
        <w:tc>
          <w:tcPr>
            <w:tcW w:w="1276" w:type="dxa"/>
            <w:shd w:val="clear" w:color="000000" w:fill="366092"/>
            <w:vAlign w:val="center"/>
            <w:hideMark/>
          </w:tcPr>
          <w:p w:rsidR="007C4E08" w:rsidRPr="00D8489E" w:rsidRDefault="007C4E08" w:rsidP="00144BC3">
            <w:pPr>
              <w:spacing w:after="0" w:line="240" w:lineRule="auto"/>
              <w:ind w:firstLineChars="100" w:firstLine="181"/>
              <w:jc w:val="right"/>
              <w:rPr>
                <w:rFonts w:cs="Arial"/>
                <w:b/>
                <w:bCs/>
                <w:color w:val="FFFFFF"/>
                <w:sz w:val="18"/>
                <w:szCs w:val="18"/>
                <w:lang w:eastAsia="en-AU"/>
              </w:rPr>
            </w:pPr>
            <w:r w:rsidRPr="007C4E08">
              <w:rPr>
                <w:rFonts w:cs="Arial"/>
                <w:b/>
                <w:bCs/>
                <w:color w:val="FFFFFF"/>
                <w:sz w:val="18"/>
                <w:szCs w:val="18"/>
                <w:lang w:eastAsia="en-AU"/>
              </w:rPr>
              <w:t>% change 2011-2013</w:t>
            </w:r>
          </w:p>
        </w:tc>
        <w:tc>
          <w:tcPr>
            <w:tcW w:w="1276" w:type="dxa"/>
            <w:shd w:val="clear" w:color="000000" w:fill="366092"/>
            <w:vAlign w:val="center"/>
            <w:hideMark/>
          </w:tcPr>
          <w:p w:rsidR="007C4E08" w:rsidRPr="00D8489E" w:rsidRDefault="007C4E08" w:rsidP="00144BC3">
            <w:pPr>
              <w:spacing w:after="0" w:line="240" w:lineRule="auto"/>
              <w:ind w:firstLineChars="100" w:firstLine="181"/>
              <w:jc w:val="right"/>
              <w:rPr>
                <w:rFonts w:cs="Arial"/>
                <w:b/>
                <w:bCs/>
                <w:color w:val="FFFFFF"/>
                <w:sz w:val="18"/>
                <w:szCs w:val="18"/>
                <w:lang w:eastAsia="en-AU"/>
              </w:rPr>
            </w:pPr>
            <w:r w:rsidRPr="007C4E08">
              <w:rPr>
                <w:rFonts w:cs="Arial"/>
                <w:b/>
                <w:bCs/>
                <w:color w:val="FFFFFF"/>
                <w:sz w:val="18"/>
                <w:szCs w:val="18"/>
                <w:lang w:eastAsia="en-AU"/>
              </w:rPr>
              <w:t>% change 2012-2013</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A: Agriculture, Forestry and Fishing</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78%</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135%</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63%</w:t>
            </w:r>
          </w:p>
        </w:tc>
      </w:tr>
      <w:tr w:rsidR="002C58FB" w:rsidRPr="00D8489E" w:rsidTr="00B65AE0">
        <w:trPr>
          <w:trHeight w:val="345"/>
        </w:trPr>
        <w:tc>
          <w:tcPr>
            <w:tcW w:w="3544" w:type="dxa"/>
            <w:shd w:val="clear" w:color="000000" w:fill="FFFFFF"/>
            <w:noWrap/>
            <w:vAlign w:val="center"/>
            <w:hideMark/>
          </w:tcPr>
          <w:p w:rsidR="002C58FB" w:rsidRPr="00D8489E" w:rsidRDefault="002C58FB" w:rsidP="002C58FB">
            <w:pPr>
              <w:spacing w:after="0" w:line="240" w:lineRule="auto"/>
              <w:jc w:val="left"/>
              <w:rPr>
                <w:rFonts w:cs="Arial"/>
                <w:color w:val="366092"/>
                <w:sz w:val="18"/>
                <w:szCs w:val="18"/>
                <w:lang w:eastAsia="en-AU"/>
              </w:rPr>
            </w:pPr>
            <w:r w:rsidRPr="00D8489E">
              <w:rPr>
                <w:rFonts w:cs="Arial"/>
                <w:color w:val="366092"/>
                <w:sz w:val="18"/>
                <w:szCs w:val="18"/>
                <w:lang w:eastAsia="en-AU"/>
              </w:rPr>
              <w:t>B: Mining</w:t>
            </w:r>
          </w:p>
        </w:tc>
        <w:tc>
          <w:tcPr>
            <w:tcW w:w="1275"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CF09C5">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CF09C5">
              <w:rPr>
                <w:rFonts w:cs="Arial"/>
                <w:sz w:val="20"/>
                <w:szCs w:val="20"/>
              </w:rPr>
              <w:t>n/a</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C: Manufacturing</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-9%</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-2%</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-2%</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D: Electricity, Gas, Water and Waste Services</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78%</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33%</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36%</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E: Construction</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12%</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-11%</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-6%</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F: Wholesale Trade</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-60%</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-62%</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-49%</w:t>
            </w:r>
          </w:p>
        </w:tc>
      </w:tr>
      <w:tr w:rsidR="00B34DB7" w:rsidRPr="00D8489E" w:rsidTr="00B65AE0">
        <w:trPr>
          <w:trHeight w:val="25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G: Retail Trade</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-2%</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-7%</w:t>
            </w:r>
          </w:p>
        </w:tc>
      </w:tr>
      <w:tr w:rsidR="00B34DB7" w:rsidRPr="00D8489E" w:rsidTr="00B65AE0">
        <w:trPr>
          <w:trHeight w:val="25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H: Accommodation and Food Services</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-2%</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14%</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10%</w:t>
            </w:r>
          </w:p>
        </w:tc>
      </w:tr>
      <w:tr w:rsidR="00B34DB7" w:rsidRPr="00D8489E" w:rsidTr="00B65AE0">
        <w:trPr>
          <w:trHeight w:val="25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I: Transport, Postal and Warehousing</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-80%</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-73%</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-77%</w:t>
            </w:r>
          </w:p>
        </w:tc>
      </w:tr>
      <w:tr w:rsidR="00B34DB7" w:rsidRPr="00D8489E" w:rsidTr="00B65AE0">
        <w:trPr>
          <w:trHeight w:val="25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J: Information Media and Telecommunications</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-100%</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-100%</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-100%</w:t>
            </w:r>
          </w:p>
        </w:tc>
      </w:tr>
      <w:tr w:rsidR="002C58FB" w:rsidRPr="00D8489E" w:rsidTr="00B65AE0">
        <w:trPr>
          <w:trHeight w:val="390"/>
        </w:trPr>
        <w:tc>
          <w:tcPr>
            <w:tcW w:w="3544" w:type="dxa"/>
            <w:shd w:val="clear" w:color="000000" w:fill="FFFFFF"/>
            <w:noWrap/>
            <w:vAlign w:val="center"/>
            <w:hideMark/>
          </w:tcPr>
          <w:p w:rsidR="002C58FB" w:rsidRPr="00D8489E" w:rsidRDefault="002C58FB" w:rsidP="002C58FB">
            <w:pPr>
              <w:spacing w:after="0" w:line="240" w:lineRule="auto"/>
              <w:jc w:val="left"/>
              <w:rPr>
                <w:rFonts w:cs="Arial"/>
                <w:color w:val="366092"/>
                <w:sz w:val="18"/>
                <w:szCs w:val="18"/>
                <w:lang w:eastAsia="en-AU"/>
              </w:rPr>
            </w:pPr>
            <w:r w:rsidRPr="00D8489E">
              <w:rPr>
                <w:rFonts w:cs="Arial"/>
                <w:color w:val="366092"/>
                <w:sz w:val="18"/>
                <w:szCs w:val="18"/>
                <w:lang w:eastAsia="en-AU"/>
              </w:rPr>
              <w:t>K: Financial and Insurance Services</w:t>
            </w:r>
          </w:p>
        </w:tc>
        <w:tc>
          <w:tcPr>
            <w:tcW w:w="1275"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7C210D">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7C210D">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7C210D">
              <w:rPr>
                <w:rFonts w:cs="Arial"/>
                <w:sz w:val="20"/>
                <w:szCs w:val="20"/>
              </w:rPr>
              <w:t>n/a</w:t>
            </w:r>
          </w:p>
        </w:tc>
      </w:tr>
      <w:tr w:rsidR="002C58FB" w:rsidRPr="00D8489E" w:rsidTr="00B65AE0">
        <w:trPr>
          <w:trHeight w:val="255"/>
        </w:trPr>
        <w:tc>
          <w:tcPr>
            <w:tcW w:w="3544" w:type="dxa"/>
            <w:shd w:val="clear" w:color="000000" w:fill="FFFFFF"/>
            <w:noWrap/>
            <w:vAlign w:val="center"/>
            <w:hideMark/>
          </w:tcPr>
          <w:p w:rsidR="002C58FB" w:rsidRPr="00D8489E" w:rsidRDefault="002C58FB" w:rsidP="002C58FB">
            <w:pPr>
              <w:spacing w:after="0" w:line="240" w:lineRule="auto"/>
              <w:jc w:val="left"/>
              <w:rPr>
                <w:rFonts w:cs="Arial"/>
                <w:color w:val="366092"/>
                <w:sz w:val="18"/>
                <w:szCs w:val="18"/>
                <w:lang w:eastAsia="en-AU"/>
              </w:rPr>
            </w:pPr>
            <w:r w:rsidRPr="00D8489E">
              <w:rPr>
                <w:rFonts w:cs="Arial"/>
                <w:color w:val="366092"/>
                <w:sz w:val="18"/>
                <w:szCs w:val="18"/>
                <w:lang w:eastAsia="en-AU"/>
              </w:rPr>
              <w:t>L: Rental, Hiring and Real Estate Services</w:t>
            </w:r>
          </w:p>
        </w:tc>
        <w:tc>
          <w:tcPr>
            <w:tcW w:w="1275"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7C210D">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7C210D">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7C210D">
              <w:rPr>
                <w:rFonts w:cs="Arial"/>
                <w:sz w:val="20"/>
                <w:szCs w:val="20"/>
              </w:rPr>
              <w:t>n/a</w:t>
            </w:r>
          </w:p>
        </w:tc>
      </w:tr>
      <w:tr w:rsidR="00B34DB7" w:rsidRPr="00D8489E" w:rsidTr="00B65AE0">
        <w:trPr>
          <w:trHeight w:val="25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M: Professional, Scientific and Technical Services</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86%</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82%</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85%</w:t>
            </w:r>
          </w:p>
        </w:tc>
      </w:tr>
      <w:tr w:rsidR="00B34DB7" w:rsidRPr="00D8489E" w:rsidTr="00B65AE0">
        <w:trPr>
          <w:trHeight w:val="278"/>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N: Administrative and Support Services</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-38%</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-53%</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-44%</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O: Public Administration and Safety</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55%</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3%</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-9%</w:t>
            </w:r>
          </w:p>
        </w:tc>
      </w:tr>
      <w:tr w:rsidR="002C58FB" w:rsidRPr="00D8489E" w:rsidTr="00B65AE0">
        <w:trPr>
          <w:trHeight w:val="345"/>
        </w:trPr>
        <w:tc>
          <w:tcPr>
            <w:tcW w:w="3544" w:type="dxa"/>
            <w:shd w:val="clear" w:color="000000" w:fill="FFFFFF"/>
            <w:noWrap/>
            <w:vAlign w:val="center"/>
            <w:hideMark/>
          </w:tcPr>
          <w:p w:rsidR="002C58FB" w:rsidRPr="00D8489E" w:rsidRDefault="002C58FB" w:rsidP="002C58FB">
            <w:pPr>
              <w:spacing w:after="0" w:line="240" w:lineRule="auto"/>
              <w:jc w:val="left"/>
              <w:rPr>
                <w:rFonts w:cs="Arial"/>
                <w:color w:val="366092"/>
                <w:sz w:val="18"/>
                <w:szCs w:val="18"/>
                <w:lang w:eastAsia="en-AU"/>
              </w:rPr>
            </w:pPr>
            <w:r w:rsidRPr="00D8489E">
              <w:rPr>
                <w:rFonts w:cs="Arial"/>
                <w:color w:val="366092"/>
                <w:sz w:val="18"/>
                <w:szCs w:val="18"/>
                <w:lang w:eastAsia="en-AU"/>
              </w:rPr>
              <w:t>P: Education and Training</w:t>
            </w:r>
          </w:p>
        </w:tc>
        <w:tc>
          <w:tcPr>
            <w:tcW w:w="1275"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EF51BD">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EF51BD">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EF51BD">
              <w:rPr>
                <w:rFonts w:cs="Arial"/>
                <w:sz w:val="20"/>
                <w:szCs w:val="20"/>
              </w:rPr>
              <w:t>n/a</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Q: Health Care and Social Assistance</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-26%</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-32%</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-16%</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R: Arts and Recreation Services</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7%</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-7%</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-8%</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S: Other Services</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-9%</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-4%</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-5%</w:t>
            </w:r>
          </w:p>
        </w:tc>
      </w:tr>
      <w:tr w:rsidR="00B34DB7" w:rsidRPr="00D8489E" w:rsidTr="00B65AE0">
        <w:trPr>
          <w:trHeight w:val="345"/>
        </w:trPr>
        <w:tc>
          <w:tcPr>
            <w:tcW w:w="3544" w:type="dxa"/>
            <w:shd w:val="clear" w:color="000000" w:fill="FFFFFF"/>
            <w:noWrap/>
            <w:vAlign w:val="center"/>
            <w:hideMark/>
          </w:tcPr>
          <w:p w:rsidR="00B34DB7" w:rsidRPr="00D8489E" w:rsidRDefault="00B34DB7" w:rsidP="002C58FB">
            <w:pPr>
              <w:spacing w:after="0" w:line="240" w:lineRule="auto"/>
              <w:jc w:val="left"/>
              <w:rPr>
                <w:rFonts w:cs="Arial"/>
                <w:color w:val="366092"/>
                <w:sz w:val="18"/>
                <w:szCs w:val="18"/>
                <w:lang w:eastAsia="en-AU"/>
              </w:rPr>
            </w:pPr>
            <w:r w:rsidRPr="00D8489E">
              <w:rPr>
                <w:rFonts w:cs="Arial"/>
                <w:color w:val="366092"/>
                <w:sz w:val="18"/>
                <w:szCs w:val="18"/>
                <w:lang w:eastAsia="en-AU"/>
              </w:rPr>
              <w:t>T: Cross-industry</w:t>
            </w:r>
          </w:p>
        </w:tc>
        <w:tc>
          <w:tcPr>
            <w:tcW w:w="1275"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-100%</w:t>
            </w:r>
          </w:p>
        </w:tc>
        <w:tc>
          <w:tcPr>
            <w:tcW w:w="1276" w:type="dxa"/>
            <w:shd w:val="clear" w:color="auto" w:fill="auto"/>
            <w:noWrap/>
            <w:vAlign w:val="center"/>
          </w:tcPr>
          <w:p w:rsidR="00B34DB7" w:rsidRPr="00D8489E" w:rsidRDefault="002C58FB" w:rsidP="00B65AE0">
            <w:pPr>
              <w:spacing w:after="0" w:line="240" w:lineRule="auto"/>
              <w:jc w:val="right"/>
              <w:rPr>
                <w:rFonts w:cs="Arial"/>
                <w:sz w:val="18"/>
                <w:szCs w:val="18"/>
                <w:lang w:eastAsia="en-AU"/>
              </w:rPr>
            </w:pPr>
            <w:r w:rsidRPr="002C58FB">
              <w:rPr>
                <w:rFonts w:cs="Arial"/>
                <w:sz w:val="20"/>
                <w:szCs w:val="20"/>
              </w:rPr>
              <w:t>n/a</w:t>
            </w:r>
          </w:p>
        </w:tc>
        <w:tc>
          <w:tcPr>
            <w:tcW w:w="1276" w:type="dxa"/>
            <w:shd w:val="clear" w:color="auto" w:fill="auto"/>
            <w:noWrap/>
            <w:vAlign w:val="center"/>
          </w:tcPr>
          <w:p w:rsidR="00B34DB7" w:rsidRPr="00D8489E" w:rsidRDefault="00B34DB7" w:rsidP="00B65AE0">
            <w:pPr>
              <w:spacing w:after="0" w:line="240" w:lineRule="auto"/>
              <w:jc w:val="right"/>
              <w:rPr>
                <w:rFonts w:cs="Arial"/>
                <w:sz w:val="18"/>
                <w:szCs w:val="18"/>
                <w:lang w:eastAsia="en-AU"/>
              </w:rPr>
            </w:pPr>
            <w:r>
              <w:rPr>
                <w:rFonts w:cs="Arial"/>
                <w:sz w:val="20"/>
                <w:szCs w:val="20"/>
              </w:rPr>
              <w:t>-100%</w:t>
            </w:r>
          </w:p>
        </w:tc>
      </w:tr>
      <w:tr w:rsidR="002C58FB" w:rsidRPr="00D8489E" w:rsidTr="00B65AE0">
        <w:trPr>
          <w:trHeight w:val="345"/>
        </w:trPr>
        <w:tc>
          <w:tcPr>
            <w:tcW w:w="3544" w:type="dxa"/>
            <w:shd w:val="clear" w:color="000000" w:fill="FFFFFF"/>
            <w:noWrap/>
            <w:vAlign w:val="center"/>
            <w:hideMark/>
          </w:tcPr>
          <w:p w:rsidR="002C58FB" w:rsidRPr="00D8489E" w:rsidRDefault="002C58FB" w:rsidP="002C58FB">
            <w:pPr>
              <w:spacing w:after="0" w:line="240" w:lineRule="auto"/>
              <w:jc w:val="left"/>
              <w:rPr>
                <w:rFonts w:cs="Arial"/>
                <w:color w:val="366092"/>
                <w:sz w:val="18"/>
                <w:szCs w:val="18"/>
                <w:lang w:eastAsia="en-AU"/>
              </w:rPr>
            </w:pPr>
            <w:r w:rsidRPr="00D8489E">
              <w:rPr>
                <w:rFonts w:cs="Arial"/>
                <w:color w:val="366092"/>
                <w:sz w:val="18"/>
                <w:szCs w:val="18"/>
                <w:lang w:eastAsia="en-AU"/>
              </w:rPr>
              <w:t>U: Foundation Skills and LOTE</w:t>
            </w:r>
          </w:p>
        </w:tc>
        <w:tc>
          <w:tcPr>
            <w:tcW w:w="1275"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AA3FF4">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AA3FF4">
              <w:rPr>
                <w:rFonts w:cs="Arial"/>
                <w:sz w:val="20"/>
                <w:szCs w:val="20"/>
              </w:rPr>
              <w:t>n/a</w:t>
            </w:r>
          </w:p>
        </w:tc>
      </w:tr>
      <w:tr w:rsidR="002C58FB" w:rsidRPr="00D8489E" w:rsidTr="00B65AE0">
        <w:trPr>
          <w:trHeight w:val="345"/>
        </w:trPr>
        <w:tc>
          <w:tcPr>
            <w:tcW w:w="3544" w:type="dxa"/>
            <w:shd w:val="clear" w:color="000000" w:fill="FFFFFF"/>
            <w:noWrap/>
            <w:vAlign w:val="center"/>
            <w:hideMark/>
          </w:tcPr>
          <w:p w:rsidR="002C58FB" w:rsidRPr="00D8489E" w:rsidRDefault="002C58FB" w:rsidP="002C58FB">
            <w:pPr>
              <w:spacing w:after="0" w:line="240" w:lineRule="auto"/>
              <w:jc w:val="left"/>
              <w:rPr>
                <w:rFonts w:cs="Arial"/>
                <w:color w:val="366092"/>
                <w:sz w:val="18"/>
                <w:szCs w:val="18"/>
                <w:lang w:eastAsia="en-AU"/>
              </w:rPr>
            </w:pPr>
            <w:r w:rsidRPr="00D8489E">
              <w:rPr>
                <w:rFonts w:cs="Arial"/>
                <w:color w:val="366092"/>
                <w:sz w:val="18"/>
                <w:szCs w:val="18"/>
                <w:lang w:eastAsia="en-AU"/>
              </w:rPr>
              <w:t>Not applicable / Unknown</w:t>
            </w:r>
          </w:p>
        </w:tc>
        <w:tc>
          <w:tcPr>
            <w:tcW w:w="1275"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Pr>
                <w:rFonts w:cs="Arial"/>
                <w:sz w:val="20"/>
                <w:szCs w:val="20"/>
              </w:rPr>
              <w:t>200%</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AA3FF4">
              <w:rPr>
                <w:rFonts w:cs="Arial"/>
                <w:sz w:val="20"/>
                <w:szCs w:val="20"/>
              </w:rPr>
              <w:t>n/a</w:t>
            </w:r>
          </w:p>
        </w:tc>
        <w:tc>
          <w:tcPr>
            <w:tcW w:w="1276" w:type="dxa"/>
            <w:shd w:val="clear" w:color="auto" w:fill="auto"/>
            <w:noWrap/>
            <w:vAlign w:val="center"/>
          </w:tcPr>
          <w:p w:rsidR="002C58FB" w:rsidRPr="00D8489E" w:rsidRDefault="002C58FB" w:rsidP="00B65AE0">
            <w:pPr>
              <w:spacing w:after="0" w:line="240" w:lineRule="auto"/>
              <w:jc w:val="right"/>
              <w:rPr>
                <w:rFonts w:cs="Arial"/>
                <w:sz w:val="18"/>
                <w:szCs w:val="18"/>
                <w:lang w:eastAsia="en-AU"/>
              </w:rPr>
            </w:pPr>
            <w:r w:rsidRPr="00AA3FF4">
              <w:rPr>
                <w:rFonts w:cs="Arial"/>
                <w:sz w:val="20"/>
                <w:szCs w:val="20"/>
              </w:rPr>
              <w:t>n/a</w:t>
            </w:r>
          </w:p>
        </w:tc>
      </w:tr>
      <w:tr w:rsidR="00B34DB7" w:rsidRPr="00D8489E" w:rsidTr="002C58FB">
        <w:trPr>
          <w:trHeight w:val="345"/>
        </w:trPr>
        <w:tc>
          <w:tcPr>
            <w:tcW w:w="3544" w:type="dxa"/>
            <w:shd w:val="clear" w:color="000000" w:fill="366092"/>
            <w:noWrap/>
            <w:vAlign w:val="center"/>
            <w:hideMark/>
          </w:tcPr>
          <w:p w:rsidR="00B34DB7" w:rsidRPr="00D8489E" w:rsidRDefault="00B34DB7" w:rsidP="002C58FB">
            <w:pPr>
              <w:spacing w:after="0" w:line="240" w:lineRule="auto"/>
              <w:jc w:val="left"/>
              <w:rPr>
                <w:rFonts w:cs="Arial"/>
                <w:b/>
                <w:bCs/>
                <w:color w:val="FFFFFF"/>
                <w:sz w:val="18"/>
                <w:szCs w:val="18"/>
                <w:lang w:eastAsia="en-AU"/>
              </w:rPr>
            </w:pPr>
            <w:r w:rsidRPr="00D8489E">
              <w:rPr>
                <w:rFonts w:cs="Arial"/>
                <w:b/>
                <w:bCs/>
                <w:color w:val="FFFFFF"/>
                <w:sz w:val="18"/>
                <w:szCs w:val="18"/>
                <w:lang w:eastAsia="en-AU"/>
              </w:rPr>
              <w:t>Total</w:t>
            </w:r>
          </w:p>
        </w:tc>
        <w:tc>
          <w:tcPr>
            <w:tcW w:w="1275" w:type="dxa"/>
            <w:shd w:val="clear" w:color="000000" w:fill="366092"/>
            <w:noWrap/>
            <w:vAlign w:val="center"/>
          </w:tcPr>
          <w:p w:rsidR="00B34DB7" w:rsidRPr="00D8489E" w:rsidRDefault="00B34DB7" w:rsidP="002C58FB">
            <w:pPr>
              <w:spacing w:after="0" w:line="240" w:lineRule="auto"/>
              <w:jc w:val="right"/>
              <w:rPr>
                <w:rFonts w:cs="Arial"/>
                <w:b/>
                <w:bCs/>
                <w:color w:val="FFFFFF"/>
                <w:sz w:val="18"/>
                <w:szCs w:val="18"/>
                <w:lang w:eastAsia="en-AU"/>
              </w:rPr>
            </w:pPr>
            <w:r>
              <w:rPr>
                <w:rFonts w:cs="Arial"/>
                <w:b/>
                <w:bCs/>
                <w:color w:val="FFFFFF"/>
                <w:sz w:val="20"/>
                <w:szCs w:val="20"/>
              </w:rPr>
              <w:t>3%</w:t>
            </w:r>
          </w:p>
        </w:tc>
        <w:tc>
          <w:tcPr>
            <w:tcW w:w="1276" w:type="dxa"/>
            <w:shd w:val="clear" w:color="000000" w:fill="366092"/>
            <w:noWrap/>
            <w:vAlign w:val="center"/>
          </w:tcPr>
          <w:p w:rsidR="00B34DB7" w:rsidRPr="00D8489E" w:rsidRDefault="00B34DB7" w:rsidP="002C58FB">
            <w:pPr>
              <w:spacing w:after="0" w:line="240" w:lineRule="auto"/>
              <w:jc w:val="right"/>
              <w:rPr>
                <w:rFonts w:cs="Arial"/>
                <w:b/>
                <w:bCs/>
                <w:color w:val="FFFFFF"/>
                <w:sz w:val="18"/>
                <w:szCs w:val="18"/>
                <w:lang w:eastAsia="en-AU"/>
              </w:rPr>
            </w:pPr>
            <w:r>
              <w:rPr>
                <w:rFonts w:cs="Arial"/>
                <w:b/>
                <w:bCs/>
                <w:color w:val="FFFFFF"/>
                <w:sz w:val="20"/>
                <w:szCs w:val="20"/>
              </w:rPr>
              <w:t>-7%</w:t>
            </w:r>
          </w:p>
        </w:tc>
        <w:tc>
          <w:tcPr>
            <w:tcW w:w="1276" w:type="dxa"/>
            <w:shd w:val="clear" w:color="000000" w:fill="366092"/>
            <w:noWrap/>
            <w:vAlign w:val="center"/>
          </w:tcPr>
          <w:p w:rsidR="00B34DB7" w:rsidRPr="00D8489E" w:rsidRDefault="00B34DB7" w:rsidP="002C58FB">
            <w:pPr>
              <w:spacing w:after="0" w:line="240" w:lineRule="auto"/>
              <w:jc w:val="right"/>
              <w:rPr>
                <w:rFonts w:cs="Arial"/>
                <w:b/>
                <w:bCs/>
                <w:color w:val="FFFFFF"/>
                <w:sz w:val="18"/>
                <w:szCs w:val="18"/>
                <w:lang w:eastAsia="en-AU"/>
              </w:rPr>
            </w:pPr>
            <w:r>
              <w:rPr>
                <w:rFonts w:cs="Arial"/>
                <w:b/>
                <w:bCs/>
                <w:color w:val="FFFFFF"/>
                <w:sz w:val="20"/>
                <w:szCs w:val="20"/>
              </w:rPr>
              <w:t>-4%</w:t>
            </w:r>
          </w:p>
        </w:tc>
      </w:tr>
    </w:tbl>
    <w:p w:rsidR="000C304C" w:rsidRDefault="000C304C">
      <w:pPr>
        <w:spacing w:after="0" w:line="240" w:lineRule="auto"/>
        <w:jc w:val="left"/>
        <w:rPr>
          <w:rFonts w:cs="Arial"/>
          <w:bCs/>
          <w:iCs/>
          <w:color w:val="365F91" w:themeColor="accent1" w:themeShade="BF"/>
          <w:sz w:val="28"/>
          <w:szCs w:val="28"/>
        </w:rPr>
      </w:pPr>
      <w:r>
        <w:br w:type="page"/>
      </w:r>
    </w:p>
    <w:p w:rsidR="00F72C48" w:rsidRPr="00980643" w:rsidRDefault="00F72C48" w:rsidP="0023338B">
      <w:pPr>
        <w:pStyle w:val="Heading2"/>
      </w:pPr>
      <w:bookmarkStart w:id="96" w:name="_Toc388340462"/>
      <w:r w:rsidRPr="00980643">
        <w:t>Trainees</w:t>
      </w:r>
      <w:bookmarkEnd w:id="96"/>
    </w:p>
    <w:p w:rsidR="00F72C48" w:rsidRPr="00BF37DA" w:rsidRDefault="00F72C48" w:rsidP="00F72C48">
      <w:r>
        <w:t>Traineeships have increased by 8 per cent since 2008. However, when compared to 2011 and 2012,</w:t>
      </w:r>
      <w:r w:rsidRPr="004154A2">
        <w:t xml:space="preserve"> there has been a dec</w:t>
      </w:r>
      <w:r w:rsidRPr="00BF37DA">
        <w:t>line in enrolments in Traineeships in 2013. The decline is primarily driven by a fall in enrolments in courses that now attract subsidy at the lowest level (band E), where there was unprecedented high level of enrolments that did not match employment trends for related industries. The reduction in traineeship enrolments is also attributable to changes to Commonwealth government incentives</w:t>
      </w:r>
      <w:r w:rsidRPr="00BF37DA">
        <w:rPr>
          <w:rStyle w:val="FootnoteReference"/>
        </w:rPr>
        <w:footnoteReference w:id="11"/>
      </w:r>
      <w:r w:rsidRPr="00BF37DA">
        <w:t xml:space="preserve">. </w:t>
      </w:r>
    </w:p>
    <w:p w:rsidR="00F72C48" w:rsidRPr="00BF37DA" w:rsidRDefault="00BF37DA" w:rsidP="00F72C48">
      <w:r w:rsidRPr="00BF37DA">
        <w:rPr>
          <w:color w:val="000000" w:themeColor="text1"/>
        </w:rPr>
        <w:t xml:space="preserve">The chart below </w:t>
      </w:r>
      <w:r w:rsidR="00F72C48" w:rsidRPr="00BF37DA">
        <w:rPr>
          <w:color w:val="000000" w:themeColor="text1"/>
        </w:rPr>
        <w:t xml:space="preserve">shows that the decline is predominantly from courses that attract the lowest subsidy (band E) which are deemed to have </w:t>
      </w:r>
      <w:r w:rsidRPr="00BF37DA">
        <w:rPr>
          <w:rFonts w:cs="Arial"/>
        </w:rPr>
        <w:t>less vocational outcome o</w:t>
      </w:r>
      <w:r w:rsidR="00F72C48" w:rsidRPr="00BF37DA">
        <w:rPr>
          <w:rFonts w:cs="Arial"/>
        </w:rPr>
        <w:t>r labour market requirement</w:t>
      </w:r>
      <w:r w:rsidRPr="00BF37DA">
        <w:rPr>
          <w:rFonts w:cs="Arial"/>
        </w:rPr>
        <w:t xml:space="preserve"> and reflect the oversupply in training that was being delivered</w:t>
      </w:r>
      <w:r w:rsidR="00F72C48" w:rsidRPr="00BF37DA">
        <w:rPr>
          <w:rFonts w:cs="Arial"/>
        </w:rPr>
        <w:t xml:space="preserve">. Courses in </w:t>
      </w:r>
      <w:r w:rsidRPr="00BF37DA">
        <w:rPr>
          <w:rFonts w:cs="Arial"/>
        </w:rPr>
        <w:t xml:space="preserve">this </w:t>
      </w:r>
      <w:r w:rsidR="00F72C48" w:rsidRPr="00BF37DA">
        <w:rPr>
          <w:rFonts w:cs="Arial"/>
        </w:rPr>
        <w:t>group are such as Certificate II in Retail, Certificate III in Retail, Certificate III in H</w:t>
      </w:r>
      <w:r w:rsidR="00F72C48" w:rsidRPr="00BF37DA">
        <w:rPr>
          <w:color w:val="000000" w:themeColor="text1"/>
        </w:rPr>
        <w:t>ospitality, Certificate III in Process Manufacturing, and Certificate III in Customer Contact. There was a spike in these courses in 2012 and the 2013 reductions need to be seen in this context.</w:t>
      </w:r>
      <w:r w:rsidR="00F72C48" w:rsidRPr="00BF37DA">
        <w:t xml:space="preserve"> In contrast there </w:t>
      </w:r>
      <w:r w:rsidRPr="00BF37DA">
        <w:t>have</w:t>
      </w:r>
      <w:r w:rsidR="00F72C48" w:rsidRPr="00BF37DA">
        <w:t xml:space="preserve"> been increase</w:t>
      </w:r>
      <w:r w:rsidRPr="00BF37DA">
        <w:t>s</w:t>
      </w:r>
      <w:r w:rsidR="00F72C48" w:rsidRPr="00BF37DA">
        <w:t xml:space="preserve"> in enrolments in Traineeships that now attract subsidy at band B, reflecting industry need for graduates from these courses. </w:t>
      </w:r>
    </w:p>
    <w:p w:rsidR="00F72C48" w:rsidRDefault="00F72C48" w:rsidP="00F72C48">
      <w:pPr>
        <w:spacing w:after="0" w:line="240" w:lineRule="auto"/>
        <w:jc w:val="left"/>
        <w:rPr>
          <w:rFonts w:cs="Arial"/>
          <w:b/>
          <w:color w:val="365F91" w:themeColor="accent1" w:themeShade="BF"/>
        </w:rPr>
      </w:pPr>
    </w:p>
    <w:p w:rsidR="00F72C48" w:rsidRDefault="00F72C48" w:rsidP="00F72C48">
      <w:pPr>
        <w:spacing w:after="0" w:line="240" w:lineRule="auto"/>
        <w:jc w:val="left"/>
        <w:rPr>
          <w:rFonts w:cs="Arial"/>
          <w:b/>
          <w:color w:val="365F91" w:themeColor="accent1" w:themeShade="BF"/>
        </w:rPr>
      </w:pPr>
      <w:r w:rsidRPr="00C95D57">
        <w:rPr>
          <w:rFonts w:cs="Arial"/>
          <w:b/>
          <w:color w:val="365F91" w:themeColor="accent1" w:themeShade="BF"/>
        </w:rPr>
        <w:t xml:space="preserve">Figure 3.4: Government subsidised traineeship enrolments by funding band, </w:t>
      </w:r>
      <w:r>
        <w:rPr>
          <w:rFonts w:cs="Arial"/>
          <w:b/>
          <w:color w:val="365F91" w:themeColor="accent1" w:themeShade="BF"/>
        </w:rPr>
        <w:t xml:space="preserve">2011 </w:t>
      </w:r>
      <w:r w:rsidR="00BF797E">
        <w:rPr>
          <w:rFonts w:cs="Arial"/>
          <w:b/>
          <w:color w:val="365F91" w:themeColor="accent1" w:themeShade="BF"/>
        </w:rPr>
        <w:t>–</w:t>
      </w:r>
      <w:r>
        <w:rPr>
          <w:rFonts w:cs="Arial"/>
          <w:b/>
          <w:color w:val="365F91" w:themeColor="accent1" w:themeShade="BF"/>
        </w:rPr>
        <w:t xml:space="preserve"> 2013</w:t>
      </w:r>
    </w:p>
    <w:p w:rsidR="00BF797E" w:rsidRDefault="00BF797E" w:rsidP="00F72C48">
      <w:pPr>
        <w:spacing w:after="0" w:line="240" w:lineRule="auto"/>
        <w:jc w:val="left"/>
        <w:rPr>
          <w:rFonts w:cs="Arial"/>
          <w:b/>
          <w:color w:val="365F91" w:themeColor="accent1" w:themeShade="BF"/>
        </w:rPr>
      </w:pPr>
      <w:r>
        <w:rPr>
          <w:rFonts w:cs="Arial"/>
          <w:b/>
          <w:noProof/>
          <w:color w:val="365F91" w:themeColor="accent1" w:themeShade="BF"/>
          <w:lang w:eastAsia="en-AU"/>
        </w:rPr>
        <w:drawing>
          <wp:inline distT="0" distB="0" distL="0" distR="0" wp14:anchorId="2AAF901C" wp14:editId="51FF9AE1">
            <wp:extent cx="5743575" cy="35024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44461" cy="3502998"/>
                    </a:xfrm>
                    <a:prstGeom prst="rect">
                      <a:avLst/>
                    </a:prstGeom>
                    <a:noFill/>
                  </pic:spPr>
                </pic:pic>
              </a:graphicData>
            </a:graphic>
          </wp:inline>
        </w:drawing>
      </w:r>
    </w:p>
    <w:p w:rsidR="00F72C48" w:rsidRPr="000D77C3" w:rsidRDefault="00F72C48" w:rsidP="00F72C48">
      <w:pPr>
        <w:pStyle w:val="Caption"/>
        <w:spacing w:after="0"/>
        <w:jc w:val="left"/>
        <w:rPr>
          <w:rFonts w:cs="Arial"/>
          <w:highlight w:val="cyan"/>
        </w:rPr>
      </w:pPr>
    </w:p>
    <w:p w:rsidR="00F72C48" w:rsidRPr="00C95D57" w:rsidRDefault="00F72C48" w:rsidP="00F72C48">
      <w:pPr>
        <w:pStyle w:val="Caption"/>
        <w:spacing w:after="0"/>
        <w:jc w:val="left"/>
        <w:rPr>
          <w:rFonts w:cs="Arial"/>
          <w:color w:val="365F91" w:themeColor="accent1" w:themeShade="BF"/>
          <w:highlight w:val="cyan"/>
        </w:rPr>
      </w:pPr>
      <w:r w:rsidRPr="00C95D57">
        <w:rPr>
          <w:rFonts w:cs="Arial"/>
          <w:color w:val="365F91" w:themeColor="accent1" w:themeShade="BF"/>
        </w:rPr>
        <w:t>Table 3.</w:t>
      </w:r>
      <w:r w:rsidR="00C91B0A">
        <w:rPr>
          <w:rFonts w:cs="Arial"/>
          <w:color w:val="365F91" w:themeColor="accent1" w:themeShade="BF"/>
        </w:rPr>
        <w:t>8</w:t>
      </w:r>
      <w:r w:rsidRPr="00C95D57">
        <w:rPr>
          <w:rFonts w:cs="Arial"/>
          <w:color w:val="365F91" w:themeColor="accent1" w:themeShade="BF"/>
        </w:rPr>
        <w:t xml:space="preserve">.1: Government subsidised enrolments by </w:t>
      </w:r>
      <w:r w:rsidR="000C304C">
        <w:rPr>
          <w:rFonts w:cs="Arial"/>
          <w:color w:val="365F91" w:themeColor="accent1" w:themeShade="BF"/>
        </w:rPr>
        <w:t>T</w:t>
      </w:r>
      <w:r w:rsidRPr="00C95D57">
        <w:rPr>
          <w:rFonts w:cs="Arial"/>
          <w:color w:val="365F91" w:themeColor="accent1" w:themeShade="BF"/>
        </w:rPr>
        <w:t>rainees by age, 2008–201</w:t>
      </w:r>
      <w:r>
        <w:rPr>
          <w:rFonts w:cs="Arial"/>
          <w:color w:val="365F91" w:themeColor="accent1" w:themeShade="BF"/>
        </w:rPr>
        <w:t>3</w:t>
      </w:r>
    </w:p>
    <w:tbl>
      <w:tblPr>
        <w:tblW w:w="8145"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ook w:val="04A0" w:firstRow="1" w:lastRow="0" w:firstColumn="1" w:lastColumn="0" w:noHBand="0" w:noVBand="1"/>
      </w:tblPr>
      <w:tblGrid>
        <w:gridCol w:w="2385"/>
        <w:gridCol w:w="960"/>
        <w:gridCol w:w="960"/>
        <w:gridCol w:w="960"/>
        <w:gridCol w:w="960"/>
        <w:gridCol w:w="960"/>
        <w:gridCol w:w="960"/>
      </w:tblGrid>
      <w:tr w:rsidR="001A4A54" w:rsidRPr="00C95D57" w:rsidTr="001A4A54">
        <w:trPr>
          <w:trHeight w:val="960"/>
        </w:trPr>
        <w:tc>
          <w:tcPr>
            <w:tcW w:w="2385" w:type="dxa"/>
            <w:shd w:val="clear" w:color="000000" w:fill="366092"/>
            <w:noWrap/>
            <w:vAlign w:val="center"/>
            <w:hideMark/>
          </w:tcPr>
          <w:p w:rsidR="001A4A54" w:rsidRPr="00C95D57" w:rsidRDefault="001A4A54" w:rsidP="00440176">
            <w:pPr>
              <w:spacing w:after="0" w:line="240" w:lineRule="auto"/>
              <w:ind w:firstLineChars="100" w:firstLine="181"/>
              <w:jc w:val="left"/>
              <w:rPr>
                <w:rFonts w:cs="Arial"/>
                <w:b/>
                <w:bCs/>
                <w:color w:val="FFFFFF"/>
                <w:sz w:val="18"/>
                <w:szCs w:val="18"/>
                <w:lang w:eastAsia="en-AU"/>
              </w:rPr>
            </w:pPr>
            <w:r w:rsidRPr="00C95D57">
              <w:rPr>
                <w:rFonts w:cs="Arial"/>
                <w:b/>
                <w:bCs/>
                <w:color w:val="FFFFFF"/>
                <w:sz w:val="18"/>
                <w:szCs w:val="18"/>
                <w:lang w:eastAsia="en-AU"/>
              </w:rPr>
              <w:t> </w:t>
            </w:r>
          </w:p>
        </w:tc>
        <w:tc>
          <w:tcPr>
            <w:tcW w:w="960" w:type="dxa"/>
            <w:shd w:val="clear" w:color="000000" w:fill="366092"/>
            <w:vAlign w:val="center"/>
            <w:hideMark/>
          </w:tcPr>
          <w:p w:rsidR="001A4A54" w:rsidRPr="00C95D57" w:rsidRDefault="001A4A54" w:rsidP="00440176">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2008</w:t>
            </w:r>
          </w:p>
        </w:tc>
        <w:tc>
          <w:tcPr>
            <w:tcW w:w="960" w:type="dxa"/>
            <w:shd w:val="clear" w:color="000000" w:fill="366092"/>
            <w:vAlign w:val="center"/>
            <w:hideMark/>
          </w:tcPr>
          <w:p w:rsidR="001A4A54" w:rsidRPr="00C95D57" w:rsidRDefault="001A4A54" w:rsidP="00440176">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2009</w:t>
            </w:r>
          </w:p>
        </w:tc>
        <w:tc>
          <w:tcPr>
            <w:tcW w:w="960" w:type="dxa"/>
            <w:shd w:val="clear" w:color="000000" w:fill="366092"/>
            <w:vAlign w:val="center"/>
            <w:hideMark/>
          </w:tcPr>
          <w:p w:rsidR="001A4A54" w:rsidRPr="00C95D57" w:rsidRDefault="001A4A54" w:rsidP="00440176">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2010</w:t>
            </w:r>
          </w:p>
        </w:tc>
        <w:tc>
          <w:tcPr>
            <w:tcW w:w="960" w:type="dxa"/>
            <w:shd w:val="clear" w:color="000000" w:fill="366092"/>
            <w:vAlign w:val="center"/>
            <w:hideMark/>
          </w:tcPr>
          <w:p w:rsidR="001A4A54" w:rsidRPr="00C95D57" w:rsidRDefault="001A4A54" w:rsidP="00440176">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2011</w:t>
            </w:r>
          </w:p>
        </w:tc>
        <w:tc>
          <w:tcPr>
            <w:tcW w:w="960" w:type="dxa"/>
            <w:shd w:val="clear" w:color="000000" w:fill="366092"/>
            <w:vAlign w:val="center"/>
            <w:hideMark/>
          </w:tcPr>
          <w:p w:rsidR="001A4A54" w:rsidRPr="00C95D57" w:rsidRDefault="001A4A54" w:rsidP="00440176">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2012</w:t>
            </w:r>
          </w:p>
        </w:tc>
        <w:tc>
          <w:tcPr>
            <w:tcW w:w="960" w:type="dxa"/>
            <w:shd w:val="clear" w:color="000000" w:fill="366092"/>
            <w:vAlign w:val="center"/>
            <w:hideMark/>
          </w:tcPr>
          <w:p w:rsidR="001A4A54" w:rsidRPr="00C95D57" w:rsidRDefault="001A4A54" w:rsidP="00440176">
            <w:pPr>
              <w:spacing w:after="0" w:line="240" w:lineRule="auto"/>
              <w:ind w:firstLineChars="100" w:firstLine="181"/>
              <w:jc w:val="right"/>
              <w:rPr>
                <w:rFonts w:cs="Arial"/>
                <w:b/>
                <w:bCs/>
                <w:color w:val="FFFFFF"/>
                <w:sz w:val="18"/>
                <w:szCs w:val="18"/>
                <w:lang w:eastAsia="en-AU"/>
              </w:rPr>
            </w:pPr>
            <w:r w:rsidRPr="00C95D57">
              <w:rPr>
                <w:rFonts w:cs="Arial"/>
                <w:b/>
                <w:bCs/>
                <w:color w:val="FFFFFF"/>
                <w:sz w:val="18"/>
                <w:szCs w:val="18"/>
                <w:lang w:eastAsia="en-AU"/>
              </w:rPr>
              <w:t>2013</w:t>
            </w:r>
          </w:p>
        </w:tc>
      </w:tr>
      <w:tr w:rsidR="001A4A54" w:rsidRPr="00C95D57" w:rsidTr="001A4A54">
        <w:trPr>
          <w:trHeight w:val="300"/>
        </w:trPr>
        <w:tc>
          <w:tcPr>
            <w:tcW w:w="2385" w:type="dxa"/>
            <w:shd w:val="clear" w:color="000000" w:fill="FFFFFF"/>
            <w:noWrap/>
            <w:vAlign w:val="bottom"/>
            <w:hideMark/>
          </w:tcPr>
          <w:p w:rsidR="001A4A54" w:rsidRPr="00C95D57" w:rsidRDefault="001A4A54" w:rsidP="00440176">
            <w:pPr>
              <w:spacing w:after="0" w:line="240" w:lineRule="auto"/>
              <w:jc w:val="left"/>
              <w:rPr>
                <w:rFonts w:cs="Arial"/>
                <w:color w:val="366092"/>
                <w:sz w:val="18"/>
                <w:szCs w:val="18"/>
                <w:lang w:eastAsia="en-AU"/>
              </w:rPr>
            </w:pPr>
            <w:r w:rsidRPr="00C95D57">
              <w:rPr>
                <w:rFonts w:cs="Arial"/>
                <w:color w:val="366092"/>
                <w:sz w:val="18"/>
                <w:szCs w:val="18"/>
                <w:lang w:eastAsia="en-AU"/>
              </w:rPr>
              <w:t>15 to 19</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21,300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20,800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22,700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26,100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25,500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14,400 </w:t>
            </w:r>
          </w:p>
        </w:tc>
      </w:tr>
      <w:tr w:rsidR="001A4A54" w:rsidRPr="00C95D57" w:rsidTr="001A4A54">
        <w:trPr>
          <w:trHeight w:val="300"/>
        </w:trPr>
        <w:tc>
          <w:tcPr>
            <w:tcW w:w="2385" w:type="dxa"/>
            <w:shd w:val="clear" w:color="000000" w:fill="FFFFFF"/>
            <w:noWrap/>
            <w:vAlign w:val="bottom"/>
            <w:hideMark/>
          </w:tcPr>
          <w:p w:rsidR="001A4A54" w:rsidRPr="00C95D57" w:rsidRDefault="001A4A54" w:rsidP="00440176">
            <w:pPr>
              <w:spacing w:after="0" w:line="240" w:lineRule="auto"/>
              <w:jc w:val="left"/>
              <w:rPr>
                <w:rFonts w:cs="Arial"/>
                <w:color w:val="366092"/>
                <w:sz w:val="18"/>
                <w:szCs w:val="18"/>
                <w:lang w:eastAsia="en-AU"/>
              </w:rPr>
            </w:pPr>
            <w:r w:rsidRPr="00C95D57">
              <w:rPr>
                <w:rFonts w:cs="Arial"/>
                <w:color w:val="366092"/>
                <w:sz w:val="18"/>
                <w:szCs w:val="18"/>
                <w:lang w:eastAsia="en-AU"/>
              </w:rPr>
              <w:t>20 to 24</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12,900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11,000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12,500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15,300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15,500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9,800 </w:t>
            </w:r>
          </w:p>
        </w:tc>
      </w:tr>
      <w:tr w:rsidR="001A4A54" w:rsidRPr="00C95D57" w:rsidTr="001A4A54">
        <w:trPr>
          <w:trHeight w:val="300"/>
        </w:trPr>
        <w:tc>
          <w:tcPr>
            <w:tcW w:w="2385" w:type="dxa"/>
            <w:shd w:val="clear" w:color="000000" w:fill="FFFFFF"/>
            <w:noWrap/>
            <w:vAlign w:val="bottom"/>
            <w:hideMark/>
          </w:tcPr>
          <w:p w:rsidR="001A4A54" w:rsidRPr="00C95D57" w:rsidRDefault="001A4A54" w:rsidP="00440176">
            <w:pPr>
              <w:spacing w:after="0" w:line="240" w:lineRule="auto"/>
              <w:jc w:val="left"/>
              <w:rPr>
                <w:rFonts w:cs="Arial"/>
                <w:color w:val="366092"/>
                <w:sz w:val="18"/>
                <w:szCs w:val="18"/>
                <w:lang w:eastAsia="en-AU"/>
              </w:rPr>
            </w:pPr>
            <w:r w:rsidRPr="00C95D57">
              <w:rPr>
                <w:rFonts w:cs="Arial"/>
                <w:color w:val="366092"/>
                <w:sz w:val="18"/>
                <w:szCs w:val="18"/>
                <w:lang w:eastAsia="en-AU"/>
              </w:rPr>
              <w:t>25 to 44</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14,500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12,400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14,800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24,600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29,600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20,400 </w:t>
            </w:r>
          </w:p>
        </w:tc>
      </w:tr>
      <w:tr w:rsidR="001A4A54" w:rsidRPr="00C95D57" w:rsidTr="001A4A54">
        <w:trPr>
          <w:trHeight w:val="300"/>
        </w:trPr>
        <w:tc>
          <w:tcPr>
            <w:tcW w:w="2385" w:type="dxa"/>
            <w:shd w:val="clear" w:color="000000" w:fill="FFFFFF"/>
            <w:noWrap/>
            <w:vAlign w:val="bottom"/>
            <w:hideMark/>
          </w:tcPr>
          <w:p w:rsidR="001A4A54" w:rsidRPr="00C95D57" w:rsidRDefault="001A4A54" w:rsidP="00440176">
            <w:pPr>
              <w:spacing w:after="0" w:line="240" w:lineRule="auto"/>
              <w:jc w:val="left"/>
              <w:rPr>
                <w:rFonts w:cs="Arial"/>
                <w:color w:val="366092"/>
                <w:sz w:val="18"/>
                <w:szCs w:val="18"/>
                <w:lang w:eastAsia="en-AU"/>
              </w:rPr>
            </w:pPr>
            <w:r w:rsidRPr="00C95D57">
              <w:rPr>
                <w:rFonts w:cs="Arial"/>
                <w:color w:val="366092"/>
                <w:sz w:val="18"/>
                <w:szCs w:val="18"/>
                <w:lang w:eastAsia="en-AU"/>
              </w:rPr>
              <w:t>45 to 64</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4,800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4,600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6,500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13,600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18,000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13,300 </w:t>
            </w:r>
          </w:p>
        </w:tc>
      </w:tr>
      <w:tr w:rsidR="001A4A54" w:rsidRPr="00C95D57" w:rsidTr="001A4A54">
        <w:trPr>
          <w:trHeight w:val="300"/>
        </w:trPr>
        <w:tc>
          <w:tcPr>
            <w:tcW w:w="2385" w:type="dxa"/>
            <w:shd w:val="clear" w:color="000000" w:fill="FFFFFF"/>
            <w:noWrap/>
            <w:vAlign w:val="bottom"/>
            <w:hideMark/>
          </w:tcPr>
          <w:p w:rsidR="001A4A54" w:rsidRPr="00C95D57" w:rsidRDefault="001A4A54" w:rsidP="00440176">
            <w:pPr>
              <w:spacing w:after="0" w:line="240" w:lineRule="auto"/>
              <w:jc w:val="left"/>
              <w:rPr>
                <w:rFonts w:cs="Arial"/>
                <w:color w:val="366092"/>
                <w:sz w:val="18"/>
                <w:szCs w:val="18"/>
                <w:lang w:eastAsia="en-AU"/>
              </w:rPr>
            </w:pPr>
            <w:r w:rsidRPr="00C95D57">
              <w:rPr>
                <w:rFonts w:cs="Arial"/>
                <w:color w:val="366092"/>
                <w:sz w:val="18"/>
                <w:szCs w:val="18"/>
                <w:lang w:eastAsia="en-AU"/>
              </w:rPr>
              <w:t>Under 15, over 64, not stated</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600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450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300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600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700 </w:t>
            </w:r>
          </w:p>
        </w:tc>
        <w:tc>
          <w:tcPr>
            <w:tcW w:w="960" w:type="dxa"/>
            <w:shd w:val="clear" w:color="auto" w:fill="auto"/>
            <w:noWrap/>
            <w:vAlign w:val="center"/>
            <w:hideMark/>
          </w:tcPr>
          <w:p w:rsidR="001A4A54" w:rsidRPr="00C95D57" w:rsidRDefault="001A4A54" w:rsidP="00440176">
            <w:pPr>
              <w:spacing w:after="0" w:line="240" w:lineRule="auto"/>
              <w:jc w:val="right"/>
              <w:rPr>
                <w:rFonts w:cs="Arial"/>
                <w:sz w:val="18"/>
                <w:szCs w:val="18"/>
                <w:lang w:eastAsia="en-AU"/>
              </w:rPr>
            </w:pPr>
            <w:r w:rsidRPr="00C95D57">
              <w:rPr>
                <w:rFonts w:cs="Arial"/>
                <w:sz w:val="18"/>
                <w:szCs w:val="18"/>
                <w:lang w:eastAsia="en-AU"/>
              </w:rPr>
              <w:t xml:space="preserve">500 </w:t>
            </w:r>
          </w:p>
        </w:tc>
      </w:tr>
      <w:tr w:rsidR="001A4A54" w:rsidRPr="00C95D57" w:rsidTr="001A4A54">
        <w:trPr>
          <w:trHeight w:val="300"/>
        </w:trPr>
        <w:tc>
          <w:tcPr>
            <w:tcW w:w="2385" w:type="dxa"/>
            <w:shd w:val="clear" w:color="000000" w:fill="366092"/>
            <w:noWrap/>
            <w:vAlign w:val="bottom"/>
            <w:hideMark/>
          </w:tcPr>
          <w:p w:rsidR="001A4A54" w:rsidRPr="00C95D57" w:rsidRDefault="001A4A54" w:rsidP="00440176">
            <w:pPr>
              <w:spacing w:after="0" w:line="240" w:lineRule="auto"/>
              <w:jc w:val="left"/>
              <w:rPr>
                <w:rFonts w:cs="Arial"/>
                <w:b/>
                <w:bCs/>
                <w:color w:val="FFFFFF"/>
                <w:sz w:val="18"/>
                <w:szCs w:val="18"/>
                <w:lang w:eastAsia="en-AU"/>
              </w:rPr>
            </w:pPr>
            <w:r w:rsidRPr="00C95D57">
              <w:rPr>
                <w:rFonts w:cs="Arial"/>
                <w:b/>
                <w:bCs/>
                <w:color w:val="FFFFFF"/>
                <w:sz w:val="18"/>
                <w:szCs w:val="18"/>
                <w:lang w:eastAsia="en-AU"/>
              </w:rPr>
              <w:t>Trainees</w:t>
            </w:r>
          </w:p>
        </w:tc>
        <w:tc>
          <w:tcPr>
            <w:tcW w:w="960" w:type="dxa"/>
            <w:shd w:val="clear" w:color="000000" w:fill="366092"/>
            <w:noWrap/>
            <w:vAlign w:val="center"/>
            <w:hideMark/>
          </w:tcPr>
          <w:p w:rsidR="001A4A54" w:rsidRPr="00C95D57" w:rsidRDefault="001A4A54" w:rsidP="00440176">
            <w:pPr>
              <w:spacing w:after="0" w:line="240" w:lineRule="auto"/>
              <w:jc w:val="right"/>
              <w:rPr>
                <w:rFonts w:cs="Arial"/>
                <w:b/>
                <w:bCs/>
                <w:color w:val="FFFFFF"/>
                <w:sz w:val="18"/>
                <w:szCs w:val="18"/>
                <w:lang w:eastAsia="en-AU"/>
              </w:rPr>
            </w:pPr>
            <w:r w:rsidRPr="00C95D57">
              <w:rPr>
                <w:rFonts w:cs="Arial"/>
                <w:b/>
                <w:bCs/>
                <w:color w:val="FFFFFF"/>
                <w:sz w:val="18"/>
                <w:szCs w:val="18"/>
                <w:lang w:eastAsia="en-AU"/>
              </w:rPr>
              <w:t xml:space="preserve">54,000 </w:t>
            </w:r>
          </w:p>
        </w:tc>
        <w:tc>
          <w:tcPr>
            <w:tcW w:w="960" w:type="dxa"/>
            <w:shd w:val="clear" w:color="000000" w:fill="366092"/>
            <w:noWrap/>
            <w:vAlign w:val="center"/>
            <w:hideMark/>
          </w:tcPr>
          <w:p w:rsidR="001A4A54" w:rsidRPr="00C95D57" w:rsidRDefault="001A4A54" w:rsidP="00440176">
            <w:pPr>
              <w:spacing w:after="0" w:line="240" w:lineRule="auto"/>
              <w:jc w:val="right"/>
              <w:rPr>
                <w:rFonts w:cs="Arial"/>
                <w:b/>
                <w:bCs/>
                <w:color w:val="FFFFFF"/>
                <w:sz w:val="18"/>
                <w:szCs w:val="18"/>
                <w:lang w:eastAsia="en-AU"/>
              </w:rPr>
            </w:pPr>
            <w:r w:rsidRPr="00C95D57">
              <w:rPr>
                <w:rFonts w:cs="Arial"/>
                <w:b/>
                <w:bCs/>
                <w:color w:val="FFFFFF"/>
                <w:sz w:val="18"/>
                <w:szCs w:val="18"/>
                <w:lang w:eastAsia="en-AU"/>
              </w:rPr>
              <w:t xml:space="preserve">49,200 </w:t>
            </w:r>
          </w:p>
        </w:tc>
        <w:tc>
          <w:tcPr>
            <w:tcW w:w="960" w:type="dxa"/>
            <w:shd w:val="clear" w:color="000000" w:fill="366092"/>
            <w:noWrap/>
            <w:vAlign w:val="center"/>
            <w:hideMark/>
          </w:tcPr>
          <w:p w:rsidR="001A4A54" w:rsidRPr="00C95D57" w:rsidRDefault="001A4A54" w:rsidP="00440176">
            <w:pPr>
              <w:spacing w:after="0" w:line="240" w:lineRule="auto"/>
              <w:jc w:val="right"/>
              <w:rPr>
                <w:rFonts w:cs="Arial"/>
                <w:b/>
                <w:bCs/>
                <w:color w:val="FFFFFF"/>
                <w:sz w:val="18"/>
                <w:szCs w:val="18"/>
                <w:lang w:eastAsia="en-AU"/>
              </w:rPr>
            </w:pPr>
            <w:r w:rsidRPr="00C95D57">
              <w:rPr>
                <w:rFonts w:cs="Arial"/>
                <w:b/>
                <w:bCs/>
                <w:color w:val="FFFFFF"/>
                <w:sz w:val="18"/>
                <w:szCs w:val="18"/>
                <w:lang w:eastAsia="en-AU"/>
              </w:rPr>
              <w:t xml:space="preserve">56,900 </w:t>
            </w:r>
          </w:p>
        </w:tc>
        <w:tc>
          <w:tcPr>
            <w:tcW w:w="960" w:type="dxa"/>
            <w:shd w:val="clear" w:color="000000" w:fill="366092"/>
            <w:noWrap/>
            <w:vAlign w:val="center"/>
            <w:hideMark/>
          </w:tcPr>
          <w:p w:rsidR="001A4A54" w:rsidRPr="00C95D57" w:rsidRDefault="001A4A54" w:rsidP="00440176">
            <w:pPr>
              <w:spacing w:after="0" w:line="240" w:lineRule="auto"/>
              <w:jc w:val="right"/>
              <w:rPr>
                <w:rFonts w:cs="Arial"/>
                <w:b/>
                <w:bCs/>
                <w:color w:val="FFFFFF"/>
                <w:sz w:val="18"/>
                <w:szCs w:val="18"/>
                <w:lang w:eastAsia="en-AU"/>
              </w:rPr>
            </w:pPr>
            <w:r w:rsidRPr="00C95D57">
              <w:rPr>
                <w:rFonts w:cs="Arial"/>
                <w:b/>
                <w:bCs/>
                <w:color w:val="FFFFFF"/>
                <w:sz w:val="18"/>
                <w:szCs w:val="18"/>
                <w:lang w:eastAsia="en-AU"/>
              </w:rPr>
              <w:t xml:space="preserve">80,200 </w:t>
            </w:r>
          </w:p>
        </w:tc>
        <w:tc>
          <w:tcPr>
            <w:tcW w:w="960" w:type="dxa"/>
            <w:shd w:val="clear" w:color="000000" w:fill="366092"/>
            <w:noWrap/>
            <w:vAlign w:val="center"/>
            <w:hideMark/>
          </w:tcPr>
          <w:p w:rsidR="001A4A54" w:rsidRPr="00C95D57" w:rsidRDefault="001A4A54" w:rsidP="00440176">
            <w:pPr>
              <w:spacing w:after="0" w:line="240" w:lineRule="auto"/>
              <w:jc w:val="right"/>
              <w:rPr>
                <w:rFonts w:cs="Arial"/>
                <w:b/>
                <w:bCs/>
                <w:color w:val="FFFFFF"/>
                <w:sz w:val="18"/>
                <w:szCs w:val="18"/>
                <w:lang w:eastAsia="en-AU"/>
              </w:rPr>
            </w:pPr>
            <w:r w:rsidRPr="00C95D57">
              <w:rPr>
                <w:rFonts w:cs="Arial"/>
                <w:b/>
                <w:bCs/>
                <w:color w:val="FFFFFF"/>
                <w:sz w:val="18"/>
                <w:szCs w:val="18"/>
                <w:lang w:eastAsia="en-AU"/>
              </w:rPr>
              <w:t xml:space="preserve">89,300 </w:t>
            </w:r>
          </w:p>
        </w:tc>
        <w:tc>
          <w:tcPr>
            <w:tcW w:w="960" w:type="dxa"/>
            <w:shd w:val="clear" w:color="000000" w:fill="366092"/>
            <w:noWrap/>
            <w:vAlign w:val="center"/>
            <w:hideMark/>
          </w:tcPr>
          <w:p w:rsidR="001A4A54" w:rsidRPr="00C95D57" w:rsidRDefault="001A4A54" w:rsidP="00440176">
            <w:pPr>
              <w:spacing w:after="0" w:line="240" w:lineRule="auto"/>
              <w:jc w:val="right"/>
              <w:rPr>
                <w:rFonts w:cs="Arial"/>
                <w:b/>
                <w:bCs/>
                <w:color w:val="FFFFFF"/>
                <w:sz w:val="18"/>
                <w:szCs w:val="18"/>
                <w:lang w:eastAsia="en-AU"/>
              </w:rPr>
            </w:pPr>
            <w:r w:rsidRPr="00C95D57">
              <w:rPr>
                <w:rFonts w:cs="Arial"/>
                <w:b/>
                <w:bCs/>
                <w:color w:val="FFFFFF"/>
                <w:sz w:val="18"/>
                <w:szCs w:val="18"/>
                <w:lang w:eastAsia="en-AU"/>
              </w:rPr>
              <w:t xml:space="preserve">58,400 </w:t>
            </w:r>
          </w:p>
        </w:tc>
      </w:tr>
    </w:tbl>
    <w:p w:rsidR="00F72C48" w:rsidRPr="001A4A54" w:rsidRDefault="001A4A54" w:rsidP="001A4A54">
      <w:pPr>
        <w:pStyle w:val="Caption"/>
        <w:spacing w:after="0"/>
        <w:jc w:val="left"/>
        <w:rPr>
          <w:rFonts w:cs="Arial"/>
          <w:color w:val="365F91" w:themeColor="accent1" w:themeShade="BF"/>
        </w:rPr>
      </w:pPr>
      <w:r>
        <w:rPr>
          <w:rFonts w:cs="Arial"/>
          <w:color w:val="365F91" w:themeColor="accent1" w:themeShade="BF"/>
        </w:rPr>
        <w:t>Table 3.</w:t>
      </w:r>
      <w:r w:rsidR="00C91B0A">
        <w:rPr>
          <w:rFonts w:cs="Arial"/>
          <w:color w:val="365F91" w:themeColor="accent1" w:themeShade="BF"/>
        </w:rPr>
        <w:t>8</w:t>
      </w:r>
      <w:r>
        <w:rPr>
          <w:rFonts w:cs="Arial"/>
          <w:color w:val="365F91" w:themeColor="accent1" w:themeShade="BF"/>
        </w:rPr>
        <w:t>.</w:t>
      </w:r>
      <w:r w:rsidR="008378F2">
        <w:rPr>
          <w:rFonts w:cs="Arial"/>
          <w:color w:val="365F91" w:themeColor="accent1" w:themeShade="BF"/>
        </w:rPr>
        <w:t>2</w:t>
      </w:r>
      <w:r>
        <w:rPr>
          <w:rFonts w:cs="Arial"/>
          <w:color w:val="365F91" w:themeColor="accent1" w:themeShade="BF"/>
        </w:rPr>
        <w:t>: Change in G</w:t>
      </w:r>
      <w:r w:rsidRPr="001A4A54">
        <w:rPr>
          <w:rFonts w:cs="Arial"/>
          <w:color w:val="365F91" w:themeColor="accent1" w:themeShade="BF"/>
        </w:rPr>
        <w:t>over</w:t>
      </w:r>
      <w:r w:rsidR="000C304C">
        <w:rPr>
          <w:rFonts w:cs="Arial"/>
          <w:color w:val="365F91" w:themeColor="accent1" w:themeShade="BF"/>
        </w:rPr>
        <w:t>nment subsidised enrolments by T</w:t>
      </w:r>
      <w:r w:rsidRPr="001A4A54">
        <w:rPr>
          <w:rFonts w:cs="Arial"/>
          <w:color w:val="365F91" w:themeColor="accent1" w:themeShade="BF"/>
        </w:rPr>
        <w:t>rainees by age, 2008–2013</w:t>
      </w:r>
    </w:p>
    <w:tbl>
      <w:tblPr>
        <w:tblW w:w="6237" w:type="dxa"/>
        <w:tblInd w:w="108"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2385"/>
        <w:gridCol w:w="1284"/>
        <w:gridCol w:w="1284"/>
        <w:gridCol w:w="1284"/>
      </w:tblGrid>
      <w:tr w:rsidR="00E96114" w:rsidRPr="00C95D57" w:rsidTr="00E96114">
        <w:trPr>
          <w:trHeight w:val="617"/>
        </w:trPr>
        <w:tc>
          <w:tcPr>
            <w:tcW w:w="2385" w:type="dxa"/>
            <w:shd w:val="clear" w:color="000000" w:fill="366092"/>
            <w:noWrap/>
            <w:vAlign w:val="center"/>
            <w:hideMark/>
          </w:tcPr>
          <w:p w:rsidR="00E96114" w:rsidRPr="00C95D57" w:rsidRDefault="00E96114" w:rsidP="00144BC3">
            <w:pPr>
              <w:spacing w:after="0" w:line="240" w:lineRule="auto"/>
              <w:ind w:firstLineChars="100" w:firstLine="181"/>
              <w:jc w:val="left"/>
              <w:rPr>
                <w:rFonts w:cs="Arial"/>
                <w:b/>
                <w:bCs/>
                <w:color w:val="FFFFFF"/>
                <w:sz w:val="18"/>
                <w:szCs w:val="18"/>
                <w:lang w:eastAsia="en-AU"/>
              </w:rPr>
            </w:pPr>
            <w:r w:rsidRPr="00C95D57">
              <w:rPr>
                <w:rFonts w:cs="Arial"/>
                <w:b/>
                <w:bCs/>
                <w:color w:val="FFFFFF"/>
                <w:sz w:val="18"/>
                <w:szCs w:val="18"/>
                <w:lang w:eastAsia="en-AU"/>
              </w:rPr>
              <w:t> </w:t>
            </w:r>
          </w:p>
        </w:tc>
        <w:tc>
          <w:tcPr>
            <w:tcW w:w="1284" w:type="dxa"/>
            <w:shd w:val="clear" w:color="000000" w:fill="366092"/>
            <w:vAlign w:val="center"/>
            <w:hideMark/>
          </w:tcPr>
          <w:p w:rsidR="00E96114" w:rsidRPr="00C95D57" w:rsidRDefault="00E96114" w:rsidP="00E96114">
            <w:pPr>
              <w:spacing w:after="0" w:line="240" w:lineRule="auto"/>
              <w:ind w:firstLineChars="100" w:firstLine="181"/>
              <w:jc w:val="center"/>
              <w:rPr>
                <w:rFonts w:cs="Arial"/>
                <w:b/>
                <w:bCs/>
                <w:color w:val="FFFFFF"/>
                <w:sz w:val="18"/>
                <w:szCs w:val="18"/>
                <w:lang w:eastAsia="en-AU"/>
              </w:rPr>
            </w:pPr>
            <w:r w:rsidRPr="007C4E08">
              <w:rPr>
                <w:rFonts w:cs="Arial"/>
                <w:b/>
                <w:bCs/>
                <w:color w:val="FFFFFF"/>
                <w:sz w:val="18"/>
                <w:szCs w:val="18"/>
                <w:lang w:eastAsia="en-AU"/>
              </w:rPr>
              <w:t>% change 2008-2013</w:t>
            </w:r>
          </w:p>
        </w:tc>
        <w:tc>
          <w:tcPr>
            <w:tcW w:w="1284" w:type="dxa"/>
            <w:shd w:val="clear" w:color="000000" w:fill="366092"/>
            <w:vAlign w:val="center"/>
            <w:hideMark/>
          </w:tcPr>
          <w:p w:rsidR="00E96114" w:rsidRPr="00C95D57" w:rsidRDefault="00E96114" w:rsidP="00E96114">
            <w:pPr>
              <w:spacing w:after="0" w:line="240" w:lineRule="auto"/>
              <w:ind w:firstLineChars="100" w:firstLine="181"/>
              <w:jc w:val="center"/>
              <w:rPr>
                <w:rFonts w:cs="Arial"/>
                <w:b/>
                <w:bCs/>
                <w:color w:val="FFFFFF"/>
                <w:sz w:val="18"/>
                <w:szCs w:val="18"/>
                <w:lang w:eastAsia="en-AU"/>
              </w:rPr>
            </w:pPr>
            <w:r w:rsidRPr="007C4E08">
              <w:rPr>
                <w:rFonts w:cs="Arial"/>
                <w:b/>
                <w:bCs/>
                <w:color w:val="FFFFFF"/>
                <w:sz w:val="18"/>
                <w:szCs w:val="18"/>
                <w:lang w:eastAsia="en-AU"/>
              </w:rPr>
              <w:t>% change 2011-2013</w:t>
            </w:r>
          </w:p>
        </w:tc>
        <w:tc>
          <w:tcPr>
            <w:tcW w:w="1284" w:type="dxa"/>
            <w:shd w:val="clear" w:color="000000" w:fill="366092"/>
            <w:vAlign w:val="center"/>
            <w:hideMark/>
          </w:tcPr>
          <w:p w:rsidR="00E96114" w:rsidRPr="00C95D57" w:rsidRDefault="00E96114" w:rsidP="00E96114">
            <w:pPr>
              <w:spacing w:after="0" w:line="240" w:lineRule="auto"/>
              <w:ind w:firstLineChars="100" w:firstLine="181"/>
              <w:jc w:val="center"/>
              <w:rPr>
                <w:rFonts w:cs="Arial"/>
                <w:b/>
                <w:bCs/>
                <w:color w:val="FFFFFF"/>
                <w:sz w:val="18"/>
                <w:szCs w:val="18"/>
                <w:lang w:eastAsia="en-AU"/>
              </w:rPr>
            </w:pPr>
            <w:r w:rsidRPr="007C4E08">
              <w:rPr>
                <w:rFonts w:cs="Arial"/>
                <w:b/>
                <w:bCs/>
                <w:color w:val="FFFFFF"/>
                <w:sz w:val="18"/>
                <w:szCs w:val="18"/>
                <w:lang w:eastAsia="en-AU"/>
              </w:rPr>
              <w:t>% change 2012-2013</w:t>
            </w:r>
          </w:p>
        </w:tc>
      </w:tr>
      <w:tr w:rsidR="00144BC3" w:rsidRPr="00C95D57" w:rsidTr="00E96114">
        <w:trPr>
          <w:trHeight w:val="300"/>
        </w:trPr>
        <w:tc>
          <w:tcPr>
            <w:tcW w:w="2385" w:type="dxa"/>
            <w:shd w:val="clear" w:color="000000" w:fill="FFFFFF"/>
            <w:noWrap/>
            <w:vAlign w:val="bottom"/>
            <w:hideMark/>
          </w:tcPr>
          <w:p w:rsidR="00144BC3" w:rsidRPr="00C95D57" w:rsidRDefault="00144BC3" w:rsidP="00144BC3">
            <w:pPr>
              <w:spacing w:after="0" w:line="240" w:lineRule="auto"/>
              <w:jc w:val="left"/>
              <w:rPr>
                <w:rFonts w:cs="Arial"/>
                <w:color w:val="366092"/>
                <w:sz w:val="18"/>
                <w:szCs w:val="18"/>
                <w:lang w:eastAsia="en-AU"/>
              </w:rPr>
            </w:pPr>
            <w:r w:rsidRPr="00C95D57">
              <w:rPr>
                <w:rFonts w:cs="Arial"/>
                <w:color w:val="366092"/>
                <w:sz w:val="18"/>
                <w:szCs w:val="18"/>
                <w:lang w:eastAsia="en-AU"/>
              </w:rPr>
              <w:t>15 to 19</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-32%</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-45%</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-43%</w:t>
            </w:r>
          </w:p>
        </w:tc>
      </w:tr>
      <w:tr w:rsidR="00144BC3" w:rsidRPr="00C95D57" w:rsidTr="00E96114">
        <w:trPr>
          <w:trHeight w:val="300"/>
        </w:trPr>
        <w:tc>
          <w:tcPr>
            <w:tcW w:w="2385" w:type="dxa"/>
            <w:shd w:val="clear" w:color="000000" w:fill="FFFFFF"/>
            <w:noWrap/>
            <w:vAlign w:val="bottom"/>
            <w:hideMark/>
          </w:tcPr>
          <w:p w:rsidR="00144BC3" w:rsidRPr="00C95D57" w:rsidRDefault="00144BC3" w:rsidP="00144BC3">
            <w:pPr>
              <w:spacing w:after="0" w:line="240" w:lineRule="auto"/>
              <w:jc w:val="left"/>
              <w:rPr>
                <w:rFonts w:cs="Arial"/>
                <w:color w:val="366092"/>
                <w:sz w:val="18"/>
                <w:szCs w:val="18"/>
                <w:lang w:eastAsia="en-AU"/>
              </w:rPr>
            </w:pPr>
            <w:r w:rsidRPr="00C95D57">
              <w:rPr>
                <w:rFonts w:cs="Arial"/>
                <w:color w:val="366092"/>
                <w:sz w:val="18"/>
                <w:szCs w:val="18"/>
                <w:lang w:eastAsia="en-AU"/>
              </w:rPr>
              <w:t>20 to 24</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-24%</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-36%</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-37%</w:t>
            </w:r>
          </w:p>
        </w:tc>
      </w:tr>
      <w:tr w:rsidR="00144BC3" w:rsidRPr="00C95D57" w:rsidTr="00E96114">
        <w:trPr>
          <w:trHeight w:val="300"/>
        </w:trPr>
        <w:tc>
          <w:tcPr>
            <w:tcW w:w="2385" w:type="dxa"/>
            <w:shd w:val="clear" w:color="000000" w:fill="FFFFFF"/>
            <w:noWrap/>
            <w:vAlign w:val="bottom"/>
            <w:hideMark/>
          </w:tcPr>
          <w:p w:rsidR="00144BC3" w:rsidRPr="00C95D57" w:rsidRDefault="00144BC3" w:rsidP="00144BC3">
            <w:pPr>
              <w:spacing w:after="0" w:line="240" w:lineRule="auto"/>
              <w:jc w:val="left"/>
              <w:rPr>
                <w:rFonts w:cs="Arial"/>
                <w:color w:val="366092"/>
                <w:sz w:val="18"/>
                <w:szCs w:val="18"/>
                <w:lang w:eastAsia="en-AU"/>
              </w:rPr>
            </w:pPr>
            <w:r w:rsidRPr="00C95D57">
              <w:rPr>
                <w:rFonts w:cs="Arial"/>
                <w:color w:val="366092"/>
                <w:sz w:val="18"/>
                <w:szCs w:val="18"/>
                <w:lang w:eastAsia="en-AU"/>
              </w:rPr>
              <w:t>25 to 44</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41%</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-17%</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-31%</w:t>
            </w:r>
          </w:p>
        </w:tc>
      </w:tr>
      <w:tr w:rsidR="00144BC3" w:rsidRPr="00C95D57" w:rsidTr="00E96114">
        <w:trPr>
          <w:trHeight w:val="300"/>
        </w:trPr>
        <w:tc>
          <w:tcPr>
            <w:tcW w:w="2385" w:type="dxa"/>
            <w:shd w:val="clear" w:color="000000" w:fill="FFFFFF"/>
            <w:noWrap/>
            <w:vAlign w:val="bottom"/>
            <w:hideMark/>
          </w:tcPr>
          <w:p w:rsidR="00144BC3" w:rsidRPr="00C95D57" w:rsidRDefault="00144BC3" w:rsidP="00144BC3">
            <w:pPr>
              <w:spacing w:after="0" w:line="240" w:lineRule="auto"/>
              <w:jc w:val="left"/>
              <w:rPr>
                <w:rFonts w:cs="Arial"/>
                <w:color w:val="366092"/>
                <w:sz w:val="18"/>
                <w:szCs w:val="18"/>
                <w:lang w:eastAsia="en-AU"/>
              </w:rPr>
            </w:pPr>
            <w:r w:rsidRPr="00C95D57">
              <w:rPr>
                <w:rFonts w:cs="Arial"/>
                <w:color w:val="366092"/>
                <w:sz w:val="18"/>
                <w:szCs w:val="18"/>
                <w:lang w:eastAsia="en-AU"/>
              </w:rPr>
              <w:t>45 to 64</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177%</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-3%</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-26%</w:t>
            </w:r>
          </w:p>
        </w:tc>
      </w:tr>
      <w:tr w:rsidR="00144BC3" w:rsidRPr="00C95D57" w:rsidTr="00E96114">
        <w:trPr>
          <w:trHeight w:val="300"/>
        </w:trPr>
        <w:tc>
          <w:tcPr>
            <w:tcW w:w="2385" w:type="dxa"/>
            <w:shd w:val="clear" w:color="000000" w:fill="FFFFFF"/>
            <w:noWrap/>
            <w:vAlign w:val="bottom"/>
            <w:hideMark/>
          </w:tcPr>
          <w:p w:rsidR="00144BC3" w:rsidRPr="00C95D57" w:rsidRDefault="00144BC3" w:rsidP="00144BC3">
            <w:pPr>
              <w:spacing w:after="0" w:line="240" w:lineRule="auto"/>
              <w:jc w:val="left"/>
              <w:rPr>
                <w:rFonts w:cs="Arial"/>
                <w:color w:val="366092"/>
                <w:sz w:val="18"/>
                <w:szCs w:val="18"/>
                <w:lang w:eastAsia="en-AU"/>
              </w:rPr>
            </w:pPr>
            <w:r w:rsidRPr="00C95D57">
              <w:rPr>
                <w:rFonts w:cs="Arial"/>
                <w:color w:val="366092"/>
                <w:sz w:val="18"/>
                <w:szCs w:val="18"/>
                <w:lang w:eastAsia="en-AU"/>
              </w:rPr>
              <w:t>Under 15, over 64, not stated</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-18%</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-13%</w:t>
            </w:r>
          </w:p>
        </w:tc>
        <w:tc>
          <w:tcPr>
            <w:tcW w:w="1284" w:type="dxa"/>
            <w:shd w:val="clear" w:color="auto" w:fill="auto"/>
            <w:noWrap/>
            <w:vAlign w:val="center"/>
          </w:tcPr>
          <w:p w:rsidR="00144BC3" w:rsidRPr="00C95D57" w:rsidRDefault="00144BC3" w:rsidP="00144BC3">
            <w:pPr>
              <w:spacing w:after="0" w:line="240" w:lineRule="auto"/>
              <w:jc w:val="right"/>
              <w:rPr>
                <w:rFonts w:cs="Arial"/>
                <w:sz w:val="18"/>
                <w:szCs w:val="18"/>
                <w:lang w:eastAsia="en-AU"/>
              </w:rPr>
            </w:pPr>
            <w:r>
              <w:rPr>
                <w:rFonts w:cs="Arial"/>
                <w:sz w:val="18"/>
                <w:szCs w:val="18"/>
              </w:rPr>
              <w:t>-25%</w:t>
            </w:r>
          </w:p>
        </w:tc>
      </w:tr>
      <w:tr w:rsidR="00144BC3" w:rsidRPr="00C95D57" w:rsidTr="00E96114">
        <w:trPr>
          <w:trHeight w:val="300"/>
        </w:trPr>
        <w:tc>
          <w:tcPr>
            <w:tcW w:w="2385" w:type="dxa"/>
            <w:shd w:val="clear" w:color="000000" w:fill="366092"/>
            <w:noWrap/>
            <w:vAlign w:val="bottom"/>
            <w:hideMark/>
          </w:tcPr>
          <w:p w:rsidR="00144BC3" w:rsidRPr="00C95D57" w:rsidRDefault="00144BC3" w:rsidP="00144BC3">
            <w:pPr>
              <w:spacing w:after="0" w:line="240" w:lineRule="auto"/>
              <w:jc w:val="left"/>
              <w:rPr>
                <w:rFonts w:cs="Arial"/>
                <w:b/>
                <w:bCs/>
                <w:color w:val="FFFFFF"/>
                <w:sz w:val="18"/>
                <w:szCs w:val="18"/>
                <w:lang w:eastAsia="en-AU"/>
              </w:rPr>
            </w:pPr>
            <w:r w:rsidRPr="00C95D57">
              <w:rPr>
                <w:rFonts w:cs="Arial"/>
                <w:b/>
                <w:bCs/>
                <w:color w:val="FFFFFF"/>
                <w:sz w:val="18"/>
                <w:szCs w:val="18"/>
                <w:lang w:eastAsia="en-AU"/>
              </w:rPr>
              <w:t>Trainees</w:t>
            </w:r>
          </w:p>
        </w:tc>
        <w:tc>
          <w:tcPr>
            <w:tcW w:w="1284" w:type="dxa"/>
            <w:shd w:val="clear" w:color="000000" w:fill="366092"/>
            <w:noWrap/>
            <w:vAlign w:val="center"/>
          </w:tcPr>
          <w:p w:rsidR="00144BC3" w:rsidRPr="00C95D57" w:rsidRDefault="00144BC3" w:rsidP="00144BC3">
            <w:pPr>
              <w:spacing w:after="0" w:line="240" w:lineRule="auto"/>
              <w:jc w:val="right"/>
              <w:rPr>
                <w:rFonts w:cs="Arial"/>
                <w:b/>
                <w:bCs/>
                <w:color w:val="FFFFFF"/>
                <w:sz w:val="18"/>
                <w:szCs w:val="18"/>
                <w:lang w:eastAsia="en-AU"/>
              </w:rPr>
            </w:pPr>
            <w:r>
              <w:rPr>
                <w:rFonts w:cs="Arial"/>
                <w:b/>
                <w:bCs/>
                <w:color w:val="FFFFFF"/>
                <w:sz w:val="18"/>
                <w:szCs w:val="18"/>
              </w:rPr>
              <w:t>8%</w:t>
            </w:r>
          </w:p>
        </w:tc>
        <w:tc>
          <w:tcPr>
            <w:tcW w:w="1284" w:type="dxa"/>
            <w:shd w:val="clear" w:color="000000" w:fill="366092"/>
            <w:noWrap/>
            <w:vAlign w:val="center"/>
          </w:tcPr>
          <w:p w:rsidR="00144BC3" w:rsidRPr="00C95D57" w:rsidRDefault="00144BC3" w:rsidP="00144BC3">
            <w:pPr>
              <w:spacing w:after="0" w:line="240" w:lineRule="auto"/>
              <w:jc w:val="right"/>
              <w:rPr>
                <w:rFonts w:cs="Arial"/>
                <w:b/>
                <w:bCs/>
                <w:color w:val="FFFFFF"/>
                <w:sz w:val="18"/>
                <w:szCs w:val="18"/>
                <w:lang w:eastAsia="en-AU"/>
              </w:rPr>
            </w:pPr>
            <w:r>
              <w:rPr>
                <w:rFonts w:cs="Arial"/>
                <w:b/>
                <w:bCs/>
                <w:color w:val="FFFFFF"/>
                <w:sz w:val="18"/>
                <w:szCs w:val="18"/>
              </w:rPr>
              <w:t>-27%</w:t>
            </w:r>
          </w:p>
        </w:tc>
        <w:tc>
          <w:tcPr>
            <w:tcW w:w="1284" w:type="dxa"/>
            <w:shd w:val="clear" w:color="000000" w:fill="366092"/>
            <w:noWrap/>
            <w:vAlign w:val="center"/>
          </w:tcPr>
          <w:p w:rsidR="00144BC3" w:rsidRPr="00C95D57" w:rsidRDefault="00144BC3" w:rsidP="00144BC3">
            <w:pPr>
              <w:spacing w:after="0" w:line="240" w:lineRule="auto"/>
              <w:jc w:val="right"/>
              <w:rPr>
                <w:rFonts w:cs="Arial"/>
                <w:b/>
                <w:bCs/>
                <w:color w:val="FFFFFF"/>
                <w:sz w:val="18"/>
                <w:szCs w:val="18"/>
                <w:lang w:eastAsia="en-AU"/>
              </w:rPr>
            </w:pPr>
            <w:r>
              <w:rPr>
                <w:rFonts w:cs="Arial"/>
                <w:b/>
                <w:bCs/>
                <w:color w:val="FFFFFF"/>
                <w:sz w:val="18"/>
                <w:szCs w:val="18"/>
              </w:rPr>
              <w:t>-35%</w:t>
            </w:r>
          </w:p>
        </w:tc>
      </w:tr>
    </w:tbl>
    <w:p w:rsidR="001A4A54" w:rsidRDefault="001A4A54" w:rsidP="00F72C48">
      <w:pPr>
        <w:pStyle w:val="Caption"/>
        <w:spacing w:after="0"/>
        <w:jc w:val="left"/>
        <w:rPr>
          <w:rFonts w:cs="Arial"/>
          <w:color w:val="365F91" w:themeColor="accent1" w:themeShade="BF"/>
        </w:rPr>
      </w:pPr>
    </w:p>
    <w:p w:rsidR="001A4A54" w:rsidRPr="001A4A54" w:rsidRDefault="001A4A54" w:rsidP="001A4A54"/>
    <w:p w:rsidR="001A4A54" w:rsidRDefault="001A4A54" w:rsidP="00F72C48">
      <w:pPr>
        <w:pStyle w:val="Caption"/>
        <w:spacing w:after="0"/>
        <w:jc w:val="left"/>
        <w:rPr>
          <w:rFonts w:cs="Arial"/>
          <w:color w:val="365F91" w:themeColor="accent1" w:themeShade="BF"/>
        </w:rPr>
      </w:pPr>
    </w:p>
    <w:p w:rsidR="00F72C48" w:rsidRPr="00C66DA2" w:rsidRDefault="00F72C48" w:rsidP="00F72C48">
      <w:pPr>
        <w:pStyle w:val="Caption"/>
        <w:spacing w:after="0"/>
        <w:jc w:val="left"/>
        <w:rPr>
          <w:rFonts w:cs="Arial"/>
          <w:color w:val="365F91" w:themeColor="accent1" w:themeShade="BF"/>
        </w:rPr>
      </w:pPr>
      <w:r w:rsidRPr="00C66DA2">
        <w:rPr>
          <w:rFonts w:cs="Arial"/>
          <w:color w:val="365F91" w:themeColor="accent1" w:themeShade="BF"/>
        </w:rPr>
        <w:t>Table 3.</w:t>
      </w:r>
      <w:r w:rsidR="00C91B0A">
        <w:rPr>
          <w:rFonts w:cs="Arial"/>
          <w:color w:val="365F91" w:themeColor="accent1" w:themeShade="BF"/>
        </w:rPr>
        <w:t>9</w:t>
      </w:r>
      <w:r w:rsidRPr="00C66DA2">
        <w:rPr>
          <w:rFonts w:cs="Arial"/>
          <w:color w:val="365F91" w:themeColor="accent1" w:themeShade="BF"/>
        </w:rPr>
        <w:t>.1: Government subsid</w:t>
      </w:r>
      <w:r w:rsidR="000C304C">
        <w:rPr>
          <w:rFonts w:cs="Arial"/>
          <w:color w:val="365F91" w:themeColor="accent1" w:themeShade="BF"/>
        </w:rPr>
        <w:t>ised enrolments by T</w:t>
      </w:r>
      <w:r w:rsidRPr="00C66DA2">
        <w:rPr>
          <w:rFonts w:cs="Arial"/>
          <w:color w:val="365F91" w:themeColor="accent1" w:themeShade="BF"/>
        </w:rPr>
        <w:t>rainees by qualification level, 2008–201</w:t>
      </w:r>
      <w:r>
        <w:rPr>
          <w:rFonts w:cs="Arial"/>
          <w:color w:val="365F91" w:themeColor="accent1" w:themeShade="BF"/>
        </w:rPr>
        <w:t>3</w:t>
      </w:r>
    </w:p>
    <w:tbl>
      <w:tblPr>
        <w:tblW w:w="0" w:type="auto"/>
        <w:tblInd w:w="108" w:type="dxa"/>
        <w:tblLayout w:type="fixed"/>
        <w:tblLook w:val="04A0" w:firstRow="1" w:lastRow="0" w:firstColumn="1" w:lastColumn="0" w:noHBand="0" w:noVBand="1"/>
      </w:tblPr>
      <w:tblGrid>
        <w:gridCol w:w="1549"/>
        <w:gridCol w:w="1003"/>
        <w:gridCol w:w="1134"/>
        <w:gridCol w:w="1134"/>
        <w:gridCol w:w="992"/>
        <w:gridCol w:w="1134"/>
        <w:gridCol w:w="992"/>
      </w:tblGrid>
      <w:tr w:rsidR="003314B2" w:rsidRPr="009E27BE" w:rsidTr="001A4A54">
        <w:trPr>
          <w:trHeight w:val="475"/>
        </w:trPr>
        <w:tc>
          <w:tcPr>
            <w:tcW w:w="1549"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3314B2" w:rsidRPr="009E27BE" w:rsidRDefault="003314B2" w:rsidP="009E27BE">
            <w:pPr>
              <w:spacing w:after="0" w:line="240" w:lineRule="auto"/>
              <w:jc w:val="center"/>
              <w:rPr>
                <w:rFonts w:cs="Arial"/>
                <w:b/>
                <w:bCs/>
                <w:color w:val="FFFFFF"/>
                <w:sz w:val="16"/>
                <w:szCs w:val="16"/>
                <w:lang w:eastAsia="en-AU"/>
              </w:rPr>
            </w:pPr>
          </w:p>
        </w:tc>
        <w:tc>
          <w:tcPr>
            <w:tcW w:w="1003" w:type="dxa"/>
            <w:tcBorders>
              <w:top w:val="single" w:sz="4" w:space="0" w:color="366092"/>
              <w:left w:val="nil"/>
              <w:bottom w:val="single" w:sz="4" w:space="0" w:color="366092"/>
              <w:right w:val="single" w:sz="4" w:space="0" w:color="366092"/>
            </w:tcBorders>
            <w:shd w:val="clear" w:color="000000" w:fill="366092"/>
            <w:vAlign w:val="center"/>
            <w:hideMark/>
          </w:tcPr>
          <w:p w:rsidR="003314B2" w:rsidRPr="009E27BE" w:rsidRDefault="003314B2" w:rsidP="009E27BE">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2008</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3314B2" w:rsidRPr="009E27BE" w:rsidRDefault="003314B2" w:rsidP="009E27BE">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2009</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3314B2" w:rsidRPr="009E27BE" w:rsidRDefault="003314B2" w:rsidP="009E27BE">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2010</w:t>
            </w:r>
          </w:p>
        </w:tc>
        <w:tc>
          <w:tcPr>
            <w:tcW w:w="992" w:type="dxa"/>
            <w:tcBorders>
              <w:top w:val="single" w:sz="4" w:space="0" w:color="366092"/>
              <w:left w:val="nil"/>
              <w:bottom w:val="single" w:sz="4" w:space="0" w:color="366092"/>
              <w:right w:val="single" w:sz="4" w:space="0" w:color="366092"/>
            </w:tcBorders>
            <w:shd w:val="clear" w:color="000000" w:fill="366092"/>
            <w:vAlign w:val="center"/>
            <w:hideMark/>
          </w:tcPr>
          <w:p w:rsidR="003314B2" w:rsidRPr="009E27BE" w:rsidRDefault="003314B2" w:rsidP="009E27BE">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2011</w:t>
            </w:r>
          </w:p>
        </w:tc>
        <w:tc>
          <w:tcPr>
            <w:tcW w:w="1134" w:type="dxa"/>
            <w:tcBorders>
              <w:top w:val="single" w:sz="4" w:space="0" w:color="366092"/>
              <w:left w:val="nil"/>
              <w:bottom w:val="single" w:sz="4" w:space="0" w:color="366092"/>
              <w:right w:val="single" w:sz="4" w:space="0" w:color="366092"/>
            </w:tcBorders>
            <w:shd w:val="clear" w:color="000000" w:fill="366092"/>
            <w:vAlign w:val="center"/>
            <w:hideMark/>
          </w:tcPr>
          <w:p w:rsidR="003314B2" w:rsidRPr="009E27BE" w:rsidRDefault="003314B2" w:rsidP="009E27BE">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2012</w:t>
            </w:r>
          </w:p>
        </w:tc>
        <w:tc>
          <w:tcPr>
            <w:tcW w:w="992" w:type="dxa"/>
            <w:tcBorders>
              <w:top w:val="single" w:sz="4" w:space="0" w:color="366092"/>
              <w:left w:val="nil"/>
              <w:bottom w:val="single" w:sz="4" w:space="0" w:color="366092"/>
              <w:right w:val="single" w:sz="4" w:space="0" w:color="366092"/>
            </w:tcBorders>
            <w:shd w:val="clear" w:color="000000" w:fill="366092"/>
            <w:vAlign w:val="center"/>
            <w:hideMark/>
          </w:tcPr>
          <w:p w:rsidR="003314B2" w:rsidRPr="009E27BE" w:rsidRDefault="003314B2" w:rsidP="009E27BE">
            <w:pPr>
              <w:spacing w:after="0" w:line="240" w:lineRule="auto"/>
              <w:jc w:val="center"/>
              <w:rPr>
                <w:rFonts w:cs="Arial"/>
                <w:b/>
                <w:bCs/>
                <w:color w:val="FFFFFF"/>
                <w:sz w:val="16"/>
                <w:szCs w:val="16"/>
                <w:lang w:eastAsia="en-AU"/>
              </w:rPr>
            </w:pPr>
            <w:r w:rsidRPr="009E27BE">
              <w:rPr>
                <w:rFonts w:cs="Arial"/>
                <w:b/>
                <w:bCs/>
                <w:color w:val="FFFFFF"/>
                <w:sz w:val="16"/>
                <w:szCs w:val="16"/>
                <w:lang w:eastAsia="en-AU"/>
              </w:rPr>
              <w:t>2013</w:t>
            </w:r>
          </w:p>
        </w:tc>
      </w:tr>
      <w:tr w:rsidR="003314B2" w:rsidRPr="00C66DA2" w:rsidTr="001A4A54">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3314B2" w:rsidRPr="00C66DA2" w:rsidRDefault="003314B2" w:rsidP="00BF37DA">
            <w:pPr>
              <w:spacing w:after="0" w:line="240" w:lineRule="auto"/>
              <w:jc w:val="left"/>
              <w:rPr>
                <w:rFonts w:cs="Arial"/>
                <w:color w:val="366092"/>
                <w:szCs w:val="19"/>
                <w:lang w:eastAsia="en-AU"/>
              </w:rPr>
            </w:pPr>
            <w:r w:rsidRPr="00C66DA2">
              <w:rPr>
                <w:rFonts w:cs="Arial"/>
                <w:color w:val="366092"/>
                <w:szCs w:val="19"/>
                <w:lang w:eastAsia="en-AU"/>
              </w:rPr>
              <w:t>Cert I-II</w:t>
            </w:r>
          </w:p>
        </w:tc>
        <w:tc>
          <w:tcPr>
            <w:tcW w:w="1003"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10,200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11,100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11,700 </w:t>
            </w:r>
          </w:p>
        </w:tc>
        <w:tc>
          <w:tcPr>
            <w:tcW w:w="992"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8,900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4,200 </w:t>
            </w:r>
          </w:p>
        </w:tc>
        <w:tc>
          <w:tcPr>
            <w:tcW w:w="992"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2,600 </w:t>
            </w:r>
          </w:p>
        </w:tc>
      </w:tr>
      <w:tr w:rsidR="003314B2" w:rsidRPr="00C66DA2" w:rsidTr="001A4A54">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3314B2" w:rsidRPr="00C66DA2" w:rsidRDefault="003314B2" w:rsidP="00BF37DA">
            <w:pPr>
              <w:spacing w:after="0" w:line="240" w:lineRule="auto"/>
              <w:jc w:val="left"/>
              <w:rPr>
                <w:rFonts w:cs="Arial"/>
                <w:color w:val="366092"/>
                <w:szCs w:val="19"/>
                <w:lang w:eastAsia="en-AU"/>
              </w:rPr>
            </w:pPr>
            <w:r w:rsidRPr="00C66DA2">
              <w:rPr>
                <w:rFonts w:cs="Arial"/>
                <w:color w:val="366092"/>
                <w:szCs w:val="19"/>
                <w:lang w:eastAsia="en-AU"/>
              </w:rPr>
              <w:t>Cert III-IV</w:t>
            </w:r>
          </w:p>
        </w:tc>
        <w:tc>
          <w:tcPr>
            <w:tcW w:w="1003"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42,600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36,800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42,500 </w:t>
            </w:r>
          </w:p>
        </w:tc>
        <w:tc>
          <w:tcPr>
            <w:tcW w:w="992"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62,900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72,100 </w:t>
            </w:r>
          </w:p>
        </w:tc>
        <w:tc>
          <w:tcPr>
            <w:tcW w:w="992"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49,300 </w:t>
            </w:r>
          </w:p>
        </w:tc>
      </w:tr>
      <w:tr w:rsidR="003314B2" w:rsidRPr="00C66DA2" w:rsidTr="001A4A54">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3314B2" w:rsidRPr="00C66DA2" w:rsidRDefault="003314B2" w:rsidP="00BF37DA">
            <w:pPr>
              <w:spacing w:after="0" w:line="240" w:lineRule="auto"/>
              <w:jc w:val="left"/>
              <w:rPr>
                <w:rFonts w:cs="Arial"/>
                <w:color w:val="366092"/>
                <w:szCs w:val="19"/>
                <w:lang w:eastAsia="en-AU"/>
              </w:rPr>
            </w:pPr>
            <w:r w:rsidRPr="00C66DA2">
              <w:rPr>
                <w:rFonts w:cs="Arial"/>
                <w:color w:val="366092"/>
                <w:szCs w:val="19"/>
                <w:lang w:eastAsia="en-AU"/>
              </w:rPr>
              <w:t>Diploma &amp; Above</w:t>
            </w:r>
          </w:p>
        </w:tc>
        <w:tc>
          <w:tcPr>
            <w:tcW w:w="1003"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1,100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1,300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2,700 </w:t>
            </w:r>
          </w:p>
        </w:tc>
        <w:tc>
          <w:tcPr>
            <w:tcW w:w="992"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8,400 </w:t>
            </w:r>
          </w:p>
        </w:tc>
        <w:tc>
          <w:tcPr>
            <w:tcW w:w="1134"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13,000 </w:t>
            </w:r>
          </w:p>
        </w:tc>
        <w:tc>
          <w:tcPr>
            <w:tcW w:w="992" w:type="dxa"/>
            <w:tcBorders>
              <w:top w:val="nil"/>
              <w:left w:val="nil"/>
              <w:bottom w:val="single" w:sz="4" w:space="0" w:color="366092"/>
              <w:right w:val="single" w:sz="4" w:space="0" w:color="366092"/>
            </w:tcBorders>
            <w:shd w:val="clear" w:color="auto" w:fill="auto"/>
            <w:noWrap/>
            <w:vAlign w:val="center"/>
            <w:hideMark/>
          </w:tcPr>
          <w:p w:rsidR="003314B2" w:rsidRPr="00BF37DA" w:rsidRDefault="003314B2" w:rsidP="00BF37DA">
            <w:pPr>
              <w:spacing w:after="0" w:line="240" w:lineRule="auto"/>
              <w:jc w:val="right"/>
              <w:rPr>
                <w:rFonts w:cs="Arial"/>
                <w:color w:val="000000"/>
                <w:sz w:val="18"/>
                <w:szCs w:val="18"/>
                <w:lang w:eastAsia="en-AU"/>
              </w:rPr>
            </w:pPr>
            <w:r w:rsidRPr="00BF37DA">
              <w:rPr>
                <w:rFonts w:cs="Arial"/>
                <w:color w:val="000000"/>
                <w:sz w:val="18"/>
                <w:szCs w:val="18"/>
                <w:lang w:eastAsia="en-AU"/>
              </w:rPr>
              <w:t xml:space="preserve">      6,500 </w:t>
            </w:r>
          </w:p>
        </w:tc>
      </w:tr>
    </w:tbl>
    <w:p w:rsidR="00F72C48" w:rsidRDefault="00F72C48" w:rsidP="00F72C48">
      <w:pPr>
        <w:spacing w:after="0" w:line="240" w:lineRule="auto"/>
        <w:jc w:val="left"/>
        <w:rPr>
          <w:rFonts w:cs="Arial"/>
          <w:b/>
          <w:bCs/>
          <w:color w:val="76923C" w:themeColor="accent3" w:themeShade="BF"/>
          <w:sz w:val="18"/>
          <w:szCs w:val="16"/>
          <w:highlight w:val="cyan"/>
        </w:rPr>
      </w:pPr>
    </w:p>
    <w:p w:rsidR="00E96114" w:rsidRDefault="00E96114" w:rsidP="00F72C48">
      <w:pPr>
        <w:spacing w:after="0" w:line="240" w:lineRule="auto"/>
        <w:jc w:val="left"/>
        <w:rPr>
          <w:rFonts w:cs="Arial"/>
          <w:b/>
          <w:bCs/>
          <w:color w:val="76923C" w:themeColor="accent3" w:themeShade="BF"/>
          <w:sz w:val="18"/>
          <w:szCs w:val="16"/>
          <w:highlight w:val="cyan"/>
        </w:rPr>
      </w:pPr>
    </w:p>
    <w:p w:rsidR="00E96114" w:rsidRPr="00C66DA2" w:rsidRDefault="00E96114" w:rsidP="00E96114">
      <w:pPr>
        <w:pStyle w:val="Caption"/>
        <w:spacing w:after="0"/>
        <w:jc w:val="left"/>
        <w:rPr>
          <w:rFonts w:cs="Arial"/>
          <w:color w:val="365F91" w:themeColor="accent1" w:themeShade="BF"/>
        </w:rPr>
      </w:pPr>
      <w:r w:rsidRPr="00C66DA2">
        <w:rPr>
          <w:rFonts w:cs="Arial"/>
          <w:color w:val="365F91" w:themeColor="accent1" w:themeShade="BF"/>
        </w:rPr>
        <w:t>Table 3.</w:t>
      </w:r>
      <w:r w:rsidR="00C91B0A">
        <w:rPr>
          <w:rFonts w:cs="Arial"/>
          <w:color w:val="365F91" w:themeColor="accent1" w:themeShade="BF"/>
        </w:rPr>
        <w:t>9</w:t>
      </w:r>
      <w:r w:rsidRPr="00C66DA2">
        <w:rPr>
          <w:rFonts w:cs="Arial"/>
          <w:color w:val="365F91" w:themeColor="accent1" w:themeShade="BF"/>
        </w:rPr>
        <w:t>.</w:t>
      </w:r>
      <w:r>
        <w:rPr>
          <w:rFonts w:cs="Arial"/>
          <w:color w:val="365F91" w:themeColor="accent1" w:themeShade="BF"/>
        </w:rPr>
        <w:t>2: Change in g</w:t>
      </w:r>
      <w:r w:rsidRPr="00C66DA2">
        <w:rPr>
          <w:rFonts w:cs="Arial"/>
          <w:color w:val="365F91" w:themeColor="accent1" w:themeShade="BF"/>
        </w:rPr>
        <w:t>overnment subsid</w:t>
      </w:r>
      <w:r>
        <w:rPr>
          <w:rFonts w:cs="Arial"/>
          <w:color w:val="365F91" w:themeColor="accent1" w:themeShade="BF"/>
        </w:rPr>
        <w:t>ised enrolments by T</w:t>
      </w:r>
      <w:r w:rsidRPr="00C66DA2">
        <w:rPr>
          <w:rFonts w:cs="Arial"/>
          <w:color w:val="365F91" w:themeColor="accent1" w:themeShade="BF"/>
        </w:rPr>
        <w:t>rainees by qualification level, 2008–201</w:t>
      </w:r>
      <w:r>
        <w:rPr>
          <w:rFonts w:cs="Arial"/>
          <w:color w:val="365F91" w:themeColor="accent1" w:themeShade="BF"/>
        </w:rPr>
        <w:t>3</w:t>
      </w:r>
    </w:p>
    <w:tbl>
      <w:tblPr>
        <w:tblW w:w="0" w:type="auto"/>
        <w:tblInd w:w="108" w:type="dxa"/>
        <w:tblLayout w:type="fixed"/>
        <w:tblLook w:val="04A0" w:firstRow="1" w:lastRow="0" w:firstColumn="1" w:lastColumn="0" w:noHBand="0" w:noVBand="1"/>
      </w:tblPr>
      <w:tblGrid>
        <w:gridCol w:w="1549"/>
        <w:gridCol w:w="1184"/>
        <w:gridCol w:w="1185"/>
        <w:gridCol w:w="1185"/>
      </w:tblGrid>
      <w:tr w:rsidR="00E96114" w:rsidRPr="009E27BE" w:rsidTr="00E96114">
        <w:trPr>
          <w:trHeight w:val="475"/>
        </w:trPr>
        <w:tc>
          <w:tcPr>
            <w:tcW w:w="1549" w:type="dxa"/>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E96114" w:rsidRPr="00E96114" w:rsidRDefault="00E96114" w:rsidP="00144BC3">
            <w:pPr>
              <w:spacing w:after="0" w:line="240" w:lineRule="auto"/>
              <w:jc w:val="center"/>
              <w:rPr>
                <w:rFonts w:cs="Arial"/>
                <w:b/>
                <w:bCs/>
                <w:color w:val="FFFFFF"/>
                <w:sz w:val="18"/>
                <w:szCs w:val="18"/>
                <w:lang w:eastAsia="en-AU"/>
              </w:rPr>
            </w:pPr>
          </w:p>
        </w:tc>
        <w:tc>
          <w:tcPr>
            <w:tcW w:w="1184" w:type="dxa"/>
            <w:tcBorders>
              <w:top w:val="single" w:sz="4" w:space="0" w:color="366092"/>
              <w:left w:val="nil"/>
              <w:bottom w:val="single" w:sz="4" w:space="0" w:color="366092"/>
              <w:right w:val="single" w:sz="4" w:space="0" w:color="366092"/>
            </w:tcBorders>
            <w:shd w:val="clear" w:color="000000" w:fill="366092"/>
            <w:vAlign w:val="center"/>
            <w:hideMark/>
          </w:tcPr>
          <w:p w:rsidR="00E96114" w:rsidRPr="00E96114" w:rsidRDefault="00E96114" w:rsidP="00144BC3">
            <w:pPr>
              <w:spacing w:after="0" w:line="240" w:lineRule="auto"/>
              <w:jc w:val="center"/>
              <w:rPr>
                <w:rFonts w:cs="Arial"/>
                <w:b/>
                <w:bCs/>
                <w:color w:val="FFFFFF"/>
                <w:sz w:val="18"/>
                <w:szCs w:val="18"/>
                <w:lang w:eastAsia="en-AU"/>
              </w:rPr>
            </w:pPr>
            <w:r w:rsidRPr="007C4E08">
              <w:rPr>
                <w:rFonts w:cs="Arial"/>
                <w:b/>
                <w:bCs/>
                <w:color w:val="FFFFFF"/>
                <w:sz w:val="18"/>
                <w:szCs w:val="18"/>
                <w:lang w:eastAsia="en-AU"/>
              </w:rPr>
              <w:t>% change 2008-2013</w:t>
            </w:r>
          </w:p>
        </w:tc>
        <w:tc>
          <w:tcPr>
            <w:tcW w:w="1185" w:type="dxa"/>
            <w:tcBorders>
              <w:top w:val="single" w:sz="4" w:space="0" w:color="366092"/>
              <w:left w:val="nil"/>
              <w:bottom w:val="single" w:sz="4" w:space="0" w:color="366092"/>
              <w:right w:val="single" w:sz="4" w:space="0" w:color="366092"/>
            </w:tcBorders>
            <w:shd w:val="clear" w:color="000000" w:fill="366092"/>
            <w:vAlign w:val="center"/>
            <w:hideMark/>
          </w:tcPr>
          <w:p w:rsidR="00E96114" w:rsidRPr="00E96114" w:rsidRDefault="00E96114" w:rsidP="00144BC3">
            <w:pPr>
              <w:spacing w:after="0" w:line="240" w:lineRule="auto"/>
              <w:jc w:val="center"/>
              <w:rPr>
                <w:rFonts w:cs="Arial"/>
                <w:b/>
                <w:bCs/>
                <w:color w:val="FFFFFF"/>
                <w:sz w:val="18"/>
                <w:szCs w:val="18"/>
                <w:lang w:eastAsia="en-AU"/>
              </w:rPr>
            </w:pPr>
            <w:r w:rsidRPr="007C4E08">
              <w:rPr>
                <w:rFonts w:cs="Arial"/>
                <w:b/>
                <w:bCs/>
                <w:color w:val="FFFFFF"/>
                <w:sz w:val="18"/>
                <w:szCs w:val="18"/>
                <w:lang w:eastAsia="en-AU"/>
              </w:rPr>
              <w:t>% change 2011-2013</w:t>
            </w:r>
          </w:p>
        </w:tc>
        <w:tc>
          <w:tcPr>
            <w:tcW w:w="1185" w:type="dxa"/>
            <w:tcBorders>
              <w:top w:val="single" w:sz="4" w:space="0" w:color="366092"/>
              <w:left w:val="nil"/>
              <w:bottom w:val="single" w:sz="4" w:space="0" w:color="366092"/>
              <w:right w:val="single" w:sz="4" w:space="0" w:color="366092"/>
            </w:tcBorders>
            <w:shd w:val="clear" w:color="000000" w:fill="366092"/>
            <w:vAlign w:val="center"/>
            <w:hideMark/>
          </w:tcPr>
          <w:p w:rsidR="00E96114" w:rsidRPr="00E96114" w:rsidRDefault="00E96114" w:rsidP="00144BC3">
            <w:pPr>
              <w:spacing w:after="0" w:line="240" w:lineRule="auto"/>
              <w:jc w:val="center"/>
              <w:rPr>
                <w:rFonts w:cs="Arial"/>
                <w:b/>
                <w:bCs/>
                <w:color w:val="FFFFFF"/>
                <w:sz w:val="18"/>
                <w:szCs w:val="18"/>
                <w:lang w:eastAsia="en-AU"/>
              </w:rPr>
            </w:pPr>
            <w:r w:rsidRPr="007C4E08">
              <w:rPr>
                <w:rFonts w:cs="Arial"/>
                <w:b/>
                <w:bCs/>
                <w:color w:val="FFFFFF"/>
                <w:sz w:val="18"/>
                <w:szCs w:val="18"/>
                <w:lang w:eastAsia="en-AU"/>
              </w:rPr>
              <w:t>% change 2012-2013</w:t>
            </w:r>
          </w:p>
        </w:tc>
      </w:tr>
      <w:tr w:rsidR="00144BC3" w:rsidRPr="00C66DA2" w:rsidTr="00E96114">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144BC3" w:rsidRPr="00E96114" w:rsidRDefault="00144BC3" w:rsidP="00144BC3">
            <w:pPr>
              <w:spacing w:after="0" w:line="240" w:lineRule="auto"/>
              <w:jc w:val="left"/>
              <w:rPr>
                <w:rFonts w:cs="Arial"/>
                <w:color w:val="366092"/>
                <w:sz w:val="18"/>
                <w:szCs w:val="18"/>
                <w:lang w:eastAsia="en-AU"/>
              </w:rPr>
            </w:pPr>
            <w:r w:rsidRPr="00E96114">
              <w:rPr>
                <w:rFonts w:cs="Arial"/>
                <w:color w:val="366092"/>
                <w:sz w:val="18"/>
                <w:szCs w:val="18"/>
                <w:lang w:eastAsia="en-AU"/>
              </w:rPr>
              <w:t>Cert I-II</w:t>
            </w:r>
          </w:p>
        </w:tc>
        <w:tc>
          <w:tcPr>
            <w:tcW w:w="1184"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-75%</w:t>
            </w:r>
          </w:p>
        </w:tc>
        <w:tc>
          <w:tcPr>
            <w:tcW w:w="1185"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-71%</w:t>
            </w:r>
          </w:p>
        </w:tc>
        <w:tc>
          <w:tcPr>
            <w:tcW w:w="1185"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-39%</w:t>
            </w:r>
          </w:p>
        </w:tc>
      </w:tr>
      <w:tr w:rsidR="00144BC3" w:rsidRPr="00C66DA2" w:rsidTr="00E96114">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144BC3" w:rsidRPr="00E96114" w:rsidRDefault="00144BC3" w:rsidP="00144BC3">
            <w:pPr>
              <w:spacing w:after="0" w:line="240" w:lineRule="auto"/>
              <w:jc w:val="left"/>
              <w:rPr>
                <w:rFonts w:cs="Arial"/>
                <w:color w:val="366092"/>
                <w:sz w:val="18"/>
                <w:szCs w:val="18"/>
                <w:lang w:eastAsia="en-AU"/>
              </w:rPr>
            </w:pPr>
            <w:r w:rsidRPr="00E96114">
              <w:rPr>
                <w:rFonts w:cs="Arial"/>
                <w:color w:val="366092"/>
                <w:sz w:val="18"/>
                <w:szCs w:val="18"/>
                <w:lang w:eastAsia="en-AU"/>
              </w:rPr>
              <w:t>Cert III-IV</w:t>
            </w:r>
          </w:p>
        </w:tc>
        <w:tc>
          <w:tcPr>
            <w:tcW w:w="1184"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16%</w:t>
            </w:r>
          </w:p>
        </w:tc>
        <w:tc>
          <w:tcPr>
            <w:tcW w:w="1185"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-22%</w:t>
            </w:r>
          </w:p>
        </w:tc>
        <w:tc>
          <w:tcPr>
            <w:tcW w:w="1185"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-32%</w:t>
            </w:r>
          </w:p>
        </w:tc>
      </w:tr>
      <w:tr w:rsidR="00144BC3" w:rsidRPr="00C66DA2" w:rsidTr="00E96114">
        <w:trPr>
          <w:trHeight w:val="300"/>
        </w:trPr>
        <w:tc>
          <w:tcPr>
            <w:tcW w:w="1549" w:type="dxa"/>
            <w:tcBorders>
              <w:top w:val="nil"/>
              <w:left w:val="single" w:sz="4" w:space="0" w:color="366092"/>
              <w:bottom w:val="single" w:sz="4" w:space="0" w:color="366092"/>
              <w:right w:val="single" w:sz="4" w:space="0" w:color="366092"/>
            </w:tcBorders>
            <w:shd w:val="clear" w:color="auto" w:fill="auto"/>
            <w:noWrap/>
            <w:vAlign w:val="center"/>
            <w:hideMark/>
          </w:tcPr>
          <w:p w:rsidR="00144BC3" w:rsidRPr="00E96114" w:rsidRDefault="00144BC3" w:rsidP="00144BC3">
            <w:pPr>
              <w:spacing w:after="0" w:line="240" w:lineRule="auto"/>
              <w:jc w:val="left"/>
              <w:rPr>
                <w:rFonts w:cs="Arial"/>
                <w:color w:val="366092"/>
                <w:sz w:val="18"/>
                <w:szCs w:val="18"/>
                <w:lang w:eastAsia="en-AU"/>
              </w:rPr>
            </w:pPr>
            <w:r w:rsidRPr="00E96114">
              <w:rPr>
                <w:rFonts w:cs="Arial"/>
                <w:color w:val="366092"/>
                <w:sz w:val="18"/>
                <w:szCs w:val="18"/>
                <w:lang w:eastAsia="en-AU"/>
              </w:rPr>
              <w:t>Diploma &amp; Above</w:t>
            </w:r>
          </w:p>
        </w:tc>
        <w:tc>
          <w:tcPr>
            <w:tcW w:w="1184"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517%</w:t>
            </w:r>
          </w:p>
        </w:tc>
        <w:tc>
          <w:tcPr>
            <w:tcW w:w="1185"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-22%</w:t>
            </w:r>
          </w:p>
        </w:tc>
        <w:tc>
          <w:tcPr>
            <w:tcW w:w="1185" w:type="dxa"/>
            <w:tcBorders>
              <w:top w:val="nil"/>
              <w:left w:val="nil"/>
              <w:bottom w:val="single" w:sz="4" w:space="0" w:color="366092"/>
              <w:right w:val="single" w:sz="4" w:space="0" w:color="366092"/>
            </w:tcBorders>
            <w:shd w:val="clear" w:color="auto" w:fill="auto"/>
            <w:noWrap/>
            <w:vAlign w:val="center"/>
          </w:tcPr>
          <w:p w:rsidR="00144BC3" w:rsidRPr="00E96114" w:rsidRDefault="00144BC3" w:rsidP="00144BC3">
            <w:pPr>
              <w:spacing w:after="0" w:line="240" w:lineRule="auto"/>
              <w:jc w:val="right"/>
              <w:rPr>
                <w:rFonts w:cs="Arial"/>
                <w:color w:val="000000"/>
                <w:sz w:val="18"/>
                <w:szCs w:val="18"/>
                <w:lang w:eastAsia="en-AU"/>
              </w:rPr>
            </w:pPr>
            <w:r>
              <w:rPr>
                <w:rFonts w:cs="Arial"/>
                <w:sz w:val="18"/>
                <w:szCs w:val="18"/>
              </w:rPr>
              <w:t>-50%</w:t>
            </w:r>
          </w:p>
        </w:tc>
      </w:tr>
    </w:tbl>
    <w:p w:rsidR="00E96114" w:rsidRPr="000D77C3" w:rsidRDefault="00E96114" w:rsidP="00F72C48">
      <w:pPr>
        <w:spacing w:after="0" w:line="240" w:lineRule="auto"/>
        <w:jc w:val="left"/>
        <w:rPr>
          <w:rFonts w:cs="Arial"/>
          <w:b/>
          <w:bCs/>
          <w:color w:val="76923C" w:themeColor="accent3" w:themeShade="BF"/>
          <w:sz w:val="18"/>
          <w:szCs w:val="16"/>
          <w:highlight w:val="cyan"/>
        </w:rPr>
      </w:pPr>
    </w:p>
    <w:p w:rsidR="003314B2" w:rsidRDefault="003314B2" w:rsidP="00F72C48">
      <w:pPr>
        <w:pStyle w:val="Caption"/>
        <w:spacing w:after="0"/>
        <w:jc w:val="left"/>
        <w:rPr>
          <w:rFonts w:cs="Arial"/>
          <w:color w:val="365F91" w:themeColor="accent1" w:themeShade="BF"/>
        </w:rPr>
      </w:pPr>
    </w:p>
    <w:p w:rsidR="00E96114" w:rsidRDefault="00E96114">
      <w:pPr>
        <w:spacing w:after="0" w:line="240" w:lineRule="auto"/>
        <w:jc w:val="left"/>
        <w:rPr>
          <w:rFonts w:cs="Arial"/>
          <w:b/>
          <w:bCs/>
          <w:color w:val="365F91" w:themeColor="accent1" w:themeShade="BF"/>
          <w:sz w:val="18"/>
          <w:szCs w:val="16"/>
        </w:rPr>
      </w:pPr>
      <w:r>
        <w:rPr>
          <w:rFonts w:cs="Arial"/>
          <w:color w:val="365F91" w:themeColor="accent1" w:themeShade="BF"/>
        </w:rPr>
        <w:br w:type="page"/>
      </w:r>
    </w:p>
    <w:p w:rsidR="00F72C48" w:rsidRPr="00C66DA2" w:rsidRDefault="00F72C48" w:rsidP="00F72C48">
      <w:pPr>
        <w:pStyle w:val="Caption"/>
        <w:spacing w:after="0"/>
        <w:jc w:val="left"/>
        <w:rPr>
          <w:rFonts w:cs="Arial"/>
          <w:color w:val="365F91" w:themeColor="accent1" w:themeShade="BF"/>
        </w:rPr>
      </w:pPr>
      <w:r w:rsidRPr="00C66DA2">
        <w:rPr>
          <w:rFonts w:cs="Arial"/>
          <w:color w:val="365F91" w:themeColor="accent1" w:themeShade="BF"/>
        </w:rPr>
        <w:t>Table 3.</w:t>
      </w:r>
      <w:r w:rsidR="00C91B0A">
        <w:rPr>
          <w:rFonts w:cs="Arial"/>
          <w:color w:val="365F91" w:themeColor="accent1" w:themeShade="BF"/>
        </w:rPr>
        <w:t>10.1</w:t>
      </w:r>
      <w:r w:rsidRPr="00C66DA2">
        <w:rPr>
          <w:rFonts w:cs="Arial"/>
          <w:color w:val="365F91" w:themeColor="accent1" w:themeShade="BF"/>
        </w:rPr>
        <w:t xml:space="preserve">: Government subsidised enrolments by </w:t>
      </w:r>
      <w:r w:rsidR="000C304C">
        <w:rPr>
          <w:rFonts w:cs="Arial"/>
          <w:color w:val="365F91" w:themeColor="accent1" w:themeShade="BF"/>
        </w:rPr>
        <w:t>T</w:t>
      </w:r>
      <w:r w:rsidRPr="00C66DA2">
        <w:rPr>
          <w:rFonts w:cs="Arial"/>
          <w:color w:val="365F91" w:themeColor="accent1" w:themeShade="BF"/>
        </w:rPr>
        <w:t xml:space="preserve">rainees by industry, </w:t>
      </w:r>
      <w:r w:rsidRPr="00331F30">
        <w:rPr>
          <w:rFonts w:cs="Arial"/>
          <w:color w:val="365F91" w:themeColor="accent1" w:themeShade="BF"/>
        </w:rPr>
        <w:t>20</w:t>
      </w:r>
      <w:r>
        <w:rPr>
          <w:rFonts w:cs="Arial"/>
          <w:color w:val="365F91" w:themeColor="accent1" w:themeShade="BF"/>
        </w:rPr>
        <w:t xml:space="preserve">08- </w:t>
      </w:r>
      <w:r w:rsidRPr="00331F30">
        <w:rPr>
          <w:rFonts w:cs="Arial"/>
          <w:color w:val="365F91" w:themeColor="accent1" w:themeShade="BF"/>
        </w:rPr>
        <w:t>2013</w:t>
      </w:r>
    </w:p>
    <w:tbl>
      <w:tblPr>
        <w:tblW w:w="4350" w:type="pct"/>
        <w:tblInd w:w="108" w:type="dxa"/>
        <w:tblLayout w:type="fixed"/>
        <w:tblLook w:val="04A0" w:firstRow="1" w:lastRow="0" w:firstColumn="1" w:lastColumn="0" w:noHBand="0" w:noVBand="1"/>
      </w:tblPr>
      <w:tblGrid>
        <w:gridCol w:w="3123"/>
        <w:gridCol w:w="826"/>
        <w:gridCol w:w="827"/>
        <w:gridCol w:w="826"/>
        <w:gridCol w:w="827"/>
        <w:gridCol w:w="826"/>
        <w:gridCol w:w="826"/>
      </w:tblGrid>
      <w:tr w:rsidR="003314B2" w:rsidRPr="003314B2" w:rsidTr="003314B2">
        <w:trPr>
          <w:trHeight w:val="450"/>
        </w:trPr>
        <w:tc>
          <w:tcPr>
            <w:tcW w:w="1932" w:type="pct"/>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left"/>
              <w:rPr>
                <w:rFonts w:cs="Arial"/>
                <w:b/>
                <w:bCs/>
                <w:color w:val="FFFFFF"/>
                <w:sz w:val="18"/>
                <w:szCs w:val="18"/>
                <w:lang w:eastAsia="en-AU"/>
              </w:rPr>
            </w:pPr>
            <w:r w:rsidRPr="003314B2">
              <w:rPr>
                <w:rFonts w:cs="Arial"/>
                <w:b/>
                <w:bCs/>
                <w:color w:val="FFFFFF"/>
                <w:sz w:val="18"/>
                <w:szCs w:val="18"/>
                <w:lang w:eastAsia="en-AU"/>
              </w:rPr>
              <w:t> </w:t>
            </w:r>
          </w:p>
        </w:tc>
        <w:tc>
          <w:tcPr>
            <w:tcW w:w="511"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440176">
            <w:pPr>
              <w:spacing w:after="0" w:line="240" w:lineRule="auto"/>
              <w:jc w:val="right"/>
              <w:rPr>
                <w:rFonts w:cs="Arial"/>
                <w:b/>
                <w:bCs/>
                <w:color w:val="FFFFFF"/>
                <w:sz w:val="18"/>
                <w:szCs w:val="18"/>
                <w:lang w:eastAsia="en-AU"/>
              </w:rPr>
            </w:pPr>
            <w:r w:rsidRPr="003314B2">
              <w:rPr>
                <w:rFonts w:cs="Arial"/>
                <w:b/>
                <w:bCs/>
                <w:color w:val="FFFFFF"/>
                <w:sz w:val="18"/>
                <w:szCs w:val="18"/>
                <w:lang w:eastAsia="en-AU"/>
              </w:rPr>
              <w:t>2008</w:t>
            </w:r>
          </w:p>
        </w:tc>
        <w:tc>
          <w:tcPr>
            <w:tcW w:w="512"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440176">
            <w:pPr>
              <w:spacing w:after="0" w:line="240" w:lineRule="auto"/>
              <w:jc w:val="right"/>
              <w:rPr>
                <w:rFonts w:cs="Arial"/>
                <w:b/>
                <w:bCs/>
                <w:color w:val="FFFFFF"/>
                <w:sz w:val="18"/>
                <w:szCs w:val="18"/>
                <w:lang w:eastAsia="en-AU"/>
              </w:rPr>
            </w:pPr>
            <w:r w:rsidRPr="003314B2">
              <w:rPr>
                <w:rFonts w:cs="Arial"/>
                <w:b/>
                <w:bCs/>
                <w:color w:val="FFFFFF"/>
                <w:sz w:val="18"/>
                <w:szCs w:val="18"/>
                <w:lang w:eastAsia="en-AU"/>
              </w:rPr>
              <w:t>2009</w:t>
            </w:r>
          </w:p>
        </w:tc>
        <w:tc>
          <w:tcPr>
            <w:tcW w:w="511"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440176">
            <w:pPr>
              <w:spacing w:after="0" w:line="240" w:lineRule="auto"/>
              <w:jc w:val="right"/>
              <w:rPr>
                <w:rFonts w:cs="Arial"/>
                <w:b/>
                <w:bCs/>
                <w:color w:val="FFFFFF"/>
                <w:sz w:val="18"/>
                <w:szCs w:val="18"/>
                <w:lang w:eastAsia="en-AU"/>
              </w:rPr>
            </w:pPr>
            <w:r w:rsidRPr="003314B2">
              <w:rPr>
                <w:rFonts w:cs="Arial"/>
                <w:b/>
                <w:bCs/>
                <w:color w:val="FFFFFF"/>
                <w:sz w:val="18"/>
                <w:szCs w:val="18"/>
                <w:lang w:eastAsia="en-AU"/>
              </w:rPr>
              <w:t>2010</w:t>
            </w:r>
          </w:p>
        </w:tc>
        <w:tc>
          <w:tcPr>
            <w:tcW w:w="512"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440176">
            <w:pPr>
              <w:spacing w:after="0" w:line="240" w:lineRule="auto"/>
              <w:jc w:val="right"/>
              <w:rPr>
                <w:rFonts w:cs="Arial"/>
                <w:b/>
                <w:bCs/>
                <w:color w:val="FFFFFF"/>
                <w:sz w:val="18"/>
                <w:szCs w:val="18"/>
                <w:lang w:eastAsia="en-AU"/>
              </w:rPr>
            </w:pPr>
            <w:r w:rsidRPr="003314B2">
              <w:rPr>
                <w:rFonts w:cs="Arial"/>
                <w:b/>
                <w:bCs/>
                <w:color w:val="FFFFFF"/>
                <w:sz w:val="18"/>
                <w:szCs w:val="18"/>
                <w:lang w:eastAsia="en-AU"/>
              </w:rPr>
              <w:t>2011</w:t>
            </w:r>
          </w:p>
        </w:tc>
        <w:tc>
          <w:tcPr>
            <w:tcW w:w="511"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440176">
            <w:pPr>
              <w:spacing w:after="0" w:line="240" w:lineRule="auto"/>
              <w:jc w:val="right"/>
              <w:rPr>
                <w:rFonts w:cs="Arial"/>
                <w:b/>
                <w:bCs/>
                <w:color w:val="FFFFFF"/>
                <w:sz w:val="18"/>
                <w:szCs w:val="18"/>
                <w:lang w:eastAsia="en-AU"/>
              </w:rPr>
            </w:pPr>
            <w:r w:rsidRPr="003314B2">
              <w:rPr>
                <w:rFonts w:cs="Arial"/>
                <w:b/>
                <w:bCs/>
                <w:color w:val="FFFFFF"/>
                <w:sz w:val="18"/>
                <w:szCs w:val="18"/>
                <w:lang w:eastAsia="en-AU"/>
              </w:rPr>
              <w:t>2012</w:t>
            </w:r>
          </w:p>
        </w:tc>
        <w:tc>
          <w:tcPr>
            <w:tcW w:w="512"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440176">
            <w:pPr>
              <w:spacing w:after="0" w:line="240" w:lineRule="auto"/>
              <w:jc w:val="right"/>
              <w:rPr>
                <w:rFonts w:cs="Arial"/>
                <w:b/>
                <w:bCs/>
                <w:color w:val="FFFFFF"/>
                <w:sz w:val="18"/>
                <w:szCs w:val="18"/>
                <w:lang w:eastAsia="en-AU"/>
              </w:rPr>
            </w:pPr>
            <w:r w:rsidRPr="003314B2">
              <w:rPr>
                <w:rFonts w:cs="Arial"/>
                <w:b/>
                <w:bCs/>
                <w:color w:val="FFFFFF"/>
                <w:sz w:val="18"/>
                <w:szCs w:val="18"/>
                <w:lang w:eastAsia="en-AU"/>
              </w:rPr>
              <w:t>2013</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A: Agriculture, Forestry and Fishing</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1,100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1,100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1,700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2,100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B: Mining</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90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C: Manufacturing</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3,500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3,100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4,900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10,900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14,400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12,900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D: Electricity, Gas, Water and Waste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E: Construction</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700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900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950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F: Wholesale Trade</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G: Retail Trade</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14,900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13,300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18,300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18,300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7,300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H: Accommodation and Food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8,000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7,900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8,500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10,100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10,700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5,600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I: Transport, Postal and Warehousing</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3,400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2,600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3,100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5,200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6,500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6,000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J: Information Media and Telecommunications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K: Financial and Insurance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550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L: Rental, Hiring and Real Estate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M: Professional, Scientific and Technical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N: Administrative and Support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6,700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4,600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5,700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7,200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6,600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4,000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O: Public Administration and Safety</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80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250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P: Education and Training</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450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1,100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Q: Health Care and Social Assistance</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6,100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6,400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6,700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7,500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7,800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6,700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R: Arts and Recreation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1,800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2,300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2,200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2,700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2,600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1,000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S: Other Services</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550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550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300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FFFFFF"/>
            <w:noWrap/>
            <w:vAlign w:val="center"/>
            <w:hideMark/>
          </w:tcPr>
          <w:p w:rsidR="003314B2" w:rsidRPr="003314B2" w:rsidRDefault="003314B2" w:rsidP="00440176">
            <w:pPr>
              <w:spacing w:after="0" w:line="240" w:lineRule="auto"/>
              <w:jc w:val="left"/>
              <w:rPr>
                <w:rFonts w:cs="Arial"/>
                <w:color w:val="366092"/>
                <w:sz w:val="18"/>
                <w:szCs w:val="18"/>
                <w:lang w:eastAsia="en-AU"/>
              </w:rPr>
            </w:pPr>
            <w:r w:rsidRPr="003314B2">
              <w:rPr>
                <w:rFonts w:cs="Arial"/>
                <w:color w:val="366092"/>
                <w:sz w:val="18"/>
                <w:szCs w:val="18"/>
                <w:lang w:eastAsia="en-AU"/>
              </w:rPr>
              <w:t>T: Cross-industry</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5,400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5,100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6,800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12,800</w:t>
            </w:r>
          </w:p>
        </w:tc>
        <w:tc>
          <w:tcPr>
            <w:tcW w:w="511"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16,200</w:t>
            </w:r>
          </w:p>
        </w:tc>
        <w:tc>
          <w:tcPr>
            <w:tcW w:w="512" w:type="pct"/>
            <w:tcBorders>
              <w:top w:val="nil"/>
              <w:left w:val="nil"/>
              <w:bottom w:val="single" w:sz="4" w:space="0" w:color="366092"/>
              <w:right w:val="single" w:sz="4" w:space="0" w:color="366092"/>
            </w:tcBorders>
            <w:shd w:val="clear" w:color="auto" w:fill="auto"/>
            <w:noWrap/>
            <w:vAlign w:val="center"/>
            <w:hideMark/>
          </w:tcPr>
          <w:p w:rsidR="003314B2" w:rsidRPr="003314B2" w:rsidRDefault="003314B2" w:rsidP="00440176">
            <w:pPr>
              <w:spacing w:after="0" w:line="240" w:lineRule="auto"/>
              <w:jc w:val="right"/>
              <w:rPr>
                <w:rFonts w:cs="Arial"/>
                <w:color w:val="000000"/>
                <w:sz w:val="18"/>
                <w:szCs w:val="18"/>
                <w:lang w:eastAsia="en-AU"/>
              </w:rPr>
            </w:pPr>
            <w:r w:rsidRPr="003314B2">
              <w:rPr>
                <w:rFonts w:cs="Arial"/>
                <w:color w:val="000000"/>
                <w:sz w:val="18"/>
                <w:szCs w:val="18"/>
                <w:lang w:eastAsia="en-AU"/>
              </w:rPr>
              <w:t>7,800</w:t>
            </w:r>
          </w:p>
        </w:tc>
      </w:tr>
      <w:tr w:rsidR="003314B2" w:rsidRPr="003314B2" w:rsidTr="003314B2">
        <w:trPr>
          <w:trHeight w:val="300"/>
        </w:trPr>
        <w:tc>
          <w:tcPr>
            <w:tcW w:w="1932" w:type="pct"/>
            <w:tcBorders>
              <w:top w:val="nil"/>
              <w:left w:val="single" w:sz="4" w:space="0" w:color="366092"/>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left"/>
              <w:rPr>
                <w:rFonts w:cs="Arial"/>
                <w:bCs/>
                <w:color w:val="FFFFFF"/>
                <w:sz w:val="18"/>
                <w:szCs w:val="18"/>
                <w:lang w:eastAsia="en-AU"/>
              </w:rPr>
            </w:pPr>
            <w:r w:rsidRPr="003314B2">
              <w:rPr>
                <w:rFonts w:cs="Arial"/>
                <w:bCs/>
                <w:color w:val="FFFFFF"/>
                <w:sz w:val="18"/>
                <w:szCs w:val="18"/>
                <w:lang w:eastAsia="en-AU"/>
              </w:rPr>
              <w:t>Trainees</w:t>
            </w:r>
          </w:p>
        </w:tc>
        <w:tc>
          <w:tcPr>
            <w:tcW w:w="511" w:type="pct"/>
            <w:tcBorders>
              <w:top w:val="nil"/>
              <w:left w:val="nil"/>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right"/>
              <w:rPr>
                <w:rFonts w:cs="Arial"/>
                <w:color w:val="FFFFFF"/>
                <w:sz w:val="18"/>
                <w:szCs w:val="18"/>
                <w:lang w:eastAsia="en-AU"/>
              </w:rPr>
            </w:pPr>
            <w:r w:rsidRPr="003314B2">
              <w:rPr>
                <w:rFonts w:cs="Arial"/>
                <w:color w:val="FFFFFF"/>
                <w:sz w:val="18"/>
                <w:szCs w:val="18"/>
                <w:lang w:eastAsia="en-AU"/>
              </w:rPr>
              <w:t>54,000</w:t>
            </w:r>
          </w:p>
        </w:tc>
        <w:tc>
          <w:tcPr>
            <w:tcW w:w="512" w:type="pct"/>
            <w:tcBorders>
              <w:top w:val="nil"/>
              <w:left w:val="nil"/>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right"/>
              <w:rPr>
                <w:rFonts w:cs="Arial"/>
                <w:color w:val="FFFFFF"/>
                <w:sz w:val="18"/>
                <w:szCs w:val="18"/>
                <w:lang w:eastAsia="en-AU"/>
              </w:rPr>
            </w:pPr>
            <w:r w:rsidRPr="003314B2">
              <w:rPr>
                <w:rFonts w:cs="Arial"/>
                <w:color w:val="FFFFFF"/>
                <w:sz w:val="18"/>
                <w:szCs w:val="18"/>
                <w:lang w:eastAsia="en-AU"/>
              </w:rPr>
              <w:t>49,200</w:t>
            </w:r>
          </w:p>
        </w:tc>
        <w:tc>
          <w:tcPr>
            <w:tcW w:w="511" w:type="pct"/>
            <w:tcBorders>
              <w:top w:val="nil"/>
              <w:left w:val="nil"/>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right"/>
              <w:rPr>
                <w:rFonts w:cs="Arial"/>
                <w:color w:val="FFFFFF"/>
                <w:sz w:val="18"/>
                <w:szCs w:val="18"/>
                <w:lang w:eastAsia="en-AU"/>
              </w:rPr>
            </w:pPr>
            <w:r w:rsidRPr="003314B2">
              <w:rPr>
                <w:rFonts w:cs="Arial"/>
                <w:color w:val="FFFFFF"/>
                <w:sz w:val="18"/>
                <w:szCs w:val="18"/>
                <w:lang w:eastAsia="en-AU"/>
              </w:rPr>
              <w:t>56,900</w:t>
            </w:r>
          </w:p>
        </w:tc>
        <w:tc>
          <w:tcPr>
            <w:tcW w:w="512" w:type="pct"/>
            <w:tcBorders>
              <w:top w:val="nil"/>
              <w:left w:val="nil"/>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right"/>
              <w:rPr>
                <w:rFonts w:cs="Arial"/>
                <w:color w:val="FFFFFF"/>
                <w:sz w:val="18"/>
                <w:szCs w:val="18"/>
                <w:lang w:eastAsia="en-AU"/>
              </w:rPr>
            </w:pPr>
            <w:r w:rsidRPr="003314B2">
              <w:rPr>
                <w:rFonts w:cs="Arial"/>
                <w:color w:val="FFFFFF"/>
                <w:sz w:val="18"/>
                <w:szCs w:val="18"/>
                <w:lang w:eastAsia="en-AU"/>
              </w:rPr>
              <w:t>80,200</w:t>
            </w:r>
          </w:p>
        </w:tc>
        <w:tc>
          <w:tcPr>
            <w:tcW w:w="511" w:type="pct"/>
            <w:tcBorders>
              <w:top w:val="nil"/>
              <w:left w:val="nil"/>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right"/>
              <w:rPr>
                <w:rFonts w:cs="Arial"/>
                <w:color w:val="FFFFFF"/>
                <w:sz w:val="18"/>
                <w:szCs w:val="18"/>
                <w:lang w:eastAsia="en-AU"/>
              </w:rPr>
            </w:pPr>
            <w:r w:rsidRPr="003314B2">
              <w:rPr>
                <w:rFonts w:cs="Arial"/>
                <w:color w:val="FFFFFF"/>
                <w:sz w:val="18"/>
                <w:szCs w:val="18"/>
                <w:lang w:eastAsia="en-AU"/>
              </w:rPr>
              <w:t>89,300</w:t>
            </w:r>
          </w:p>
        </w:tc>
        <w:tc>
          <w:tcPr>
            <w:tcW w:w="512" w:type="pct"/>
            <w:tcBorders>
              <w:top w:val="nil"/>
              <w:left w:val="nil"/>
              <w:bottom w:val="single" w:sz="4" w:space="0" w:color="366092"/>
              <w:right w:val="single" w:sz="4" w:space="0" w:color="366092"/>
            </w:tcBorders>
            <w:shd w:val="clear" w:color="000000" w:fill="366092"/>
            <w:noWrap/>
            <w:vAlign w:val="center"/>
            <w:hideMark/>
          </w:tcPr>
          <w:p w:rsidR="003314B2" w:rsidRPr="003314B2" w:rsidRDefault="003314B2" w:rsidP="00440176">
            <w:pPr>
              <w:spacing w:after="0" w:line="240" w:lineRule="auto"/>
              <w:jc w:val="right"/>
              <w:rPr>
                <w:rFonts w:cs="Arial"/>
                <w:color w:val="FFFFFF"/>
                <w:sz w:val="18"/>
                <w:szCs w:val="18"/>
                <w:lang w:eastAsia="en-AU"/>
              </w:rPr>
            </w:pPr>
            <w:r w:rsidRPr="003314B2">
              <w:rPr>
                <w:rFonts w:cs="Arial"/>
                <w:color w:val="FFFFFF"/>
                <w:sz w:val="18"/>
                <w:szCs w:val="18"/>
                <w:lang w:eastAsia="en-AU"/>
              </w:rPr>
              <w:t>58,400</w:t>
            </w:r>
          </w:p>
        </w:tc>
      </w:tr>
    </w:tbl>
    <w:p w:rsidR="00F72C48" w:rsidRPr="000D77C3" w:rsidRDefault="00F72C48" w:rsidP="00F72C48">
      <w:pPr>
        <w:spacing w:after="84"/>
        <w:rPr>
          <w:rFonts w:cs="Arial"/>
          <w:szCs w:val="19"/>
          <w:highlight w:val="yellow"/>
        </w:rPr>
      </w:pPr>
    </w:p>
    <w:p w:rsidR="009E27BE" w:rsidRDefault="009E27BE">
      <w:pPr>
        <w:spacing w:after="0" w:line="240" w:lineRule="auto"/>
        <w:jc w:val="left"/>
        <w:rPr>
          <w:rFonts w:cs="Arial"/>
          <w:b/>
          <w:bCs/>
          <w:color w:val="365F91" w:themeColor="accent1" w:themeShade="BF"/>
          <w:sz w:val="18"/>
          <w:szCs w:val="16"/>
        </w:rPr>
      </w:pPr>
      <w:bookmarkStart w:id="97" w:name="_Toc349899152"/>
      <w:r>
        <w:rPr>
          <w:rFonts w:cs="Arial"/>
          <w:color w:val="365F91" w:themeColor="accent1" w:themeShade="BF"/>
        </w:rPr>
        <w:br w:type="page"/>
      </w:r>
    </w:p>
    <w:p w:rsidR="009E27BE" w:rsidRDefault="00C91B0A" w:rsidP="009E27BE">
      <w:pPr>
        <w:pStyle w:val="Caption"/>
        <w:spacing w:after="0"/>
        <w:jc w:val="left"/>
        <w:rPr>
          <w:rFonts w:cs="Arial"/>
          <w:color w:val="365F91" w:themeColor="accent1" w:themeShade="BF"/>
        </w:rPr>
      </w:pPr>
      <w:r>
        <w:rPr>
          <w:rFonts w:cs="Arial"/>
          <w:color w:val="365F91" w:themeColor="accent1" w:themeShade="BF"/>
        </w:rPr>
        <w:t>Table 3.10.2</w:t>
      </w:r>
      <w:r w:rsidR="009E27BE">
        <w:rPr>
          <w:rFonts w:cs="Arial"/>
          <w:color w:val="365F91" w:themeColor="accent1" w:themeShade="BF"/>
        </w:rPr>
        <w:t>: Change in g</w:t>
      </w:r>
      <w:r w:rsidR="009E27BE" w:rsidRPr="009E27BE">
        <w:rPr>
          <w:rFonts w:cs="Arial"/>
          <w:color w:val="365F91" w:themeColor="accent1" w:themeShade="BF"/>
        </w:rPr>
        <w:t>overnment</w:t>
      </w:r>
      <w:r w:rsidR="000C304C">
        <w:rPr>
          <w:rFonts w:cs="Arial"/>
          <w:color w:val="365F91" w:themeColor="accent1" w:themeShade="BF"/>
        </w:rPr>
        <w:t xml:space="preserve"> subsidised enrolments by T</w:t>
      </w:r>
      <w:r w:rsidR="009E27BE" w:rsidRPr="009E27BE">
        <w:rPr>
          <w:rFonts w:cs="Arial"/>
          <w:color w:val="365F91" w:themeColor="accent1" w:themeShade="BF"/>
        </w:rPr>
        <w:t>rainees by industry, 2008- 2013</w:t>
      </w:r>
    </w:p>
    <w:tbl>
      <w:tblPr>
        <w:tblW w:w="3434" w:type="pct"/>
        <w:tblInd w:w="108" w:type="dxa"/>
        <w:tblLayout w:type="fixed"/>
        <w:tblLook w:val="04A0" w:firstRow="1" w:lastRow="0" w:firstColumn="1" w:lastColumn="0" w:noHBand="0" w:noVBand="1"/>
      </w:tblPr>
      <w:tblGrid>
        <w:gridCol w:w="3125"/>
        <w:gridCol w:w="1085"/>
        <w:gridCol w:w="1085"/>
        <w:gridCol w:w="1084"/>
      </w:tblGrid>
      <w:tr w:rsidR="003314B2" w:rsidRPr="003314B2" w:rsidTr="003314B2">
        <w:trPr>
          <w:trHeight w:val="450"/>
        </w:trPr>
        <w:tc>
          <w:tcPr>
            <w:tcW w:w="2449" w:type="pct"/>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3314B2" w:rsidRPr="003314B2" w:rsidRDefault="003314B2" w:rsidP="00970ACA">
            <w:pPr>
              <w:spacing w:after="0" w:line="240" w:lineRule="auto"/>
              <w:jc w:val="left"/>
              <w:rPr>
                <w:rFonts w:cs="Arial"/>
                <w:b/>
                <w:bCs/>
                <w:color w:val="FFFFFF"/>
                <w:sz w:val="18"/>
                <w:szCs w:val="18"/>
                <w:lang w:eastAsia="en-AU"/>
              </w:rPr>
            </w:pPr>
            <w:r w:rsidRPr="003314B2">
              <w:rPr>
                <w:rFonts w:cs="Arial"/>
                <w:b/>
                <w:bCs/>
                <w:color w:val="FFFFFF"/>
                <w:sz w:val="18"/>
                <w:szCs w:val="18"/>
                <w:lang w:eastAsia="en-AU"/>
              </w:rPr>
              <w:t> </w:t>
            </w:r>
          </w:p>
        </w:tc>
        <w:tc>
          <w:tcPr>
            <w:tcW w:w="850"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970ACA">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 change</w:t>
            </w:r>
            <w:r w:rsidRPr="00DA2D8D">
              <w:rPr>
                <w:rFonts w:cs="Arial"/>
                <w:b/>
                <w:bCs/>
                <w:color w:val="FFFFFF"/>
                <w:sz w:val="18"/>
                <w:szCs w:val="18"/>
                <w:lang w:eastAsia="en-AU"/>
              </w:rPr>
              <w:br/>
              <w:t>2008-2013</w:t>
            </w:r>
          </w:p>
        </w:tc>
        <w:tc>
          <w:tcPr>
            <w:tcW w:w="850"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970ACA">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 change</w:t>
            </w:r>
            <w:r w:rsidRPr="00DA2D8D">
              <w:rPr>
                <w:rFonts w:cs="Arial"/>
                <w:b/>
                <w:bCs/>
                <w:color w:val="FFFFFF"/>
                <w:sz w:val="18"/>
                <w:szCs w:val="18"/>
                <w:lang w:eastAsia="en-AU"/>
              </w:rPr>
              <w:br/>
              <w:t>2011-2013</w:t>
            </w:r>
          </w:p>
        </w:tc>
        <w:tc>
          <w:tcPr>
            <w:tcW w:w="850" w:type="pct"/>
            <w:tcBorders>
              <w:top w:val="single" w:sz="4" w:space="0" w:color="366092"/>
              <w:left w:val="nil"/>
              <w:bottom w:val="single" w:sz="4" w:space="0" w:color="366092"/>
              <w:right w:val="single" w:sz="4" w:space="0" w:color="366092"/>
            </w:tcBorders>
            <w:shd w:val="clear" w:color="000000" w:fill="366092"/>
            <w:vAlign w:val="center"/>
            <w:hideMark/>
          </w:tcPr>
          <w:p w:rsidR="003314B2" w:rsidRPr="003314B2" w:rsidRDefault="003314B2" w:rsidP="00970ACA">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 change</w:t>
            </w:r>
            <w:r w:rsidRPr="00DA2D8D">
              <w:rPr>
                <w:rFonts w:cs="Arial"/>
                <w:b/>
                <w:bCs/>
                <w:color w:val="FFFFFF"/>
                <w:sz w:val="18"/>
                <w:szCs w:val="18"/>
                <w:lang w:eastAsia="en-AU"/>
              </w:rPr>
              <w:br/>
              <w:t>2012-2013</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A: Agriculture, Forestry and Fishing</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153%</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49%</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17%</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B: Mining</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127%</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481%</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174%</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C: Manufacturing</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268%</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18%</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-10%</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D: Electricity, Gas, Water and Waste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8%</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-20%</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-38%</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E: Construction</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73%</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32%</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F: Wholesale Trade</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141%</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-39%</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-49%</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G: Retail Trade</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-51%</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-60%</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-60%</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H: Accommodation and Food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-29%</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-44%</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-47%</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I: Transport, Postal and Warehousing</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75%</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16%</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-7%</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J: Information Media and Telecommunications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97%</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88%</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82%</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K: Financial and Insurance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164%</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2%</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L: Rental, Hiring and Real Estate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5%</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-33%</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-35%</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M: Professional, Scientific and Technical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-19%</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-15%</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-20%</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N: Administrative and Support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-40%</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-44%</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-39%</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O: Public Administration and Safety</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17%</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390%</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153%</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P: Education and Training</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151%</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121%</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149%</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Q: Health Care and Social Assistance</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10%</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-11%</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-13%</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R: Arts and Recreation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-44%</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-62%</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-60%</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S: Other Services</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-52%</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-41%</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-32%</w:t>
            </w:r>
          </w:p>
        </w:tc>
      </w:tr>
      <w:tr w:rsidR="00144BC3" w:rsidRPr="003314B2" w:rsidTr="00970ACA">
        <w:trPr>
          <w:trHeight w:val="300"/>
        </w:trPr>
        <w:tc>
          <w:tcPr>
            <w:tcW w:w="2449" w:type="pct"/>
            <w:tcBorders>
              <w:top w:val="nil"/>
              <w:left w:val="single" w:sz="4" w:space="0" w:color="366092"/>
              <w:bottom w:val="single" w:sz="4" w:space="0" w:color="366092"/>
              <w:right w:val="single" w:sz="4" w:space="0" w:color="366092"/>
            </w:tcBorders>
            <w:shd w:val="clear" w:color="000000" w:fill="FFFFFF"/>
            <w:noWrap/>
            <w:vAlign w:val="center"/>
            <w:hideMark/>
          </w:tcPr>
          <w:p w:rsidR="00144BC3" w:rsidRPr="003314B2" w:rsidRDefault="00144BC3" w:rsidP="00970ACA">
            <w:pPr>
              <w:spacing w:after="0" w:line="240" w:lineRule="auto"/>
              <w:jc w:val="left"/>
              <w:rPr>
                <w:rFonts w:cs="Arial"/>
                <w:color w:val="366092"/>
                <w:sz w:val="18"/>
                <w:szCs w:val="18"/>
                <w:lang w:eastAsia="en-AU"/>
              </w:rPr>
            </w:pPr>
            <w:r w:rsidRPr="003314B2">
              <w:rPr>
                <w:rFonts w:cs="Arial"/>
                <w:color w:val="366092"/>
                <w:sz w:val="18"/>
                <w:szCs w:val="18"/>
                <w:lang w:eastAsia="en-AU"/>
              </w:rPr>
              <w:t>T: Cross-industry</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45%</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-39%</w:t>
            </w:r>
          </w:p>
        </w:tc>
        <w:tc>
          <w:tcPr>
            <w:tcW w:w="850" w:type="pct"/>
            <w:tcBorders>
              <w:top w:val="nil"/>
              <w:left w:val="nil"/>
              <w:bottom w:val="single" w:sz="4" w:space="0" w:color="366092"/>
              <w:right w:val="single" w:sz="4" w:space="0" w:color="366092"/>
            </w:tcBorders>
            <w:shd w:val="clear" w:color="auto" w:fill="auto"/>
            <w:noWrap/>
            <w:vAlign w:val="center"/>
          </w:tcPr>
          <w:p w:rsidR="00144BC3" w:rsidRPr="003314B2" w:rsidRDefault="00144BC3" w:rsidP="00970ACA">
            <w:pPr>
              <w:spacing w:after="0" w:line="240" w:lineRule="auto"/>
              <w:jc w:val="right"/>
              <w:rPr>
                <w:rFonts w:cs="Arial"/>
                <w:color w:val="000000"/>
                <w:sz w:val="18"/>
                <w:szCs w:val="18"/>
                <w:lang w:eastAsia="en-AU"/>
              </w:rPr>
            </w:pPr>
            <w:r>
              <w:rPr>
                <w:rFonts w:cs="Arial"/>
                <w:sz w:val="18"/>
                <w:szCs w:val="18"/>
              </w:rPr>
              <w:t>-52%</w:t>
            </w:r>
          </w:p>
        </w:tc>
      </w:tr>
    </w:tbl>
    <w:p w:rsidR="009E27BE" w:rsidRPr="009E27BE" w:rsidRDefault="009E27BE" w:rsidP="009E27BE"/>
    <w:p w:rsidR="009E27BE" w:rsidRPr="009E27BE" w:rsidRDefault="009E27BE" w:rsidP="009E27BE"/>
    <w:p w:rsidR="009E27BE" w:rsidRDefault="009E27BE" w:rsidP="0023338B">
      <w:pPr>
        <w:pStyle w:val="Heading2"/>
      </w:pPr>
    </w:p>
    <w:p w:rsidR="00F72C48" w:rsidRPr="0006716B" w:rsidRDefault="00F72C48" w:rsidP="0023338B">
      <w:pPr>
        <w:pStyle w:val="Heading2"/>
        <w:rPr>
          <w:color w:val="76923C" w:themeColor="accent3" w:themeShade="BF"/>
        </w:rPr>
      </w:pPr>
      <w:r w:rsidRPr="000D77C3">
        <w:rPr>
          <w:highlight w:val="yellow"/>
        </w:rPr>
        <w:br w:type="page"/>
      </w:r>
      <w:bookmarkStart w:id="98" w:name="_Toc388340463"/>
      <w:r>
        <w:t xml:space="preserve">Training </w:t>
      </w:r>
      <w:bookmarkEnd w:id="97"/>
      <w:r>
        <w:t>in Specialised and In-Shortage Related Occupations</w:t>
      </w:r>
      <w:bookmarkEnd w:id="98"/>
    </w:p>
    <w:p w:rsidR="00F72C48" w:rsidRPr="006E1AC4" w:rsidRDefault="00F72C48" w:rsidP="00F72C48">
      <w:pPr>
        <w:spacing w:after="200" w:line="276" w:lineRule="auto"/>
        <w:rPr>
          <w:rFonts w:cs="Arial"/>
          <w:szCs w:val="19"/>
        </w:rPr>
      </w:pPr>
      <w:r w:rsidRPr="006E1AC4">
        <w:rPr>
          <w:rFonts w:cs="Arial"/>
          <w:szCs w:val="19"/>
        </w:rPr>
        <w:t>Vocational training delivery that is meeting the skill requirements of industry is a core focus of the Refocusing V</w:t>
      </w:r>
      <w:r w:rsidR="009E27BE">
        <w:rPr>
          <w:rFonts w:cs="Arial"/>
          <w:szCs w:val="19"/>
        </w:rPr>
        <w:t xml:space="preserve">ocational Training </w:t>
      </w:r>
      <w:r w:rsidRPr="006E1AC4">
        <w:rPr>
          <w:rFonts w:cs="Arial"/>
          <w:szCs w:val="19"/>
        </w:rPr>
        <w:t>reforms. In particular, training related to occupations identified as specialised or experiencing skill shortages that</w:t>
      </w:r>
      <w:r w:rsidRPr="006E1AC4">
        <w:rPr>
          <w:rStyle w:val="FootnoteReference"/>
          <w:rFonts w:cs="Arial"/>
          <w:szCs w:val="19"/>
        </w:rPr>
        <w:footnoteReference w:id="12"/>
      </w:r>
      <w:r w:rsidRPr="006E1AC4">
        <w:rPr>
          <w:rFonts w:cs="Arial"/>
          <w:szCs w:val="19"/>
        </w:rPr>
        <w:t xml:space="preserve"> enhance the productive capacity of the Victorian economy are a high priority for government investment.</w:t>
      </w:r>
    </w:p>
    <w:p w:rsidR="00F72C48" w:rsidRPr="006E1AC4" w:rsidRDefault="00F72C48" w:rsidP="00F72C48">
      <w:pPr>
        <w:spacing w:after="200" w:line="276" w:lineRule="auto"/>
        <w:jc w:val="left"/>
        <w:rPr>
          <w:rFonts w:cs="Arial"/>
          <w:color w:val="000000"/>
          <w:szCs w:val="19"/>
          <w:lang w:eastAsia="en-AU"/>
        </w:rPr>
      </w:pPr>
      <w:r w:rsidRPr="006E1AC4">
        <w:rPr>
          <w:rFonts w:cs="Arial"/>
          <w:color w:val="000000"/>
          <w:szCs w:val="19"/>
          <w:lang w:eastAsia="en-AU"/>
        </w:rPr>
        <w:t>'Specialised occupations’</w:t>
      </w:r>
      <w:r w:rsidRPr="006E1AC4">
        <w:rPr>
          <w:rStyle w:val="FootnoteReference"/>
          <w:color w:val="000000"/>
          <w:szCs w:val="19"/>
          <w:lang w:eastAsia="en-AU"/>
        </w:rPr>
        <w:footnoteReference w:id="13"/>
      </w:r>
      <w:r w:rsidRPr="006E1AC4">
        <w:rPr>
          <w:rFonts w:cs="Arial"/>
          <w:color w:val="000000"/>
          <w:szCs w:val="19"/>
          <w:lang w:eastAsia="en-AU"/>
        </w:rPr>
        <w:t xml:space="preserve"> are defined as occupations that have a long lead-time for training, high economic value and a significant match between training and employment.</w:t>
      </w:r>
    </w:p>
    <w:p w:rsidR="00F72C48" w:rsidRDefault="00F72C48" w:rsidP="00F72C48">
      <w:pPr>
        <w:rPr>
          <w:rFonts w:cs="Arial"/>
          <w:szCs w:val="19"/>
        </w:rPr>
      </w:pPr>
      <w:r w:rsidRPr="006E1AC4">
        <w:rPr>
          <w:rFonts w:cs="Arial"/>
          <w:color w:val="000000"/>
          <w:szCs w:val="19"/>
          <w:lang w:eastAsia="en-AU"/>
        </w:rPr>
        <w:t>‘Skill shortages’</w:t>
      </w:r>
      <w:r w:rsidRPr="006E1AC4">
        <w:rPr>
          <w:rStyle w:val="FootnoteReference"/>
          <w:rFonts w:cs="Arial"/>
          <w:szCs w:val="19"/>
        </w:rPr>
        <w:footnoteReference w:id="14"/>
      </w:r>
      <w:r w:rsidRPr="006E1AC4">
        <w:rPr>
          <w:rStyle w:val="FootnoteReference"/>
          <w:rFonts w:cs="Arial"/>
        </w:rPr>
        <w:t xml:space="preserve"> </w:t>
      </w:r>
      <w:r w:rsidRPr="006E1AC4">
        <w:rPr>
          <w:rFonts w:cs="Arial"/>
          <w:color w:val="000000"/>
          <w:szCs w:val="19"/>
          <w:lang w:eastAsia="en-AU"/>
        </w:rPr>
        <w:t>exist when employers are unable to fill or have considerable difficulty filling vacancies for an occupation, or significant specialised skill needs within that occupation, at current levels of remuneration and conditions of employment, and</w:t>
      </w:r>
      <w:r w:rsidRPr="006E1AC4">
        <w:rPr>
          <w:rFonts w:cs="Arial"/>
          <w:szCs w:val="19"/>
        </w:rPr>
        <w:t xml:space="preserve"> in reasonably accessible locations.</w:t>
      </w:r>
    </w:p>
    <w:p w:rsidR="00F72C48" w:rsidRPr="008E5BEB" w:rsidRDefault="00F72C48" w:rsidP="00F72C48">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color w:val="000000"/>
          <w:szCs w:val="19"/>
          <w:lang w:eastAsia="en-AU"/>
        </w:rPr>
      </w:pPr>
      <w:r w:rsidRPr="008E5BEB">
        <w:rPr>
          <w:rFonts w:cs="Arial"/>
          <w:color w:val="000000"/>
          <w:szCs w:val="19"/>
          <w:lang w:eastAsia="en-AU"/>
        </w:rPr>
        <w:t>Note: all data in this section is for government subsidised training by onshore domestic students in accredited AQF qualifications excluding foundation skills, education pathways and low-level LOTE courses.</w:t>
      </w:r>
    </w:p>
    <w:tbl>
      <w:tblPr>
        <w:tblStyle w:val="TableGrid"/>
        <w:tblpPr w:leftFromText="180" w:rightFromText="180" w:bottomFromText="90" w:vertAnchor="text" w:horzAnchor="margin" w:tblpY="219"/>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none" w:sz="0" w:space="0" w:color="auto"/>
          <w:insideV w:val="none" w:sz="0" w:space="0" w:color="auto"/>
        </w:tblBorders>
        <w:tblLook w:val="04A0" w:firstRow="1" w:lastRow="0" w:firstColumn="1" w:lastColumn="0" w:noHBand="0" w:noVBand="1"/>
      </w:tblPr>
      <w:tblGrid>
        <w:gridCol w:w="9242"/>
      </w:tblGrid>
      <w:tr w:rsidR="00F72C48" w:rsidTr="00440176">
        <w:trPr>
          <w:trHeight w:val="3227"/>
        </w:trPr>
        <w:tc>
          <w:tcPr>
            <w:tcW w:w="9242" w:type="dxa"/>
            <w:tcMar>
              <w:top w:w="170" w:type="dxa"/>
              <w:left w:w="108" w:type="dxa"/>
              <w:bottom w:w="170" w:type="dxa"/>
              <w:right w:w="108" w:type="dxa"/>
            </w:tcMar>
          </w:tcPr>
          <w:p w:rsidR="00F72C48" w:rsidRDefault="00F72C48" w:rsidP="00440176">
            <w:pPr>
              <w:pStyle w:val="Heading3"/>
              <w:outlineLvl w:val="2"/>
            </w:pPr>
            <w:r>
              <w:t>Key Points</w:t>
            </w:r>
          </w:p>
          <w:p w:rsidR="00F72C48" w:rsidRPr="000E7FE8" w:rsidRDefault="00F72C48" w:rsidP="00440176"/>
          <w:p w:rsidR="00F72C48" w:rsidRPr="00604B7D" w:rsidRDefault="00F72C48" w:rsidP="00440176">
            <w:pPr>
              <w:pStyle w:val="ListBullet"/>
              <w:numPr>
                <w:ilvl w:val="0"/>
                <w:numId w:val="0"/>
              </w:numPr>
              <w:tabs>
                <w:tab w:val="left" w:pos="720"/>
              </w:tabs>
              <w:ind w:right="113"/>
            </w:pPr>
            <w:r w:rsidRPr="00604B7D">
              <w:t>Trends in 2013 indicate a refocusing of the training market towards a higher proportion of training delivery against most critical occupations:</w:t>
            </w:r>
          </w:p>
          <w:p w:rsidR="00F72C48" w:rsidRPr="000E7FE8" w:rsidRDefault="00F72C48" w:rsidP="00D83827">
            <w:pPr>
              <w:pStyle w:val="ListBullet"/>
              <w:numPr>
                <w:ilvl w:val="0"/>
                <w:numId w:val="19"/>
              </w:numPr>
              <w:tabs>
                <w:tab w:val="left" w:pos="720"/>
              </w:tabs>
              <w:ind w:right="113"/>
              <w:rPr>
                <w:rFonts w:cs="Arial"/>
              </w:rPr>
            </w:pPr>
            <w:r w:rsidRPr="000E7FE8">
              <w:rPr>
                <w:rFonts w:cs="Arial"/>
              </w:rPr>
              <w:t>184,400 enrolments in qualifications related to specialised or in shortage occupations in 2013.</w:t>
            </w:r>
          </w:p>
          <w:p w:rsidR="00F72C48" w:rsidRPr="000E7FE8" w:rsidRDefault="00F72C48" w:rsidP="00D83827">
            <w:pPr>
              <w:pStyle w:val="ListBullet"/>
              <w:numPr>
                <w:ilvl w:val="0"/>
                <w:numId w:val="10"/>
              </w:numPr>
              <w:tabs>
                <w:tab w:val="left" w:pos="720"/>
              </w:tabs>
              <w:ind w:right="113"/>
              <w:rPr>
                <w:rFonts w:cs="Arial"/>
              </w:rPr>
            </w:pPr>
            <w:r w:rsidRPr="000E7FE8">
              <w:rPr>
                <w:rFonts w:cs="Arial"/>
              </w:rPr>
              <w:t>In 2013</w:t>
            </w:r>
            <w:r>
              <w:rPr>
                <w:rFonts w:cs="Arial"/>
              </w:rPr>
              <w:t>,</w:t>
            </w:r>
            <w:r w:rsidRPr="000E7FE8">
              <w:rPr>
                <w:rFonts w:cs="Arial"/>
              </w:rPr>
              <w:t xml:space="preserve"> 41 per cent of training was for occupations which are either specialised or in shortage. </w:t>
            </w:r>
            <w:r>
              <w:rPr>
                <w:rFonts w:cs="Arial"/>
              </w:rPr>
              <w:t>In</w:t>
            </w:r>
            <w:r w:rsidRPr="000E7FE8">
              <w:rPr>
                <w:rFonts w:cs="Arial"/>
              </w:rPr>
              <w:t xml:space="preserve"> 2012 this figure was 32 per cent.</w:t>
            </w:r>
          </w:p>
          <w:p w:rsidR="00F72C48" w:rsidRPr="000E7FE8" w:rsidRDefault="00F72C48" w:rsidP="00D83827">
            <w:pPr>
              <w:pStyle w:val="ListBullet"/>
              <w:numPr>
                <w:ilvl w:val="0"/>
                <w:numId w:val="20"/>
              </w:numPr>
              <w:tabs>
                <w:tab w:val="left" w:pos="720"/>
              </w:tabs>
              <w:ind w:right="113"/>
              <w:rPr>
                <w:rFonts w:cs="Arial"/>
              </w:rPr>
            </w:pPr>
            <w:r w:rsidRPr="000E7FE8">
              <w:rPr>
                <w:rFonts w:cs="Arial"/>
              </w:rPr>
              <w:t xml:space="preserve">Marked difference between critical </w:t>
            </w:r>
            <w:r>
              <w:rPr>
                <w:rFonts w:cs="Arial"/>
              </w:rPr>
              <w:t>s</w:t>
            </w:r>
            <w:r w:rsidRPr="000E7FE8">
              <w:rPr>
                <w:rFonts w:cs="Arial"/>
              </w:rPr>
              <w:t xml:space="preserve">pecialised or </w:t>
            </w:r>
            <w:r>
              <w:rPr>
                <w:rFonts w:cs="Arial"/>
              </w:rPr>
              <w:t>s</w:t>
            </w:r>
            <w:r w:rsidRPr="000E7FE8">
              <w:rPr>
                <w:rFonts w:cs="Arial"/>
              </w:rPr>
              <w:t xml:space="preserve">kill </w:t>
            </w:r>
            <w:r>
              <w:rPr>
                <w:rFonts w:cs="Arial"/>
              </w:rPr>
              <w:t>shortage</w:t>
            </w:r>
            <w:r w:rsidRPr="000E7FE8">
              <w:rPr>
                <w:rFonts w:cs="Arial"/>
              </w:rPr>
              <w:t xml:space="preserve"> occupations (</w:t>
            </w:r>
            <w:r>
              <w:rPr>
                <w:rFonts w:cs="Arial"/>
              </w:rPr>
              <w:t xml:space="preserve">14 </w:t>
            </w:r>
            <w:r w:rsidRPr="000E7FE8">
              <w:rPr>
                <w:rFonts w:cs="Arial"/>
              </w:rPr>
              <w:t xml:space="preserve">per cent growth </w:t>
            </w:r>
            <w:r>
              <w:rPr>
                <w:rFonts w:cs="Arial"/>
              </w:rPr>
              <w:t>over 2012 - 2013</w:t>
            </w:r>
            <w:r w:rsidRPr="000E7FE8">
              <w:rPr>
                <w:rFonts w:cs="Arial"/>
              </w:rPr>
              <w:t xml:space="preserve">) compared to </w:t>
            </w:r>
            <w:r>
              <w:rPr>
                <w:rFonts w:cs="Arial"/>
              </w:rPr>
              <w:t>n</w:t>
            </w:r>
            <w:r w:rsidRPr="000E7FE8">
              <w:rPr>
                <w:rFonts w:cs="Arial"/>
              </w:rPr>
              <w:t xml:space="preserve">on </w:t>
            </w:r>
            <w:r>
              <w:rPr>
                <w:rFonts w:cs="Arial"/>
              </w:rPr>
              <w:t>s</w:t>
            </w:r>
            <w:r w:rsidRPr="000E7FE8">
              <w:rPr>
                <w:rFonts w:cs="Arial"/>
              </w:rPr>
              <w:t xml:space="preserve">pecialised or </w:t>
            </w:r>
            <w:r>
              <w:rPr>
                <w:rFonts w:cs="Arial"/>
              </w:rPr>
              <w:t>s</w:t>
            </w:r>
            <w:r w:rsidRPr="000E7FE8">
              <w:rPr>
                <w:rFonts w:cs="Arial"/>
              </w:rPr>
              <w:t xml:space="preserve">kill </w:t>
            </w:r>
            <w:r>
              <w:rPr>
                <w:rFonts w:cs="Arial"/>
              </w:rPr>
              <w:t>shortage</w:t>
            </w:r>
            <w:r w:rsidRPr="000E7FE8">
              <w:rPr>
                <w:rFonts w:cs="Arial"/>
              </w:rPr>
              <w:t xml:space="preserve"> training (</w:t>
            </w:r>
            <w:r>
              <w:rPr>
                <w:rFonts w:cs="Arial"/>
              </w:rPr>
              <w:t>23</w:t>
            </w:r>
            <w:r w:rsidRPr="000E7FE8">
              <w:rPr>
                <w:rFonts w:cs="Arial"/>
              </w:rPr>
              <w:t xml:space="preserve"> per cent decrease).</w:t>
            </w:r>
          </w:p>
          <w:p w:rsidR="00F72C48" w:rsidRPr="003C687F" w:rsidRDefault="00F72C48" w:rsidP="00D83827">
            <w:pPr>
              <w:pStyle w:val="ListBullet"/>
              <w:numPr>
                <w:ilvl w:val="0"/>
                <w:numId w:val="10"/>
              </w:numPr>
              <w:tabs>
                <w:tab w:val="left" w:pos="720"/>
              </w:tabs>
              <w:ind w:right="113"/>
            </w:pPr>
            <w:r>
              <w:rPr>
                <w:rFonts w:cs="Arial"/>
              </w:rPr>
              <w:t xml:space="preserve">Although, historically </w:t>
            </w:r>
            <w:r w:rsidRPr="003C687F">
              <w:rPr>
                <w:rFonts w:cs="Arial"/>
              </w:rPr>
              <w:t xml:space="preserve">TAFE providers </w:t>
            </w:r>
            <w:r>
              <w:rPr>
                <w:rFonts w:cs="Arial"/>
              </w:rPr>
              <w:t>have</w:t>
            </w:r>
            <w:r w:rsidRPr="003C687F">
              <w:rPr>
                <w:rFonts w:cs="Arial"/>
              </w:rPr>
              <w:t xml:space="preserve"> deliver</w:t>
            </w:r>
            <w:r>
              <w:rPr>
                <w:rFonts w:cs="Arial"/>
              </w:rPr>
              <w:t>ed</w:t>
            </w:r>
            <w:r w:rsidRPr="003C687F">
              <w:rPr>
                <w:rFonts w:cs="Arial"/>
              </w:rPr>
              <w:t xml:space="preserve"> the </w:t>
            </w:r>
            <w:r>
              <w:rPr>
                <w:rFonts w:cs="Arial"/>
              </w:rPr>
              <w:t xml:space="preserve">majority </w:t>
            </w:r>
            <w:r w:rsidRPr="003C687F">
              <w:rPr>
                <w:rFonts w:cs="Arial"/>
              </w:rPr>
              <w:t>of training in qualifications related to specialised or in shortage occupations,</w:t>
            </w:r>
            <w:r>
              <w:rPr>
                <w:rFonts w:cs="Arial"/>
              </w:rPr>
              <w:t xml:space="preserve"> 2013 saw a marked increase in delivery across the whole training market with TAFE accounted for 47 per cent of training related to critical occupations and private RTOs accounted for 48 per cent of training.</w:t>
            </w:r>
          </w:p>
          <w:p w:rsidR="00F72C48" w:rsidRPr="005E24F8" w:rsidRDefault="00F72C48" w:rsidP="00D83827">
            <w:pPr>
              <w:pStyle w:val="ListBullet"/>
              <w:numPr>
                <w:ilvl w:val="0"/>
                <w:numId w:val="10"/>
              </w:numPr>
              <w:tabs>
                <w:tab w:val="left" w:pos="720"/>
              </w:tabs>
              <w:ind w:right="113"/>
            </w:pPr>
            <w:r w:rsidRPr="008021BE">
              <w:t>The largest rise in specialised and skill shortage enrolments compared to 2012 has been in qualifications under Band A</w:t>
            </w:r>
            <w:r>
              <w:t xml:space="preserve"> (up by 49 per cent)</w:t>
            </w:r>
            <w:r w:rsidRPr="008021BE">
              <w:t>.</w:t>
            </w:r>
          </w:p>
        </w:tc>
      </w:tr>
    </w:tbl>
    <w:p w:rsidR="00F72C48" w:rsidRDefault="00F72C48" w:rsidP="00F72C48">
      <w:pPr>
        <w:pStyle w:val="Caption"/>
        <w:spacing w:after="0"/>
        <w:jc w:val="left"/>
        <w:rPr>
          <w:rFonts w:cs="Arial"/>
          <w:b w:val="0"/>
          <w:color w:val="auto"/>
        </w:rPr>
      </w:pPr>
    </w:p>
    <w:p w:rsidR="00F72C48" w:rsidRDefault="00F72C48" w:rsidP="00F72C48">
      <w:pPr>
        <w:rPr>
          <w:sz w:val="18"/>
          <w:szCs w:val="16"/>
        </w:rPr>
      </w:pPr>
      <w:r>
        <w:br w:type="page"/>
      </w:r>
    </w:p>
    <w:p w:rsidR="00F72C48" w:rsidRDefault="00F72C48" w:rsidP="00F72C48">
      <w:pPr>
        <w:pStyle w:val="Caption"/>
        <w:spacing w:after="0"/>
        <w:jc w:val="left"/>
        <w:rPr>
          <w:rFonts w:cs="Arial"/>
          <w:b w:val="0"/>
          <w:color w:val="auto"/>
        </w:rPr>
      </w:pPr>
    </w:p>
    <w:p w:rsidR="00F72C48" w:rsidRPr="000055B3" w:rsidRDefault="00F72C48" w:rsidP="00F72C48">
      <w:pPr>
        <w:pStyle w:val="Caption"/>
        <w:spacing w:after="0"/>
        <w:jc w:val="left"/>
        <w:rPr>
          <w:rFonts w:cs="Arial"/>
          <w:color w:val="365F91" w:themeColor="accent1" w:themeShade="BF"/>
        </w:rPr>
      </w:pPr>
      <w:r w:rsidRPr="000055B3">
        <w:rPr>
          <w:rFonts w:cs="Arial"/>
          <w:color w:val="365F91" w:themeColor="accent1" w:themeShade="BF"/>
        </w:rPr>
        <w:t>Figure 3.5: Government subsidised training delivery by responsiveness category</w:t>
      </w:r>
    </w:p>
    <w:p w:rsidR="00F72C48" w:rsidRPr="00871E83" w:rsidRDefault="00F72C48" w:rsidP="00F72C48">
      <w:pPr>
        <w:rPr>
          <w:lang w:eastAsia="en-AU"/>
        </w:rPr>
      </w:pPr>
      <w:r>
        <w:rPr>
          <w:noProof/>
          <w:lang w:eastAsia="en-AU"/>
        </w:rPr>
        <w:drawing>
          <wp:inline distT="0" distB="0" distL="0" distR="0" wp14:anchorId="26E68DF6" wp14:editId="75E0D694">
            <wp:extent cx="5328285" cy="27432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28285" cy="2743200"/>
                    </a:xfrm>
                    <a:prstGeom prst="rect">
                      <a:avLst/>
                    </a:prstGeom>
                    <a:noFill/>
                  </pic:spPr>
                </pic:pic>
              </a:graphicData>
            </a:graphic>
          </wp:inline>
        </w:drawing>
      </w:r>
    </w:p>
    <w:p w:rsidR="00F72C48" w:rsidRDefault="00F72C48" w:rsidP="00F72C48">
      <w:pPr>
        <w:spacing w:after="0" w:line="240" w:lineRule="auto"/>
        <w:jc w:val="left"/>
        <w:rPr>
          <w:b/>
          <w:bCs/>
          <w:noProof/>
          <w:color w:val="76923C" w:themeColor="accent3" w:themeShade="BF"/>
          <w:sz w:val="18"/>
          <w:szCs w:val="16"/>
          <w:lang w:eastAsia="en-AU"/>
        </w:rPr>
      </w:pPr>
    </w:p>
    <w:p w:rsidR="00F72C48" w:rsidRPr="000055B3" w:rsidRDefault="00F72C48" w:rsidP="00F72C48">
      <w:pPr>
        <w:pStyle w:val="Caption"/>
        <w:spacing w:after="0"/>
        <w:jc w:val="left"/>
        <w:rPr>
          <w:color w:val="365F91" w:themeColor="accent1" w:themeShade="BF"/>
        </w:rPr>
      </w:pPr>
      <w:r w:rsidRPr="000055B3">
        <w:rPr>
          <w:noProof/>
          <w:color w:val="365F91" w:themeColor="accent1" w:themeShade="BF"/>
          <w:lang w:eastAsia="en-AU"/>
        </w:rPr>
        <w:t xml:space="preserve">Figure 3.6: Government subsidised enrolments in specialised or skill shortage occupations per training provider type, </w:t>
      </w:r>
      <w:r w:rsidRPr="000055B3">
        <w:rPr>
          <w:color w:val="365F91" w:themeColor="accent1" w:themeShade="BF"/>
        </w:rPr>
        <w:t>2011, 2012 and 2013</w:t>
      </w:r>
    </w:p>
    <w:p w:rsidR="00F72C48" w:rsidRPr="00285C40" w:rsidRDefault="00F72C48" w:rsidP="00F72C48">
      <w:r>
        <w:rPr>
          <w:noProof/>
          <w:lang w:eastAsia="en-AU"/>
        </w:rPr>
        <w:drawing>
          <wp:inline distT="0" distB="0" distL="0" distR="0" wp14:anchorId="4D94DF28" wp14:editId="1E0AE5F4">
            <wp:extent cx="5719742" cy="2343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4">
                      <a:extLst>
                        <a:ext uri="{28A0092B-C50C-407E-A947-70E740481C1C}">
                          <a14:useLocalDpi xmlns:a14="http://schemas.microsoft.com/office/drawing/2010/main" val="0"/>
                        </a:ext>
                      </a:extLst>
                    </a:blip>
                    <a:srcRect l="3320" r="3884"/>
                    <a:stretch/>
                  </pic:blipFill>
                  <pic:spPr bwMode="auto">
                    <a:xfrm>
                      <a:off x="0" y="0"/>
                      <a:ext cx="5726933" cy="2346096"/>
                    </a:xfrm>
                    <a:prstGeom prst="rect">
                      <a:avLst/>
                    </a:prstGeom>
                    <a:noFill/>
                    <a:ln>
                      <a:noFill/>
                    </a:ln>
                    <a:extLst>
                      <a:ext uri="{53640926-AAD7-44D8-BBD7-CCE9431645EC}">
                        <a14:shadowObscured xmlns:a14="http://schemas.microsoft.com/office/drawing/2010/main"/>
                      </a:ext>
                    </a:extLst>
                  </pic:spPr>
                </pic:pic>
              </a:graphicData>
            </a:graphic>
          </wp:inline>
        </w:drawing>
      </w:r>
    </w:p>
    <w:p w:rsidR="00F72C48" w:rsidRDefault="00F72C48" w:rsidP="00F72C48">
      <w:pPr>
        <w:pStyle w:val="Caption"/>
        <w:keepNext/>
        <w:rPr>
          <w:rFonts w:cs="Arial"/>
          <w:color w:val="4F81BD"/>
          <w:sz w:val="16"/>
        </w:rPr>
      </w:pPr>
    </w:p>
    <w:p w:rsidR="00F72C48" w:rsidRPr="002736AE" w:rsidRDefault="00F72C48" w:rsidP="00F72C48">
      <w:pPr>
        <w:pStyle w:val="Caption"/>
        <w:keepNext/>
        <w:rPr>
          <w:rFonts w:cs="Arial"/>
          <w:color w:val="365F91" w:themeColor="accent1" w:themeShade="BF"/>
          <w:sz w:val="16"/>
        </w:rPr>
      </w:pPr>
      <w:r w:rsidRPr="002736AE">
        <w:rPr>
          <w:rFonts w:cs="Arial"/>
          <w:color w:val="365F91" w:themeColor="accent1" w:themeShade="BF"/>
          <w:sz w:val="16"/>
        </w:rPr>
        <w:t>Table 3.1</w:t>
      </w:r>
      <w:r w:rsidR="00C91B0A">
        <w:rPr>
          <w:rFonts w:cs="Arial"/>
          <w:color w:val="365F91" w:themeColor="accent1" w:themeShade="BF"/>
          <w:sz w:val="16"/>
        </w:rPr>
        <w:t>1</w:t>
      </w:r>
      <w:r w:rsidRPr="002736AE">
        <w:rPr>
          <w:rFonts w:cs="Arial"/>
          <w:color w:val="365F91" w:themeColor="accent1" w:themeShade="BF"/>
          <w:sz w:val="16"/>
        </w:rPr>
        <w:t>.1: Government subsidised training delivery for qualifications aligned to either specialised or skill shortage occupations, 2008 – 2013</w:t>
      </w:r>
    </w:p>
    <w:tbl>
      <w:tblPr>
        <w:tblW w:w="4273" w:type="pct"/>
        <w:tblInd w:w="108" w:type="dxa"/>
        <w:tblLayout w:type="fixed"/>
        <w:tblLook w:val="04A0" w:firstRow="1" w:lastRow="0" w:firstColumn="1" w:lastColumn="0" w:noHBand="0" w:noVBand="1"/>
      </w:tblPr>
      <w:tblGrid>
        <w:gridCol w:w="1539"/>
        <w:gridCol w:w="1014"/>
        <w:gridCol w:w="1010"/>
        <w:gridCol w:w="1118"/>
        <w:gridCol w:w="1134"/>
        <w:gridCol w:w="1134"/>
        <w:gridCol w:w="989"/>
      </w:tblGrid>
      <w:tr w:rsidR="00DA2D8D" w:rsidRPr="000055B3" w:rsidTr="00DA2D8D">
        <w:trPr>
          <w:trHeight w:val="450"/>
        </w:trPr>
        <w:tc>
          <w:tcPr>
            <w:tcW w:w="970" w:type="pct"/>
            <w:tcBorders>
              <w:top w:val="nil"/>
              <w:left w:val="single" w:sz="4" w:space="0" w:color="366092"/>
              <w:bottom w:val="single" w:sz="4" w:space="0" w:color="366092"/>
              <w:right w:val="single" w:sz="4" w:space="0" w:color="366092"/>
            </w:tcBorders>
            <w:shd w:val="clear" w:color="000000" w:fill="366092"/>
            <w:noWrap/>
            <w:vAlign w:val="center"/>
            <w:hideMark/>
          </w:tcPr>
          <w:p w:rsidR="00DA2D8D" w:rsidRPr="000055B3" w:rsidRDefault="00DA2D8D" w:rsidP="000055B3">
            <w:pPr>
              <w:spacing w:after="0" w:line="240" w:lineRule="auto"/>
              <w:jc w:val="center"/>
              <w:rPr>
                <w:rFonts w:cs="Arial"/>
                <w:b/>
                <w:bCs/>
                <w:color w:val="FFFFFF"/>
                <w:sz w:val="16"/>
                <w:szCs w:val="16"/>
                <w:lang w:eastAsia="en-AU"/>
              </w:rPr>
            </w:pPr>
            <w:r w:rsidRPr="000055B3">
              <w:rPr>
                <w:rFonts w:cs="Arial"/>
                <w:b/>
                <w:bCs/>
                <w:color w:val="FFFFFF"/>
                <w:sz w:val="16"/>
                <w:szCs w:val="16"/>
                <w:lang w:eastAsia="en-AU"/>
              </w:rPr>
              <w:t> </w:t>
            </w:r>
          </w:p>
        </w:tc>
        <w:tc>
          <w:tcPr>
            <w:tcW w:w="639" w:type="pct"/>
            <w:tcBorders>
              <w:top w:val="nil"/>
              <w:left w:val="nil"/>
              <w:bottom w:val="single" w:sz="4" w:space="0" w:color="366092"/>
              <w:right w:val="single" w:sz="4" w:space="0" w:color="366092"/>
            </w:tcBorders>
            <w:shd w:val="clear" w:color="000000" w:fill="366092"/>
            <w:vAlign w:val="center"/>
            <w:hideMark/>
          </w:tcPr>
          <w:p w:rsidR="00DA2D8D" w:rsidRPr="000055B3" w:rsidRDefault="00DA2D8D" w:rsidP="00440176">
            <w:pPr>
              <w:spacing w:after="0" w:line="240" w:lineRule="auto"/>
              <w:jc w:val="center"/>
              <w:rPr>
                <w:rFonts w:cs="Arial"/>
                <w:b/>
                <w:bCs/>
                <w:color w:val="FFFFFF"/>
                <w:sz w:val="16"/>
                <w:szCs w:val="16"/>
                <w:lang w:eastAsia="en-AU"/>
              </w:rPr>
            </w:pPr>
            <w:r w:rsidRPr="000055B3">
              <w:rPr>
                <w:rFonts w:cs="Arial"/>
                <w:b/>
                <w:bCs/>
                <w:color w:val="FFFFFF"/>
                <w:sz w:val="16"/>
                <w:szCs w:val="16"/>
                <w:lang w:eastAsia="en-AU"/>
              </w:rPr>
              <w:t>2008</w:t>
            </w:r>
          </w:p>
        </w:tc>
        <w:tc>
          <w:tcPr>
            <w:tcW w:w="636" w:type="pct"/>
            <w:tcBorders>
              <w:top w:val="nil"/>
              <w:left w:val="nil"/>
              <w:bottom w:val="single" w:sz="4" w:space="0" w:color="366092"/>
              <w:right w:val="single" w:sz="4" w:space="0" w:color="366092"/>
            </w:tcBorders>
            <w:shd w:val="clear" w:color="000000" w:fill="366092"/>
            <w:vAlign w:val="center"/>
            <w:hideMark/>
          </w:tcPr>
          <w:p w:rsidR="00DA2D8D" w:rsidRPr="000055B3" w:rsidRDefault="00DA2D8D" w:rsidP="00440176">
            <w:pPr>
              <w:spacing w:after="0" w:line="240" w:lineRule="auto"/>
              <w:jc w:val="center"/>
              <w:rPr>
                <w:rFonts w:cs="Arial"/>
                <w:b/>
                <w:bCs/>
                <w:color w:val="FFFFFF"/>
                <w:sz w:val="16"/>
                <w:szCs w:val="16"/>
                <w:lang w:eastAsia="en-AU"/>
              </w:rPr>
            </w:pPr>
            <w:r w:rsidRPr="000055B3">
              <w:rPr>
                <w:rFonts w:cs="Arial"/>
                <w:b/>
                <w:bCs/>
                <w:color w:val="FFFFFF"/>
                <w:sz w:val="16"/>
                <w:szCs w:val="16"/>
                <w:lang w:eastAsia="en-AU"/>
              </w:rPr>
              <w:t>2009</w:t>
            </w:r>
          </w:p>
        </w:tc>
        <w:tc>
          <w:tcPr>
            <w:tcW w:w="704" w:type="pct"/>
            <w:tcBorders>
              <w:top w:val="nil"/>
              <w:left w:val="nil"/>
              <w:bottom w:val="single" w:sz="4" w:space="0" w:color="366092"/>
              <w:right w:val="single" w:sz="4" w:space="0" w:color="366092"/>
            </w:tcBorders>
            <w:shd w:val="clear" w:color="000000" w:fill="366092"/>
            <w:vAlign w:val="center"/>
            <w:hideMark/>
          </w:tcPr>
          <w:p w:rsidR="00DA2D8D" w:rsidRPr="000055B3" w:rsidRDefault="00DA2D8D" w:rsidP="00440176">
            <w:pPr>
              <w:spacing w:after="0" w:line="240" w:lineRule="auto"/>
              <w:jc w:val="center"/>
              <w:rPr>
                <w:rFonts w:cs="Arial"/>
                <w:b/>
                <w:bCs/>
                <w:color w:val="FFFFFF"/>
                <w:sz w:val="16"/>
                <w:szCs w:val="16"/>
                <w:lang w:eastAsia="en-AU"/>
              </w:rPr>
            </w:pPr>
            <w:r w:rsidRPr="000055B3">
              <w:rPr>
                <w:rFonts w:cs="Arial"/>
                <w:b/>
                <w:bCs/>
                <w:color w:val="FFFFFF"/>
                <w:sz w:val="16"/>
                <w:szCs w:val="16"/>
                <w:lang w:eastAsia="en-AU"/>
              </w:rPr>
              <w:t>2010</w:t>
            </w:r>
          </w:p>
        </w:tc>
        <w:tc>
          <w:tcPr>
            <w:tcW w:w="714" w:type="pct"/>
            <w:tcBorders>
              <w:top w:val="nil"/>
              <w:left w:val="nil"/>
              <w:bottom w:val="single" w:sz="4" w:space="0" w:color="366092"/>
              <w:right w:val="single" w:sz="4" w:space="0" w:color="366092"/>
            </w:tcBorders>
            <w:shd w:val="clear" w:color="000000" w:fill="366092"/>
            <w:vAlign w:val="center"/>
            <w:hideMark/>
          </w:tcPr>
          <w:p w:rsidR="00DA2D8D" w:rsidRPr="000055B3" w:rsidRDefault="00DA2D8D" w:rsidP="00440176">
            <w:pPr>
              <w:spacing w:after="0" w:line="240" w:lineRule="auto"/>
              <w:jc w:val="center"/>
              <w:rPr>
                <w:rFonts w:cs="Arial"/>
                <w:b/>
                <w:bCs/>
                <w:color w:val="FFFFFF"/>
                <w:sz w:val="16"/>
                <w:szCs w:val="16"/>
                <w:lang w:eastAsia="en-AU"/>
              </w:rPr>
            </w:pPr>
            <w:r w:rsidRPr="000055B3">
              <w:rPr>
                <w:rFonts w:cs="Arial"/>
                <w:b/>
                <w:bCs/>
                <w:color w:val="FFFFFF"/>
                <w:sz w:val="16"/>
                <w:szCs w:val="16"/>
                <w:lang w:eastAsia="en-AU"/>
              </w:rPr>
              <w:t>2011</w:t>
            </w:r>
          </w:p>
        </w:tc>
        <w:tc>
          <w:tcPr>
            <w:tcW w:w="714" w:type="pct"/>
            <w:tcBorders>
              <w:top w:val="nil"/>
              <w:left w:val="nil"/>
              <w:bottom w:val="single" w:sz="4" w:space="0" w:color="366092"/>
              <w:right w:val="single" w:sz="4" w:space="0" w:color="366092"/>
            </w:tcBorders>
            <w:shd w:val="clear" w:color="000000" w:fill="366092"/>
            <w:vAlign w:val="center"/>
            <w:hideMark/>
          </w:tcPr>
          <w:p w:rsidR="00DA2D8D" w:rsidRPr="000055B3" w:rsidRDefault="00DA2D8D" w:rsidP="00440176">
            <w:pPr>
              <w:spacing w:after="0" w:line="240" w:lineRule="auto"/>
              <w:jc w:val="center"/>
              <w:rPr>
                <w:rFonts w:cs="Arial"/>
                <w:b/>
                <w:bCs/>
                <w:color w:val="FFFFFF"/>
                <w:sz w:val="16"/>
                <w:szCs w:val="16"/>
                <w:lang w:eastAsia="en-AU"/>
              </w:rPr>
            </w:pPr>
            <w:r w:rsidRPr="000055B3">
              <w:rPr>
                <w:rFonts w:cs="Arial"/>
                <w:b/>
                <w:bCs/>
                <w:color w:val="FFFFFF"/>
                <w:sz w:val="16"/>
                <w:szCs w:val="16"/>
                <w:lang w:eastAsia="en-AU"/>
              </w:rPr>
              <w:t>2012</w:t>
            </w:r>
          </w:p>
        </w:tc>
        <w:tc>
          <w:tcPr>
            <w:tcW w:w="624" w:type="pct"/>
            <w:tcBorders>
              <w:top w:val="nil"/>
              <w:left w:val="nil"/>
              <w:bottom w:val="single" w:sz="4" w:space="0" w:color="366092"/>
              <w:right w:val="single" w:sz="4" w:space="0" w:color="366092"/>
            </w:tcBorders>
            <w:shd w:val="clear" w:color="000000" w:fill="366092"/>
            <w:vAlign w:val="center"/>
            <w:hideMark/>
          </w:tcPr>
          <w:p w:rsidR="00DA2D8D" w:rsidRPr="000055B3" w:rsidRDefault="00DA2D8D" w:rsidP="00440176">
            <w:pPr>
              <w:spacing w:after="0" w:line="240" w:lineRule="auto"/>
              <w:jc w:val="center"/>
              <w:rPr>
                <w:rFonts w:cs="Arial"/>
                <w:b/>
                <w:bCs/>
                <w:color w:val="FFFFFF"/>
                <w:sz w:val="16"/>
                <w:szCs w:val="16"/>
                <w:lang w:eastAsia="en-AU"/>
              </w:rPr>
            </w:pPr>
            <w:r w:rsidRPr="000055B3">
              <w:rPr>
                <w:rFonts w:cs="Arial"/>
                <w:b/>
                <w:bCs/>
                <w:color w:val="FFFFFF"/>
                <w:sz w:val="16"/>
                <w:szCs w:val="16"/>
                <w:lang w:eastAsia="en-AU"/>
              </w:rPr>
              <w:t>2013</w:t>
            </w:r>
          </w:p>
        </w:tc>
      </w:tr>
      <w:tr w:rsidR="00DA2D8D" w:rsidRPr="001F6498" w:rsidTr="00DA2D8D">
        <w:trPr>
          <w:trHeight w:val="300"/>
        </w:trPr>
        <w:tc>
          <w:tcPr>
            <w:tcW w:w="970" w:type="pct"/>
            <w:tcBorders>
              <w:top w:val="nil"/>
              <w:left w:val="single" w:sz="4" w:space="0" w:color="366092"/>
              <w:bottom w:val="single" w:sz="4" w:space="0" w:color="366092"/>
              <w:right w:val="single" w:sz="4" w:space="0" w:color="366092"/>
            </w:tcBorders>
            <w:shd w:val="clear" w:color="000000" w:fill="FFFFFF"/>
            <w:noWrap/>
            <w:vAlign w:val="bottom"/>
            <w:hideMark/>
          </w:tcPr>
          <w:p w:rsidR="00DA2D8D" w:rsidRPr="00C76B86" w:rsidRDefault="00DA2D8D" w:rsidP="00440176">
            <w:pPr>
              <w:spacing w:after="0" w:line="240" w:lineRule="auto"/>
              <w:jc w:val="left"/>
              <w:rPr>
                <w:rFonts w:cs="Arial"/>
                <w:color w:val="366092"/>
                <w:szCs w:val="19"/>
                <w:lang w:eastAsia="en-AU"/>
              </w:rPr>
            </w:pPr>
            <w:r w:rsidRPr="00C76B86">
              <w:rPr>
                <w:rFonts w:cs="Arial"/>
                <w:color w:val="366092"/>
                <w:szCs w:val="19"/>
                <w:lang w:eastAsia="en-AU"/>
              </w:rPr>
              <w:t>Enrolments</w:t>
            </w:r>
          </w:p>
        </w:tc>
        <w:tc>
          <w:tcPr>
            <w:tcW w:w="639"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    91,000 </w:t>
            </w:r>
          </w:p>
        </w:tc>
        <w:tc>
          <w:tcPr>
            <w:tcW w:w="636"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  102,200 </w:t>
            </w:r>
          </w:p>
        </w:tc>
        <w:tc>
          <w:tcPr>
            <w:tcW w:w="70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  115,800 </w:t>
            </w:r>
          </w:p>
        </w:tc>
        <w:tc>
          <w:tcPr>
            <w:tcW w:w="71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  136,200 </w:t>
            </w:r>
          </w:p>
        </w:tc>
        <w:tc>
          <w:tcPr>
            <w:tcW w:w="71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  162,100 </w:t>
            </w:r>
          </w:p>
        </w:tc>
        <w:tc>
          <w:tcPr>
            <w:tcW w:w="62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  184,400 </w:t>
            </w:r>
          </w:p>
        </w:tc>
      </w:tr>
      <w:tr w:rsidR="00DA2D8D" w:rsidRPr="001F6498" w:rsidTr="00DA2D8D">
        <w:trPr>
          <w:trHeight w:val="300"/>
        </w:trPr>
        <w:tc>
          <w:tcPr>
            <w:tcW w:w="970" w:type="pct"/>
            <w:tcBorders>
              <w:top w:val="nil"/>
              <w:left w:val="single" w:sz="4" w:space="0" w:color="366092"/>
              <w:bottom w:val="single" w:sz="4" w:space="0" w:color="366092"/>
              <w:right w:val="single" w:sz="4" w:space="0" w:color="366092"/>
            </w:tcBorders>
            <w:shd w:val="clear" w:color="000000" w:fill="FFFFFF"/>
            <w:noWrap/>
            <w:vAlign w:val="bottom"/>
            <w:hideMark/>
          </w:tcPr>
          <w:p w:rsidR="00DA2D8D" w:rsidRPr="00C76B86" w:rsidRDefault="00DA2D8D" w:rsidP="00440176">
            <w:pPr>
              <w:spacing w:after="0" w:line="240" w:lineRule="auto"/>
              <w:jc w:val="left"/>
              <w:rPr>
                <w:rFonts w:cs="Arial"/>
                <w:color w:val="366092"/>
                <w:szCs w:val="19"/>
                <w:lang w:eastAsia="en-AU"/>
              </w:rPr>
            </w:pPr>
            <w:r w:rsidRPr="00C76B86">
              <w:rPr>
                <w:rFonts w:cs="Arial"/>
                <w:color w:val="366092"/>
                <w:szCs w:val="19"/>
                <w:lang w:eastAsia="en-AU"/>
              </w:rPr>
              <w:t>Hours (millions)</w:t>
            </w:r>
          </w:p>
        </w:tc>
        <w:tc>
          <w:tcPr>
            <w:tcW w:w="639"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28.4 </w:t>
            </w:r>
          </w:p>
        </w:tc>
        <w:tc>
          <w:tcPr>
            <w:tcW w:w="636"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33.5 </w:t>
            </w:r>
          </w:p>
        </w:tc>
        <w:tc>
          <w:tcPr>
            <w:tcW w:w="70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38.7 </w:t>
            </w:r>
          </w:p>
        </w:tc>
        <w:tc>
          <w:tcPr>
            <w:tcW w:w="71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43.9 </w:t>
            </w:r>
          </w:p>
        </w:tc>
        <w:tc>
          <w:tcPr>
            <w:tcW w:w="71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54.4 </w:t>
            </w:r>
          </w:p>
        </w:tc>
        <w:tc>
          <w:tcPr>
            <w:tcW w:w="624" w:type="pct"/>
            <w:tcBorders>
              <w:top w:val="nil"/>
              <w:left w:val="nil"/>
              <w:bottom w:val="single" w:sz="4" w:space="0" w:color="366092"/>
              <w:right w:val="single" w:sz="4" w:space="0" w:color="366092"/>
            </w:tcBorders>
            <w:shd w:val="clear" w:color="auto" w:fill="auto"/>
            <w:noWrap/>
            <w:vAlign w:val="bottom"/>
            <w:hideMark/>
          </w:tcPr>
          <w:p w:rsidR="00DA2D8D" w:rsidRPr="00C76B86" w:rsidRDefault="00DA2D8D" w:rsidP="00440176">
            <w:pPr>
              <w:spacing w:after="0" w:line="240" w:lineRule="auto"/>
              <w:jc w:val="right"/>
              <w:rPr>
                <w:rFonts w:cs="Arial"/>
                <w:szCs w:val="19"/>
                <w:lang w:eastAsia="en-AU"/>
              </w:rPr>
            </w:pPr>
            <w:r w:rsidRPr="00C76B86">
              <w:rPr>
                <w:rFonts w:cs="Arial"/>
                <w:szCs w:val="19"/>
                <w:lang w:eastAsia="en-AU"/>
              </w:rPr>
              <w:t xml:space="preserve">66.7 </w:t>
            </w:r>
          </w:p>
        </w:tc>
      </w:tr>
      <w:tr w:rsidR="00DA2D8D" w:rsidRPr="001F6498" w:rsidTr="00DA2D8D">
        <w:trPr>
          <w:trHeight w:val="300"/>
        </w:trPr>
        <w:tc>
          <w:tcPr>
            <w:tcW w:w="3663" w:type="pct"/>
            <w:gridSpan w:val="5"/>
            <w:tcBorders>
              <w:top w:val="nil"/>
              <w:left w:val="nil"/>
              <w:bottom w:val="nil"/>
              <w:right w:val="nil"/>
            </w:tcBorders>
            <w:shd w:val="clear" w:color="auto" w:fill="auto"/>
            <w:noWrap/>
            <w:hideMark/>
          </w:tcPr>
          <w:p w:rsidR="00DA2D8D" w:rsidRPr="00524AC5" w:rsidRDefault="00DA2D8D" w:rsidP="00440176">
            <w:pPr>
              <w:spacing w:after="0" w:line="240" w:lineRule="auto"/>
              <w:jc w:val="left"/>
              <w:rPr>
                <w:rFonts w:cs="Arial"/>
                <w:color w:val="366092"/>
                <w:sz w:val="16"/>
                <w:szCs w:val="16"/>
                <w:lang w:eastAsia="en-AU"/>
              </w:rPr>
            </w:pPr>
            <w:r w:rsidRPr="00524AC5">
              <w:rPr>
                <w:rFonts w:cs="Arial"/>
                <w:color w:val="366092"/>
                <w:sz w:val="16"/>
                <w:szCs w:val="16"/>
                <w:lang w:eastAsia="en-AU"/>
              </w:rPr>
              <w:t>Note: Enrolment numbers rounded to nearest 100.</w:t>
            </w:r>
          </w:p>
        </w:tc>
        <w:tc>
          <w:tcPr>
            <w:tcW w:w="714" w:type="pct"/>
            <w:tcBorders>
              <w:top w:val="nil"/>
              <w:left w:val="nil"/>
              <w:bottom w:val="nil"/>
              <w:right w:val="nil"/>
            </w:tcBorders>
            <w:shd w:val="clear" w:color="auto" w:fill="auto"/>
            <w:noWrap/>
            <w:vAlign w:val="bottom"/>
            <w:hideMark/>
          </w:tcPr>
          <w:p w:rsidR="00DA2D8D" w:rsidRPr="00C76B86" w:rsidRDefault="00DA2D8D" w:rsidP="00440176">
            <w:pPr>
              <w:spacing w:after="0" w:line="240" w:lineRule="auto"/>
              <w:jc w:val="left"/>
              <w:rPr>
                <w:rFonts w:ascii="Calibri" w:hAnsi="Calibri"/>
                <w:color w:val="000000"/>
                <w:szCs w:val="19"/>
                <w:lang w:eastAsia="en-AU"/>
              </w:rPr>
            </w:pPr>
          </w:p>
        </w:tc>
        <w:tc>
          <w:tcPr>
            <w:tcW w:w="624" w:type="pct"/>
            <w:tcBorders>
              <w:top w:val="nil"/>
              <w:left w:val="nil"/>
              <w:bottom w:val="nil"/>
              <w:right w:val="nil"/>
            </w:tcBorders>
            <w:shd w:val="clear" w:color="auto" w:fill="auto"/>
            <w:noWrap/>
            <w:vAlign w:val="bottom"/>
            <w:hideMark/>
          </w:tcPr>
          <w:p w:rsidR="00DA2D8D" w:rsidRPr="00C76B86" w:rsidRDefault="00DA2D8D" w:rsidP="00440176">
            <w:pPr>
              <w:spacing w:after="0" w:line="240" w:lineRule="auto"/>
              <w:jc w:val="left"/>
              <w:rPr>
                <w:rFonts w:ascii="Calibri" w:hAnsi="Calibri"/>
                <w:color w:val="000000"/>
                <w:szCs w:val="19"/>
                <w:lang w:eastAsia="en-AU"/>
              </w:rPr>
            </w:pPr>
          </w:p>
        </w:tc>
      </w:tr>
    </w:tbl>
    <w:p w:rsidR="00F72C48" w:rsidRDefault="00F72C48" w:rsidP="00F72C48">
      <w:pPr>
        <w:spacing w:after="0" w:line="240" w:lineRule="auto"/>
        <w:jc w:val="left"/>
        <w:rPr>
          <w:rFonts w:cs="Arial"/>
          <w:sz w:val="16"/>
          <w:szCs w:val="16"/>
        </w:rPr>
      </w:pPr>
    </w:p>
    <w:p w:rsidR="000055B3" w:rsidRPr="002736AE" w:rsidRDefault="000055B3" w:rsidP="000055B3">
      <w:pPr>
        <w:pStyle w:val="Caption"/>
        <w:keepNext/>
        <w:rPr>
          <w:rFonts w:cs="Arial"/>
          <w:color w:val="365F91" w:themeColor="accent1" w:themeShade="BF"/>
          <w:sz w:val="16"/>
        </w:rPr>
      </w:pPr>
      <w:r w:rsidRPr="002736AE">
        <w:rPr>
          <w:rFonts w:cs="Arial"/>
          <w:color w:val="365F91" w:themeColor="accent1" w:themeShade="BF"/>
          <w:sz w:val="16"/>
        </w:rPr>
        <w:t>Table 3.1</w:t>
      </w:r>
      <w:r w:rsidR="00C91B0A">
        <w:rPr>
          <w:rFonts w:cs="Arial"/>
          <w:color w:val="365F91" w:themeColor="accent1" w:themeShade="BF"/>
          <w:sz w:val="16"/>
        </w:rPr>
        <w:t>1</w:t>
      </w:r>
      <w:r w:rsidRPr="002736AE">
        <w:rPr>
          <w:rFonts w:cs="Arial"/>
          <w:color w:val="365F91" w:themeColor="accent1" w:themeShade="BF"/>
          <w:sz w:val="16"/>
        </w:rPr>
        <w:t xml:space="preserve">.2, </w:t>
      </w:r>
      <w:r w:rsidR="00DE54FE" w:rsidRPr="002736AE">
        <w:rPr>
          <w:rFonts w:cs="Arial"/>
          <w:color w:val="365F91" w:themeColor="accent1" w:themeShade="BF"/>
          <w:sz w:val="16"/>
        </w:rPr>
        <w:t>Government subsidised training delivery for qualifications aligned to either specialised or skill shortage occupations</w:t>
      </w:r>
    </w:p>
    <w:tbl>
      <w:tblPr>
        <w:tblW w:w="4541"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1127"/>
        <w:gridCol w:w="1138"/>
        <w:gridCol w:w="1138"/>
        <w:gridCol w:w="1138"/>
      </w:tblGrid>
      <w:tr w:rsidR="000055B3" w:rsidRPr="00DA2D8D" w:rsidTr="000055B3">
        <w:trPr>
          <w:trHeight w:val="450"/>
        </w:trPr>
        <w:tc>
          <w:tcPr>
            <w:tcW w:w="1127" w:type="dxa"/>
            <w:shd w:val="clear" w:color="000000" w:fill="366092"/>
            <w:vAlign w:val="center"/>
            <w:hideMark/>
          </w:tcPr>
          <w:p w:rsidR="00DA2D8D" w:rsidRPr="00DA2D8D" w:rsidRDefault="00DA2D8D" w:rsidP="00DA2D8D">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w:t>
            </w:r>
          </w:p>
        </w:tc>
        <w:tc>
          <w:tcPr>
            <w:tcW w:w="1138" w:type="dxa"/>
            <w:shd w:val="clear" w:color="000000" w:fill="366092"/>
            <w:vAlign w:val="center"/>
            <w:hideMark/>
          </w:tcPr>
          <w:p w:rsidR="00DA2D8D" w:rsidRPr="00DA2D8D" w:rsidRDefault="00DA2D8D" w:rsidP="000055B3">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2008-2013</w:t>
            </w:r>
          </w:p>
        </w:tc>
        <w:tc>
          <w:tcPr>
            <w:tcW w:w="1138" w:type="dxa"/>
            <w:shd w:val="clear" w:color="000000" w:fill="366092"/>
            <w:vAlign w:val="center"/>
            <w:hideMark/>
          </w:tcPr>
          <w:p w:rsidR="00DA2D8D" w:rsidRPr="00DA2D8D" w:rsidRDefault="00DA2D8D" w:rsidP="000055B3">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2011-2013</w:t>
            </w:r>
          </w:p>
        </w:tc>
        <w:tc>
          <w:tcPr>
            <w:tcW w:w="1138" w:type="dxa"/>
            <w:shd w:val="clear" w:color="000000" w:fill="366092"/>
            <w:vAlign w:val="center"/>
            <w:hideMark/>
          </w:tcPr>
          <w:p w:rsidR="00DA2D8D" w:rsidRPr="00DA2D8D" w:rsidRDefault="00DA2D8D" w:rsidP="000055B3">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2012-2013</w:t>
            </w:r>
          </w:p>
        </w:tc>
      </w:tr>
      <w:tr w:rsidR="00340385" w:rsidRPr="00DA2D8D" w:rsidTr="00340385">
        <w:trPr>
          <w:trHeight w:val="300"/>
        </w:trPr>
        <w:tc>
          <w:tcPr>
            <w:tcW w:w="1127" w:type="dxa"/>
            <w:shd w:val="clear" w:color="000000" w:fill="FFFFFF"/>
            <w:noWrap/>
            <w:vAlign w:val="bottom"/>
            <w:hideMark/>
          </w:tcPr>
          <w:p w:rsidR="00340385" w:rsidRPr="00DA2D8D" w:rsidRDefault="00340385" w:rsidP="00DA2D8D">
            <w:pPr>
              <w:spacing w:after="0" w:line="240" w:lineRule="auto"/>
              <w:jc w:val="left"/>
              <w:rPr>
                <w:rFonts w:cs="Arial"/>
                <w:color w:val="366092"/>
                <w:sz w:val="18"/>
                <w:szCs w:val="18"/>
                <w:lang w:eastAsia="en-AU"/>
              </w:rPr>
            </w:pPr>
            <w:r w:rsidRPr="00DA2D8D">
              <w:rPr>
                <w:rFonts w:cs="Arial"/>
                <w:color w:val="366092"/>
                <w:sz w:val="18"/>
                <w:szCs w:val="18"/>
                <w:lang w:eastAsia="en-AU"/>
              </w:rPr>
              <w:t>Enrolments</w:t>
            </w:r>
          </w:p>
        </w:tc>
        <w:tc>
          <w:tcPr>
            <w:tcW w:w="1138" w:type="dxa"/>
            <w:shd w:val="clear" w:color="auto" w:fill="auto"/>
            <w:noWrap/>
            <w:vAlign w:val="center"/>
            <w:hideMark/>
          </w:tcPr>
          <w:p w:rsidR="00340385" w:rsidRPr="00DA2D8D" w:rsidRDefault="00340385" w:rsidP="00340385">
            <w:pPr>
              <w:spacing w:after="0" w:line="240" w:lineRule="auto"/>
              <w:jc w:val="right"/>
              <w:rPr>
                <w:rFonts w:cs="Arial"/>
                <w:sz w:val="18"/>
                <w:szCs w:val="18"/>
                <w:lang w:eastAsia="en-AU"/>
              </w:rPr>
            </w:pPr>
            <w:r w:rsidRPr="00340385">
              <w:rPr>
                <w:sz w:val="18"/>
                <w:szCs w:val="18"/>
              </w:rPr>
              <w:t>103%</w:t>
            </w:r>
          </w:p>
        </w:tc>
        <w:tc>
          <w:tcPr>
            <w:tcW w:w="1138" w:type="dxa"/>
            <w:shd w:val="clear" w:color="auto" w:fill="auto"/>
            <w:noWrap/>
            <w:vAlign w:val="center"/>
            <w:hideMark/>
          </w:tcPr>
          <w:p w:rsidR="00340385" w:rsidRPr="00DA2D8D" w:rsidRDefault="00340385" w:rsidP="00340385">
            <w:pPr>
              <w:spacing w:after="0" w:line="240" w:lineRule="auto"/>
              <w:jc w:val="right"/>
              <w:rPr>
                <w:rFonts w:cs="Arial"/>
                <w:sz w:val="18"/>
                <w:szCs w:val="18"/>
                <w:lang w:eastAsia="en-AU"/>
              </w:rPr>
            </w:pPr>
            <w:r w:rsidRPr="00340385">
              <w:rPr>
                <w:sz w:val="18"/>
                <w:szCs w:val="18"/>
              </w:rPr>
              <w:t>35%</w:t>
            </w:r>
          </w:p>
        </w:tc>
        <w:tc>
          <w:tcPr>
            <w:tcW w:w="1138" w:type="dxa"/>
            <w:shd w:val="clear" w:color="auto" w:fill="auto"/>
            <w:noWrap/>
            <w:vAlign w:val="center"/>
            <w:hideMark/>
          </w:tcPr>
          <w:p w:rsidR="00340385" w:rsidRPr="00DA2D8D" w:rsidRDefault="00340385" w:rsidP="00340385">
            <w:pPr>
              <w:spacing w:after="0" w:line="240" w:lineRule="auto"/>
              <w:ind w:firstLineChars="100" w:firstLine="180"/>
              <w:jc w:val="right"/>
              <w:rPr>
                <w:rFonts w:cs="Arial"/>
                <w:sz w:val="18"/>
                <w:szCs w:val="18"/>
                <w:lang w:eastAsia="en-AU"/>
              </w:rPr>
            </w:pPr>
            <w:r w:rsidRPr="00340385">
              <w:rPr>
                <w:sz w:val="18"/>
                <w:szCs w:val="18"/>
              </w:rPr>
              <w:t>14%</w:t>
            </w:r>
          </w:p>
        </w:tc>
      </w:tr>
      <w:tr w:rsidR="00340385" w:rsidRPr="00DA2D8D" w:rsidTr="00340385">
        <w:trPr>
          <w:trHeight w:val="315"/>
        </w:trPr>
        <w:tc>
          <w:tcPr>
            <w:tcW w:w="1127" w:type="dxa"/>
            <w:shd w:val="clear" w:color="000000" w:fill="FFFFFF"/>
            <w:noWrap/>
            <w:vAlign w:val="bottom"/>
            <w:hideMark/>
          </w:tcPr>
          <w:p w:rsidR="00340385" w:rsidRPr="00DA2D8D" w:rsidRDefault="00340385" w:rsidP="00DA2D8D">
            <w:pPr>
              <w:spacing w:after="0" w:line="240" w:lineRule="auto"/>
              <w:jc w:val="left"/>
              <w:rPr>
                <w:rFonts w:cs="Arial"/>
                <w:color w:val="366092"/>
                <w:sz w:val="18"/>
                <w:szCs w:val="18"/>
                <w:lang w:eastAsia="en-AU"/>
              </w:rPr>
            </w:pPr>
            <w:r w:rsidRPr="00DA2D8D">
              <w:rPr>
                <w:rFonts w:cs="Arial"/>
                <w:color w:val="366092"/>
                <w:sz w:val="18"/>
                <w:szCs w:val="18"/>
                <w:lang w:eastAsia="en-AU"/>
              </w:rPr>
              <w:t>Hours (millions)</w:t>
            </w:r>
          </w:p>
        </w:tc>
        <w:tc>
          <w:tcPr>
            <w:tcW w:w="1138" w:type="dxa"/>
            <w:shd w:val="clear" w:color="auto" w:fill="auto"/>
            <w:noWrap/>
            <w:vAlign w:val="center"/>
            <w:hideMark/>
          </w:tcPr>
          <w:p w:rsidR="00340385" w:rsidRPr="00DA2D8D" w:rsidRDefault="00340385" w:rsidP="00340385">
            <w:pPr>
              <w:spacing w:after="0" w:line="240" w:lineRule="auto"/>
              <w:jc w:val="right"/>
              <w:rPr>
                <w:rFonts w:cs="Arial"/>
                <w:sz w:val="18"/>
                <w:szCs w:val="18"/>
                <w:lang w:eastAsia="en-AU"/>
              </w:rPr>
            </w:pPr>
            <w:r w:rsidRPr="00340385">
              <w:rPr>
                <w:sz w:val="18"/>
                <w:szCs w:val="18"/>
              </w:rPr>
              <w:t>135%</w:t>
            </w:r>
          </w:p>
        </w:tc>
        <w:tc>
          <w:tcPr>
            <w:tcW w:w="1138" w:type="dxa"/>
            <w:shd w:val="clear" w:color="auto" w:fill="auto"/>
            <w:noWrap/>
            <w:vAlign w:val="center"/>
            <w:hideMark/>
          </w:tcPr>
          <w:p w:rsidR="00340385" w:rsidRPr="00DA2D8D" w:rsidRDefault="00340385" w:rsidP="00340385">
            <w:pPr>
              <w:spacing w:after="0" w:line="240" w:lineRule="auto"/>
              <w:ind w:firstLineChars="100" w:firstLine="180"/>
              <w:jc w:val="right"/>
              <w:rPr>
                <w:rFonts w:cs="Arial"/>
                <w:sz w:val="18"/>
                <w:szCs w:val="18"/>
                <w:lang w:eastAsia="en-AU"/>
              </w:rPr>
            </w:pPr>
            <w:r w:rsidRPr="00340385">
              <w:rPr>
                <w:sz w:val="18"/>
                <w:szCs w:val="18"/>
              </w:rPr>
              <w:t>52%</w:t>
            </w:r>
          </w:p>
        </w:tc>
        <w:tc>
          <w:tcPr>
            <w:tcW w:w="1138" w:type="dxa"/>
            <w:shd w:val="clear" w:color="auto" w:fill="auto"/>
            <w:noWrap/>
            <w:vAlign w:val="center"/>
            <w:hideMark/>
          </w:tcPr>
          <w:p w:rsidR="00340385" w:rsidRPr="00DA2D8D" w:rsidRDefault="00340385" w:rsidP="00340385">
            <w:pPr>
              <w:spacing w:after="0" w:line="240" w:lineRule="auto"/>
              <w:ind w:firstLineChars="100" w:firstLine="180"/>
              <w:jc w:val="right"/>
              <w:rPr>
                <w:rFonts w:cs="Arial"/>
                <w:sz w:val="18"/>
                <w:szCs w:val="18"/>
                <w:lang w:eastAsia="en-AU"/>
              </w:rPr>
            </w:pPr>
            <w:r w:rsidRPr="00340385">
              <w:rPr>
                <w:sz w:val="18"/>
                <w:szCs w:val="18"/>
              </w:rPr>
              <w:t>22%</w:t>
            </w:r>
          </w:p>
        </w:tc>
      </w:tr>
    </w:tbl>
    <w:p w:rsidR="00DA2D8D" w:rsidRDefault="00DA2D8D">
      <w:pPr>
        <w:spacing w:after="0" w:line="240" w:lineRule="auto"/>
        <w:jc w:val="left"/>
        <w:rPr>
          <w:rFonts w:cs="Arial"/>
          <w:b/>
          <w:bCs/>
          <w:color w:val="4F81BD"/>
          <w:sz w:val="16"/>
          <w:szCs w:val="16"/>
        </w:rPr>
      </w:pPr>
      <w:r>
        <w:rPr>
          <w:rFonts w:cs="Arial"/>
          <w:color w:val="4F81BD"/>
          <w:sz w:val="16"/>
        </w:rPr>
        <w:br w:type="page"/>
      </w:r>
    </w:p>
    <w:p w:rsidR="00F72C48" w:rsidRDefault="00F72C48" w:rsidP="00F72C48">
      <w:pPr>
        <w:pStyle w:val="Caption"/>
        <w:keepNext/>
        <w:rPr>
          <w:rFonts w:cs="Arial"/>
          <w:color w:val="4F81BD"/>
          <w:sz w:val="16"/>
        </w:rPr>
      </w:pPr>
      <w:r w:rsidRPr="000D77C3">
        <w:rPr>
          <w:rFonts w:cs="Arial"/>
          <w:color w:val="4F81BD"/>
          <w:sz w:val="16"/>
        </w:rPr>
        <w:t>Table 3.1</w:t>
      </w:r>
      <w:r w:rsidR="00C91B0A">
        <w:rPr>
          <w:rFonts w:cs="Arial"/>
          <w:color w:val="4F81BD"/>
          <w:sz w:val="16"/>
        </w:rPr>
        <w:t>2</w:t>
      </w:r>
      <w:r w:rsidRPr="000D77C3">
        <w:rPr>
          <w:rFonts w:cs="Arial"/>
          <w:color w:val="4F81BD"/>
          <w:sz w:val="16"/>
        </w:rPr>
        <w:t>.1: Government subsidised training delivery for qualifications not</w:t>
      </w:r>
      <w:r>
        <w:rPr>
          <w:rFonts w:cs="Arial"/>
          <w:color w:val="4F81BD"/>
          <w:sz w:val="16"/>
        </w:rPr>
        <w:t xml:space="preserve"> aligned</w:t>
      </w:r>
      <w:r w:rsidRPr="000D77C3">
        <w:rPr>
          <w:rFonts w:cs="Arial"/>
          <w:color w:val="4F81BD"/>
          <w:sz w:val="16"/>
        </w:rPr>
        <w:t xml:space="preserve"> to specialised or skill shortage occupations, 2008 </w:t>
      </w:r>
      <w:r>
        <w:rPr>
          <w:rFonts w:cs="Arial"/>
          <w:color w:val="4F81BD"/>
          <w:sz w:val="16"/>
        </w:rPr>
        <w:t>–</w:t>
      </w:r>
      <w:r w:rsidRPr="000D77C3">
        <w:rPr>
          <w:rFonts w:cs="Arial"/>
          <w:color w:val="4F81BD"/>
          <w:sz w:val="16"/>
        </w:rPr>
        <w:t xml:space="preserve"> 201</w:t>
      </w:r>
      <w:r>
        <w:rPr>
          <w:rFonts w:cs="Arial"/>
          <w:color w:val="4F81BD"/>
          <w:sz w:val="16"/>
        </w:rPr>
        <w:t>3</w:t>
      </w:r>
    </w:p>
    <w:tbl>
      <w:tblPr>
        <w:tblW w:w="4273" w:type="pct"/>
        <w:tblInd w:w="108" w:type="dxa"/>
        <w:tblLayout w:type="fixed"/>
        <w:tblLook w:val="04A0" w:firstRow="1" w:lastRow="0" w:firstColumn="1" w:lastColumn="0" w:noHBand="0" w:noVBand="1"/>
      </w:tblPr>
      <w:tblGrid>
        <w:gridCol w:w="1539"/>
        <w:gridCol w:w="1014"/>
        <w:gridCol w:w="1010"/>
        <w:gridCol w:w="1118"/>
        <w:gridCol w:w="1134"/>
        <w:gridCol w:w="1134"/>
        <w:gridCol w:w="989"/>
      </w:tblGrid>
      <w:tr w:rsidR="000055B3" w:rsidRPr="001F6498" w:rsidTr="002736AE">
        <w:trPr>
          <w:trHeight w:val="450"/>
        </w:trPr>
        <w:tc>
          <w:tcPr>
            <w:tcW w:w="970" w:type="pct"/>
            <w:tcBorders>
              <w:top w:val="nil"/>
              <w:left w:val="single" w:sz="4" w:space="0" w:color="366092"/>
              <w:bottom w:val="single" w:sz="4" w:space="0" w:color="366092"/>
              <w:right w:val="single" w:sz="4" w:space="0" w:color="366092"/>
            </w:tcBorders>
            <w:shd w:val="clear" w:color="000000" w:fill="366092"/>
            <w:noWrap/>
            <w:vAlign w:val="center"/>
            <w:hideMark/>
          </w:tcPr>
          <w:p w:rsidR="000055B3" w:rsidRPr="00C76B86" w:rsidRDefault="000055B3" w:rsidP="00440176">
            <w:pPr>
              <w:spacing w:after="0" w:line="240" w:lineRule="auto"/>
              <w:ind w:firstLineChars="100" w:firstLine="191"/>
              <w:jc w:val="left"/>
              <w:rPr>
                <w:rFonts w:cs="Arial"/>
                <w:b/>
                <w:bCs/>
                <w:color w:val="FFFFFF"/>
                <w:szCs w:val="19"/>
                <w:lang w:eastAsia="en-AU"/>
              </w:rPr>
            </w:pPr>
            <w:r w:rsidRPr="00C76B86">
              <w:rPr>
                <w:rFonts w:cs="Arial"/>
                <w:b/>
                <w:bCs/>
                <w:color w:val="FFFFFF"/>
                <w:szCs w:val="19"/>
                <w:lang w:eastAsia="en-AU"/>
              </w:rPr>
              <w:t> </w:t>
            </w:r>
          </w:p>
        </w:tc>
        <w:tc>
          <w:tcPr>
            <w:tcW w:w="639" w:type="pct"/>
            <w:tcBorders>
              <w:top w:val="nil"/>
              <w:left w:val="nil"/>
              <w:bottom w:val="single" w:sz="4" w:space="0" w:color="366092"/>
              <w:right w:val="single" w:sz="4" w:space="0" w:color="366092"/>
            </w:tcBorders>
            <w:shd w:val="clear" w:color="000000" w:fill="366092"/>
            <w:vAlign w:val="center"/>
            <w:hideMark/>
          </w:tcPr>
          <w:p w:rsidR="000055B3" w:rsidRPr="00C76B86" w:rsidRDefault="000055B3" w:rsidP="00440176">
            <w:pPr>
              <w:spacing w:after="0" w:line="240" w:lineRule="auto"/>
              <w:jc w:val="center"/>
              <w:rPr>
                <w:rFonts w:cs="Arial"/>
                <w:b/>
                <w:bCs/>
                <w:color w:val="FFFFFF"/>
                <w:szCs w:val="19"/>
                <w:lang w:eastAsia="en-AU"/>
              </w:rPr>
            </w:pPr>
            <w:r w:rsidRPr="00C76B86">
              <w:rPr>
                <w:rFonts w:cs="Arial"/>
                <w:b/>
                <w:bCs/>
                <w:color w:val="FFFFFF"/>
                <w:szCs w:val="19"/>
                <w:lang w:eastAsia="en-AU"/>
              </w:rPr>
              <w:t>2008</w:t>
            </w:r>
          </w:p>
        </w:tc>
        <w:tc>
          <w:tcPr>
            <w:tcW w:w="636" w:type="pct"/>
            <w:tcBorders>
              <w:top w:val="nil"/>
              <w:left w:val="nil"/>
              <w:bottom w:val="single" w:sz="4" w:space="0" w:color="366092"/>
              <w:right w:val="single" w:sz="4" w:space="0" w:color="366092"/>
            </w:tcBorders>
            <w:shd w:val="clear" w:color="000000" w:fill="366092"/>
            <w:vAlign w:val="center"/>
            <w:hideMark/>
          </w:tcPr>
          <w:p w:rsidR="000055B3" w:rsidRPr="00C76B86" w:rsidRDefault="000055B3" w:rsidP="00440176">
            <w:pPr>
              <w:spacing w:after="0" w:line="240" w:lineRule="auto"/>
              <w:jc w:val="center"/>
              <w:rPr>
                <w:rFonts w:cs="Arial"/>
                <w:b/>
                <w:bCs/>
                <w:color w:val="FFFFFF"/>
                <w:szCs w:val="19"/>
                <w:lang w:eastAsia="en-AU"/>
              </w:rPr>
            </w:pPr>
            <w:r w:rsidRPr="00C76B86">
              <w:rPr>
                <w:rFonts w:cs="Arial"/>
                <w:b/>
                <w:bCs/>
                <w:color w:val="FFFFFF"/>
                <w:szCs w:val="19"/>
                <w:lang w:eastAsia="en-AU"/>
              </w:rPr>
              <w:t>2009</w:t>
            </w:r>
          </w:p>
        </w:tc>
        <w:tc>
          <w:tcPr>
            <w:tcW w:w="704" w:type="pct"/>
            <w:tcBorders>
              <w:top w:val="nil"/>
              <w:left w:val="nil"/>
              <w:bottom w:val="single" w:sz="4" w:space="0" w:color="366092"/>
              <w:right w:val="single" w:sz="4" w:space="0" w:color="366092"/>
            </w:tcBorders>
            <w:shd w:val="clear" w:color="000000" w:fill="366092"/>
            <w:vAlign w:val="center"/>
            <w:hideMark/>
          </w:tcPr>
          <w:p w:rsidR="000055B3" w:rsidRPr="00C76B86" w:rsidRDefault="000055B3" w:rsidP="00440176">
            <w:pPr>
              <w:spacing w:after="0" w:line="240" w:lineRule="auto"/>
              <w:jc w:val="center"/>
              <w:rPr>
                <w:rFonts w:cs="Arial"/>
                <w:b/>
                <w:bCs/>
                <w:color w:val="FFFFFF"/>
                <w:szCs w:val="19"/>
                <w:lang w:eastAsia="en-AU"/>
              </w:rPr>
            </w:pPr>
            <w:r w:rsidRPr="00C76B86">
              <w:rPr>
                <w:rFonts w:cs="Arial"/>
                <w:b/>
                <w:bCs/>
                <w:color w:val="FFFFFF"/>
                <w:szCs w:val="19"/>
                <w:lang w:eastAsia="en-AU"/>
              </w:rPr>
              <w:t>2010</w:t>
            </w:r>
          </w:p>
        </w:tc>
        <w:tc>
          <w:tcPr>
            <w:tcW w:w="714" w:type="pct"/>
            <w:tcBorders>
              <w:top w:val="nil"/>
              <w:left w:val="nil"/>
              <w:bottom w:val="single" w:sz="4" w:space="0" w:color="366092"/>
              <w:right w:val="single" w:sz="4" w:space="0" w:color="366092"/>
            </w:tcBorders>
            <w:shd w:val="clear" w:color="000000" w:fill="366092"/>
            <w:vAlign w:val="center"/>
            <w:hideMark/>
          </w:tcPr>
          <w:p w:rsidR="000055B3" w:rsidRPr="00C76B86" w:rsidRDefault="000055B3" w:rsidP="00440176">
            <w:pPr>
              <w:spacing w:after="0" w:line="240" w:lineRule="auto"/>
              <w:jc w:val="center"/>
              <w:rPr>
                <w:rFonts w:cs="Arial"/>
                <w:b/>
                <w:bCs/>
                <w:color w:val="FFFFFF"/>
                <w:szCs w:val="19"/>
                <w:lang w:eastAsia="en-AU"/>
              </w:rPr>
            </w:pPr>
            <w:r w:rsidRPr="00C76B86">
              <w:rPr>
                <w:rFonts w:cs="Arial"/>
                <w:b/>
                <w:bCs/>
                <w:color w:val="FFFFFF"/>
                <w:szCs w:val="19"/>
                <w:lang w:eastAsia="en-AU"/>
              </w:rPr>
              <w:t>2011</w:t>
            </w:r>
          </w:p>
        </w:tc>
        <w:tc>
          <w:tcPr>
            <w:tcW w:w="714" w:type="pct"/>
            <w:tcBorders>
              <w:top w:val="nil"/>
              <w:left w:val="nil"/>
              <w:bottom w:val="single" w:sz="4" w:space="0" w:color="366092"/>
              <w:right w:val="single" w:sz="4" w:space="0" w:color="366092"/>
            </w:tcBorders>
            <w:shd w:val="clear" w:color="000000" w:fill="366092"/>
            <w:vAlign w:val="center"/>
            <w:hideMark/>
          </w:tcPr>
          <w:p w:rsidR="000055B3" w:rsidRPr="00C76B86" w:rsidRDefault="000055B3" w:rsidP="00440176">
            <w:pPr>
              <w:spacing w:after="0" w:line="240" w:lineRule="auto"/>
              <w:jc w:val="center"/>
              <w:rPr>
                <w:rFonts w:cs="Arial"/>
                <w:b/>
                <w:bCs/>
                <w:color w:val="FFFFFF"/>
                <w:szCs w:val="19"/>
                <w:lang w:eastAsia="en-AU"/>
              </w:rPr>
            </w:pPr>
            <w:r w:rsidRPr="00C76B86">
              <w:rPr>
                <w:rFonts w:cs="Arial"/>
                <w:b/>
                <w:bCs/>
                <w:color w:val="FFFFFF"/>
                <w:szCs w:val="19"/>
                <w:lang w:eastAsia="en-AU"/>
              </w:rPr>
              <w:t>2012</w:t>
            </w:r>
          </w:p>
        </w:tc>
        <w:tc>
          <w:tcPr>
            <w:tcW w:w="624" w:type="pct"/>
            <w:tcBorders>
              <w:top w:val="nil"/>
              <w:left w:val="nil"/>
              <w:bottom w:val="single" w:sz="4" w:space="0" w:color="366092"/>
              <w:right w:val="single" w:sz="4" w:space="0" w:color="366092"/>
            </w:tcBorders>
            <w:shd w:val="clear" w:color="000000" w:fill="366092"/>
            <w:vAlign w:val="center"/>
            <w:hideMark/>
          </w:tcPr>
          <w:p w:rsidR="000055B3" w:rsidRPr="00C76B86" w:rsidRDefault="000055B3" w:rsidP="00440176">
            <w:pPr>
              <w:spacing w:after="0" w:line="240" w:lineRule="auto"/>
              <w:jc w:val="center"/>
              <w:rPr>
                <w:rFonts w:cs="Arial"/>
                <w:b/>
                <w:bCs/>
                <w:color w:val="FFFFFF"/>
                <w:szCs w:val="19"/>
                <w:lang w:eastAsia="en-AU"/>
              </w:rPr>
            </w:pPr>
            <w:r w:rsidRPr="00C76B86">
              <w:rPr>
                <w:rFonts w:cs="Arial"/>
                <w:b/>
                <w:bCs/>
                <w:color w:val="FFFFFF"/>
                <w:szCs w:val="19"/>
                <w:lang w:eastAsia="en-AU"/>
              </w:rPr>
              <w:t>2013</w:t>
            </w:r>
          </w:p>
        </w:tc>
      </w:tr>
      <w:tr w:rsidR="000055B3" w:rsidRPr="001F6498" w:rsidTr="002736AE">
        <w:trPr>
          <w:trHeight w:val="300"/>
        </w:trPr>
        <w:tc>
          <w:tcPr>
            <w:tcW w:w="970" w:type="pct"/>
            <w:tcBorders>
              <w:top w:val="nil"/>
              <w:left w:val="single" w:sz="4" w:space="0" w:color="366092"/>
              <w:bottom w:val="single" w:sz="4" w:space="0" w:color="366092"/>
              <w:right w:val="single" w:sz="4" w:space="0" w:color="366092"/>
            </w:tcBorders>
            <w:shd w:val="clear" w:color="000000" w:fill="FFFFFF"/>
            <w:noWrap/>
            <w:vAlign w:val="bottom"/>
            <w:hideMark/>
          </w:tcPr>
          <w:p w:rsidR="000055B3" w:rsidRPr="00C76B86" w:rsidRDefault="000055B3" w:rsidP="00440176">
            <w:pPr>
              <w:spacing w:after="0" w:line="240" w:lineRule="auto"/>
              <w:jc w:val="left"/>
              <w:rPr>
                <w:rFonts w:cs="Arial"/>
                <w:color w:val="366092"/>
                <w:szCs w:val="19"/>
                <w:lang w:eastAsia="en-AU"/>
              </w:rPr>
            </w:pPr>
            <w:r w:rsidRPr="00C76B86">
              <w:rPr>
                <w:rFonts w:cs="Arial"/>
                <w:color w:val="366092"/>
                <w:szCs w:val="19"/>
                <w:lang w:eastAsia="en-AU"/>
              </w:rPr>
              <w:t>Enrolments</w:t>
            </w:r>
          </w:p>
        </w:tc>
        <w:tc>
          <w:tcPr>
            <w:tcW w:w="639"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  185,100 </w:t>
            </w:r>
          </w:p>
        </w:tc>
        <w:tc>
          <w:tcPr>
            <w:tcW w:w="636"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  182,900 </w:t>
            </w:r>
          </w:p>
        </w:tc>
        <w:tc>
          <w:tcPr>
            <w:tcW w:w="70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  221,000 </w:t>
            </w:r>
          </w:p>
        </w:tc>
        <w:tc>
          <w:tcPr>
            <w:tcW w:w="71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  306,600 </w:t>
            </w:r>
          </w:p>
        </w:tc>
        <w:tc>
          <w:tcPr>
            <w:tcW w:w="71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  343,200 </w:t>
            </w:r>
          </w:p>
        </w:tc>
        <w:tc>
          <w:tcPr>
            <w:tcW w:w="62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  263,700 </w:t>
            </w:r>
          </w:p>
        </w:tc>
      </w:tr>
      <w:tr w:rsidR="000055B3" w:rsidRPr="001F6498" w:rsidTr="002736AE">
        <w:trPr>
          <w:trHeight w:val="300"/>
        </w:trPr>
        <w:tc>
          <w:tcPr>
            <w:tcW w:w="970" w:type="pct"/>
            <w:tcBorders>
              <w:top w:val="nil"/>
              <w:left w:val="single" w:sz="4" w:space="0" w:color="366092"/>
              <w:bottom w:val="single" w:sz="4" w:space="0" w:color="366092"/>
              <w:right w:val="single" w:sz="4" w:space="0" w:color="366092"/>
            </w:tcBorders>
            <w:shd w:val="clear" w:color="000000" w:fill="FFFFFF"/>
            <w:noWrap/>
            <w:vAlign w:val="bottom"/>
            <w:hideMark/>
          </w:tcPr>
          <w:p w:rsidR="000055B3" w:rsidRPr="00C76B86" w:rsidRDefault="000055B3" w:rsidP="00440176">
            <w:pPr>
              <w:spacing w:after="0" w:line="240" w:lineRule="auto"/>
              <w:jc w:val="left"/>
              <w:rPr>
                <w:rFonts w:cs="Arial"/>
                <w:color w:val="366092"/>
                <w:szCs w:val="19"/>
                <w:lang w:eastAsia="en-AU"/>
              </w:rPr>
            </w:pPr>
            <w:r w:rsidRPr="00C76B86">
              <w:rPr>
                <w:rFonts w:cs="Arial"/>
                <w:color w:val="366092"/>
                <w:szCs w:val="19"/>
                <w:lang w:eastAsia="en-AU"/>
              </w:rPr>
              <w:t>Hours (millions)</w:t>
            </w:r>
          </w:p>
        </w:tc>
        <w:tc>
          <w:tcPr>
            <w:tcW w:w="639"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46.9 </w:t>
            </w:r>
          </w:p>
        </w:tc>
        <w:tc>
          <w:tcPr>
            <w:tcW w:w="636"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49.2 </w:t>
            </w:r>
          </w:p>
        </w:tc>
        <w:tc>
          <w:tcPr>
            <w:tcW w:w="70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61.8 </w:t>
            </w:r>
          </w:p>
        </w:tc>
        <w:tc>
          <w:tcPr>
            <w:tcW w:w="71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86.3 </w:t>
            </w:r>
          </w:p>
        </w:tc>
        <w:tc>
          <w:tcPr>
            <w:tcW w:w="71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109.8 </w:t>
            </w:r>
          </w:p>
        </w:tc>
        <w:tc>
          <w:tcPr>
            <w:tcW w:w="624" w:type="pct"/>
            <w:tcBorders>
              <w:top w:val="nil"/>
              <w:left w:val="nil"/>
              <w:bottom w:val="single" w:sz="4" w:space="0" w:color="366092"/>
              <w:right w:val="single" w:sz="4" w:space="0" w:color="366092"/>
            </w:tcBorders>
            <w:shd w:val="clear" w:color="auto" w:fill="auto"/>
            <w:noWrap/>
            <w:vAlign w:val="bottom"/>
            <w:hideMark/>
          </w:tcPr>
          <w:p w:rsidR="000055B3" w:rsidRPr="00C76B86" w:rsidRDefault="000055B3" w:rsidP="00440176">
            <w:pPr>
              <w:spacing w:after="0" w:line="240" w:lineRule="auto"/>
              <w:jc w:val="right"/>
              <w:rPr>
                <w:rFonts w:cs="Arial"/>
                <w:szCs w:val="19"/>
                <w:lang w:eastAsia="en-AU"/>
              </w:rPr>
            </w:pPr>
            <w:r w:rsidRPr="00C76B86">
              <w:rPr>
                <w:rFonts w:cs="Arial"/>
                <w:szCs w:val="19"/>
                <w:lang w:eastAsia="en-AU"/>
              </w:rPr>
              <w:t xml:space="preserve">83.6 </w:t>
            </w:r>
          </w:p>
        </w:tc>
      </w:tr>
      <w:tr w:rsidR="000055B3" w:rsidRPr="001F6498" w:rsidTr="002736AE">
        <w:trPr>
          <w:trHeight w:val="300"/>
        </w:trPr>
        <w:tc>
          <w:tcPr>
            <w:tcW w:w="3663" w:type="pct"/>
            <w:gridSpan w:val="5"/>
            <w:tcBorders>
              <w:top w:val="nil"/>
              <w:left w:val="nil"/>
              <w:bottom w:val="nil"/>
              <w:right w:val="nil"/>
            </w:tcBorders>
            <w:shd w:val="clear" w:color="auto" w:fill="auto"/>
            <w:noWrap/>
            <w:hideMark/>
          </w:tcPr>
          <w:p w:rsidR="000055B3" w:rsidRPr="00524AC5" w:rsidRDefault="000055B3" w:rsidP="00440176">
            <w:pPr>
              <w:spacing w:after="0" w:line="240" w:lineRule="auto"/>
              <w:jc w:val="left"/>
              <w:rPr>
                <w:rFonts w:cs="Arial"/>
                <w:color w:val="366092"/>
                <w:sz w:val="16"/>
                <w:szCs w:val="16"/>
                <w:lang w:eastAsia="en-AU"/>
              </w:rPr>
            </w:pPr>
            <w:r w:rsidRPr="00524AC5">
              <w:rPr>
                <w:rFonts w:cs="Arial"/>
                <w:color w:val="366092"/>
                <w:sz w:val="16"/>
                <w:szCs w:val="16"/>
                <w:lang w:eastAsia="en-AU"/>
              </w:rPr>
              <w:t>Note: Enrolment numbers rounded to nearest 100.</w:t>
            </w:r>
          </w:p>
        </w:tc>
        <w:tc>
          <w:tcPr>
            <w:tcW w:w="714" w:type="pct"/>
            <w:tcBorders>
              <w:top w:val="nil"/>
              <w:left w:val="nil"/>
              <w:bottom w:val="nil"/>
              <w:right w:val="nil"/>
            </w:tcBorders>
            <w:shd w:val="clear" w:color="auto" w:fill="auto"/>
            <w:noWrap/>
            <w:vAlign w:val="bottom"/>
            <w:hideMark/>
          </w:tcPr>
          <w:p w:rsidR="000055B3" w:rsidRPr="00C76B86" w:rsidRDefault="000055B3" w:rsidP="00440176">
            <w:pPr>
              <w:spacing w:after="0" w:line="240" w:lineRule="auto"/>
              <w:jc w:val="left"/>
              <w:rPr>
                <w:rFonts w:ascii="Calibri" w:hAnsi="Calibri"/>
                <w:color w:val="000000"/>
                <w:szCs w:val="19"/>
                <w:lang w:eastAsia="en-AU"/>
              </w:rPr>
            </w:pPr>
          </w:p>
        </w:tc>
        <w:tc>
          <w:tcPr>
            <w:tcW w:w="624" w:type="pct"/>
            <w:tcBorders>
              <w:top w:val="nil"/>
              <w:left w:val="nil"/>
              <w:bottom w:val="nil"/>
              <w:right w:val="nil"/>
            </w:tcBorders>
            <w:shd w:val="clear" w:color="auto" w:fill="auto"/>
            <w:noWrap/>
            <w:vAlign w:val="bottom"/>
            <w:hideMark/>
          </w:tcPr>
          <w:p w:rsidR="000055B3" w:rsidRPr="00C76B86" w:rsidRDefault="000055B3" w:rsidP="00440176">
            <w:pPr>
              <w:spacing w:after="0" w:line="240" w:lineRule="auto"/>
              <w:jc w:val="left"/>
              <w:rPr>
                <w:rFonts w:ascii="Calibri" w:hAnsi="Calibri"/>
                <w:color w:val="000000"/>
                <w:szCs w:val="19"/>
                <w:lang w:eastAsia="en-AU"/>
              </w:rPr>
            </w:pPr>
          </w:p>
        </w:tc>
      </w:tr>
    </w:tbl>
    <w:p w:rsidR="00F72C48" w:rsidRPr="00DF7F85" w:rsidRDefault="00F72C48" w:rsidP="00F72C48">
      <w:pPr>
        <w:spacing w:after="0" w:line="240" w:lineRule="auto"/>
        <w:jc w:val="left"/>
        <w:rPr>
          <w:rFonts w:cs="Arial"/>
          <w:sz w:val="16"/>
          <w:szCs w:val="16"/>
        </w:rPr>
      </w:pPr>
    </w:p>
    <w:p w:rsidR="00DE54FE" w:rsidRDefault="00DE54FE" w:rsidP="00F72C48">
      <w:pPr>
        <w:pStyle w:val="Caption"/>
        <w:keepNext/>
        <w:rPr>
          <w:rFonts w:cs="Arial"/>
          <w:color w:val="4F81BD"/>
          <w:sz w:val="16"/>
        </w:rPr>
      </w:pPr>
    </w:p>
    <w:p w:rsidR="00DE54FE" w:rsidRPr="00DE54FE" w:rsidRDefault="00DE54FE" w:rsidP="00F72C48">
      <w:pPr>
        <w:pStyle w:val="Caption"/>
        <w:keepNext/>
        <w:rPr>
          <w:rFonts w:cs="Arial"/>
          <w:color w:val="365F91" w:themeColor="accent1" w:themeShade="BF"/>
          <w:sz w:val="16"/>
        </w:rPr>
      </w:pPr>
      <w:r w:rsidRPr="00DE54FE">
        <w:rPr>
          <w:rFonts w:cs="Arial"/>
          <w:color w:val="365F91" w:themeColor="accent1" w:themeShade="BF"/>
          <w:sz w:val="16"/>
        </w:rPr>
        <w:t>Table 3.1</w:t>
      </w:r>
      <w:r w:rsidR="00C91B0A">
        <w:rPr>
          <w:rFonts w:cs="Arial"/>
          <w:color w:val="365F91" w:themeColor="accent1" w:themeShade="BF"/>
          <w:sz w:val="16"/>
        </w:rPr>
        <w:t>2</w:t>
      </w:r>
      <w:r w:rsidRPr="00DE54FE">
        <w:rPr>
          <w:rFonts w:cs="Arial"/>
          <w:color w:val="365F91" w:themeColor="accent1" w:themeShade="BF"/>
          <w:sz w:val="16"/>
        </w:rPr>
        <w:t xml:space="preserve">.2, </w:t>
      </w:r>
      <w:r w:rsidR="009274DD">
        <w:rPr>
          <w:rFonts w:cs="Arial"/>
          <w:color w:val="365F91" w:themeColor="accent1" w:themeShade="BF"/>
          <w:sz w:val="16"/>
        </w:rPr>
        <w:t xml:space="preserve">Change in </w:t>
      </w:r>
      <w:r w:rsidR="009274DD" w:rsidRPr="009274DD">
        <w:rPr>
          <w:rFonts w:cs="Arial"/>
          <w:color w:val="365F91" w:themeColor="accent1" w:themeShade="BF"/>
          <w:sz w:val="16"/>
        </w:rPr>
        <w:t>Government subsidised training delivery for qualifications not aligned to specialised or skill shortage occupations</w:t>
      </w:r>
    </w:p>
    <w:tbl>
      <w:tblPr>
        <w:tblW w:w="4541"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1127"/>
        <w:gridCol w:w="1138"/>
        <w:gridCol w:w="1138"/>
        <w:gridCol w:w="1138"/>
      </w:tblGrid>
      <w:tr w:rsidR="009274DD" w:rsidRPr="00DA2D8D" w:rsidTr="00970ACA">
        <w:trPr>
          <w:trHeight w:val="450"/>
        </w:trPr>
        <w:tc>
          <w:tcPr>
            <w:tcW w:w="1127" w:type="dxa"/>
            <w:shd w:val="clear" w:color="000000" w:fill="366092"/>
            <w:vAlign w:val="center"/>
            <w:hideMark/>
          </w:tcPr>
          <w:p w:rsidR="009274DD" w:rsidRPr="00DA2D8D" w:rsidRDefault="009274DD" w:rsidP="00970ACA">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w:t>
            </w:r>
          </w:p>
        </w:tc>
        <w:tc>
          <w:tcPr>
            <w:tcW w:w="1138" w:type="dxa"/>
            <w:shd w:val="clear" w:color="000000" w:fill="366092"/>
            <w:vAlign w:val="center"/>
            <w:hideMark/>
          </w:tcPr>
          <w:p w:rsidR="009274DD" w:rsidRPr="00DA2D8D" w:rsidRDefault="009274DD" w:rsidP="00970ACA">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2008-2013</w:t>
            </w:r>
          </w:p>
        </w:tc>
        <w:tc>
          <w:tcPr>
            <w:tcW w:w="1138" w:type="dxa"/>
            <w:shd w:val="clear" w:color="000000" w:fill="366092"/>
            <w:vAlign w:val="center"/>
            <w:hideMark/>
          </w:tcPr>
          <w:p w:rsidR="009274DD" w:rsidRPr="00DA2D8D" w:rsidRDefault="009274DD" w:rsidP="00970ACA">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2011-2013</w:t>
            </w:r>
          </w:p>
        </w:tc>
        <w:tc>
          <w:tcPr>
            <w:tcW w:w="1138" w:type="dxa"/>
            <w:shd w:val="clear" w:color="000000" w:fill="366092"/>
            <w:vAlign w:val="center"/>
            <w:hideMark/>
          </w:tcPr>
          <w:p w:rsidR="009274DD" w:rsidRPr="00DA2D8D" w:rsidRDefault="009274DD" w:rsidP="00970ACA">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2012-2013</w:t>
            </w:r>
          </w:p>
        </w:tc>
      </w:tr>
      <w:tr w:rsidR="002736AE" w:rsidRPr="00DA2D8D" w:rsidTr="002736AE">
        <w:trPr>
          <w:trHeight w:val="300"/>
        </w:trPr>
        <w:tc>
          <w:tcPr>
            <w:tcW w:w="1127" w:type="dxa"/>
            <w:shd w:val="clear" w:color="000000" w:fill="FFFFFF"/>
            <w:noWrap/>
            <w:vAlign w:val="bottom"/>
            <w:hideMark/>
          </w:tcPr>
          <w:p w:rsidR="002736AE" w:rsidRPr="00DA2D8D" w:rsidRDefault="002736AE" w:rsidP="00970ACA">
            <w:pPr>
              <w:spacing w:after="0" w:line="240" w:lineRule="auto"/>
              <w:jc w:val="left"/>
              <w:rPr>
                <w:rFonts w:cs="Arial"/>
                <w:color w:val="366092"/>
                <w:sz w:val="18"/>
                <w:szCs w:val="18"/>
                <w:lang w:eastAsia="en-AU"/>
              </w:rPr>
            </w:pPr>
            <w:r w:rsidRPr="00DA2D8D">
              <w:rPr>
                <w:rFonts w:cs="Arial"/>
                <w:color w:val="366092"/>
                <w:sz w:val="18"/>
                <w:szCs w:val="18"/>
                <w:lang w:eastAsia="en-AU"/>
              </w:rPr>
              <w:t>Enrolments</w:t>
            </w:r>
          </w:p>
        </w:tc>
        <w:tc>
          <w:tcPr>
            <w:tcW w:w="1138" w:type="dxa"/>
            <w:shd w:val="clear" w:color="auto" w:fill="auto"/>
            <w:noWrap/>
            <w:vAlign w:val="center"/>
            <w:hideMark/>
          </w:tcPr>
          <w:p w:rsidR="002736AE" w:rsidRPr="00DA2D8D" w:rsidRDefault="002736AE" w:rsidP="002736AE">
            <w:pPr>
              <w:spacing w:after="0" w:line="240" w:lineRule="auto"/>
              <w:jc w:val="right"/>
              <w:rPr>
                <w:rFonts w:cs="Arial"/>
                <w:sz w:val="18"/>
                <w:szCs w:val="18"/>
                <w:lang w:eastAsia="en-AU"/>
              </w:rPr>
            </w:pPr>
            <w:r w:rsidRPr="002736AE">
              <w:rPr>
                <w:sz w:val="18"/>
                <w:szCs w:val="18"/>
              </w:rPr>
              <w:t>42%</w:t>
            </w:r>
          </w:p>
        </w:tc>
        <w:tc>
          <w:tcPr>
            <w:tcW w:w="1138" w:type="dxa"/>
            <w:shd w:val="clear" w:color="auto" w:fill="auto"/>
            <w:noWrap/>
            <w:vAlign w:val="center"/>
            <w:hideMark/>
          </w:tcPr>
          <w:p w:rsidR="002736AE" w:rsidRPr="00DA2D8D" w:rsidRDefault="002736AE" w:rsidP="002736AE">
            <w:pPr>
              <w:spacing w:after="0" w:line="240" w:lineRule="auto"/>
              <w:jc w:val="right"/>
              <w:rPr>
                <w:rFonts w:cs="Arial"/>
                <w:sz w:val="18"/>
                <w:szCs w:val="18"/>
                <w:lang w:eastAsia="en-AU"/>
              </w:rPr>
            </w:pPr>
            <w:r w:rsidRPr="002736AE">
              <w:rPr>
                <w:sz w:val="18"/>
                <w:szCs w:val="18"/>
              </w:rPr>
              <w:t>-14%</w:t>
            </w:r>
          </w:p>
        </w:tc>
        <w:tc>
          <w:tcPr>
            <w:tcW w:w="1138" w:type="dxa"/>
            <w:shd w:val="clear" w:color="auto" w:fill="auto"/>
            <w:noWrap/>
            <w:vAlign w:val="center"/>
            <w:hideMark/>
          </w:tcPr>
          <w:p w:rsidR="002736AE" w:rsidRPr="00DA2D8D" w:rsidRDefault="002736AE" w:rsidP="002736AE">
            <w:pPr>
              <w:spacing w:after="0" w:line="240" w:lineRule="auto"/>
              <w:ind w:firstLineChars="100" w:firstLine="180"/>
              <w:jc w:val="right"/>
              <w:rPr>
                <w:rFonts w:cs="Arial"/>
                <w:sz w:val="18"/>
                <w:szCs w:val="18"/>
                <w:lang w:eastAsia="en-AU"/>
              </w:rPr>
            </w:pPr>
            <w:r w:rsidRPr="002736AE">
              <w:rPr>
                <w:sz w:val="18"/>
                <w:szCs w:val="18"/>
              </w:rPr>
              <w:t>-23%</w:t>
            </w:r>
          </w:p>
        </w:tc>
      </w:tr>
      <w:tr w:rsidR="002736AE" w:rsidRPr="00DA2D8D" w:rsidTr="002736AE">
        <w:trPr>
          <w:trHeight w:val="315"/>
        </w:trPr>
        <w:tc>
          <w:tcPr>
            <w:tcW w:w="1127" w:type="dxa"/>
            <w:shd w:val="clear" w:color="000000" w:fill="FFFFFF"/>
            <w:noWrap/>
            <w:vAlign w:val="bottom"/>
            <w:hideMark/>
          </w:tcPr>
          <w:p w:rsidR="002736AE" w:rsidRPr="00DA2D8D" w:rsidRDefault="002736AE" w:rsidP="00970ACA">
            <w:pPr>
              <w:spacing w:after="0" w:line="240" w:lineRule="auto"/>
              <w:jc w:val="left"/>
              <w:rPr>
                <w:rFonts w:cs="Arial"/>
                <w:color w:val="366092"/>
                <w:sz w:val="18"/>
                <w:szCs w:val="18"/>
                <w:lang w:eastAsia="en-AU"/>
              </w:rPr>
            </w:pPr>
            <w:r w:rsidRPr="00DA2D8D">
              <w:rPr>
                <w:rFonts w:cs="Arial"/>
                <w:color w:val="366092"/>
                <w:sz w:val="18"/>
                <w:szCs w:val="18"/>
                <w:lang w:eastAsia="en-AU"/>
              </w:rPr>
              <w:t>Hours (millions)</w:t>
            </w:r>
          </w:p>
        </w:tc>
        <w:tc>
          <w:tcPr>
            <w:tcW w:w="1138" w:type="dxa"/>
            <w:shd w:val="clear" w:color="auto" w:fill="auto"/>
            <w:noWrap/>
            <w:vAlign w:val="center"/>
            <w:hideMark/>
          </w:tcPr>
          <w:p w:rsidR="002736AE" w:rsidRPr="00DA2D8D" w:rsidRDefault="002736AE" w:rsidP="002736AE">
            <w:pPr>
              <w:spacing w:after="0" w:line="240" w:lineRule="auto"/>
              <w:jc w:val="right"/>
              <w:rPr>
                <w:rFonts w:cs="Arial"/>
                <w:sz w:val="18"/>
                <w:szCs w:val="18"/>
                <w:lang w:eastAsia="en-AU"/>
              </w:rPr>
            </w:pPr>
            <w:r w:rsidRPr="002736AE">
              <w:rPr>
                <w:sz w:val="18"/>
                <w:szCs w:val="18"/>
              </w:rPr>
              <w:t>78%</w:t>
            </w:r>
          </w:p>
        </w:tc>
        <w:tc>
          <w:tcPr>
            <w:tcW w:w="1138" w:type="dxa"/>
            <w:shd w:val="clear" w:color="auto" w:fill="auto"/>
            <w:noWrap/>
            <w:vAlign w:val="center"/>
            <w:hideMark/>
          </w:tcPr>
          <w:p w:rsidR="002736AE" w:rsidRPr="00DA2D8D" w:rsidRDefault="002736AE" w:rsidP="002736AE">
            <w:pPr>
              <w:spacing w:after="0" w:line="240" w:lineRule="auto"/>
              <w:ind w:firstLineChars="100" w:firstLine="180"/>
              <w:jc w:val="right"/>
              <w:rPr>
                <w:rFonts w:cs="Arial"/>
                <w:sz w:val="18"/>
                <w:szCs w:val="18"/>
                <w:lang w:eastAsia="en-AU"/>
              </w:rPr>
            </w:pPr>
            <w:r w:rsidRPr="002736AE">
              <w:rPr>
                <w:sz w:val="18"/>
                <w:szCs w:val="18"/>
              </w:rPr>
              <w:t>-3%</w:t>
            </w:r>
          </w:p>
        </w:tc>
        <w:tc>
          <w:tcPr>
            <w:tcW w:w="1138" w:type="dxa"/>
            <w:shd w:val="clear" w:color="auto" w:fill="auto"/>
            <w:noWrap/>
            <w:vAlign w:val="center"/>
            <w:hideMark/>
          </w:tcPr>
          <w:p w:rsidR="002736AE" w:rsidRPr="00DA2D8D" w:rsidRDefault="002736AE" w:rsidP="002736AE">
            <w:pPr>
              <w:spacing w:after="0" w:line="240" w:lineRule="auto"/>
              <w:ind w:firstLineChars="100" w:firstLine="180"/>
              <w:jc w:val="right"/>
              <w:rPr>
                <w:rFonts w:cs="Arial"/>
                <w:sz w:val="18"/>
                <w:szCs w:val="18"/>
                <w:lang w:eastAsia="en-AU"/>
              </w:rPr>
            </w:pPr>
            <w:r w:rsidRPr="002736AE">
              <w:rPr>
                <w:sz w:val="18"/>
                <w:szCs w:val="18"/>
              </w:rPr>
              <w:t>-24%</w:t>
            </w:r>
          </w:p>
        </w:tc>
      </w:tr>
    </w:tbl>
    <w:p w:rsidR="00DE54FE" w:rsidRDefault="00DE54FE" w:rsidP="00DE54FE"/>
    <w:p w:rsidR="00DE54FE" w:rsidRPr="00DE54FE" w:rsidRDefault="00DE54FE" w:rsidP="00DE54FE"/>
    <w:p w:rsidR="00F72C48" w:rsidRPr="002736AE" w:rsidRDefault="00F72C48" w:rsidP="00F72C48">
      <w:pPr>
        <w:pStyle w:val="Caption"/>
        <w:keepNext/>
        <w:rPr>
          <w:rFonts w:cs="Arial"/>
          <w:color w:val="365F91" w:themeColor="accent1" w:themeShade="BF"/>
          <w:sz w:val="16"/>
        </w:rPr>
      </w:pPr>
      <w:r w:rsidRPr="002736AE">
        <w:rPr>
          <w:rFonts w:cs="Arial"/>
          <w:color w:val="365F91" w:themeColor="accent1" w:themeShade="BF"/>
          <w:sz w:val="16"/>
        </w:rPr>
        <w:t>Table 3.1</w:t>
      </w:r>
      <w:r w:rsidR="00C91B0A">
        <w:rPr>
          <w:rFonts w:cs="Arial"/>
          <w:color w:val="365F91" w:themeColor="accent1" w:themeShade="BF"/>
          <w:sz w:val="16"/>
        </w:rPr>
        <w:t>3</w:t>
      </w:r>
      <w:r w:rsidRPr="002736AE">
        <w:rPr>
          <w:rFonts w:cs="Arial"/>
          <w:color w:val="365F91" w:themeColor="accent1" w:themeShade="BF"/>
          <w:sz w:val="16"/>
        </w:rPr>
        <w:t>.1: Government subsidised training delivery for qualifications aligned to specialised occupations, 2008 - 2013</w:t>
      </w:r>
    </w:p>
    <w:tbl>
      <w:tblPr>
        <w:tblW w:w="4273" w:type="pct"/>
        <w:tblInd w:w="108" w:type="dxa"/>
        <w:tblLayout w:type="fixed"/>
        <w:tblLook w:val="04A0" w:firstRow="1" w:lastRow="0" w:firstColumn="1" w:lastColumn="0" w:noHBand="0" w:noVBand="1"/>
      </w:tblPr>
      <w:tblGrid>
        <w:gridCol w:w="1542"/>
        <w:gridCol w:w="1014"/>
        <w:gridCol w:w="1010"/>
        <w:gridCol w:w="1116"/>
        <w:gridCol w:w="1135"/>
        <w:gridCol w:w="1130"/>
        <w:gridCol w:w="991"/>
      </w:tblGrid>
      <w:tr w:rsidR="001A3314" w:rsidRPr="001F6498" w:rsidTr="001A3314">
        <w:trPr>
          <w:trHeight w:val="450"/>
        </w:trPr>
        <w:tc>
          <w:tcPr>
            <w:tcW w:w="971" w:type="pct"/>
            <w:tcBorders>
              <w:top w:val="nil"/>
              <w:left w:val="single" w:sz="4" w:space="0" w:color="366092"/>
              <w:bottom w:val="single" w:sz="4" w:space="0" w:color="366092"/>
              <w:right w:val="single" w:sz="4" w:space="0" w:color="366092"/>
            </w:tcBorders>
            <w:shd w:val="clear" w:color="000000" w:fill="366092"/>
            <w:noWrap/>
            <w:vAlign w:val="center"/>
            <w:hideMark/>
          </w:tcPr>
          <w:p w:rsidR="001A3314" w:rsidRPr="00C76B86" w:rsidRDefault="001A3314" w:rsidP="00440176">
            <w:pPr>
              <w:spacing w:after="0" w:line="240" w:lineRule="auto"/>
              <w:ind w:firstLineChars="100" w:firstLine="191"/>
              <w:jc w:val="left"/>
              <w:rPr>
                <w:rFonts w:cs="Arial"/>
                <w:b/>
                <w:bCs/>
                <w:color w:val="FFFFFF"/>
                <w:szCs w:val="19"/>
                <w:lang w:eastAsia="en-AU"/>
              </w:rPr>
            </w:pPr>
            <w:r w:rsidRPr="00C76B86">
              <w:rPr>
                <w:rFonts w:cs="Arial"/>
                <w:b/>
                <w:bCs/>
                <w:color w:val="FFFFFF"/>
                <w:szCs w:val="19"/>
                <w:lang w:eastAsia="en-AU"/>
              </w:rPr>
              <w:t> </w:t>
            </w:r>
          </w:p>
        </w:tc>
        <w:tc>
          <w:tcPr>
            <w:tcW w:w="639" w:type="pct"/>
            <w:tcBorders>
              <w:top w:val="nil"/>
              <w:left w:val="nil"/>
              <w:bottom w:val="single" w:sz="4" w:space="0" w:color="366092"/>
              <w:right w:val="single" w:sz="4" w:space="0" w:color="366092"/>
            </w:tcBorders>
            <w:shd w:val="clear" w:color="000000" w:fill="366092"/>
            <w:vAlign w:val="center"/>
            <w:hideMark/>
          </w:tcPr>
          <w:p w:rsidR="001A3314" w:rsidRPr="00C76B86" w:rsidRDefault="001A3314" w:rsidP="00440176">
            <w:pPr>
              <w:spacing w:after="0" w:line="240" w:lineRule="auto"/>
              <w:jc w:val="center"/>
              <w:rPr>
                <w:rFonts w:cs="Arial"/>
                <w:b/>
                <w:bCs/>
                <w:color w:val="FFFFFF"/>
                <w:szCs w:val="19"/>
                <w:lang w:eastAsia="en-AU"/>
              </w:rPr>
            </w:pPr>
            <w:r w:rsidRPr="00C76B86">
              <w:rPr>
                <w:rFonts w:cs="Arial"/>
                <w:b/>
                <w:bCs/>
                <w:color w:val="FFFFFF"/>
                <w:szCs w:val="19"/>
                <w:lang w:eastAsia="en-AU"/>
              </w:rPr>
              <w:t>2008</w:t>
            </w:r>
          </w:p>
        </w:tc>
        <w:tc>
          <w:tcPr>
            <w:tcW w:w="636" w:type="pct"/>
            <w:tcBorders>
              <w:top w:val="nil"/>
              <w:left w:val="nil"/>
              <w:bottom w:val="single" w:sz="4" w:space="0" w:color="366092"/>
              <w:right w:val="single" w:sz="4" w:space="0" w:color="366092"/>
            </w:tcBorders>
            <w:shd w:val="clear" w:color="000000" w:fill="366092"/>
            <w:vAlign w:val="center"/>
            <w:hideMark/>
          </w:tcPr>
          <w:p w:rsidR="001A3314" w:rsidRPr="00C76B86" w:rsidRDefault="001A3314" w:rsidP="00440176">
            <w:pPr>
              <w:spacing w:after="0" w:line="240" w:lineRule="auto"/>
              <w:jc w:val="center"/>
              <w:rPr>
                <w:rFonts w:cs="Arial"/>
                <w:b/>
                <w:bCs/>
                <w:color w:val="FFFFFF"/>
                <w:szCs w:val="19"/>
                <w:lang w:eastAsia="en-AU"/>
              </w:rPr>
            </w:pPr>
            <w:r w:rsidRPr="00C76B86">
              <w:rPr>
                <w:rFonts w:cs="Arial"/>
                <w:b/>
                <w:bCs/>
                <w:color w:val="FFFFFF"/>
                <w:szCs w:val="19"/>
                <w:lang w:eastAsia="en-AU"/>
              </w:rPr>
              <w:t>2009</w:t>
            </w:r>
          </w:p>
        </w:tc>
        <w:tc>
          <w:tcPr>
            <w:tcW w:w="703" w:type="pct"/>
            <w:tcBorders>
              <w:top w:val="nil"/>
              <w:left w:val="nil"/>
              <w:bottom w:val="single" w:sz="4" w:space="0" w:color="366092"/>
              <w:right w:val="single" w:sz="4" w:space="0" w:color="366092"/>
            </w:tcBorders>
            <w:shd w:val="clear" w:color="000000" w:fill="366092"/>
            <w:vAlign w:val="center"/>
            <w:hideMark/>
          </w:tcPr>
          <w:p w:rsidR="001A3314" w:rsidRPr="00C76B86" w:rsidRDefault="001A3314" w:rsidP="00440176">
            <w:pPr>
              <w:spacing w:after="0" w:line="240" w:lineRule="auto"/>
              <w:jc w:val="center"/>
              <w:rPr>
                <w:rFonts w:cs="Arial"/>
                <w:b/>
                <w:bCs/>
                <w:color w:val="FFFFFF"/>
                <w:szCs w:val="19"/>
                <w:lang w:eastAsia="en-AU"/>
              </w:rPr>
            </w:pPr>
            <w:r w:rsidRPr="00C76B86">
              <w:rPr>
                <w:rFonts w:cs="Arial"/>
                <w:b/>
                <w:bCs/>
                <w:color w:val="FFFFFF"/>
                <w:szCs w:val="19"/>
                <w:lang w:eastAsia="en-AU"/>
              </w:rPr>
              <w:t>2010</w:t>
            </w:r>
          </w:p>
        </w:tc>
        <w:tc>
          <w:tcPr>
            <w:tcW w:w="714" w:type="pct"/>
            <w:tcBorders>
              <w:top w:val="nil"/>
              <w:left w:val="nil"/>
              <w:bottom w:val="single" w:sz="4" w:space="0" w:color="366092"/>
              <w:right w:val="single" w:sz="4" w:space="0" w:color="366092"/>
            </w:tcBorders>
            <w:shd w:val="clear" w:color="000000" w:fill="366092"/>
            <w:vAlign w:val="center"/>
            <w:hideMark/>
          </w:tcPr>
          <w:p w:rsidR="001A3314" w:rsidRPr="00C76B86" w:rsidRDefault="001A3314" w:rsidP="00440176">
            <w:pPr>
              <w:spacing w:after="0" w:line="240" w:lineRule="auto"/>
              <w:jc w:val="center"/>
              <w:rPr>
                <w:rFonts w:cs="Arial"/>
                <w:b/>
                <w:bCs/>
                <w:color w:val="FFFFFF"/>
                <w:szCs w:val="19"/>
                <w:lang w:eastAsia="en-AU"/>
              </w:rPr>
            </w:pPr>
            <w:r w:rsidRPr="00C76B86">
              <w:rPr>
                <w:rFonts w:cs="Arial"/>
                <w:b/>
                <w:bCs/>
                <w:color w:val="FFFFFF"/>
                <w:szCs w:val="19"/>
                <w:lang w:eastAsia="en-AU"/>
              </w:rPr>
              <w:t>2011</w:t>
            </w:r>
          </w:p>
        </w:tc>
        <w:tc>
          <w:tcPr>
            <w:tcW w:w="712" w:type="pct"/>
            <w:tcBorders>
              <w:top w:val="nil"/>
              <w:left w:val="nil"/>
              <w:bottom w:val="single" w:sz="4" w:space="0" w:color="366092"/>
              <w:right w:val="single" w:sz="4" w:space="0" w:color="366092"/>
            </w:tcBorders>
            <w:shd w:val="clear" w:color="000000" w:fill="366092"/>
            <w:vAlign w:val="center"/>
            <w:hideMark/>
          </w:tcPr>
          <w:p w:rsidR="001A3314" w:rsidRPr="00C76B86" w:rsidRDefault="001A3314" w:rsidP="00440176">
            <w:pPr>
              <w:spacing w:after="0" w:line="240" w:lineRule="auto"/>
              <w:jc w:val="center"/>
              <w:rPr>
                <w:rFonts w:cs="Arial"/>
                <w:b/>
                <w:bCs/>
                <w:color w:val="FFFFFF"/>
                <w:szCs w:val="19"/>
                <w:lang w:eastAsia="en-AU"/>
              </w:rPr>
            </w:pPr>
            <w:r w:rsidRPr="00C76B86">
              <w:rPr>
                <w:rFonts w:cs="Arial"/>
                <w:b/>
                <w:bCs/>
                <w:color w:val="FFFFFF"/>
                <w:szCs w:val="19"/>
                <w:lang w:eastAsia="en-AU"/>
              </w:rPr>
              <w:t>2012</w:t>
            </w:r>
          </w:p>
        </w:tc>
        <w:tc>
          <w:tcPr>
            <w:tcW w:w="624" w:type="pct"/>
            <w:tcBorders>
              <w:top w:val="nil"/>
              <w:left w:val="nil"/>
              <w:bottom w:val="single" w:sz="4" w:space="0" w:color="366092"/>
              <w:right w:val="single" w:sz="4" w:space="0" w:color="366092"/>
            </w:tcBorders>
            <w:shd w:val="clear" w:color="000000" w:fill="366092"/>
            <w:vAlign w:val="center"/>
            <w:hideMark/>
          </w:tcPr>
          <w:p w:rsidR="001A3314" w:rsidRPr="00C76B86" w:rsidRDefault="001A3314" w:rsidP="00440176">
            <w:pPr>
              <w:spacing w:after="0" w:line="240" w:lineRule="auto"/>
              <w:jc w:val="center"/>
              <w:rPr>
                <w:rFonts w:cs="Arial"/>
                <w:b/>
                <w:bCs/>
                <w:color w:val="FFFFFF"/>
                <w:szCs w:val="19"/>
                <w:lang w:eastAsia="en-AU"/>
              </w:rPr>
            </w:pPr>
            <w:r w:rsidRPr="00C76B86">
              <w:rPr>
                <w:rFonts w:cs="Arial"/>
                <w:b/>
                <w:bCs/>
                <w:color w:val="FFFFFF"/>
                <w:szCs w:val="19"/>
                <w:lang w:eastAsia="en-AU"/>
              </w:rPr>
              <w:t>2013</w:t>
            </w:r>
          </w:p>
        </w:tc>
      </w:tr>
      <w:tr w:rsidR="001A3314" w:rsidRPr="001F6498" w:rsidTr="001A3314">
        <w:trPr>
          <w:trHeight w:val="300"/>
        </w:trPr>
        <w:tc>
          <w:tcPr>
            <w:tcW w:w="971" w:type="pct"/>
            <w:tcBorders>
              <w:top w:val="nil"/>
              <w:left w:val="single" w:sz="4" w:space="0" w:color="366092"/>
              <w:bottom w:val="single" w:sz="4" w:space="0" w:color="366092"/>
              <w:right w:val="single" w:sz="4" w:space="0" w:color="366092"/>
            </w:tcBorders>
            <w:shd w:val="clear" w:color="000000" w:fill="FFFFFF"/>
            <w:noWrap/>
            <w:vAlign w:val="center"/>
            <w:hideMark/>
          </w:tcPr>
          <w:p w:rsidR="001A3314" w:rsidRPr="002736AE" w:rsidRDefault="001A3314" w:rsidP="002736AE">
            <w:pPr>
              <w:spacing w:after="0" w:line="240" w:lineRule="auto"/>
              <w:jc w:val="left"/>
              <w:rPr>
                <w:rFonts w:cs="Arial"/>
                <w:color w:val="366092"/>
                <w:sz w:val="18"/>
                <w:szCs w:val="18"/>
                <w:lang w:eastAsia="en-AU"/>
              </w:rPr>
            </w:pPr>
            <w:r w:rsidRPr="002736AE">
              <w:rPr>
                <w:rFonts w:cs="Arial"/>
                <w:color w:val="366092"/>
                <w:sz w:val="18"/>
                <w:szCs w:val="18"/>
                <w:lang w:eastAsia="en-AU"/>
              </w:rPr>
              <w:t>Enrolments</w:t>
            </w:r>
          </w:p>
        </w:tc>
        <w:tc>
          <w:tcPr>
            <w:tcW w:w="639"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spacing w:after="0" w:line="240" w:lineRule="auto"/>
              <w:jc w:val="right"/>
              <w:rPr>
                <w:rFonts w:cs="Arial"/>
                <w:sz w:val="18"/>
                <w:szCs w:val="18"/>
                <w:lang w:eastAsia="en-AU"/>
              </w:rPr>
            </w:pPr>
            <w:r w:rsidRPr="002736AE">
              <w:rPr>
                <w:rFonts w:cs="Arial"/>
                <w:sz w:val="18"/>
                <w:szCs w:val="18"/>
                <w:lang w:eastAsia="en-AU"/>
              </w:rPr>
              <w:t xml:space="preserve">    56,500 </w:t>
            </w:r>
          </w:p>
        </w:tc>
        <w:tc>
          <w:tcPr>
            <w:tcW w:w="636"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spacing w:after="0" w:line="240" w:lineRule="auto"/>
              <w:jc w:val="right"/>
              <w:rPr>
                <w:rFonts w:cs="Arial"/>
                <w:sz w:val="18"/>
                <w:szCs w:val="18"/>
                <w:lang w:eastAsia="en-AU"/>
              </w:rPr>
            </w:pPr>
            <w:r w:rsidRPr="002736AE">
              <w:rPr>
                <w:rFonts w:cs="Arial"/>
                <w:sz w:val="18"/>
                <w:szCs w:val="18"/>
                <w:lang w:eastAsia="en-AU"/>
              </w:rPr>
              <w:t xml:space="preserve">    58,800 </w:t>
            </w:r>
          </w:p>
        </w:tc>
        <w:tc>
          <w:tcPr>
            <w:tcW w:w="703"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spacing w:after="0" w:line="240" w:lineRule="auto"/>
              <w:jc w:val="right"/>
              <w:rPr>
                <w:rFonts w:cs="Arial"/>
                <w:sz w:val="18"/>
                <w:szCs w:val="18"/>
                <w:lang w:eastAsia="en-AU"/>
              </w:rPr>
            </w:pPr>
            <w:r w:rsidRPr="002736AE">
              <w:rPr>
                <w:rFonts w:cs="Arial"/>
                <w:sz w:val="18"/>
                <w:szCs w:val="18"/>
                <w:lang w:eastAsia="en-AU"/>
              </w:rPr>
              <w:t xml:space="preserve">    64,200 </w:t>
            </w:r>
          </w:p>
        </w:tc>
        <w:tc>
          <w:tcPr>
            <w:tcW w:w="714"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spacing w:after="0" w:line="240" w:lineRule="auto"/>
              <w:jc w:val="right"/>
              <w:rPr>
                <w:rFonts w:cs="Arial"/>
                <w:sz w:val="18"/>
                <w:szCs w:val="18"/>
                <w:lang w:eastAsia="en-AU"/>
              </w:rPr>
            </w:pPr>
            <w:r w:rsidRPr="002736AE">
              <w:rPr>
                <w:rFonts w:cs="Arial"/>
                <w:sz w:val="18"/>
                <w:szCs w:val="18"/>
                <w:lang w:eastAsia="en-AU"/>
              </w:rPr>
              <w:t xml:space="preserve">    71,100 </w:t>
            </w:r>
          </w:p>
        </w:tc>
        <w:tc>
          <w:tcPr>
            <w:tcW w:w="712"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spacing w:after="0" w:line="240" w:lineRule="auto"/>
              <w:jc w:val="right"/>
              <w:rPr>
                <w:rFonts w:cs="Arial"/>
                <w:sz w:val="18"/>
                <w:szCs w:val="18"/>
                <w:lang w:eastAsia="en-AU"/>
              </w:rPr>
            </w:pPr>
            <w:r w:rsidRPr="002736AE">
              <w:rPr>
                <w:rFonts w:cs="Arial"/>
                <w:sz w:val="18"/>
                <w:szCs w:val="18"/>
                <w:lang w:eastAsia="en-AU"/>
              </w:rPr>
              <w:t xml:space="preserve">    79,500 </w:t>
            </w:r>
          </w:p>
        </w:tc>
        <w:tc>
          <w:tcPr>
            <w:tcW w:w="624"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spacing w:after="0" w:line="240" w:lineRule="auto"/>
              <w:jc w:val="right"/>
              <w:rPr>
                <w:rFonts w:cs="Arial"/>
                <w:sz w:val="18"/>
                <w:szCs w:val="18"/>
                <w:lang w:eastAsia="en-AU"/>
              </w:rPr>
            </w:pPr>
            <w:r w:rsidRPr="002736AE">
              <w:rPr>
                <w:rFonts w:cs="Arial"/>
                <w:sz w:val="18"/>
                <w:szCs w:val="18"/>
                <w:lang w:eastAsia="en-AU"/>
              </w:rPr>
              <w:t xml:space="preserve">    90,300 </w:t>
            </w:r>
          </w:p>
        </w:tc>
      </w:tr>
      <w:tr w:rsidR="001A3314" w:rsidRPr="001F6498" w:rsidTr="001A3314">
        <w:trPr>
          <w:trHeight w:val="300"/>
        </w:trPr>
        <w:tc>
          <w:tcPr>
            <w:tcW w:w="971" w:type="pct"/>
            <w:tcBorders>
              <w:top w:val="nil"/>
              <w:left w:val="single" w:sz="4" w:space="0" w:color="366092"/>
              <w:bottom w:val="single" w:sz="4" w:space="0" w:color="366092"/>
              <w:right w:val="single" w:sz="4" w:space="0" w:color="366092"/>
            </w:tcBorders>
            <w:shd w:val="clear" w:color="000000" w:fill="FFFFFF"/>
            <w:noWrap/>
            <w:vAlign w:val="center"/>
            <w:hideMark/>
          </w:tcPr>
          <w:p w:rsidR="001A3314" w:rsidRPr="002736AE" w:rsidRDefault="001A3314" w:rsidP="002736AE">
            <w:pPr>
              <w:spacing w:after="0" w:line="240" w:lineRule="auto"/>
              <w:jc w:val="left"/>
              <w:rPr>
                <w:rFonts w:cs="Arial"/>
                <w:color w:val="366092"/>
                <w:sz w:val="18"/>
                <w:szCs w:val="18"/>
                <w:lang w:eastAsia="en-AU"/>
              </w:rPr>
            </w:pPr>
            <w:r w:rsidRPr="002736AE">
              <w:rPr>
                <w:rFonts w:cs="Arial"/>
                <w:color w:val="366092"/>
                <w:sz w:val="18"/>
                <w:szCs w:val="18"/>
                <w:lang w:eastAsia="en-AU"/>
              </w:rPr>
              <w:t>Hours (millions)</w:t>
            </w:r>
          </w:p>
        </w:tc>
        <w:tc>
          <w:tcPr>
            <w:tcW w:w="639"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jc w:val="right"/>
              <w:rPr>
                <w:rFonts w:cs="Arial"/>
                <w:sz w:val="18"/>
                <w:szCs w:val="18"/>
              </w:rPr>
            </w:pPr>
            <w:r w:rsidRPr="002736AE">
              <w:rPr>
                <w:rFonts w:cs="Arial"/>
                <w:sz w:val="18"/>
                <w:szCs w:val="18"/>
              </w:rPr>
              <w:t xml:space="preserve">16.5 </w:t>
            </w:r>
          </w:p>
        </w:tc>
        <w:tc>
          <w:tcPr>
            <w:tcW w:w="636"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jc w:val="right"/>
              <w:rPr>
                <w:rFonts w:cs="Arial"/>
                <w:sz w:val="18"/>
                <w:szCs w:val="18"/>
              </w:rPr>
            </w:pPr>
            <w:r w:rsidRPr="002736AE">
              <w:rPr>
                <w:rFonts w:cs="Arial"/>
                <w:sz w:val="18"/>
                <w:szCs w:val="18"/>
              </w:rPr>
              <w:t xml:space="preserve">19.5 </w:t>
            </w:r>
          </w:p>
        </w:tc>
        <w:tc>
          <w:tcPr>
            <w:tcW w:w="703"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jc w:val="right"/>
              <w:rPr>
                <w:rFonts w:cs="Arial"/>
                <w:sz w:val="18"/>
                <w:szCs w:val="18"/>
              </w:rPr>
            </w:pPr>
            <w:r w:rsidRPr="002736AE">
              <w:rPr>
                <w:rFonts w:cs="Arial"/>
                <w:sz w:val="18"/>
                <w:szCs w:val="18"/>
              </w:rPr>
              <w:t xml:space="preserve">20.8 </w:t>
            </w:r>
          </w:p>
        </w:tc>
        <w:tc>
          <w:tcPr>
            <w:tcW w:w="714"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jc w:val="right"/>
              <w:rPr>
                <w:rFonts w:cs="Arial"/>
                <w:sz w:val="18"/>
                <w:szCs w:val="18"/>
              </w:rPr>
            </w:pPr>
            <w:r w:rsidRPr="002736AE">
              <w:rPr>
                <w:rFonts w:cs="Arial"/>
                <w:sz w:val="18"/>
                <w:szCs w:val="18"/>
              </w:rPr>
              <w:t xml:space="preserve">21.4 </w:t>
            </w:r>
          </w:p>
        </w:tc>
        <w:tc>
          <w:tcPr>
            <w:tcW w:w="712"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jc w:val="right"/>
              <w:rPr>
                <w:rFonts w:cs="Arial"/>
                <w:sz w:val="18"/>
                <w:szCs w:val="18"/>
              </w:rPr>
            </w:pPr>
            <w:r w:rsidRPr="002736AE">
              <w:rPr>
                <w:rFonts w:cs="Arial"/>
                <w:sz w:val="18"/>
                <w:szCs w:val="18"/>
              </w:rPr>
              <w:t xml:space="preserve">25.5 </w:t>
            </w:r>
          </w:p>
        </w:tc>
        <w:tc>
          <w:tcPr>
            <w:tcW w:w="624" w:type="pct"/>
            <w:tcBorders>
              <w:top w:val="nil"/>
              <w:left w:val="nil"/>
              <w:bottom w:val="single" w:sz="4" w:space="0" w:color="366092"/>
              <w:right w:val="single" w:sz="4" w:space="0" w:color="366092"/>
            </w:tcBorders>
            <w:shd w:val="clear" w:color="auto" w:fill="auto"/>
            <w:noWrap/>
            <w:vAlign w:val="center"/>
            <w:hideMark/>
          </w:tcPr>
          <w:p w:rsidR="001A3314" w:rsidRPr="002736AE" w:rsidRDefault="001A3314" w:rsidP="002736AE">
            <w:pPr>
              <w:jc w:val="right"/>
              <w:rPr>
                <w:rFonts w:cs="Arial"/>
                <w:sz w:val="18"/>
                <w:szCs w:val="18"/>
              </w:rPr>
            </w:pPr>
            <w:r w:rsidRPr="002736AE">
              <w:rPr>
                <w:rFonts w:cs="Arial"/>
                <w:sz w:val="18"/>
                <w:szCs w:val="18"/>
              </w:rPr>
              <w:t xml:space="preserve">34.7 </w:t>
            </w:r>
          </w:p>
        </w:tc>
      </w:tr>
      <w:tr w:rsidR="001A3314" w:rsidRPr="001F6498" w:rsidTr="001A3314">
        <w:trPr>
          <w:trHeight w:val="300"/>
        </w:trPr>
        <w:tc>
          <w:tcPr>
            <w:tcW w:w="3664" w:type="pct"/>
            <w:gridSpan w:val="5"/>
            <w:tcBorders>
              <w:top w:val="nil"/>
              <w:left w:val="nil"/>
              <w:bottom w:val="nil"/>
              <w:right w:val="nil"/>
            </w:tcBorders>
            <w:shd w:val="clear" w:color="auto" w:fill="auto"/>
            <w:noWrap/>
            <w:hideMark/>
          </w:tcPr>
          <w:p w:rsidR="001A3314" w:rsidRPr="00524AC5" w:rsidRDefault="001A3314" w:rsidP="00440176">
            <w:pPr>
              <w:spacing w:after="0" w:line="240" w:lineRule="auto"/>
              <w:jc w:val="left"/>
              <w:rPr>
                <w:rFonts w:cs="Arial"/>
                <w:color w:val="366092"/>
                <w:sz w:val="16"/>
                <w:szCs w:val="16"/>
                <w:lang w:eastAsia="en-AU"/>
              </w:rPr>
            </w:pPr>
            <w:r w:rsidRPr="00524AC5">
              <w:rPr>
                <w:rFonts w:cs="Arial"/>
                <w:color w:val="366092"/>
                <w:sz w:val="16"/>
                <w:szCs w:val="16"/>
                <w:lang w:eastAsia="en-AU"/>
              </w:rPr>
              <w:t>Note: Enrolment numbers rounded to nearest 100.</w:t>
            </w:r>
          </w:p>
        </w:tc>
        <w:tc>
          <w:tcPr>
            <w:tcW w:w="712" w:type="pct"/>
            <w:tcBorders>
              <w:top w:val="nil"/>
              <w:left w:val="nil"/>
              <w:bottom w:val="nil"/>
              <w:right w:val="nil"/>
            </w:tcBorders>
            <w:shd w:val="clear" w:color="auto" w:fill="auto"/>
            <w:noWrap/>
            <w:vAlign w:val="bottom"/>
            <w:hideMark/>
          </w:tcPr>
          <w:p w:rsidR="001A3314" w:rsidRPr="00C76B86" w:rsidRDefault="001A3314" w:rsidP="00440176">
            <w:pPr>
              <w:spacing w:after="0" w:line="240" w:lineRule="auto"/>
              <w:jc w:val="left"/>
              <w:rPr>
                <w:rFonts w:ascii="Calibri" w:hAnsi="Calibri"/>
                <w:color w:val="000000"/>
                <w:szCs w:val="19"/>
                <w:lang w:eastAsia="en-AU"/>
              </w:rPr>
            </w:pPr>
          </w:p>
        </w:tc>
        <w:tc>
          <w:tcPr>
            <w:tcW w:w="624" w:type="pct"/>
            <w:tcBorders>
              <w:top w:val="nil"/>
              <w:left w:val="nil"/>
              <w:bottom w:val="nil"/>
              <w:right w:val="nil"/>
            </w:tcBorders>
            <w:shd w:val="clear" w:color="auto" w:fill="auto"/>
            <w:noWrap/>
            <w:vAlign w:val="bottom"/>
            <w:hideMark/>
          </w:tcPr>
          <w:p w:rsidR="001A3314" w:rsidRPr="00C76B86" w:rsidRDefault="001A3314" w:rsidP="00440176">
            <w:pPr>
              <w:spacing w:after="0" w:line="240" w:lineRule="auto"/>
              <w:jc w:val="left"/>
              <w:rPr>
                <w:rFonts w:ascii="Calibri" w:hAnsi="Calibri"/>
                <w:color w:val="000000"/>
                <w:szCs w:val="19"/>
                <w:lang w:eastAsia="en-AU"/>
              </w:rPr>
            </w:pPr>
          </w:p>
        </w:tc>
      </w:tr>
    </w:tbl>
    <w:p w:rsidR="00F72C48" w:rsidRPr="00DF7F85" w:rsidRDefault="00F72C48" w:rsidP="00F72C48">
      <w:pPr>
        <w:spacing w:after="0" w:line="240" w:lineRule="auto"/>
        <w:jc w:val="left"/>
        <w:rPr>
          <w:rFonts w:cs="Arial"/>
          <w:sz w:val="16"/>
          <w:szCs w:val="16"/>
        </w:rPr>
      </w:pPr>
    </w:p>
    <w:p w:rsidR="002736AE" w:rsidRDefault="002736AE" w:rsidP="00F72C48">
      <w:pPr>
        <w:pStyle w:val="Caption"/>
        <w:keepNext/>
        <w:rPr>
          <w:rFonts w:cs="Arial"/>
          <w:color w:val="4F81BD"/>
          <w:sz w:val="16"/>
        </w:rPr>
      </w:pPr>
    </w:p>
    <w:p w:rsidR="002736AE" w:rsidRPr="00DE54FE" w:rsidRDefault="002736AE" w:rsidP="002736AE">
      <w:pPr>
        <w:pStyle w:val="Caption"/>
        <w:keepNext/>
        <w:rPr>
          <w:rFonts w:cs="Arial"/>
          <w:color w:val="365F91" w:themeColor="accent1" w:themeShade="BF"/>
          <w:sz w:val="16"/>
        </w:rPr>
      </w:pPr>
      <w:r w:rsidRPr="00DE54FE">
        <w:rPr>
          <w:rFonts w:cs="Arial"/>
          <w:color w:val="365F91" w:themeColor="accent1" w:themeShade="BF"/>
          <w:sz w:val="16"/>
        </w:rPr>
        <w:t>Table 3.1</w:t>
      </w:r>
      <w:r w:rsidR="00C91B0A">
        <w:rPr>
          <w:rFonts w:cs="Arial"/>
          <w:color w:val="365F91" w:themeColor="accent1" w:themeShade="BF"/>
          <w:sz w:val="16"/>
        </w:rPr>
        <w:t>3</w:t>
      </w:r>
      <w:r w:rsidRPr="00DE54FE">
        <w:rPr>
          <w:rFonts w:cs="Arial"/>
          <w:color w:val="365F91" w:themeColor="accent1" w:themeShade="BF"/>
          <w:sz w:val="16"/>
        </w:rPr>
        <w:t xml:space="preserve">.2, </w:t>
      </w:r>
      <w:r>
        <w:rPr>
          <w:rFonts w:cs="Arial"/>
          <w:color w:val="365F91" w:themeColor="accent1" w:themeShade="BF"/>
          <w:sz w:val="16"/>
        </w:rPr>
        <w:t xml:space="preserve">Change in </w:t>
      </w:r>
      <w:r w:rsidRPr="009274DD">
        <w:rPr>
          <w:rFonts w:cs="Arial"/>
          <w:color w:val="365F91" w:themeColor="accent1" w:themeShade="BF"/>
          <w:sz w:val="16"/>
        </w:rPr>
        <w:t>Government subsidised training delivery for qualifications not aligned to specialised or skill shortage occupations</w:t>
      </w:r>
    </w:p>
    <w:tbl>
      <w:tblPr>
        <w:tblW w:w="4541"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1127"/>
        <w:gridCol w:w="1138"/>
        <w:gridCol w:w="1138"/>
        <w:gridCol w:w="1138"/>
      </w:tblGrid>
      <w:tr w:rsidR="002736AE" w:rsidRPr="00DA2D8D" w:rsidTr="00970ACA">
        <w:trPr>
          <w:trHeight w:val="450"/>
        </w:trPr>
        <w:tc>
          <w:tcPr>
            <w:tcW w:w="1127" w:type="dxa"/>
            <w:shd w:val="clear" w:color="000000" w:fill="366092"/>
            <w:vAlign w:val="center"/>
            <w:hideMark/>
          </w:tcPr>
          <w:p w:rsidR="002736AE" w:rsidRPr="00DA2D8D" w:rsidRDefault="002736AE" w:rsidP="00970ACA">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w:t>
            </w:r>
          </w:p>
        </w:tc>
        <w:tc>
          <w:tcPr>
            <w:tcW w:w="1138" w:type="dxa"/>
            <w:shd w:val="clear" w:color="000000" w:fill="366092"/>
            <w:vAlign w:val="center"/>
            <w:hideMark/>
          </w:tcPr>
          <w:p w:rsidR="002736AE" w:rsidRPr="00DA2D8D" w:rsidRDefault="002736AE" w:rsidP="00970ACA">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2008-2013</w:t>
            </w:r>
          </w:p>
        </w:tc>
        <w:tc>
          <w:tcPr>
            <w:tcW w:w="1138" w:type="dxa"/>
            <w:shd w:val="clear" w:color="000000" w:fill="366092"/>
            <w:vAlign w:val="center"/>
            <w:hideMark/>
          </w:tcPr>
          <w:p w:rsidR="002736AE" w:rsidRPr="00DA2D8D" w:rsidRDefault="002736AE" w:rsidP="00970ACA">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2011-2013</w:t>
            </w:r>
          </w:p>
        </w:tc>
        <w:tc>
          <w:tcPr>
            <w:tcW w:w="1138" w:type="dxa"/>
            <w:shd w:val="clear" w:color="000000" w:fill="366092"/>
            <w:vAlign w:val="center"/>
            <w:hideMark/>
          </w:tcPr>
          <w:p w:rsidR="002736AE" w:rsidRPr="00DA2D8D" w:rsidRDefault="002736AE" w:rsidP="00970ACA">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2012-2013</w:t>
            </w:r>
          </w:p>
        </w:tc>
      </w:tr>
      <w:tr w:rsidR="002736AE" w:rsidRPr="00DA2D8D" w:rsidTr="00DE1522">
        <w:trPr>
          <w:trHeight w:val="300"/>
        </w:trPr>
        <w:tc>
          <w:tcPr>
            <w:tcW w:w="1127" w:type="dxa"/>
            <w:shd w:val="clear" w:color="000000" w:fill="FFFFFF"/>
            <w:noWrap/>
            <w:vAlign w:val="bottom"/>
            <w:hideMark/>
          </w:tcPr>
          <w:p w:rsidR="002736AE" w:rsidRPr="00DA2D8D" w:rsidRDefault="002736AE" w:rsidP="00970ACA">
            <w:pPr>
              <w:spacing w:after="0" w:line="240" w:lineRule="auto"/>
              <w:jc w:val="left"/>
              <w:rPr>
                <w:rFonts w:cs="Arial"/>
                <w:color w:val="366092"/>
                <w:sz w:val="18"/>
                <w:szCs w:val="18"/>
                <w:lang w:eastAsia="en-AU"/>
              </w:rPr>
            </w:pPr>
            <w:r w:rsidRPr="00DA2D8D">
              <w:rPr>
                <w:rFonts w:cs="Arial"/>
                <w:color w:val="366092"/>
                <w:sz w:val="18"/>
                <w:szCs w:val="18"/>
                <w:lang w:eastAsia="en-AU"/>
              </w:rPr>
              <w:t>Enrolments</w:t>
            </w:r>
          </w:p>
        </w:tc>
        <w:tc>
          <w:tcPr>
            <w:tcW w:w="1138" w:type="dxa"/>
            <w:shd w:val="clear" w:color="auto" w:fill="auto"/>
            <w:noWrap/>
            <w:vAlign w:val="center"/>
            <w:hideMark/>
          </w:tcPr>
          <w:p w:rsidR="002736AE" w:rsidRPr="00DA2D8D" w:rsidRDefault="002736AE" w:rsidP="00DE1522">
            <w:pPr>
              <w:spacing w:after="0" w:line="240" w:lineRule="auto"/>
              <w:jc w:val="right"/>
              <w:rPr>
                <w:rFonts w:cs="Arial"/>
                <w:sz w:val="18"/>
                <w:szCs w:val="18"/>
                <w:lang w:eastAsia="en-AU"/>
              </w:rPr>
            </w:pPr>
            <w:r w:rsidRPr="00DE1522">
              <w:rPr>
                <w:sz w:val="18"/>
                <w:szCs w:val="18"/>
              </w:rPr>
              <w:t>60%</w:t>
            </w:r>
          </w:p>
        </w:tc>
        <w:tc>
          <w:tcPr>
            <w:tcW w:w="1138" w:type="dxa"/>
            <w:shd w:val="clear" w:color="auto" w:fill="auto"/>
            <w:noWrap/>
            <w:vAlign w:val="center"/>
            <w:hideMark/>
          </w:tcPr>
          <w:p w:rsidR="002736AE" w:rsidRPr="00DA2D8D" w:rsidRDefault="002736AE" w:rsidP="00DE1522">
            <w:pPr>
              <w:spacing w:after="0" w:line="240" w:lineRule="auto"/>
              <w:jc w:val="right"/>
              <w:rPr>
                <w:rFonts w:cs="Arial"/>
                <w:sz w:val="18"/>
                <w:szCs w:val="18"/>
                <w:lang w:eastAsia="en-AU"/>
              </w:rPr>
            </w:pPr>
            <w:r w:rsidRPr="00DE1522">
              <w:rPr>
                <w:sz w:val="18"/>
                <w:szCs w:val="18"/>
              </w:rPr>
              <w:t>27%</w:t>
            </w:r>
          </w:p>
        </w:tc>
        <w:tc>
          <w:tcPr>
            <w:tcW w:w="1138" w:type="dxa"/>
            <w:shd w:val="clear" w:color="auto" w:fill="auto"/>
            <w:noWrap/>
            <w:vAlign w:val="center"/>
            <w:hideMark/>
          </w:tcPr>
          <w:p w:rsidR="002736AE" w:rsidRPr="00DA2D8D" w:rsidRDefault="002736AE" w:rsidP="00DE1522">
            <w:pPr>
              <w:spacing w:after="0" w:line="240" w:lineRule="auto"/>
              <w:ind w:firstLineChars="100" w:firstLine="180"/>
              <w:jc w:val="right"/>
              <w:rPr>
                <w:rFonts w:cs="Arial"/>
                <w:sz w:val="18"/>
                <w:szCs w:val="18"/>
                <w:lang w:eastAsia="en-AU"/>
              </w:rPr>
            </w:pPr>
            <w:r w:rsidRPr="00DE1522">
              <w:rPr>
                <w:sz w:val="18"/>
                <w:szCs w:val="18"/>
              </w:rPr>
              <w:t>14%</w:t>
            </w:r>
          </w:p>
        </w:tc>
      </w:tr>
      <w:tr w:rsidR="002736AE" w:rsidRPr="00DA2D8D" w:rsidTr="00DE1522">
        <w:trPr>
          <w:trHeight w:val="315"/>
        </w:trPr>
        <w:tc>
          <w:tcPr>
            <w:tcW w:w="1127" w:type="dxa"/>
            <w:shd w:val="clear" w:color="000000" w:fill="FFFFFF"/>
            <w:noWrap/>
            <w:vAlign w:val="bottom"/>
            <w:hideMark/>
          </w:tcPr>
          <w:p w:rsidR="002736AE" w:rsidRPr="00DA2D8D" w:rsidRDefault="002736AE" w:rsidP="00970ACA">
            <w:pPr>
              <w:spacing w:after="0" w:line="240" w:lineRule="auto"/>
              <w:jc w:val="left"/>
              <w:rPr>
                <w:rFonts w:cs="Arial"/>
                <w:color w:val="366092"/>
                <w:sz w:val="18"/>
                <w:szCs w:val="18"/>
                <w:lang w:eastAsia="en-AU"/>
              </w:rPr>
            </w:pPr>
            <w:r w:rsidRPr="00DA2D8D">
              <w:rPr>
                <w:rFonts w:cs="Arial"/>
                <w:color w:val="366092"/>
                <w:sz w:val="18"/>
                <w:szCs w:val="18"/>
                <w:lang w:eastAsia="en-AU"/>
              </w:rPr>
              <w:t>Hours (millions)</w:t>
            </w:r>
          </w:p>
        </w:tc>
        <w:tc>
          <w:tcPr>
            <w:tcW w:w="1138" w:type="dxa"/>
            <w:shd w:val="clear" w:color="auto" w:fill="auto"/>
            <w:noWrap/>
            <w:vAlign w:val="center"/>
            <w:hideMark/>
          </w:tcPr>
          <w:p w:rsidR="002736AE" w:rsidRPr="00DA2D8D" w:rsidRDefault="002736AE" w:rsidP="00DE1522">
            <w:pPr>
              <w:spacing w:after="0" w:line="240" w:lineRule="auto"/>
              <w:jc w:val="right"/>
              <w:rPr>
                <w:rFonts w:cs="Arial"/>
                <w:sz w:val="18"/>
                <w:szCs w:val="18"/>
                <w:lang w:eastAsia="en-AU"/>
              </w:rPr>
            </w:pPr>
            <w:r w:rsidRPr="00DE1522">
              <w:rPr>
                <w:sz w:val="18"/>
                <w:szCs w:val="18"/>
              </w:rPr>
              <w:t>111%</w:t>
            </w:r>
          </w:p>
        </w:tc>
        <w:tc>
          <w:tcPr>
            <w:tcW w:w="1138" w:type="dxa"/>
            <w:shd w:val="clear" w:color="auto" w:fill="auto"/>
            <w:noWrap/>
            <w:vAlign w:val="center"/>
            <w:hideMark/>
          </w:tcPr>
          <w:p w:rsidR="002736AE" w:rsidRPr="00DA2D8D" w:rsidRDefault="002736AE" w:rsidP="00DE1522">
            <w:pPr>
              <w:spacing w:after="0" w:line="240" w:lineRule="auto"/>
              <w:ind w:firstLineChars="100" w:firstLine="180"/>
              <w:jc w:val="right"/>
              <w:rPr>
                <w:rFonts w:cs="Arial"/>
                <w:sz w:val="18"/>
                <w:szCs w:val="18"/>
                <w:lang w:eastAsia="en-AU"/>
              </w:rPr>
            </w:pPr>
            <w:r w:rsidRPr="00DE1522">
              <w:rPr>
                <w:sz w:val="18"/>
                <w:szCs w:val="18"/>
              </w:rPr>
              <w:t>62%</w:t>
            </w:r>
          </w:p>
        </w:tc>
        <w:tc>
          <w:tcPr>
            <w:tcW w:w="1138" w:type="dxa"/>
            <w:shd w:val="clear" w:color="auto" w:fill="auto"/>
            <w:noWrap/>
            <w:vAlign w:val="center"/>
            <w:hideMark/>
          </w:tcPr>
          <w:p w:rsidR="002736AE" w:rsidRPr="00DA2D8D" w:rsidRDefault="002736AE" w:rsidP="00DE1522">
            <w:pPr>
              <w:spacing w:after="0" w:line="240" w:lineRule="auto"/>
              <w:ind w:firstLineChars="100" w:firstLine="180"/>
              <w:jc w:val="right"/>
              <w:rPr>
                <w:rFonts w:cs="Arial"/>
                <w:sz w:val="18"/>
                <w:szCs w:val="18"/>
                <w:lang w:eastAsia="en-AU"/>
              </w:rPr>
            </w:pPr>
            <w:r w:rsidRPr="00DE1522">
              <w:rPr>
                <w:sz w:val="18"/>
                <w:szCs w:val="18"/>
              </w:rPr>
              <w:t>36%</w:t>
            </w:r>
          </w:p>
        </w:tc>
      </w:tr>
    </w:tbl>
    <w:p w:rsidR="002736AE" w:rsidRDefault="002736AE" w:rsidP="00F72C48">
      <w:pPr>
        <w:pStyle w:val="Caption"/>
        <w:keepNext/>
        <w:rPr>
          <w:rFonts w:cs="Arial"/>
          <w:color w:val="4F81BD"/>
          <w:sz w:val="16"/>
        </w:rPr>
      </w:pPr>
    </w:p>
    <w:p w:rsidR="002736AE" w:rsidRDefault="002736AE">
      <w:pPr>
        <w:spacing w:after="0" w:line="240" w:lineRule="auto"/>
        <w:jc w:val="left"/>
        <w:rPr>
          <w:rFonts w:cs="Arial"/>
          <w:b/>
          <w:bCs/>
          <w:color w:val="4F81BD"/>
          <w:sz w:val="16"/>
          <w:szCs w:val="16"/>
        </w:rPr>
      </w:pPr>
      <w:r>
        <w:rPr>
          <w:rFonts w:cs="Arial"/>
          <w:color w:val="4F81BD"/>
          <w:sz w:val="16"/>
        </w:rPr>
        <w:br w:type="page"/>
      </w:r>
    </w:p>
    <w:p w:rsidR="00F72C48" w:rsidRPr="001A4A54" w:rsidRDefault="00F72C48" w:rsidP="00F72C48">
      <w:pPr>
        <w:pStyle w:val="Caption"/>
        <w:keepNext/>
        <w:rPr>
          <w:rFonts w:cs="Arial"/>
          <w:color w:val="365F91" w:themeColor="accent1" w:themeShade="BF"/>
          <w:sz w:val="16"/>
        </w:rPr>
      </w:pPr>
      <w:r w:rsidRPr="001A4A54">
        <w:rPr>
          <w:rFonts w:cs="Arial"/>
          <w:color w:val="365F91" w:themeColor="accent1" w:themeShade="BF"/>
          <w:sz w:val="16"/>
        </w:rPr>
        <w:t>Table 3.1</w:t>
      </w:r>
      <w:r w:rsidR="00C91B0A">
        <w:rPr>
          <w:rFonts w:cs="Arial"/>
          <w:color w:val="365F91" w:themeColor="accent1" w:themeShade="BF"/>
          <w:sz w:val="16"/>
        </w:rPr>
        <w:t>4</w:t>
      </w:r>
      <w:r w:rsidRPr="001A4A54">
        <w:rPr>
          <w:rFonts w:cs="Arial"/>
          <w:color w:val="365F91" w:themeColor="accent1" w:themeShade="BF"/>
          <w:sz w:val="16"/>
        </w:rPr>
        <w:t>.1: Government subsidised training delivery for qualifications aligned to skill shortage occupations, 2008 - 2013</w:t>
      </w:r>
      <w:r w:rsidRPr="001A4A54">
        <w:rPr>
          <w:rStyle w:val="FootnoteReference"/>
          <w:color w:val="365F91" w:themeColor="accent1" w:themeShade="BF"/>
        </w:rPr>
        <w:footnoteReference w:id="15"/>
      </w:r>
    </w:p>
    <w:tbl>
      <w:tblPr>
        <w:tblW w:w="4273" w:type="pct"/>
        <w:tblInd w:w="108" w:type="dxa"/>
        <w:tblLayout w:type="fixed"/>
        <w:tblLook w:val="04A0" w:firstRow="1" w:lastRow="0" w:firstColumn="1" w:lastColumn="0" w:noHBand="0" w:noVBand="1"/>
      </w:tblPr>
      <w:tblGrid>
        <w:gridCol w:w="1539"/>
        <w:gridCol w:w="1014"/>
        <w:gridCol w:w="1010"/>
        <w:gridCol w:w="1118"/>
        <w:gridCol w:w="1134"/>
        <w:gridCol w:w="1134"/>
        <w:gridCol w:w="989"/>
      </w:tblGrid>
      <w:tr w:rsidR="001A4A54" w:rsidRPr="001A3314" w:rsidTr="002F5669">
        <w:trPr>
          <w:trHeight w:val="465"/>
        </w:trPr>
        <w:tc>
          <w:tcPr>
            <w:tcW w:w="970" w:type="pct"/>
            <w:tcBorders>
              <w:top w:val="nil"/>
              <w:left w:val="single" w:sz="4" w:space="0" w:color="366092"/>
              <w:bottom w:val="single" w:sz="4" w:space="0" w:color="366092"/>
              <w:right w:val="single" w:sz="4" w:space="0" w:color="366092"/>
            </w:tcBorders>
            <w:shd w:val="clear" w:color="000000" w:fill="366092"/>
            <w:noWrap/>
            <w:vAlign w:val="center"/>
            <w:hideMark/>
          </w:tcPr>
          <w:p w:rsidR="001A4A54" w:rsidRPr="001A3314" w:rsidRDefault="001A4A54" w:rsidP="001A3314">
            <w:pPr>
              <w:spacing w:after="0" w:line="240" w:lineRule="auto"/>
              <w:ind w:firstLineChars="100" w:firstLine="181"/>
              <w:jc w:val="left"/>
              <w:rPr>
                <w:rFonts w:cs="Arial"/>
                <w:b/>
                <w:bCs/>
                <w:color w:val="FFFFFF"/>
                <w:sz w:val="18"/>
                <w:szCs w:val="18"/>
                <w:lang w:eastAsia="en-AU"/>
              </w:rPr>
            </w:pPr>
            <w:r w:rsidRPr="001A3314">
              <w:rPr>
                <w:rFonts w:cs="Arial"/>
                <w:b/>
                <w:bCs/>
                <w:color w:val="FFFFFF"/>
                <w:sz w:val="18"/>
                <w:szCs w:val="18"/>
                <w:lang w:eastAsia="en-AU"/>
              </w:rPr>
              <w:t> </w:t>
            </w:r>
          </w:p>
        </w:tc>
        <w:tc>
          <w:tcPr>
            <w:tcW w:w="639" w:type="pct"/>
            <w:tcBorders>
              <w:top w:val="nil"/>
              <w:left w:val="nil"/>
              <w:bottom w:val="single" w:sz="4" w:space="0" w:color="366092"/>
              <w:right w:val="single" w:sz="4" w:space="0" w:color="366092"/>
            </w:tcBorders>
            <w:shd w:val="clear" w:color="000000" w:fill="366092"/>
            <w:vAlign w:val="center"/>
            <w:hideMark/>
          </w:tcPr>
          <w:p w:rsidR="001A4A54" w:rsidRPr="001A3314" w:rsidRDefault="001A4A54" w:rsidP="00440176">
            <w:pPr>
              <w:spacing w:after="0" w:line="240" w:lineRule="auto"/>
              <w:jc w:val="center"/>
              <w:rPr>
                <w:rFonts w:cs="Arial"/>
                <w:b/>
                <w:bCs/>
                <w:color w:val="FFFFFF"/>
                <w:sz w:val="18"/>
                <w:szCs w:val="18"/>
                <w:lang w:eastAsia="en-AU"/>
              </w:rPr>
            </w:pPr>
            <w:r w:rsidRPr="001A3314">
              <w:rPr>
                <w:rFonts w:cs="Arial"/>
                <w:b/>
                <w:bCs/>
                <w:color w:val="FFFFFF"/>
                <w:sz w:val="18"/>
                <w:szCs w:val="18"/>
                <w:lang w:eastAsia="en-AU"/>
              </w:rPr>
              <w:t>2008</w:t>
            </w:r>
          </w:p>
        </w:tc>
        <w:tc>
          <w:tcPr>
            <w:tcW w:w="636" w:type="pct"/>
            <w:tcBorders>
              <w:top w:val="nil"/>
              <w:left w:val="nil"/>
              <w:bottom w:val="single" w:sz="4" w:space="0" w:color="366092"/>
              <w:right w:val="single" w:sz="4" w:space="0" w:color="366092"/>
            </w:tcBorders>
            <w:shd w:val="clear" w:color="000000" w:fill="366092"/>
            <w:vAlign w:val="center"/>
            <w:hideMark/>
          </w:tcPr>
          <w:p w:rsidR="001A4A54" w:rsidRPr="001A3314" w:rsidRDefault="001A4A54" w:rsidP="00440176">
            <w:pPr>
              <w:spacing w:after="0" w:line="240" w:lineRule="auto"/>
              <w:jc w:val="center"/>
              <w:rPr>
                <w:rFonts w:cs="Arial"/>
                <w:b/>
                <w:bCs/>
                <w:color w:val="FFFFFF"/>
                <w:sz w:val="18"/>
                <w:szCs w:val="18"/>
                <w:lang w:eastAsia="en-AU"/>
              </w:rPr>
            </w:pPr>
            <w:r w:rsidRPr="001A3314">
              <w:rPr>
                <w:rFonts w:cs="Arial"/>
                <w:b/>
                <w:bCs/>
                <w:color w:val="FFFFFF"/>
                <w:sz w:val="18"/>
                <w:szCs w:val="18"/>
                <w:lang w:eastAsia="en-AU"/>
              </w:rPr>
              <w:t>2009</w:t>
            </w:r>
          </w:p>
        </w:tc>
        <w:tc>
          <w:tcPr>
            <w:tcW w:w="704" w:type="pct"/>
            <w:tcBorders>
              <w:top w:val="nil"/>
              <w:left w:val="nil"/>
              <w:bottom w:val="single" w:sz="4" w:space="0" w:color="366092"/>
              <w:right w:val="single" w:sz="4" w:space="0" w:color="366092"/>
            </w:tcBorders>
            <w:shd w:val="clear" w:color="000000" w:fill="366092"/>
            <w:vAlign w:val="center"/>
            <w:hideMark/>
          </w:tcPr>
          <w:p w:rsidR="001A4A54" w:rsidRPr="001A3314" w:rsidRDefault="001A4A54" w:rsidP="00440176">
            <w:pPr>
              <w:spacing w:after="0" w:line="240" w:lineRule="auto"/>
              <w:jc w:val="center"/>
              <w:rPr>
                <w:rFonts w:cs="Arial"/>
                <w:b/>
                <w:bCs/>
                <w:color w:val="FFFFFF"/>
                <w:sz w:val="18"/>
                <w:szCs w:val="18"/>
                <w:lang w:eastAsia="en-AU"/>
              </w:rPr>
            </w:pPr>
            <w:r w:rsidRPr="001A3314">
              <w:rPr>
                <w:rFonts w:cs="Arial"/>
                <w:b/>
                <w:bCs/>
                <w:color w:val="FFFFFF"/>
                <w:sz w:val="18"/>
                <w:szCs w:val="18"/>
                <w:lang w:eastAsia="en-AU"/>
              </w:rPr>
              <w:t>2010</w:t>
            </w:r>
          </w:p>
        </w:tc>
        <w:tc>
          <w:tcPr>
            <w:tcW w:w="714" w:type="pct"/>
            <w:tcBorders>
              <w:top w:val="nil"/>
              <w:left w:val="nil"/>
              <w:bottom w:val="single" w:sz="4" w:space="0" w:color="366092"/>
              <w:right w:val="single" w:sz="4" w:space="0" w:color="366092"/>
            </w:tcBorders>
            <w:shd w:val="clear" w:color="000000" w:fill="366092"/>
            <w:vAlign w:val="center"/>
            <w:hideMark/>
          </w:tcPr>
          <w:p w:rsidR="001A4A54" w:rsidRPr="001A3314" w:rsidRDefault="001A4A54" w:rsidP="00440176">
            <w:pPr>
              <w:spacing w:after="0" w:line="240" w:lineRule="auto"/>
              <w:jc w:val="center"/>
              <w:rPr>
                <w:rFonts w:cs="Arial"/>
                <w:b/>
                <w:bCs/>
                <w:color w:val="FFFFFF"/>
                <w:sz w:val="18"/>
                <w:szCs w:val="18"/>
                <w:lang w:eastAsia="en-AU"/>
              </w:rPr>
            </w:pPr>
            <w:r w:rsidRPr="001A3314">
              <w:rPr>
                <w:rFonts w:cs="Arial"/>
                <w:b/>
                <w:bCs/>
                <w:color w:val="FFFFFF"/>
                <w:sz w:val="18"/>
                <w:szCs w:val="18"/>
                <w:lang w:eastAsia="en-AU"/>
              </w:rPr>
              <w:t>2011</w:t>
            </w:r>
          </w:p>
        </w:tc>
        <w:tc>
          <w:tcPr>
            <w:tcW w:w="714" w:type="pct"/>
            <w:tcBorders>
              <w:top w:val="nil"/>
              <w:left w:val="nil"/>
              <w:bottom w:val="single" w:sz="4" w:space="0" w:color="366092"/>
              <w:right w:val="single" w:sz="4" w:space="0" w:color="366092"/>
            </w:tcBorders>
            <w:shd w:val="clear" w:color="000000" w:fill="366092"/>
            <w:vAlign w:val="center"/>
            <w:hideMark/>
          </w:tcPr>
          <w:p w:rsidR="001A4A54" w:rsidRPr="001A3314" w:rsidRDefault="001A4A54" w:rsidP="00440176">
            <w:pPr>
              <w:spacing w:after="0" w:line="240" w:lineRule="auto"/>
              <w:jc w:val="center"/>
              <w:rPr>
                <w:rFonts w:cs="Arial"/>
                <w:b/>
                <w:bCs/>
                <w:color w:val="FFFFFF"/>
                <w:sz w:val="18"/>
                <w:szCs w:val="18"/>
                <w:lang w:eastAsia="en-AU"/>
              </w:rPr>
            </w:pPr>
            <w:r w:rsidRPr="001A3314">
              <w:rPr>
                <w:rFonts w:cs="Arial"/>
                <w:b/>
                <w:bCs/>
                <w:color w:val="FFFFFF"/>
                <w:sz w:val="18"/>
                <w:szCs w:val="18"/>
                <w:lang w:eastAsia="en-AU"/>
              </w:rPr>
              <w:t>2012</w:t>
            </w:r>
          </w:p>
        </w:tc>
        <w:tc>
          <w:tcPr>
            <w:tcW w:w="624" w:type="pct"/>
            <w:tcBorders>
              <w:top w:val="nil"/>
              <w:left w:val="nil"/>
              <w:bottom w:val="single" w:sz="4" w:space="0" w:color="366092"/>
              <w:right w:val="single" w:sz="4" w:space="0" w:color="366092"/>
            </w:tcBorders>
            <w:shd w:val="clear" w:color="000000" w:fill="366092"/>
            <w:vAlign w:val="center"/>
            <w:hideMark/>
          </w:tcPr>
          <w:p w:rsidR="001A4A54" w:rsidRPr="001A3314" w:rsidRDefault="001A4A54" w:rsidP="00440176">
            <w:pPr>
              <w:spacing w:after="0" w:line="240" w:lineRule="auto"/>
              <w:jc w:val="center"/>
              <w:rPr>
                <w:rFonts w:cs="Arial"/>
                <w:b/>
                <w:bCs/>
                <w:color w:val="FFFFFF"/>
                <w:sz w:val="18"/>
                <w:szCs w:val="18"/>
                <w:lang w:eastAsia="en-AU"/>
              </w:rPr>
            </w:pPr>
            <w:r w:rsidRPr="001A3314">
              <w:rPr>
                <w:rFonts w:cs="Arial"/>
                <w:b/>
                <w:bCs/>
                <w:color w:val="FFFFFF"/>
                <w:sz w:val="18"/>
                <w:szCs w:val="18"/>
                <w:lang w:eastAsia="en-AU"/>
              </w:rPr>
              <w:t>2013</w:t>
            </w:r>
          </w:p>
        </w:tc>
      </w:tr>
      <w:tr w:rsidR="001A4A54" w:rsidRPr="001A3314" w:rsidTr="002F5669">
        <w:trPr>
          <w:trHeight w:val="300"/>
        </w:trPr>
        <w:tc>
          <w:tcPr>
            <w:tcW w:w="970" w:type="pct"/>
            <w:tcBorders>
              <w:top w:val="nil"/>
              <w:left w:val="single" w:sz="4" w:space="0" w:color="366092"/>
              <w:bottom w:val="single" w:sz="4" w:space="0" w:color="366092"/>
              <w:right w:val="single" w:sz="4" w:space="0" w:color="366092"/>
            </w:tcBorders>
            <w:shd w:val="clear" w:color="000000" w:fill="FFFFFF"/>
            <w:noWrap/>
            <w:vAlign w:val="bottom"/>
            <w:hideMark/>
          </w:tcPr>
          <w:p w:rsidR="001A4A54" w:rsidRPr="001A3314" w:rsidRDefault="001A4A54" w:rsidP="00440176">
            <w:pPr>
              <w:spacing w:after="0" w:line="240" w:lineRule="auto"/>
              <w:jc w:val="left"/>
              <w:rPr>
                <w:rFonts w:cs="Arial"/>
                <w:color w:val="366092"/>
                <w:sz w:val="18"/>
                <w:szCs w:val="18"/>
                <w:lang w:eastAsia="en-AU"/>
              </w:rPr>
            </w:pPr>
            <w:r w:rsidRPr="001A3314">
              <w:rPr>
                <w:rFonts w:cs="Arial"/>
                <w:color w:val="366092"/>
                <w:sz w:val="18"/>
                <w:szCs w:val="18"/>
                <w:lang w:eastAsia="en-AU"/>
              </w:rPr>
              <w:t>Enrolments</w:t>
            </w:r>
          </w:p>
        </w:tc>
        <w:tc>
          <w:tcPr>
            <w:tcW w:w="639"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    78,400 </w:t>
            </w:r>
          </w:p>
        </w:tc>
        <w:tc>
          <w:tcPr>
            <w:tcW w:w="636"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    91,200 </w:t>
            </w:r>
          </w:p>
        </w:tc>
        <w:tc>
          <w:tcPr>
            <w:tcW w:w="70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  105,300 </w:t>
            </w:r>
          </w:p>
        </w:tc>
        <w:tc>
          <w:tcPr>
            <w:tcW w:w="71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  127,600 </w:t>
            </w:r>
          </w:p>
        </w:tc>
        <w:tc>
          <w:tcPr>
            <w:tcW w:w="71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  151,800 </w:t>
            </w:r>
          </w:p>
        </w:tc>
        <w:tc>
          <w:tcPr>
            <w:tcW w:w="62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  174,600 </w:t>
            </w:r>
          </w:p>
        </w:tc>
      </w:tr>
      <w:tr w:rsidR="001A4A54" w:rsidRPr="001A3314" w:rsidTr="002F5669">
        <w:trPr>
          <w:trHeight w:val="300"/>
        </w:trPr>
        <w:tc>
          <w:tcPr>
            <w:tcW w:w="970" w:type="pct"/>
            <w:tcBorders>
              <w:top w:val="nil"/>
              <w:left w:val="single" w:sz="4" w:space="0" w:color="366092"/>
              <w:bottom w:val="single" w:sz="4" w:space="0" w:color="366092"/>
              <w:right w:val="single" w:sz="4" w:space="0" w:color="366092"/>
            </w:tcBorders>
            <w:shd w:val="clear" w:color="000000" w:fill="FFFFFF"/>
            <w:noWrap/>
            <w:vAlign w:val="bottom"/>
            <w:hideMark/>
          </w:tcPr>
          <w:p w:rsidR="001A4A54" w:rsidRPr="001A3314" w:rsidRDefault="001A4A54" w:rsidP="00440176">
            <w:pPr>
              <w:spacing w:after="0" w:line="240" w:lineRule="auto"/>
              <w:jc w:val="left"/>
              <w:rPr>
                <w:rFonts w:cs="Arial"/>
                <w:color w:val="366092"/>
                <w:sz w:val="18"/>
                <w:szCs w:val="18"/>
                <w:lang w:eastAsia="en-AU"/>
              </w:rPr>
            </w:pPr>
            <w:r w:rsidRPr="001A3314">
              <w:rPr>
                <w:rFonts w:cs="Arial"/>
                <w:color w:val="366092"/>
                <w:sz w:val="18"/>
                <w:szCs w:val="18"/>
                <w:lang w:eastAsia="en-AU"/>
              </w:rPr>
              <w:t>Hours (millions)</w:t>
            </w:r>
          </w:p>
        </w:tc>
        <w:tc>
          <w:tcPr>
            <w:tcW w:w="639"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25.1 </w:t>
            </w:r>
          </w:p>
        </w:tc>
        <w:tc>
          <w:tcPr>
            <w:tcW w:w="636"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29.4 </w:t>
            </w:r>
          </w:p>
        </w:tc>
        <w:tc>
          <w:tcPr>
            <w:tcW w:w="70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35.0 </w:t>
            </w:r>
          </w:p>
        </w:tc>
        <w:tc>
          <w:tcPr>
            <w:tcW w:w="71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41.0 </w:t>
            </w:r>
          </w:p>
        </w:tc>
        <w:tc>
          <w:tcPr>
            <w:tcW w:w="71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50.6 </w:t>
            </w:r>
          </w:p>
        </w:tc>
        <w:tc>
          <w:tcPr>
            <w:tcW w:w="624" w:type="pct"/>
            <w:tcBorders>
              <w:top w:val="nil"/>
              <w:left w:val="nil"/>
              <w:bottom w:val="single" w:sz="4" w:space="0" w:color="366092"/>
              <w:right w:val="single" w:sz="4" w:space="0" w:color="366092"/>
            </w:tcBorders>
            <w:shd w:val="clear" w:color="auto" w:fill="auto"/>
            <w:noWrap/>
            <w:vAlign w:val="bottom"/>
            <w:hideMark/>
          </w:tcPr>
          <w:p w:rsidR="001A4A54" w:rsidRPr="001A3314" w:rsidRDefault="001A4A54" w:rsidP="00440176">
            <w:pPr>
              <w:spacing w:after="0" w:line="240" w:lineRule="auto"/>
              <w:jc w:val="right"/>
              <w:rPr>
                <w:rFonts w:cs="Arial"/>
                <w:sz w:val="18"/>
                <w:szCs w:val="18"/>
                <w:lang w:eastAsia="en-AU"/>
              </w:rPr>
            </w:pPr>
            <w:r w:rsidRPr="001A3314">
              <w:rPr>
                <w:rFonts w:cs="Arial"/>
                <w:sz w:val="18"/>
                <w:szCs w:val="18"/>
                <w:lang w:eastAsia="en-AU"/>
              </w:rPr>
              <w:t xml:space="preserve">62.2 </w:t>
            </w:r>
          </w:p>
        </w:tc>
      </w:tr>
      <w:tr w:rsidR="001A4A54" w:rsidRPr="00E3484C" w:rsidTr="002F5669">
        <w:trPr>
          <w:trHeight w:val="300"/>
        </w:trPr>
        <w:tc>
          <w:tcPr>
            <w:tcW w:w="3663" w:type="pct"/>
            <w:gridSpan w:val="5"/>
            <w:tcBorders>
              <w:top w:val="nil"/>
              <w:left w:val="nil"/>
              <w:bottom w:val="nil"/>
              <w:right w:val="nil"/>
            </w:tcBorders>
            <w:shd w:val="clear" w:color="auto" w:fill="auto"/>
            <w:noWrap/>
            <w:hideMark/>
          </w:tcPr>
          <w:p w:rsidR="001A4A54" w:rsidRPr="00524AC5" w:rsidRDefault="001A4A54" w:rsidP="00440176">
            <w:pPr>
              <w:spacing w:after="0" w:line="240" w:lineRule="auto"/>
              <w:jc w:val="left"/>
              <w:rPr>
                <w:rFonts w:cs="Arial"/>
                <w:color w:val="366092"/>
                <w:sz w:val="16"/>
                <w:szCs w:val="16"/>
                <w:lang w:eastAsia="en-AU"/>
              </w:rPr>
            </w:pPr>
            <w:r w:rsidRPr="00524AC5">
              <w:rPr>
                <w:rFonts w:cs="Arial"/>
                <w:color w:val="366092"/>
                <w:sz w:val="16"/>
                <w:szCs w:val="16"/>
                <w:lang w:eastAsia="en-AU"/>
              </w:rPr>
              <w:t>Note: Enrolment numbers rounded to nearest 100.</w:t>
            </w:r>
          </w:p>
        </w:tc>
        <w:tc>
          <w:tcPr>
            <w:tcW w:w="714" w:type="pct"/>
            <w:tcBorders>
              <w:top w:val="nil"/>
              <w:left w:val="nil"/>
              <w:bottom w:val="nil"/>
              <w:right w:val="nil"/>
            </w:tcBorders>
            <w:shd w:val="clear" w:color="auto" w:fill="auto"/>
            <w:noWrap/>
            <w:vAlign w:val="bottom"/>
            <w:hideMark/>
          </w:tcPr>
          <w:p w:rsidR="001A4A54" w:rsidRPr="00C76B86" w:rsidRDefault="001A4A54" w:rsidP="00440176">
            <w:pPr>
              <w:spacing w:after="0" w:line="240" w:lineRule="auto"/>
              <w:jc w:val="left"/>
              <w:rPr>
                <w:rFonts w:ascii="Calibri" w:hAnsi="Calibri"/>
                <w:color w:val="000000"/>
                <w:szCs w:val="19"/>
                <w:lang w:eastAsia="en-AU"/>
              </w:rPr>
            </w:pPr>
          </w:p>
        </w:tc>
        <w:tc>
          <w:tcPr>
            <w:tcW w:w="624" w:type="pct"/>
            <w:tcBorders>
              <w:top w:val="nil"/>
              <w:left w:val="nil"/>
              <w:bottom w:val="nil"/>
              <w:right w:val="nil"/>
            </w:tcBorders>
            <w:shd w:val="clear" w:color="auto" w:fill="auto"/>
            <w:noWrap/>
            <w:vAlign w:val="bottom"/>
            <w:hideMark/>
          </w:tcPr>
          <w:p w:rsidR="001A4A54" w:rsidRPr="00C76B86" w:rsidRDefault="001A4A54" w:rsidP="00440176">
            <w:pPr>
              <w:spacing w:after="0" w:line="240" w:lineRule="auto"/>
              <w:jc w:val="left"/>
              <w:rPr>
                <w:rFonts w:ascii="Calibri" w:hAnsi="Calibri"/>
                <w:color w:val="000000"/>
                <w:szCs w:val="19"/>
                <w:lang w:eastAsia="en-AU"/>
              </w:rPr>
            </w:pPr>
          </w:p>
        </w:tc>
      </w:tr>
    </w:tbl>
    <w:p w:rsidR="00F72C48" w:rsidRPr="00DF7F85" w:rsidRDefault="00F72C48" w:rsidP="00F72C48">
      <w:pPr>
        <w:spacing w:after="0" w:line="240" w:lineRule="auto"/>
        <w:jc w:val="left"/>
        <w:rPr>
          <w:rFonts w:cs="Arial"/>
          <w:sz w:val="16"/>
          <w:szCs w:val="16"/>
        </w:rPr>
      </w:pPr>
    </w:p>
    <w:p w:rsidR="001A4A54" w:rsidRPr="00DE54FE" w:rsidRDefault="001A4A54" w:rsidP="001A4A54">
      <w:pPr>
        <w:pStyle w:val="Caption"/>
        <w:keepNext/>
        <w:rPr>
          <w:rFonts w:cs="Arial"/>
          <w:color w:val="365F91" w:themeColor="accent1" w:themeShade="BF"/>
          <w:sz w:val="16"/>
        </w:rPr>
      </w:pPr>
      <w:r w:rsidRPr="00DE54FE">
        <w:rPr>
          <w:rFonts w:cs="Arial"/>
          <w:color w:val="365F91" w:themeColor="accent1" w:themeShade="BF"/>
          <w:sz w:val="16"/>
        </w:rPr>
        <w:t>Table 3.1</w:t>
      </w:r>
      <w:r w:rsidR="00C91B0A">
        <w:rPr>
          <w:rFonts w:cs="Arial"/>
          <w:color w:val="365F91" w:themeColor="accent1" w:themeShade="BF"/>
          <w:sz w:val="16"/>
        </w:rPr>
        <w:t>4</w:t>
      </w:r>
      <w:r w:rsidRPr="00DE54FE">
        <w:rPr>
          <w:rFonts w:cs="Arial"/>
          <w:color w:val="365F91" w:themeColor="accent1" w:themeShade="BF"/>
          <w:sz w:val="16"/>
        </w:rPr>
        <w:t xml:space="preserve">.2, </w:t>
      </w:r>
      <w:r>
        <w:rPr>
          <w:rFonts w:cs="Arial"/>
          <w:color w:val="365F91" w:themeColor="accent1" w:themeShade="BF"/>
          <w:sz w:val="16"/>
        </w:rPr>
        <w:t xml:space="preserve">Change in </w:t>
      </w:r>
      <w:r w:rsidRPr="009274DD">
        <w:rPr>
          <w:rFonts w:cs="Arial"/>
          <w:color w:val="365F91" w:themeColor="accent1" w:themeShade="BF"/>
          <w:sz w:val="16"/>
        </w:rPr>
        <w:t>Government subsidised training delivery for qualifications not aligned to specialised or skill shortage occupations</w:t>
      </w:r>
    </w:p>
    <w:tbl>
      <w:tblPr>
        <w:tblW w:w="4541" w:type="dxa"/>
        <w:tblInd w:w="103"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Look w:val="04A0" w:firstRow="1" w:lastRow="0" w:firstColumn="1" w:lastColumn="0" w:noHBand="0" w:noVBand="1"/>
      </w:tblPr>
      <w:tblGrid>
        <w:gridCol w:w="1127"/>
        <w:gridCol w:w="1138"/>
        <w:gridCol w:w="1138"/>
        <w:gridCol w:w="1138"/>
      </w:tblGrid>
      <w:tr w:rsidR="001A4A54" w:rsidRPr="00DA2D8D" w:rsidTr="00970ACA">
        <w:trPr>
          <w:trHeight w:val="450"/>
        </w:trPr>
        <w:tc>
          <w:tcPr>
            <w:tcW w:w="1127" w:type="dxa"/>
            <w:shd w:val="clear" w:color="000000" w:fill="366092"/>
            <w:vAlign w:val="center"/>
            <w:hideMark/>
          </w:tcPr>
          <w:p w:rsidR="001A4A54" w:rsidRPr="00DA2D8D" w:rsidRDefault="001A4A54" w:rsidP="00970ACA">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w:t>
            </w:r>
          </w:p>
        </w:tc>
        <w:tc>
          <w:tcPr>
            <w:tcW w:w="1138" w:type="dxa"/>
            <w:shd w:val="clear" w:color="000000" w:fill="366092"/>
            <w:vAlign w:val="center"/>
            <w:hideMark/>
          </w:tcPr>
          <w:p w:rsidR="001A4A54" w:rsidRPr="00DA2D8D" w:rsidRDefault="001A4A54" w:rsidP="00970ACA">
            <w:pPr>
              <w:spacing w:after="0" w:line="240" w:lineRule="auto"/>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2008-2013</w:t>
            </w:r>
          </w:p>
        </w:tc>
        <w:tc>
          <w:tcPr>
            <w:tcW w:w="1138" w:type="dxa"/>
            <w:shd w:val="clear" w:color="000000" w:fill="366092"/>
            <w:vAlign w:val="center"/>
            <w:hideMark/>
          </w:tcPr>
          <w:p w:rsidR="001A4A54" w:rsidRPr="00DA2D8D" w:rsidRDefault="001A4A54" w:rsidP="00970ACA">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2011-2013</w:t>
            </w:r>
          </w:p>
        </w:tc>
        <w:tc>
          <w:tcPr>
            <w:tcW w:w="1138" w:type="dxa"/>
            <w:shd w:val="clear" w:color="000000" w:fill="366092"/>
            <w:vAlign w:val="center"/>
            <w:hideMark/>
          </w:tcPr>
          <w:p w:rsidR="001A4A54" w:rsidRPr="00DA2D8D" w:rsidRDefault="001A4A54" w:rsidP="00970ACA">
            <w:pPr>
              <w:spacing w:after="0" w:line="240" w:lineRule="auto"/>
              <w:ind w:firstLineChars="100" w:firstLine="161"/>
              <w:jc w:val="center"/>
              <w:rPr>
                <w:rFonts w:cs="Arial"/>
                <w:b/>
                <w:bCs/>
                <w:color w:val="FFFFFF"/>
                <w:sz w:val="16"/>
                <w:szCs w:val="16"/>
                <w:lang w:eastAsia="en-AU"/>
              </w:rPr>
            </w:pPr>
            <w:r w:rsidRPr="00DA2D8D">
              <w:rPr>
                <w:rFonts w:cs="Arial"/>
                <w:b/>
                <w:bCs/>
                <w:color w:val="FFFFFF"/>
                <w:sz w:val="16"/>
                <w:szCs w:val="16"/>
                <w:lang w:eastAsia="en-AU"/>
              </w:rPr>
              <w:t>% change</w:t>
            </w:r>
            <w:r w:rsidRPr="00DA2D8D">
              <w:rPr>
                <w:rFonts w:cs="Arial"/>
                <w:b/>
                <w:bCs/>
                <w:color w:val="FFFFFF"/>
                <w:sz w:val="16"/>
                <w:szCs w:val="16"/>
                <w:lang w:eastAsia="en-AU"/>
              </w:rPr>
              <w:br/>
              <w:t>2012-2013</w:t>
            </w:r>
          </w:p>
        </w:tc>
      </w:tr>
      <w:tr w:rsidR="001A4A54" w:rsidRPr="00DA2D8D" w:rsidTr="001A4A54">
        <w:trPr>
          <w:trHeight w:val="300"/>
        </w:trPr>
        <w:tc>
          <w:tcPr>
            <w:tcW w:w="1127" w:type="dxa"/>
            <w:shd w:val="clear" w:color="000000" w:fill="FFFFFF"/>
            <w:noWrap/>
            <w:vAlign w:val="bottom"/>
            <w:hideMark/>
          </w:tcPr>
          <w:p w:rsidR="001A4A54" w:rsidRPr="00DA2D8D" w:rsidRDefault="001A4A54" w:rsidP="00970ACA">
            <w:pPr>
              <w:spacing w:after="0" w:line="240" w:lineRule="auto"/>
              <w:jc w:val="left"/>
              <w:rPr>
                <w:rFonts w:cs="Arial"/>
                <w:color w:val="366092"/>
                <w:sz w:val="18"/>
                <w:szCs w:val="18"/>
                <w:lang w:eastAsia="en-AU"/>
              </w:rPr>
            </w:pPr>
            <w:r w:rsidRPr="00DA2D8D">
              <w:rPr>
                <w:rFonts w:cs="Arial"/>
                <w:color w:val="366092"/>
                <w:sz w:val="18"/>
                <w:szCs w:val="18"/>
                <w:lang w:eastAsia="en-AU"/>
              </w:rPr>
              <w:t>Enrolments</w:t>
            </w:r>
          </w:p>
        </w:tc>
        <w:tc>
          <w:tcPr>
            <w:tcW w:w="1138" w:type="dxa"/>
            <w:shd w:val="clear" w:color="auto" w:fill="auto"/>
            <w:noWrap/>
            <w:vAlign w:val="center"/>
            <w:hideMark/>
          </w:tcPr>
          <w:p w:rsidR="001A4A54" w:rsidRPr="00DA2D8D" w:rsidRDefault="001A4A54" w:rsidP="001A4A54">
            <w:pPr>
              <w:spacing w:after="0" w:line="240" w:lineRule="auto"/>
              <w:jc w:val="right"/>
              <w:rPr>
                <w:rFonts w:cs="Arial"/>
                <w:sz w:val="18"/>
                <w:szCs w:val="18"/>
                <w:lang w:eastAsia="en-AU"/>
              </w:rPr>
            </w:pPr>
            <w:r w:rsidRPr="001A4A54">
              <w:rPr>
                <w:sz w:val="18"/>
                <w:szCs w:val="18"/>
              </w:rPr>
              <w:t>123%</w:t>
            </w:r>
          </w:p>
        </w:tc>
        <w:tc>
          <w:tcPr>
            <w:tcW w:w="1138" w:type="dxa"/>
            <w:shd w:val="clear" w:color="auto" w:fill="auto"/>
            <w:noWrap/>
            <w:vAlign w:val="center"/>
            <w:hideMark/>
          </w:tcPr>
          <w:p w:rsidR="001A4A54" w:rsidRPr="00DA2D8D" w:rsidRDefault="001A4A54" w:rsidP="001A4A54">
            <w:pPr>
              <w:spacing w:after="0" w:line="240" w:lineRule="auto"/>
              <w:jc w:val="right"/>
              <w:rPr>
                <w:rFonts w:cs="Arial"/>
                <w:sz w:val="18"/>
                <w:szCs w:val="18"/>
                <w:lang w:eastAsia="en-AU"/>
              </w:rPr>
            </w:pPr>
            <w:r w:rsidRPr="001A4A54">
              <w:rPr>
                <w:sz w:val="18"/>
                <w:szCs w:val="18"/>
              </w:rPr>
              <w:t>37%</w:t>
            </w:r>
          </w:p>
        </w:tc>
        <w:tc>
          <w:tcPr>
            <w:tcW w:w="1138" w:type="dxa"/>
            <w:shd w:val="clear" w:color="auto" w:fill="auto"/>
            <w:noWrap/>
            <w:vAlign w:val="center"/>
            <w:hideMark/>
          </w:tcPr>
          <w:p w:rsidR="001A4A54" w:rsidRPr="00DA2D8D" w:rsidRDefault="001A4A54" w:rsidP="001A4A54">
            <w:pPr>
              <w:spacing w:after="0" w:line="240" w:lineRule="auto"/>
              <w:ind w:firstLineChars="100" w:firstLine="180"/>
              <w:jc w:val="right"/>
              <w:rPr>
                <w:rFonts w:cs="Arial"/>
                <w:sz w:val="18"/>
                <w:szCs w:val="18"/>
                <w:lang w:eastAsia="en-AU"/>
              </w:rPr>
            </w:pPr>
            <w:r w:rsidRPr="001A4A54">
              <w:rPr>
                <w:sz w:val="18"/>
                <w:szCs w:val="18"/>
              </w:rPr>
              <w:t>15%</w:t>
            </w:r>
          </w:p>
        </w:tc>
      </w:tr>
      <w:tr w:rsidR="001A4A54" w:rsidRPr="00DA2D8D" w:rsidTr="001A4A54">
        <w:trPr>
          <w:trHeight w:val="315"/>
        </w:trPr>
        <w:tc>
          <w:tcPr>
            <w:tcW w:w="1127" w:type="dxa"/>
            <w:shd w:val="clear" w:color="000000" w:fill="FFFFFF"/>
            <w:noWrap/>
            <w:vAlign w:val="bottom"/>
            <w:hideMark/>
          </w:tcPr>
          <w:p w:rsidR="001A4A54" w:rsidRPr="00DA2D8D" w:rsidRDefault="001A4A54" w:rsidP="00970ACA">
            <w:pPr>
              <w:spacing w:after="0" w:line="240" w:lineRule="auto"/>
              <w:jc w:val="left"/>
              <w:rPr>
                <w:rFonts w:cs="Arial"/>
                <w:color w:val="366092"/>
                <w:sz w:val="18"/>
                <w:szCs w:val="18"/>
                <w:lang w:eastAsia="en-AU"/>
              </w:rPr>
            </w:pPr>
            <w:r w:rsidRPr="00DA2D8D">
              <w:rPr>
                <w:rFonts w:cs="Arial"/>
                <w:color w:val="366092"/>
                <w:sz w:val="18"/>
                <w:szCs w:val="18"/>
                <w:lang w:eastAsia="en-AU"/>
              </w:rPr>
              <w:t>Hours (millions)</w:t>
            </w:r>
          </w:p>
        </w:tc>
        <w:tc>
          <w:tcPr>
            <w:tcW w:w="1138" w:type="dxa"/>
            <w:shd w:val="clear" w:color="auto" w:fill="auto"/>
            <w:noWrap/>
            <w:vAlign w:val="center"/>
            <w:hideMark/>
          </w:tcPr>
          <w:p w:rsidR="001A4A54" w:rsidRPr="00DA2D8D" w:rsidRDefault="001A4A54" w:rsidP="001A4A54">
            <w:pPr>
              <w:spacing w:after="0" w:line="240" w:lineRule="auto"/>
              <w:jc w:val="right"/>
              <w:rPr>
                <w:rFonts w:cs="Arial"/>
                <w:sz w:val="18"/>
                <w:szCs w:val="18"/>
                <w:lang w:eastAsia="en-AU"/>
              </w:rPr>
            </w:pPr>
            <w:r w:rsidRPr="001A4A54">
              <w:rPr>
                <w:sz w:val="18"/>
                <w:szCs w:val="18"/>
              </w:rPr>
              <w:t>148%</w:t>
            </w:r>
          </w:p>
        </w:tc>
        <w:tc>
          <w:tcPr>
            <w:tcW w:w="1138" w:type="dxa"/>
            <w:shd w:val="clear" w:color="auto" w:fill="auto"/>
            <w:noWrap/>
            <w:vAlign w:val="center"/>
            <w:hideMark/>
          </w:tcPr>
          <w:p w:rsidR="001A4A54" w:rsidRPr="00DA2D8D" w:rsidRDefault="001A4A54" w:rsidP="001A4A54">
            <w:pPr>
              <w:spacing w:after="0" w:line="240" w:lineRule="auto"/>
              <w:ind w:firstLineChars="100" w:firstLine="180"/>
              <w:jc w:val="right"/>
              <w:rPr>
                <w:rFonts w:cs="Arial"/>
                <w:sz w:val="18"/>
                <w:szCs w:val="18"/>
                <w:lang w:eastAsia="en-AU"/>
              </w:rPr>
            </w:pPr>
            <w:r w:rsidRPr="001A4A54">
              <w:rPr>
                <w:sz w:val="18"/>
                <w:szCs w:val="18"/>
              </w:rPr>
              <w:t>-1%</w:t>
            </w:r>
          </w:p>
        </w:tc>
        <w:tc>
          <w:tcPr>
            <w:tcW w:w="1138" w:type="dxa"/>
            <w:shd w:val="clear" w:color="auto" w:fill="auto"/>
            <w:noWrap/>
            <w:vAlign w:val="center"/>
            <w:hideMark/>
          </w:tcPr>
          <w:p w:rsidR="001A4A54" w:rsidRPr="00DA2D8D" w:rsidRDefault="001A4A54" w:rsidP="001A4A54">
            <w:pPr>
              <w:spacing w:after="0" w:line="240" w:lineRule="auto"/>
              <w:ind w:firstLineChars="100" w:firstLine="180"/>
              <w:jc w:val="right"/>
              <w:rPr>
                <w:rFonts w:cs="Arial"/>
                <w:sz w:val="18"/>
                <w:szCs w:val="18"/>
                <w:lang w:eastAsia="en-AU"/>
              </w:rPr>
            </w:pPr>
            <w:r w:rsidRPr="001A4A54">
              <w:rPr>
                <w:sz w:val="18"/>
                <w:szCs w:val="18"/>
              </w:rPr>
              <w:t>23%</w:t>
            </w:r>
          </w:p>
        </w:tc>
      </w:tr>
    </w:tbl>
    <w:p w:rsidR="001A4A54" w:rsidRDefault="001A4A54" w:rsidP="00F72C48">
      <w:pPr>
        <w:pStyle w:val="Caption"/>
        <w:keepNext/>
        <w:rPr>
          <w:color w:val="4F81BD"/>
        </w:rPr>
      </w:pPr>
    </w:p>
    <w:p w:rsidR="00F72C48" w:rsidRPr="00C91B0A" w:rsidRDefault="00F72C48" w:rsidP="00F72C48">
      <w:pPr>
        <w:pStyle w:val="Caption"/>
        <w:keepNext/>
        <w:rPr>
          <w:rFonts w:cs="Arial"/>
          <w:color w:val="365F91" w:themeColor="accent1" w:themeShade="BF"/>
          <w:sz w:val="16"/>
        </w:rPr>
      </w:pPr>
      <w:r w:rsidRPr="00C91B0A">
        <w:rPr>
          <w:rFonts w:cs="Arial"/>
          <w:color w:val="365F91" w:themeColor="accent1" w:themeShade="BF"/>
          <w:sz w:val="16"/>
        </w:rPr>
        <w:t>Table 3.1</w:t>
      </w:r>
      <w:r w:rsidR="00C91B0A" w:rsidRPr="00C91B0A">
        <w:rPr>
          <w:rFonts w:cs="Arial"/>
          <w:color w:val="365F91" w:themeColor="accent1" w:themeShade="BF"/>
          <w:sz w:val="16"/>
        </w:rPr>
        <w:t>5.1</w:t>
      </w:r>
      <w:r w:rsidRPr="00C91B0A">
        <w:rPr>
          <w:rFonts w:cs="Arial"/>
          <w:color w:val="365F91" w:themeColor="accent1" w:themeShade="BF"/>
          <w:sz w:val="16"/>
        </w:rPr>
        <w:t>: Top 10 enrolling specialised or in shortage occupations, 2011, 2012 and 2013</w:t>
      </w:r>
    </w:p>
    <w:tbl>
      <w:tblPr>
        <w:tblW w:w="4400" w:type="pct"/>
        <w:tblInd w:w="108" w:type="dxa"/>
        <w:tblLook w:val="04A0" w:firstRow="1" w:lastRow="0" w:firstColumn="1" w:lastColumn="0" w:noHBand="0" w:noVBand="1"/>
      </w:tblPr>
      <w:tblGrid>
        <w:gridCol w:w="3071"/>
        <w:gridCol w:w="767"/>
        <w:gridCol w:w="867"/>
        <w:gridCol w:w="867"/>
        <w:gridCol w:w="867"/>
        <w:gridCol w:w="867"/>
        <w:gridCol w:w="867"/>
      </w:tblGrid>
      <w:tr w:rsidR="002F5669" w:rsidRPr="00AC7F98" w:rsidTr="002F5669">
        <w:trPr>
          <w:trHeight w:val="675"/>
        </w:trPr>
        <w:tc>
          <w:tcPr>
            <w:tcW w:w="1879" w:type="pct"/>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2F5669" w:rsidRPr="00AC7F98" w:rsidRDefault="002F5669" w:rsidP="00440176">
            <w:pPr>
              <w:spacing w:after="0" w:line="240" w:lineRule="auto"/>
              <w:jc w:val="center"/>
              <w:rPr>
                <w:rFonts w:cs="Arial"/>
                <w:b/>
                <w:bCs/>
                <w:color w:val="FFFFFF"/>
                <w:sz w:val="16"/>
                <w:szCs w:val="16"/>
                <w:lang w:eastAsia="en-AU"/>
              </w:rPr>
            </w:pPr>
            <w:r w:rsidRPr="00AC7F98">
              <w:rPr>
                <w:rFonts w:cs="Arial"/>
                <w:b/>
                <w:bCs/>
                <w:color w:val="FFFFFF"/>
                <w:sz w:val="16"/>
                <w:szCs w:val="16"/>
                <w:lang w:eastAsia="en-AU"/>
              </w:rPr>
              <w:t xml:space="preserve">Occupation </w:t>
            </w:r>
          </w:p>
        </w:tc>
        <w:tc>
          <w:tcPr>
            <w:tcW w:w="469"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AC7F98" w:rsidRDefault="002F5669" w:rsidP="00440176">
            <w:pPr>
              <w:spacing w:after="0" w:line="240" w:lineRule="auto"/>
              <w:jc w:val="center"/>
              <w:rPr>
                <w:rFonts w:cs="Arial"/>
                <w:b/>
                <w:bCs/>
                <w:color w:val="FFFFFF"/>
                <w:sz w:val="16"/>
                <w:szCs w:val="16"/>
                <w:lang w:eastAsia="en-AU"/>
              </w:rPr>
            </w:pPr>
            <w:r w:rsidRPr="00AC7F98">
              <w:rPr>
                <w:rFonts w:cs="Arial"/>
                <w:b/>
                <w:bCs/>
                <w:color w:val="FFFFFF"/>
                <w:sz w:val="16"/>
                <w:szCs w:val="16"/>
                <w:lang w:eastAsia="en-AU"/>
              </w:rPr>
              <w:t>2008</w:t>
            </w:r>
          </w:p>
        </w:tc>
        <w:tc>
          <w:tcPr>
            <w:tcW w:w="530"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AC7F98" w:rsidRDefault="002F5669" w:rsidP="00440176">
            <w:pPr>
              <w:spacing w:after="0" w:line="240" w:lineRule="auto"/>
              <w:jc w:val="center"/>
              <w:rPr>
                <w:rFonts w:cs="Arial"/>
                <w:b/>
                <w:bCs/>
                <w:color w:val="FFFFFF"/>
                <w:sz w:val="16"/>
                <w:szCs w:val="16"/>
                <w:lang w:eastAsia="en-AU"/>
              </w:rPr>
            </w:pPr>
            <w:r w:rsidRPr="00AC7F98">
              <w:rPr>
                <w:rFonts w:cs="Arial"/>
                <w:b/>
                <w:bCs/>
                <w:color w:val="FFFFFF"/>
                <w:sz w:val="16"/>
                <w:szCs w:val="16"/>
                <w:lang w:eastAsia="en-AU"/>
              </w:rPr>
              <w:t>2009</w:t>
            </w:r>
          </w:p>
        </w:tc>
        <w:tc>
          <w:tcPr>
            <w:tcW w:w="530"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AC7F98" w:rsidRDefault="002F5669" w:rsidP="00440176">
            <w:pPr>
              <w:spacing w:after="0" w:line="240" w:lineRule="auto"/>
              <w:jc w:val="center"/>
              <w:rPr>
                <w:rFonts w:cs="Arial"/>
                <w:b/>
                <w:bCs/>
                <w:color w:val="FFFFFF"/>
                <w:sz w:val="16"/>
                <w:szCs w:val="16"/>
                <w:lang w:eastAsia="en-AU"/>
              </w:rPr>
            </w:pPr>
            <w:r w:rsidRPr="00AC7F98">
              <w:rPr>
                <w:rFonts w:cs="Arial"/>
                <w:b/>
                <w:bCs/>
                <w:color w:val="FFFFFF"/>
                <w:sz w:val="16"/>
                <w:szCs w:val="16"/>
                <w:lang w:eastAsia="en-AU"/>
              </w:rPr>
              <w:t>2010</w:t>
            </w:r>
          </w:p>
        </w:tc>
        <w:tc>
          <w:tcPr>
            <w:tcW w:w="530"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AC7F98" w:rsidRDefault="002F5669" w:rsidP="00440176">
            <w:pPr>
              <w:spacing w:after="0" w:line="240" w:lineRule="auto"/>
              <w:jc w:val="center"/>
              <w:rPr>
                <w:rFonts w:cs="Arial"/>
                <w:b/>
                <w:bCs/>
                <w:color w:val="FFFFFF"/>
                <w:sz w:val="16"/>
                <w:szCs w:val="16"/>
                <w:lang w:eastAsia="en-AU"/>
              </w:rPr>
            </w:pPr>
            <w:r w:rsidRPr="00AC7F98">
              <w:rPr>
                <w:rFonts w:cs="Arial"/>
                <w:b/>
                <w:bCs/>
                <w:color w:val="FFFFFF"/>
                <w:sz w:val="16"/>
                <w:szCs w:val="16"/>
                <w:lang w:eastAsia="en-AU"/>
              </w:rPr>
              <w:t>2011</w:t>
            </w:r>
          </w:p>
        </w:tc>
        <w:tc>
          <w:tcPr>
            <w:tcW w:w="530"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AC7F98" w:rsidRDefault="002F5669" w:rsidP="00440176">
            <w:pPr>
              <w:spacing w:after="0" w:line="240" w:lineRule="auto"/>
              <w:jc w:val="center"/>
              <w:rPr>
                <w:rFonts w:cs="Arial"/>
                <w:b/>
                <w:bCs/>
                <w:color w:val="FFFFFF"/>
                <w:sz w:val="16"/>
                <w:szCs w:val="16"/>
                <w:lang w:eastAsia="en-AU"/>
              </w:rPr>
            </w:pPr>
            <w:r w:rsidRPr="00AC7F98">
              <w:rPr>
                <w:rFonts w:cs="Arial"/>
                <w:b/>
                <w:bCs/>
                <w:color w:val="FFFFFF"/>
                <w:sz w:val="16"/>
                <w:szCs w:val="16"/>
                <w:lang w:eastAsia="en-AU"/>
              </w:rPr>
              <w:t>2012</w:t>
            </w:r>
          </w:p>
        </w:tc>
        <w:tc>
          <w:tcPr>
            <w:tcW w:w="530"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AC7F98" w:rsidRDefault="002F5669" w:rsidP="00440176">
            <w:pPr>
              <w:spacing w:after="0" w:line="240" w:lineRule="auto"/>
              <w:jc w:val="center"/>
              <w:rPr>
                <w:rFonts w:cs="Arial"/>
                <w:b/>
                <w:bCs/>
                <w:color w:val="FFFFFF"/>
                <w:sz w:val="16"/>
                <w:szCs w:val="16"/>
                <w:lang w:eastAsia="en-AU"/>
              </w:rPr>
            </w:pPr>
            <w:r w:rsidRPr="00AC7F98">
              <w:rPr>
                <w:rFonts w:cs="Arial"/>
                <w:b/>
                <w:bCs/>
                <w:color w:val="FFFFFF"/>
                <w:sz w:val="16"/>
                <w:szCs w:val="16"/>
                <w:lang w:eastAsia="en-AU"/>
              </w:rPr>
              <w:t>2013</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Child Carers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9,000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14,300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19,700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25,600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30,100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Aged and Disabled Carers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6,400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8,200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8,800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13,000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16,900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20,400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Truck Drivers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2,600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4,400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4,600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7,500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10,600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14,600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Welfare Support Workers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4,500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7,800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9,500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11,600</w:t>
            </w:r>
          </w:p>
        </w:tc>
      </w:tr>
      <w:tr w:rsidR="002F5669" w:rsidRPr="009E48B6" w:rsidTr="002F5669">
        <w:trPr>
          <w:trHeight w:val="240"/>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Motor Mechanics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5,400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4,900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5,000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6,700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8,400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Carpenters and Joiners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7,600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7,900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8,600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9,100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8,000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8,000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Electricians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6,700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6,900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7,900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7,700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7,800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7,700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Enrolled and Mothercraft Nurses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4,600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4,800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6,400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7,600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Plumbers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5,000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5,400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7,100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7,100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Cafe and Restaurant Managers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2,400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4,500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9,200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6,500</w:t>
            </w:r>
          </w:p>
        </w:tc>
      </w:tr>
      <w:tr w:rsidR="002F5669" w:rsidRPr="009E48B6" w:rsidTr="002F5669">
        <w:trPr>
          <w:trHeight w:val="225"/>
        </w:trPr>
        <w:tc>
          <w:tcPr>
            <w:tcW w:w="1879" w:type="pct"/>
            <w:tcBorders>
              <w:top w:val="nil"/>
              <w:left w:val="single" w:sz="4" w:space="0" w:color="366092"/>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left"/>
              <w:rPr>
                <w:rFonts w:cs="Arial"/>
                <w:color w:val="365F91" w:themeColor="accent1" w:themeShade="BF"/>
                <w:sz w:val="18"/>
                <w:szCs w:val="18"/>
                <w:lang w:eastAsia="en-AU"/>
              </w:rPr>
            </w:pPr>
            <w:r w:rsidRPr="00AC7F98">
              <w:rPr>
                <w:rFonts w:cs="Arial"/>
                <w:color w:val="365F91" w:themeColor="accent1" w:themeShade="BF"/>
                <w:sz w:val="18"/>
                <w:szCs w:val="18"/>
                <w:lang w:eastAsia="en-AU"/>
              </w:rPr>
              <w:t>All other occupations</w:t>
            </w:r>
          </w:p>
        </w:tc>
        <w:tc>
          <w:tcPr>
            <w:tcW w:w="469"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38,500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40,300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44,200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46,300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53,300</w:t>
            </w:r>
          </w:p>
        </w:tc>
        <w:tc>
          <w:tcPr>
            <w:tcW w:w="530" w:type="pct"/>
            <w:tcBorders>
              <w:top w:val="nil"/>
              <w:left w:val="nil"/>
              <w:bottom w:val="single" w:sz="4" w:space="0" w:color="366092"/>
              <w:right w:val="single" w:sz="4" w:space="0" w:color="366092"/>
            </w:tcBorders>
            <w:shd w:val="clear" w:color="auto" w:fill="auto"/>
            <w:noWrap/>
            <w:vAlign w:val="center"/>
            <w:hideMark/>
          </w:tcPr>
          <w:p w:rsidR="002F5669" w:rsidRPr="00AC7F98" w:rsidRDefault="002F5669" w:rsidP="00440176">
            <w:pPr>
              <w:spacing w:after="0" w:line="240" w:lineRule="auto"/>
              <w:jc w:val="right"/>
              <w:rPr>
                <w:rFonts w:cs="Arial"/>
                <w:color w:val="000000"/>
                <w:sz w:val="18"/>
                <w:szCs w:val="18"/>
                <w:lang w:eastAsia="en-AU"/>
              </w:rPr>
            </w:pPr>
            <w:r w:rsidRPr="00AC7F98">
              <w:rPr>
                <w:rFonts w:cs="Arial"/>
                <w:color w:val="000000"/>
                <w:sz w:val="18"/>
                <w:szCs w:val="18"/>
                <w:lang w:eastAsia="en-AU"/>
              </w:rPr>
              <w:t>62,400</w:t>
            </w:r>
          </w:p>
        </w:tc>
      </w:tr>
      <w:tr w:rsidR="002F5669" w:rsidRPr="009E48B6" w:rsidTr="002F5669">
        <w:trPr>
          <w:trHeight w:val="225"/>
        </w:trPr>
        <w:tc>
          <w:tcPr>
            <w:tcW w:w="1879"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2F5669" w:rsidRPr="00AC7F98" w:rsidRDefault="002F5669" w:rsidP="00440176">
            <w:pPr>
              <w:spacing w:after="0" w:line="240" w:lineRule="auto"/>
              <w:jc w:val="left"/>
              <w:rPr>
                <w:rFonts w:cs="Arial"/>
                <w:b/>
                <w:bCs/>
                <w:color w:val="FFFFFF"/>
                <w:sz w:val="18"/>
                <w:szCs w:val="18"/>
                <w:lang w:eastAsia="en-AU"/>
              </w:rPr>
            </w:pPr>
            <w:r w:rsidRPr="00AC7F98">
              <w:rPr>
                <w:rFonts w:cs="Arial"/>
                <w:b/>
                <w:bCs/>
                <w:color w:val="FFFFFF"/>
                <w:sz w:val="18"/>
                <w:szCs w:val="18"/>
                <w:lang w:eastAsia="en-AU"/>
              </w:rPr>
              <w:t>Total</w:t>
            </w:r>
          </w:p>
        </w:tc>
        <w:tc>
          <w:tcPr>
            <w:tcW w:w="469"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2F5669" w:rsidRPr="00AC7F98" w:rsidRDefault="002F5669" w:rsidP="00440176">
            <w:pPr>
              <w:spacing w:after="0" w:line="240" w:lineRule="auto"/>
              <w:jc w:val="right"/>
              <w:rPr>
                <w:rFonts w:cs="Arial"/>
                <w:b/>
                <w:bCs/>
                <w:color w:val="FFFFFF"/>
                <w:sz w:val="18"/>
                <w:szCs w:val="18"/>
                <w:lang w:eastAsia="en-AU"/>
              </w:rPr>
            </w:pPr>
            <w:r w:rsidRPr="00AC7F98">
              <w:rPr>
                <w:rFonts w:cs="Arial"/>
                <w:b/>
                <w:bCs/>
                <w:color w:val="FFFFFF"/>
                <w:sz w:val="18"/>
                <w:szCs w:val="18"/>
                <w:lang w:eastAsia="en-AU"/>
              </w:rPr>
              <w:t>91,000</w:t>
            </w:r>
          </w:p>
        </w:tc>
        <w:tc>
          <w:tcPr>
            <w:tcW w:w="530"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2F5669" w:rsidRPr="00AC7F98" w:rsidRDefault="002F5669" w:rsidP="00440176">
            <w:pPr>
              <w:spacing w:after="0" w:line="240" w:lineRule="auto"/>
              <w:jc w:val="right"/>
              <w:rPr>
                <w:rFonts w:cs="Arial"/>
                <w:b/>
                <w:bCs/>
                <w:color w:val="FFFFFF"/>
                <w:sz w:val="18"/>
                <w:szCs w:val="18"/>
                <w:lang w:eastAsia="en-AU"/>
              </w:rPr>
            </w:pPr>
            <w:r w:rsidRPr="00AC7F98">
              <w:rPr>
                <w:rFonts w:cs="Arial"/>
                <w:b/>
                <w:bCs/>
                <w:color w:val="FFFFFF"/>
                <w:sz w:val="18"/>
                <w:szCs w:val="18"/>
                <w:lang w:eastAsia="en-AU"/>
              </w:rPr>
              <w:t>102,200</w:t>
            </w:r>
          </w:p>
        </w:tc>
        <w:tc>
          <w:tcPr>
            <w:tcW w:w="530"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2F5669" w:rsidRPr="00AC7F98" w:rsidRDefault="002F5669" w:rsidP="00440176">
            <w:pPr>
              <w:spacing w:after="0" w:line="240" w:lineRule="auto"/>
              <w:jc w:val="right"/>
              <w:rPr>
                <w:rFonts w:cs="Arial"/>
                <w:b/>
                <w:bCs/>
                <w:color w:val="FFFFFF"/>
                <w:sz w:val="18"/>
                <w:szCs w:val="18"/>
                <w:lang w:eastAsia="en-AU"/>
              </w:rPr>
            </w:pPr>
            <w:r w:rsidRPr="00AC7F98">
              <w:rPr>
                <w:rFonts w:cs="Arial"/>
                <w:b/>
                <w:bCs/>
                <w:color w:val="FFFFFF"/>
                <w:sz w:val="18"/>
                <w:szCs w:val="18"/>
                <w:lang w:eastAsia="en-AU"/>
              </w:rPr>
              <w:t>115,700</w:t>
            </w:r>
          </w:p>
        </w:tc>
        <w:tc>
          <w:tcPr>
            <w:tcW w:w="530"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2F5669" w:rsidRPr="00AC7F98" w:rsidRDefault="002F5669" w:rsidP="00440176">
            <w:pPr>
              <w:spacing w:after="0" w:line="240" w:lineRule="auto"/>
              <w:jc w:val="right"/>
              <w:rPr>
                <w:rFonts w:cs="Arial"/>
                <w:b/>
                <w:bCs/>
                <w:color w:val="FFFFFF"/>
                <w:sz w:val="18"/>
                <w:szCs w:val="18"/>
                <w:lang w:eastAsia="en-AU"/>
              </w:rPr>
            </w:pPr>
            <w:r w:rsidRPr="00AC7F98">
              <w:rPr>
                <w:rFonts w:cs="Arial"/>
                <w:b/>
                <w:bCs/>
                <w:color w:val="FFFFFF"/>
                <w:sz w:val="18"/>
                <w:szCs w:val="18"/>
                <w:lang w:eastAsia="en-AU"/>
              </w:rPr>
              <w:t>136,200</w:t>
            </w:r>
          </w:p>
        </w:tc>
        <w:tc>
          <w:tcPr>
            <w:tcW w:w="530"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2F5669" w:rsidRPr="00AC7F98" w:rsidRDefault="002F5669" w:rsidP="00440176">
            <w:pPr>
              <w:spacing w:after="0" w:line="240" w:lineRule="auto"/>
              <w:jc w:val="right"/>
              <w:rPr>
                <w:rFonts w:cs="Arial"/>
                <w:b/>
                <w:bCs/>
                <w:color w:val="FFFFFF"/>
                <w:sz w:val="18"/>
                <w:szCs w:val="18"/>
                <w:lang w:eastAsia="en-AU"/>
              </w:rPr>
            </w:pPr>
            <w:r w:rsidRPr="00AC7F98">
              <w:rPr>
                <w:rFonts w:cs="Arial"/>
                <w:b/>
                <w:bCs/>
                <w:color w:val="FFFFFF"/>
                <w:sz w:val="18"/>
                <w:szCs w:val="18"/>
                <w:lang w:eastAsia="en-AU"/>
              </w:rPr>
              <w:t>162,000</w:t>
            </w:r>
          </w:p>
        </w:tc>
        <w:tc>
          <w:tcPr>
            <w:tcW w:w="530"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2F5669" w:rsidRPr="00AC7F98" w:rsidRDefault="002F5669" w:rsidP="00440176">
            <w:pPr>
              <w:spacing w:after="0" w:line="240" w:lineRule="auto"/>
              <w:jc w:val="right"/>
              <w:rPr>
                <w:rFonts w:cs="Arial"/>
                <w:b/>
                <w:bCs/>
                <w:color w:val="FFFFFF"/>
                <w:sz w:val="18"/>
                <w:szCs w:val="18"/>
                <w:lang w:eastAsia="en-AU"/>
              </w:rPr>
            </w:pPr>
            <w:r w:rsidRPr="00AC7F98">
              <w:rPr>
                <w:rFonts w:cs="Arial"/>
                <w:b/>
                <w:bCs/>
                <w:color w:val="FFFFFF"/>
                <w:sz w:val="18"/>
                <w:szCs w:val="18"/>
                <w:lang w:eastAsia="en-AU"/>
              </w:rPr>
              <w:t>184,400</w:t>
            </w:r>
          </w:p>
        </w:tc>
      </w:tr>
    </w:tbl>
    <w:p w:rsidR="00F72C48" w:rsidRDefault="00F72C48" w:rsidP="00F72C48">
      <w:pPr>
        <w:jc w:val="left"/>
        <w:rPr>
          <w:rFonts w:cs="Arial"/>
          <w:color w:val="366092"/>
          <w:sz w:val="16"/>
          <w:szCs w:val="16"/>
          <w:lang w:eastAsia="en-AU"/>
        </w:rPr>
      </w:pPr>
      <w:r w:rsidRPr="00524AC5">
        <w:rPr>
          <w:rFonts w:cs="Arial"/>
          <w:color w:val="366092"/>
          <w:sz w:val="16"/>
          <w:szCs w:val="16"/>
          <w:lang w:eastAsia="en-AU"/>
        </w:rPr>
        <w:t>Note: Enrolment numbers rounded to nearest 100.</w:t>
      </w:r>
    </w:p>
    <w:p w:rsidR="002F5669" w:rsidRPr="00C91B0A" w:rsidRDefault="00C91B0A" w:rsidP="002F5669">
      <w:pPr>
        <w:pStyle w:val="Caption"/>
        <w:keepNext/>
        <w:rPr>
          <w:rFonts w:cs="Arial"/>
          <w:color w:val="365F91" w:themeColor="accent1" w:themeShade="BF"/>
          <w:sz w:val="16"/>
        </w:rPr>
      </w:pPr>
      <w:r>
        <w:rPr>
          <w:rFonts w:cs="Arial"/>
          <w:color w:val="365F91" w:themeColor="accent1" w:themeShade="BF"/>
          <w:sz w:val="16"/>
        </w:rPr>
        <w:t>Table 3.15.2</w:t>
      </w:r>
      <w:r w:rsidR="002F5669" w:rsidRPr="00C91B0A">
        <w:rPr>
          <w:rFonts w:cs="Arial"/>
          <w:color w:val="365F91" w:themeColor="accent1" w:themeShade="BF"/>
          <w:sz w:val="16"/>
        </w:rPr>
        <w:t>: Change in top 10 enrolling specialised or in shortage occupations, 2011, 2012 and 2013</w:t>
      </w:r>
    </w:p>
    <w:tbl>
      <w:tblPr>
        <w:tblW w:w="3098" w:type="pct"/>
        <w:tblInd w:w="108" w:type="dxa"/>
        <w:tblLook w:val="04A0" w:firstRow="1" w:lastRow="0" w:firstColumn="1" w:lastColumn="0" w:noHBand="0" w:noVBand="1"/>
      </w:tblPr>
      <w:tblGrid>
        <w:gridCol w:w="2808"/>
        <w:gridCol w:w="1077"/>
        <w:gridCol w:w="1077"/>
        <w:gridCol w:w="1077"/>
      </w:tblGrid>
      <w:tr w:rsidR="002F5669" w:rsidRPr="00AC7F98" w:rsidTr="002F5669">
        <w:trPr>
          <w:trHeight w:val="675"/>
        </w:trPr>
        <w:tc>
          <w:tcPr>
            <w:tcW w:w="2440" w:type="pct"/>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2F5669" w:rsidRPr="000552CE" w:rsidRDefault="002F5669" w:rsidP="00C6238D">
            <w:pPr>
              <w:spacing w:after="0" w:line="240" w:lineRule="auto"/>
              <w:jc w:val="center"/>
              <w:rPr>
                <w:rFonts w:cs="Arial"/>
                <w:b/>
                <w:bCs/>
                <w:color w:val="FFFFFF"/>
                <w:sz w:val="18"/>
                <w:szCs w:val="18"/>
                <w:lang w:eastAsia="en-AU"/>
              </w:rPr>
            </w:pPr>
            <w:r w:rsidRPr="000552CE">
              <w:rPr>
                <w:rFonts w:cs="Arial"/>
                <w:b/>
                <w:bCs/>
                <w:color w:val="FFFFFF"/>
                <w:sz w:val="18"/>
                <w:szCs w:val="18"/>
                <w:lang w:eastAsia="en-AU"/>
              </w:rPr>
              <w:t xml:space="preserve">Occupation </w:t>
            </w:r>
          </w:p>
        </w:tc>
        <w:tc>
          <w:tcPr>
            <w:tcW w:w="853"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0552CE" w:rsidRDefault="002F5669" w:rsidP="00C6238D">
            <w:pPr>
              <w:spacing w:after="0" w:line="240" w:lineRule="auto"/>
              <w:jc w:val="center"/>
              <w:rPr>
                <w:rFonts w:cs="Arial"/>
                <w:b/>
                <w:bCs/>
                <w:color w:val="FFFFFF"/>
                <w:sz w:val="18"/>
                <w:szCs w:val="18"/>
                <w:lang w:eastAsia="en-AU"/>
              </w:rPr>
            </w:pPr>
            <w:r w:rsidRPr="000552CE">
              <w:rPr>
                <w:rFonts w:cs="Arial"/>
                <w:b/>
                <w:bCs/>
                <w:color w:val="FFFFFF"/>
                <w:sz w:val="18"/>
                <w:szCs w:val="18"/>
                <w:lang w:eastAsia="en-AU"/>
              </w:rPr>
              <w:t>% change</w:t>
            </w:r>
            <w:r w:rsidRPr="000552CE">
              <w:rPr>
                <w:rFonts w:cs="Arial"/>
                <w:b/>
                <w:bCs/>
                <w:color w:val="FFFFFF"/>
                <w:sz w:val="18"/>
                <w:szCs w:val="18"/>
                <w:lang w:eastAsia="en-AU"/>
              </w:rPr>
              <w:br/>
              <w:t>2008-2013</w:t>
            </w:r>
          </w:p>
        </w:tc>
        <w:tc>
          <w:tcPr>
            <w:tcW w:w="853"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0552CE" w:rsidRDefault="002F5669" w:rsidP="00C6238D">
            <w:pPr>
              <w:spacing w:after="0" w:line="240" w:lineRule="auto"/>
              <w:jc w:val="center"/>
              <w:rPr>
                <w:rFonts w:cs="Arial"/>
                <w:b/>
                <w:bCs/>
                <w:color w:val="FFFFFF"/>
                <w:sz w:val="18"/>
                <w:szCs w:val="18"/>
                <w:lang w:eastAsia="en-AU"/>
              </w:rPr>
            </w:pPr>
            <w:r w:rsidRPr="000552CE">
              <w:rPr>
                <w:rFonts w:cs="Arial"/>
                <w:b/>
                <w:bCs/>
                <w:color w:val="FFFFFF"/>
                <w:sz w:val="18"/>
                <w:szCs w:val="18"/>
                <w:lang w:eastAsia="en-AU"/>
              </w:rPr>
              <w:t>% change</w:t>
            </w:r>
            <w:r w:rsidRPr="000552CE">
              <w:rPr>
                <w:rFonts w:cs="Arial"/>
                <w:b/>
                <w:bCs/>
                <w:color w:val="FFFFFF"/>
                <w:sz w:val="18"/>
                <w:szCs w:val="18"/>
                <w:lang w:eastAsia="en-AU"/>
              </w:rPr>
              <w:br/>
              <w:t>2011-2013</w:t>
            </w:r>
          </w:p>
        </w:tc>
        <w:tc>
          <w:tcPr>
            <w:tcW w:w="853" w:type="pct"/>
            <w:tcBorders>
              <w:top w:val="single" w:sz="4" w:space="0" w:color="366092"/>
              <w:left w:val="nil"/>
              <w:bottom w:val="single" w:sz="4" w:space="0" w:color="366092"/>
              <w:right w:val="single" w:sz="4" w:space="0" w:color="366092"/>
            </w:tcBorders>
            <w:shd w:val="clear" w:color="000000" w:fill="366092"/>
            <w:noWrap/>
            <w:vAlign w:val="center"/>
            <w:hideMark/>
          </w:tcPr>
          <w:p w:rsidR="002F5669" w:rsidRPr="000552CE" w:rsidRDefault="002F5669" w:rsidP="00C6238D">
            <w:pPr>
              <w:spacing w:after="0" w:line="240" w:lineRule="auto"/>
              <w:jc w:val="center"/>
              <w:rPr>
                <w:rFonts w:cs="Arial"/>
                <w:b/>
                <w:bCs/>
                <w:color w:val="FFFFFF"/>
                <w:sz w:val="18"/>
                <w:szCs w:val="18"/>
                <w:lang w:eastAsia="en-AU"/>
              </w:rPr>
            </w:pPr>
            <w:r w:rsidRPr="000552CE">
              <w:rPr>
                <w:rFonts w:cs="Arial"/>
                <w:b/>
                <w:bCs/>
                <w:color w:val="FFFFFF"/>
                <w:sz w:val="18"/>
                <w:szCs w:val="18"/>
                <w:lang w:eastAsia="en-AU"/>
              </w:rPr>
              <w:t>% change</w:t>
            </w:r>
            <w:r w:rsidRPr="000552CE">
              <w:rPr>
                <w:rFonts w:cs="Arial"/>
                <w:b/>
                <w:bCs/>
                <w:color w:val="FFFFFF"/>
                <w:sz w:val="18"/>
                <w:szCs w:val="18"/>
                <w:lang w:eastAsia="en-AU"/>
              </w:rPr>
              <w:br/>
              <w:t>2012-2013</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Child Carers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315%</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53%</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18%</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Aged and Disabled Carers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220%</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58%</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21%</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Truck Drivers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467%</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94%</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37%</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Welfare Support Workers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158%</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49%</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22%</w:t>
            </w:r>
          </w:p>
        </w:tc>
      </w:tr>
      <w:tr w:rsidR="001D5930" w:rsidRPr="009E48B6" w:rsidTr="001D5930">
        <w:trPr>
          <w:trHeight w:val="240"/>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Motor Mechanics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57%</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60%</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26%</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Carpenters and Joiners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5%</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-12%</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0%</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Electricians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14%</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Enrolled and Mothercraft Nurses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64%</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18%</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5%</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Plumbers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42%</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0%</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Cafe and Restaurant Managers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173%</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-30%</w:t>
            </w:r>
          </w:p>
        </w:tc>
      </w:tr>
      <w:tr w:rsidR="001D5930" w:rsidRPr="009E48B6" w:rsidTr="001D5930">
        <w:trPr>
          <w:trHeight w:val="225"/>
        </w:trPr>
        <w:tc>
          <w:tcPr>
            <w:tcW w:w="2440" w:type="pct"/>
            <w:tcBorders>
              <w:top w:val="nil"/>
              <w:left w:val="single" w:sz="4" w:space="0" w:color="366092"/>
              <w:bottom w:val="single" w:sz="4" w:space="0" w:color="366092"/>
              <w:right w:val="single" w:sz="4" w:space="0" w:color="366092"/>
            </w:tcBorders>
            <w:shd w:val="clear" w:color="auto" w:fill="auto"/>
            <w:noWrap/>
            <w:vAlign w:val="center"/>
            <w:hideMark/>
          </w:tcPr>
          <w:p w:rsidR="001D5930" w:rsidRPr="000552CE" w:rsidRDefault="001D5930" w:rsidP="00C6238D">
            <w:pPr>
              <w:spacing w:after="0" w:line="240" w:lineRule="auto"/>
              <w:jc w:val="left"/>
              <w:rPr>
                <w:rFonts w:cs="Arial"/>
                <w:color w:val="365F91" w:themeColor="accent1" w:themeShade="BF"/>
                <w:sz w:val="18"/>
                <w:szCs w:val="18"/>
                <w:lang w:eastAsia="en-AU"/>
              </w:rPr>
            </w:pPr>
            <w:r w:rsidRPr="000552CE">
              <w:rPr>
                <w:rFonts w:cs="Arial"/>
                <w:color w:val="365F91" w:themeColor="accent1" w:themeShade="BF"/>
                <w:sz w:val="18"/>
                <w:szCs w:val="18"/>
                <w:lang w:eastAsia="en-AU"/>
              </w:rPr>
              <w:t>All other occupations</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270%</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93%</w:t>
            </w:r>
          </w:p>
        </w:tc>
        <w:tc>
          <w:tcPr>
            <w:tcW w:w="853" w:type="pct"/>
            <w:tcBorders>
              <w:top w:val="nil"/>
              <w:left w:val="nil"/>
              <w:bottom w:val="single" w:sz="4" w:space="0" w:color="366092"/>
              <w:right w:val="single" w:sz="4" w:space="0" w:color="366092"/>
            </w:tcBorders>
            <w:shd w:val="clear" w:color="auto" w:fill="auto"/>
            <w:noWrap/>
          </w:tcPr>
          <w:p w:rsidR="001D5930" w:rsidRPr="000552CE" w:rsidRDefault="001D5930" w:rsidP="00C6238D">
            <w:pPr>
              <w:spacing w:after="0" w:line="240" w:lineRule="auto"/>
              <w:jc w:val="right"/>
              <w:rPr>
                <w:rFonts w:cs="Arial"/>
                <w:color w:val="000000"/>
                <w:sz w:val="18"/>
                <w:szCs w:val="18"/>
                <w:lang w:eastAsia="en-AU"/>
              </w:rPr>
            </w:pPr>
            <w:r w:rsidRPr="000552CE">
              <w:rPr>
                <w:sz w:val="18"/>
                <w:szCs w:val="18"/>
              </w:rPr>
              <w:t>19%</w:t>
            </w:r>
          </w:p>
        </w:tc>
      </w:tr>
      <w:tr w:rsidR="001D5930" w:rsidRPr="009E48B6" w:rsidTr="001D5930">
        <w:trPr>
          <w:trHeight w:val="225"/>
        </w:trPr>
        <w:tc>
          <w:tcPr>
            <w:tcW w:w="2440" w:type="pct"/>
            <w:tcBorders>
              <w:top w:val="single" w:sz="4" w:space="0" w:color="366092"/>
              <w:left w:val="single" w:sz="4" w:space="0" w:color="366092"/>
              <w:bottom w:val="single" w:sz="4" w:space="0" w:color="366092"/>
              <w:right w:val="single" w:sz="4" w:space="0" w:color="366092"/>
            </w:tcBorders>
            <w:shd w:val="clear" w:color="000000" w:fill="366092"/>
            <w:noWrap/>
            <w:vAlign w:val="bottom"/>
            <w:hideMark/>
          </w:tcPr>
          <w:p w:rsidR="001D5930" w:rsidRPr="000552CE" w:rsidRDefault="001D5930" w:rsidP="00C6238D">
            <w:pPr>
              <w:spacing w:after="0" w:line="240" w:lineRule="auto"/>
              <w:jc w:val="left"/>
              <w:rPr>
                <w:rFonts w:cs="Arial"/>
                <w:b/>
                <w:bCs/>
                <w:color w:val="FFFFFF"/>
                <w:sz w:val="18"/>
                <w:szCs w:val="18"/>
                <w:lang w:eastAsia="en-AU"/>
              </w:rPr>
            </w:pPr>
            <w:r w:rsidRPr="000552CE">
              <w:rPr>
                <w:rFonts w:cs="Arial"/>
                <w:b/>
                <w:bCs/>
                <w:color w:val="FFFFFF"/>
                <w:sz w:val="18"/>
                <w:szCs w:val="18"/>
                <w:lang w:eastAsia="en-AU"/>
              </w:rPr>
              <w:t>Total</w:t>
            </w:r>
          </w:p>
        </w:tc>
        <w:tc>
          <w:tcPr>
            <w:tcW w:w="853" w:type="pct"/>
            <w:tcBorders>
              <w:top w:val="single" w:sz="4" w:space="0" w:color="366092"/>
              <w:left w:val="single" w:sz="4" w:space="0" w:color="366092"/>
              <w:bottom w:val="single" w:sz="4" w:space="0" w:color="366092"/>
              <w:right w:val="single" w:sz="4" w:space="0" w:color="366092"/>
            </w:tcBorders>
            <w:shd w:val="clear" w:color="000000" w:fill="366092"/>
            <w:noWrap/>
          </w:tcPr>
          <w:p w:rsidR="001D5930" w:rsidRPr="000552CE" w:rsidRDefault="001D5930" w:rsidP="00C6238D">
            <w:pPr>
              <w:spacing w:after="0" w:line="240" w:lineRule="auto"/>
              <w:jc w:val="right"/>
              <w:rPr>
                <w:rFonts w:cs="Arial"/>
                <w:b/>
                <w:bCs/>
                <w:color w:val="FFFFFF" w:themeColor="background1"/>
                <w:sz w:val="18"/>
                <w:szCs w:val="18"/>
                <w:lang w:eastAsia="en-AU"/>
              </w:rPr>
            </w:pPr>
            <w:r w:rsidRPr="000552CE">
              <w:rPr>
                <w:color w:val="FFFFFF" w:themeColor="background1"/>
                <w:sz w:val="18"/>
                <w:szCs w:val="18"/>
              </w:rPr>
              <w:t>103%</w:t>
            </w:r>
          </w:p>
        </w:tc>
        <w:tc>
          <w:tcPr>
            <w:tcW w:w="853" w:type="pct"/>
            <w:tcBorders>
              <w:top w:val="single" w:sz="4" w:space="0" w:color="366092"/>
              <w:left w:val="single" w:sz="4" w:space="0" w:color="366092"/>
              <w:bottom w:val="single" w:sz="4" w:space="0" w:color="366092"/>
              <w:right w:val="single" w:sz="4" w:space="0" w:color="366092"/>
            </w:tcBorders>
            <w:shd w:val="clear" w:color="000000" w:fill="366092"/>
            <w:noWrap/>
          </w:tcPr>
          <w:p w:rsidR="001D5930" w:rsidRPr="000552CE" w:rsidRDefault="001D5930" w:rsidP="00C6238D">
            <w:pPr>
              <w:spacing w:after="0" w:line="240" w:lineRule="auto"/>
              <w:jc w:val="right"/>
              <w:rPr>
                <w:rFonts w:cs="Arial"/>
                <w:b/>
                <w:bCs/>
                <w:color w:val="FFFFFF" w:themeColor="background1"/>
                <w:sz w:val="18"/>
                <w:szCs w:val="18"/>
                <w:lang w:eastAsia="en-AU"/>
              </w:rPr>
            </w:pPr>
            <w:r w:rsidRPr="000552CE">
              <w:rPr>
                <w:color w:val="FFFFFF" w:themeColor="background1"/>
                <w:sz w:val="18"/>
                <w:szCs w:val="18"/>
              </w:rPr>
              <w:t>35%</w:t>
            </w:r>
          </w:p>
        </w:tc>
        <w:tc>
          <w:tcPr>
            <w:tcW w:w="853" w:type="pct"/>
            <w:tcBorders>
              <w:top w:val="single" w:sz="4" w:space="0" w:color="366092"/>
              <w:left w:val="single" w:sz="4" w:space="0" w:color="366092"/>
              <w:bottom w:val="single" w:sz="4" w:space="0" w:color="366092"/>
              <w:right w:val="single" w:sz="4" w:space="0" w:color="366092"/>
            </w:tcBorders>
            <w:shd w:val="clear" w:color="000000" w:fill="366092"/>
            <w:noWrap/>
          </w:tcPr>
          <w:p w:rsidR="001D5930" w:rsidRPr="000552CE" w:rsidRDefault="001D5930" w:rsidP="00C6238D">
            <w:pPr>
              <w:spacing w:after="0" w:line="240" w:lineRule="auto"/>
              <w:jc w:val="right"/>
              <w:rPr>
                <w:rFonts w:cs="Arial"/>
                <w:b/>
                <w:bCs/>
                <w:color w:val="FFFFFF" w:themeColor="background1"/>
                <w:sz w:val="18"/>
                <w:szCs w:val="18"/>
                <w:lang w:eastAsia="en-AU"/>
              </w:rPr>
            </w:pPr>
            <w:r w:rsidRPr="000552CE">
              <w:rPr>
                <w:color w:val="FFFFFF" w:themeColor="background1"/>
                <w:sz w:val="18"/>
                <w:szCs w:val="18"/>
              </w:rPr>
              <w:t>14%</w:t>
            </w:r>
          </w:p>
        </w:tc>
      </w:tr>
    </w:tbl>
    <w:p w:rsidR="002F5669" w:rsidRPr="002F5669" w:rsidRDefault="002F5669" w:rsidP="00F72C48">
      <w:pPr>
        <w:jc w:val="left"/>
        <w:rPr>
          <w:rFonts w:cs="Arial"/>
          <w:color w:val="366092"/>
          <w:sz w:val="16"/>
          <w:szCs w:val="16"/>
          <w:lang w:eastAsia="en-AU"/>
        </w:rPr>
        <w:sectPr w:rsidR="002F5669" w:rsidRPr="002F5669">
          <w:footerReference w:type="default" r:id="rId55"/>
          <w:pgSz w:w="11907" w:h="16840"/>
          <w:pgMar w:top="993" w:right="1134" w:bottom="1418" w:left="1701" w:header="567" w:footer="567" w:gutter="0"/>
          <w:cols w:space="720"/>
        </w:sectPr>
      </w:pPr>
    </w:p>
    <w:p w:rsidR="00F72C48" w:rsidRPr="00DC2401" w:rsidRDefault="00F72C48" w:rsidP="00F72C48">
      <w:r w:rsidRPr="00DC2401">
        <w:t>The following table highlights industry enrolments in qualifications related to either specialised or in shortage occupations</w:t>
      </w:r>
    </w:p>
    <w:p w:rsidR="00F72C48" w:rsidRPr="00DC2401" w:rsidRDefault="00F72C48" w:rsidP="00F72C48">
      <w:pPr>
        <w:rPr>
          <w:rFonts w:cs="Arial"/>
          <w:i/>
          <w:color w:val="4F81BD"/>
          <w:szCs w:val="19"/>
        </w:rPr>
      </w:pPr>
    </w:p>
    <w:p w:rsidR="00F72C48" w:rsidRPr="00C91B0A" w:rsidRDefault="00F72C48" w:rsidP="00C91B0A">
      <w:pPr>
        <w:pStyle w:val="Caption"/>
        <w:keepNext/>
        <w:rPr>
          <w:rFonts w:cs="Arial"/>
          <w:color w:val="365F91" w:themeColor="accent1" w:themeShade="BF"/>
          <w:sz w:val="16"/>
        </w:rPr>
      </w:pPr>
      <w:r w:rsidRPr="00C91B0A">
        <w:rPr>
          <w:rFonts w:cs="Arial"/>
          <w:color w:val="365F91" w:themeColor="accent1" w:themeShade="BF"/>
          <w:sz w:val="16"/>
        </w:rPr>
        <w:t>Table 3.1</w:t>
      </w:r>
      <w:r w:rsidR="00C91B0A" w:rsidRPr="00C91B0A">
        <w:rPr>
          <w:rFonts w:cs="Arial"/>
          <w:color w:val="365F91" w:themeColor="accent1" w:themeShade="BF"/>
          <w:sz w:val="16"/>
        </w:rPr>
        <w:t>6</w:t>
      </w:r>
      <w:r w:rsidRPr="00C91B0A">
        <w:rPr>
          <w:rFonts w:cs="Arial"/>
          <w:color w:val="365F91" w:themeColor="accent1" w:themeShade="BF"/>
          <w:sz w:val="16"/>
        </w:rPr>
        <w:t>: Industry enrolments in qualifications related to either specialised or in shortage occupations</w:t>
      </w:r>
    </w:p>
    <w:p w:rsidR="00F72C48" w:rsidRDefault="00F72C48" w:rsidP="00F72C48"/>
    <w:tbl>
      <w:tblPr>
        <w:tblW w:w="5000" w:type="pct"/>
        <w:tblLook w:val="04A0" w:firstRow="1" w:lastRow="0" w:firstColumn="1" w:lastColumn="0" w:noHBand="0" w:noVBand="1"/>
      </w:tblPr>
      <w:tblGrid>
        <w:gridCol w:w="4145"/>
        <w:gridCol w:w="746"/>
        <w:gridCol w:w="904"/>
        <w:gridCol w:w="904"/>
        <w:gridCol w:w="904"/>
        <w:gridCol w:w="706"/>
        <w:gridCol w:w="853"/>
        <w:gridCol w:w="746"/>
        <w:gridCol w:w="904"/>
        <w:gridCol w:w="904"/>
        <w:gridCol w:w="904"/>
        <w:gridCol w:w="709"/>
        <w:gridCol w:w="845"/>
      </w:tblGrid>
      <w:tr w:rsidR="00F72C48" w:rsidRPr="00DA2D8D" w:rsidTr="00440176">
        <w:trPr>
          <w:trHeight w:val="225"/>
        </w:trPr>
        <w:tc>
          <w:tcPr>
            <w:tcW w:w="1462" w:type="pct"/>
            <w:vMerge w:val="restart"/>
            <w:tcBorders>
              <w:top w:val="single" w:sz="4" w:space="0" w:color="366092"/>
              <w:left w:val="single" w:sz="4" w:space="0" w:color="366092"/>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Industry</w:t>
            </w:r>
          </w:p>
        </w:tc>
        <w:tc>
          <w:tcPr>
            <w:tcW w:w="1769" w:type="pct"/>
            <w:gridSpan w:val="6"/>
            <w:tcBorders>
              <w:top w:val="single" w:sz="4" w:space="0" w:color="366092"/>
              <w:left w:val="nil"/>
              <w:bottom w:val="single" w:sz="4" w:space="0" w:color="366092"/>
              <w:right w:val="single" w:sz="4" w:space="0" w:color="366092"/>
            </w:tcBorders>
            <w:shd w:val="clear" w:color="000000" w:fill="16365C"/>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Enrolments (Total industry specific qualifications)</w:t>
            </w:r>
          </w:p>
        </w:tc>
        <w:tc>
          <w:tcPr>
            <w:tcW w:w="1769" w:type="pct"/>
            <w:gridSpan w:val="6"/>
            <w:tcBorders>
              <w:top w:val="single" w:sz="4" w:space="0" w:color="366092"/>
              <w:left w:val="nil"/>
              <w:bottom w:val="single" w:sz="4" w:space="0" w:color="366092"/>
              <w:right w:val="single" w:sz="4" w:space="0" w:color="366092"/>
            </w:tcBorders>
            <w:shd w:val="clear" w:color="000000" w:fill="366092"/>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Enrolments (specialised OR in shortage)</w:t>
            </w:r>
          </w:p>
        </w:tc>
      </w:tr>
      <w:tr w:rsidR="00F72C48" w:rsidRPr="00DA2D8D" w:rsidTr="00440176">
        <w:trPr>
          <w:trHeight w:val="675"/>
        </w:trPr>
        <w:tc>
          <w:tcPr>
            <w:tcW w:w="1462" w:type="pct"/>
            <w:vMerge/>
            <w:tcBorders>
              <w:top w:val="single" w:sz="4" w:space="0" w:color="366092"/>
              <w:left w:val="single" w:sz="4" w:space="0" w:color="366092"/>
              <w:bottom w:val="single" w:sz="4" w:space="0" w:color="366092"/>
              <w:right w:val="single" w:sz="4" w:space="0" w:color="366092"/>
            </w:tcBorders>
            <w:vAlign w:val="center"/>
            <w:hideMark/>
          </w:tcPr>
          <w:p w:rsidR="00F72C48" w:rsidRPr="00DA2D8D" w:rsidRDefault="00F72C48" w:rsidP="00440176">
            <w:pPr>
              <w:spacing w:after="0" w:line="240" w:lineRule="auto"/>
              <w:jc w:val="left"/>
              <w:rPr>
                <w:rFonts w:cs="Arial"/>
                <w:b/>
                <w:bCs/>
                <w:color w:val="FFFFFF"/>
                <w:sz w:val="18"/>
                <w:szCs w:val="18"/>
                <w:lang w:eastAsia="en-AU"/>
              </w:rPr>
            </w:pPr>
          </w:p>
        </w:tc>
        <w:tc>
          <w:tcPr>
            <w:tcW w:w="263" w:type="pct"/>
            <w:tcBorders>
              <w:top w:val="nil"/>
              <w:left w:val="nil"/>
              <w:bottom w:val="single" w:sz="4" w:space="0" w:color="366092"/>
              <w:right w:val="single" w:sz="4" w:space="0" w:color="366092"/>
            </w:tcBorders>
            <w:shd w:val="clear" w:color="000000" w:fill="16365C"/>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Share  2013</w:t>
            </w:r>
          </w:p>
        </w:tc>
        <w:tc>
          <w:tcPr>
            <w:tcW w:w="319" w:type="pct"/>
            <w:tcBorders>
              <w:top w:val="nil"/>
              <w:left w:val="nil"/>
              <w:bottom w:val="single" w:sz="4" w:space="0" w:color="366092"/>
              <w:right w:val="single" w:sz="4" w:space="0" w:color="366092"/>
            </w:tcBorders>
            <w:shd w:val="clear" w:color="000000" w:fill="16365C"/>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2011</w:t>
            </w:r>
          </w:p>
        </w:tc>
        <w:tc>
          <w:tcPr>
            <w:tcW w:w="319" w:type="pct"/>
            <w:tcBorders>
              <w:top w:val="nil"/>
              <w:left w:val="nil"/>
              <w:bottom w:val="single" w:sz="4" w:space="0" w:color="366092"/>
              <w:right w:val="single" w:sz="4" w:space="0" w:color="366092"/>
            </w:tcBorders>
            <w:shd w:val="clear" w:color="000000" w:fill="16365C"/>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2012</w:t>
            </w:r>
          </w:p>
        </w:tc>
        <w:tc>
          <w:tcPr>
            <w:tcW w:w="319" w:type="pct"/>
            <w:tcBorders>
              <w:top w:val="nil"/>
              <w:left w:val="nil"/>
              <w:bottom w:val="single" w:sz="4" w:space="0" w:color="366092"/>
              <w:right w:val="single" w:sz="4" w:space="0" w:color="366092"/>
            </w:tcBorders>
            <w:shd w:val="clear" w:color="000000" w:fill="16365C"/>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2013</w:t>
            </w:r>
          </w:p>
        </w:tc>
        <w:tc>
          <w:tcPr>
            <w:tcW w:w="249" w:type="pct"/>
            <w:tcBorders>
              <w:top w:val="nil"/>
              <w:left w:val="nil"/>
              <w:bottom w:val="single" w:sz="4" w:space="0" w:color="366092"/>
              <w:right w:val="single" w:sz="4" w:space="0" w:color="366092"/>
            </w:tcBorders>
            <w:shd w:val="clear" w:color="000000" w:fill="16365C"/>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  2011 -   2013</w:t>
            </w:r>
          </w:p>
        </w:tc>
        <w:tc>
          <w:tcPr>
            <w:tcW w:w="301" w:type="pct"/>
            <w:tcBorders>
              <w:top w:val="nil"/>
              <w:left w:val="nil"/>
              <w:bottom w:val="single" w:sz="4" w:space="0" w:color="366092"/>
              <w:right w:val="single" w:sz="4" w:space="0" w:color="366092"/>
            </w:tcBorders>
            <w:shd w:val="clear" w:color="000000" w:fill="16365C"/>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 2012 -  2013</w:t>
            </w:r>
          </w:p>
        </w:tc>
        <w:tc>
          <w:tcPr>
            <w:tcW w:w="263" w:type="pct"/>
            <w:tcBorders>
              <w:top w:val="nil"/>
              <w:left w:val="nil"/>
              <w:bottom w:val="single" w:sz="4" w:space="0" w:color="366092"/>
              <w:right w:val="single" w:sz="4" w:space="0" w:color="366092"/>
            </w:tcBorders>
            <w:shd w:val="clear" w:color="000000" w:fill="366092"/>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Share  2013</w:t>
            </w:r>
          </w:p>
        </w:tc>
        <w:tc>
          <w:tcPr>
            <w:tcW w:w="319" w:type="pct"/>
            <w:tcBorders>
              <w:top w:val="nil"/>
              <w:left w:val="nil"/>
              <w:bottom w:val="single" w:sz="4" w:space="0" w:color="366092"/>
              <w:right w:val="single" w:sz="4" w:space="0" w:color="366092"/>
            </w:tcBorders>
            <w:shd w:val="clear" w:color="000000" w:fill="366092"/>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2011</w:t>
            </w:r>
          </w:p>
        </w:tc>
        <w:tc>
          <w:tcPr>
            <w:tcW w:w="319" w:type="pct"/>
            <w:tcBorders>
              <w:top w:val="nil"/>
              <w:left w:val="nil"/>
              <w:bottom w:val="single" w:sz="4" w:space="0" w:color="366092"/>
              <w:right w:val="single" w:sz="4" w:space="0" w:color="366092"/>
            </w:tcBorders>
            <w:shd w:val="clear" w:color="000000" w:fill="366092"/>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2012</w:t>
            </w:r>
          </w:p>
        </w:tc>
        <w:tc>
          <w:tcPr>
            <w:tcW w:w="319" w:type="pct"/>
            <w:tcBorders>
              <w:top w:val="nil"/>
              <w:left w:val="nil"/>
              <w:bottom w:val="single" w:sz="4" w:space="0" w:color="366092"/>
              <w:right w:val="single" w:sz="4" w:space="0" w:color="366092"/>
            </w:tcBorders>
            <w:shd w:val="clear" w:color="000000" w:fill="366092"/>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2013</w:t>
            </w:r>
          </w:p>
        </w:tc>
        <w:tc>
          <w:tcPr>
            <w:tcW w:w="250" w:type="pct"/>
            <w:tcBorders>
              <w:top w:val="nil"/>
              <w:left w:val="nil"/>
              <w:bottom w:val="single" w:sz="4" w:space="0" w:color="366092"/>
              <w:right w:val="single" w:sz="4" w:space="0" w:color="366092"/>
            </w:tcBorders>
            <w:shd w:val="clear" w:color="000000" w:fill="366092"/>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  2011 -   2013</w:t>
            </w:r>
          </w:p>
        </w:tc>
        <w:tc>
          <w:tcPr>
            <w:tcW w:w="301" w:type="pct"/>
            <w:tcBorders>
              <w:top w:val="nil"/>
              <w:left w:val="nil"/>
              <w:bottom w:val="single" w:sz="4" w:space="0" w:color="366092"/>
              <w:right w:val="single" w:sz="4" w:space="0" w:color="366092"/>
            </w:tcBorders>
            <w:shd w:val="clear" w:color="000000" w:fill="366092"/>
            <w:vAlign w:val="center"/>
            <w:hideMark/>
          </w:tcPr>
          <w:p w:rsidR="00F72C48" w:rsidRPr="00DA2D8D" w:rsidRDefault="00F72C48" w:rsidP="00440176">
            <w:pPr>
              <w:spacing w:after="0" w:line="240" w:lineRule="auto"/>
              <w:jc w:val="center"/>
              <w:rPr>
                <w:rFonts w:cs="Arial"/>
                <w:b/>
                <w:bCs/>
                <w:color w:val="FFFFFF"/>
                <w:sz w:val="18"/>
                <w:szCs w:val="18"/>
                <w:lang w:eastAsia="en-AU"/>
              </w:rPr>
            </w:pPr>
            <w:r w:rsidRPr="00DA2D8D">
              <w:rPr>
                <w:rFonts w:cs="Arial"/>
                <w:b/>
                <w:bCs/>
                <w:color w:val="FFFFFF"/>
                <w:sz w:val="18"/>
                <w:szCs w:val="18"/>
                <w:lang w:eastAsia="en-AU"/>
              </w:rPr>
              <w:t>% 2012 -  2013</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Accommodation and Food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35,500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44,600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30,300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-15%</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-32%</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8,000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11,800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10,900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36%</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Administrative and Support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20,600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21,600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15,600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-24%</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-28%</w:t>
            </w:r>
          </w:p>
        </w:tc>
        <w:tc>
          <w:tcPr>
            <w:tcW w:w="263"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250"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01"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Agriculture, Forestry and Fishing</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9,500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9,800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8,300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-13%</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-15%</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0.4%</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17%</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17%</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Arts and Recreation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27,500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26,700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15,900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-42%</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-40%</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1,300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63%</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86%</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Construction</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14%</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47,700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51,900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62,700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31%</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21%</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24%</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33,700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37,100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44,700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20%</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i/>
                <w:iCs/>
                <w:color w:val="000000"/>
                <w:sz w:val="18"/>
                <w:szCs w:val="18"/>
                <w:lang w:eastAsia="en-AU"/>
              </w:rPr>
            </w:pPr>
            <w:r w:rsidRPr="00DA2D8D">
              <w:rPr>
                <w:rFonts w:cs="Arial"/>
                <w:i/>
                <w:iCs/>
                <w:color w:val="000000"/>
                <w:sz w:val="18"/>
                <w:szCs w:val="18"/>
                <w:lang w:eastAsia="en-AU"/>
              </w:rPr>
              <w:t>Cross-industry e.g. project managers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13%</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81,500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91,000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60,300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-26%</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-34%</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3,800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2,100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-45%</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-36%</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Education and Training</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10,200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10,100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12,700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25%</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26%</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6,200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5,700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3,900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-37%</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-32%</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Electricity, Gas, Water and Waste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0.2%</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-20%</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-20%</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0.3%</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-25%</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-25%</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Financial and Insurance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6,700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6,300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3,100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-54%</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-51%</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0.0%</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100</w:t>
            </w:r>
          </w:p>
        </w:tc>
        <w:tc>
          <w:tcPr>
            <w:tcW w:w="250"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Health Care and Social Assistance</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19%</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61,400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77,600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87,300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42%</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13%</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43%</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55,300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70,300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79,500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44%</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13%</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Information Media and Telecommunications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3,800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3,900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-13%</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-15%</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0.3%</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Manufacturing</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33,700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41,700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43,500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29%</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8,600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8,900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10,000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16%</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12%</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Mining</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0.1%</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-20%</w:t>
            </w:r>
          </w:p>
        </w:tc>
        <w:tc>
          <w:tcPr>
            <w:tcW w:w="263"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250"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01"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Other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19,500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21,100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21,100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4,700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5,900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7,400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57%</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25%</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Professional, Scientific and Technical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12,400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12,100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10,500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-15%</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-13%</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3,100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3,100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3,200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Public Administration and Safety</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7,900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8,400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8,100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0.2%</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-25%</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-25%</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Rental, Hiring and Real Estate Services</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0.4%</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1,600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2,300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1,700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-26%</w:t>
            </w:r>
          </w:p>
        </w:tc>
        <w:tc>
          <w:tcPr>
            <w:tcW w:w="263"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250"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01"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Retail Trade</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33,200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36,000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15,400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-54%</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-57%</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1,400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1,800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2,400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71%</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33%</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Transport, Postal and Warehousing</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28,000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38,000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46,100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65%</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21%</w:t>
            </w:r>
          </w:p>
        </w:tc>
        <w:tc>
          <w:tcPr>
            <w:tcW w:w="263"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9%</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8,300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11,100</w:t>
            </w:r>
          </w:p>
        </w:tc>
        <w:tc>
          <w:tcPr>
            <w:tcW w:w="319"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16,600</w:t>
            </w:r>
          </w:p>
        </w:tc>
        <w:tc>
          <w:tcPr>
            <w:tcW w:w="250"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100%</w:t>
            </w:r>
          </w:p>
        </w:tc>
        <w:tc>
          <w:tcPr>
            <w:tcW w:w="301" w:type="pct"/>
            <w:tcBorders>
              <w:top w:val="nil"/>
              <w:left w:val="nil"/>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50%</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auto" w:fill="auto"/>
            <w:noWrap/>
            <w:vAlign w:val="center"/>
            <w:hideMark/>
          </w:tcPr>
          <w:p w:rsidR="00F72C48" w:rsidRPr="00DA2D8D" w:rsidRDefault="00F72C48" w:rsidP="00440176">
            <w:pPr>
              <w:spacing w:after="0" w:line="240" w:lineRule="auto"/>
              <w:jc w:val="left"/>
              <w:rPr>
                <w:rFonts w:cs="Arial"/>
                <w:color w:val="000000"/>
                <w:sz w:val="18"/>
                <w:szCs w:val="18"/>
                <w:lang w:eastAsia="en-AU"/>
              </w:rPr>
            </w:pPr>
            <w:r w:rsidRPr="00DA2D8D">
              <w:rPr>
                <w:rFonts w:cs="Arial"/>
                <w:color w:val="000000"/>
                <w:sz w:val="18"/>
                <w:szCs w:val="18"/>
                <w:lang w:eastAsia="en-AU"/>
              </w:rPr>
              <w:t>Wholesale Trade</w:t>
            </w:r>
          </w:p>
        </w:tc>
        <w:tc>
          <w:tcPr>
            <w:tcW w:w="263"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0.2%</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900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900</w:t>
            </w:r>
          </w:p>
        </w:tc>
        <w:tc>
          <w:tcPr>
            <w:tcW w:w="31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1,000</w:t>
            </w:r>
          </w:p>
        </w:tc>
        <w:tc>
          <w:tcPr>
            <w:tcW w:w="249"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11%</w:t>
            </w:r>
          </w:p>
        </w:tc>
        <w:tc>
          <w:tcPr>
            <w:tcW w:w="301" w:type="pct"/>
            <w:tcBorders>
              <w:top w:val="nil"/>
              <w:left w:val="nil"/>
              <w:bottom w:val="single" w:sz="4" w:space="0" w:color="366092"/>
              <w:right w:val="single" w:sz="4" w:space="0" w:color="366092"/>
            </w:tcBorders>
            <w:shd w:val="clear" w:color="000000" w:fill="DCE6F1"/>
            <w:noWrap/>
            <w:vAlign w:val="center"/>
            <w:hideMark/>
          </w:tcPr>
          <w:p w:rsidR="00F72C48" w:rsidRPr="00DA2D8D" w:rsidRDefault="00F72C48" w:rsidP="00440176">
            <w:pPr>
              <w:spacing w:after="0" w:line="240" w:lineRule="auto"/>
              <w:jc w:val="right"/>
              <w:rPr>
                <w:rFonts w:cs="Arial"/>
                <w:color w:val="000000"/>
                <w:sz w:val="18"/>
                <w:szCs w:val="18"/>
                <w:lang w:eastAsia="en-AU"/>
              </w:rPr>
            </w:pPr>
            <w:r w:rsidRPr="00DA2D8D">
              <w:rPr>
                <w:rFonts w:cs="Arial"/>
                <w:color w:val="000000"/>
                <w:sz w:val="18"/>
                <w:szCs w:val="18"/>
                <w:lang w:eastAsia="en-AU"/>
              </w:rPr>
              <w:t>11%</w:t>
            </w:r>
          </w:p>
        </w:tc>
        <w:tc>
          <w:tcPr>
            <w:tcW w:w="263"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19"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250"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c>
          <w:tcPr>
            <w:tcW w:w="301" w:type="pct"/>
            <w:tcBorders>
              <w:top w:val="nil"/>
              <w:left w:val="nil"/>
              <w:bottom w:val="single" w:sz="4" w:space="0" w:color="366092"/>
              <w:right w:val="single" w:sz="4" w:space="0" w:color="366092"/>
            </w:tcBorders>
            <w:shd w:val="clear" w:color="auto" w:fill="auto"/>
            <w:noWrap/>
            <w:vAlign w:val="bottom"/>
            <w:hideMark/>
          </w:tcPr>
          <w:p w:rsidR="00F72C48" w:rsidRPr="00DA2D8D" w:rsidRDefault="00F72C48" w:rsidP="00440176">
            <w:pPr>
              <w:spacing w:after="0" w:line="240" w:lineRule="auto"/>
              <w:jc w:val="center"/>
              <w:rPr>
                <w:rFonts w:cs="Arial"/>
                <w:color w:val="000000"/>
                <w:sz w:val="18"/>
                <w:szCs w:val="18"/>
                <w:lang w:eastAsia="en-AU"/>
              </w:rPr>
            </w:pPr>
            <w:r w:rsidRPr="00DA2D8D">
              <w:rPr>
                <w:rFonts w:cs="Arial"/>
                <w:color w:val="000000"/>
                <w:sz w:val="18"/>
                <w:szCs w:val="18"/>
                <w:lang w:eastAsia="en-AU"/>
              </w:rPr>
              <w:t>-</w:t>
            </w:r>
          </w:p>
        </w:tc>
      </w:tr>
      <w:tr w:rsidR="00F72C48" w:rsidRPr="00DA2D8D" w:rsidTr="00440176">
        <w:trPr>
          <w:trHeight w:val="225"/>
        </w:trPr>
        <w:tc>
          <w:tcPr>
            <w:tcW w:w="1462" w:type="pct"/>
            <w:tcBorders>
              <w:top w:val="nil"/>
              <w:left w:val="single" w:sz="4" w:space="0" w:color="366092"/>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left"/>
              <w:rPr>
                <w:rFonts w:cs="Arial"/>
                <w:b/>
                <w:bCs/>
                <w:color w:val="FFFFFF"/>
                <w:sz w:val="18"/>
                <w:szCs w:val="18"/>
                <w:lang w:eastAsia="en-AU"/>
              </w:rPr>
            </w:pPr>
            <w:r w:rsidRPr="00DA2D8D">
              <w:rPr>
                <w:rFonts w:cs="Arial"/>
                <w:b/>
                <w:bCs/>
                <w:color w:val="FFFFFF"/>
                <w:sz w:val="18"/>
                <w:szCs w:val="18"/>
                <w:lang w:eastAsia="en-AU"/>
              </w:rPr>
              <w:t>Total</w:t>
            </w:r>
          </w:p>
        </w:tc>
        <w:tc>
          <w:tcPr>
            <w:tcW w:w="263" w:type="pct"/>
            <w:tcBorders>
              <w:top w:val="nil"/>
              <w:left w:val="nil"/>
              <w:bottom w:val="single" w:sz="4" w:space="0" w:color="366092"/>
              <w:right w:val="single" w:sz="4" w:space="0" w:color="366092"/>
            </w:tcBorders>
            <w:shd w:val="clear" w:color="000000" w:fill="16365C"/>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100%</w:t>
            </w:r>
          </w:p>
        </w:tc>
        <w:tc>
          <w:tcPr>
            <w:tcW w:w="319" w:type="pct"/>
            <w:tcBorders>
              <w:top w:val="nil"/>
              <w:left w:val="nil"/>
              <w:bottom w:val="single" w:sz="4" w:space="0" w:color="366092"/>
              <w:right w:val="single" w:sz="4" w:space="0" w:color="366092"/>
            </w:tcBorders>
            <w:shd w:val="clear" w:color="000000" w:fill="16365C"/>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442,900</w:t>
            </w:r>
          </w:p>
        </w:tc>
        <w:tc>
          <w:tcPr>
            <w:tcW w:w="319" w:type="pct"/>
            <w:tcBorders>
              <w:top w:val="nil"/>
              <w:left w:val="nil"/>
              <w:bottom w:val="single" w:sz="4" w:space="0" w:color="366092"/>
              <w:right w:val="single" w:sz="4" w:space="0" w:color="366092"/>
            </w:tcBorders>
            <w:shd w:val="clear" w:color="000000" w:fill="16365C"/>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505,500</w:t>
            </w:r>
          </w:p>
        </w:tc>
        <w:tc>
          <w:tcPr>
            <w:tcW w:w="319" w:type="pct"/>
            <w:tcBorders>
              <w:top w:val="nil"/>
              <w:left w:val="nil"/>
              <w:bottom w:val="single" w:sz="4" w:space="0" w:color="366092"/>
              <w:right w:val="single" w:sz="4" w:space="0" w:color="366092"/>
            </w:tcBorders>
            <w:shd w:val="clear" w:color="000000" w:fill="16365C"/>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448,100</w:t>
            </w:r>
          </w:p>
        </w:tc>
        <w:tc>
          <w:tcPr>
            <w:tcW w:w="249" w:type="pct"/>
            <w:tcBorders>
              <w:top w:val="nil"/>
              <w:left w:val="nil"/>
              <w:bottom w:val="single" w:sz="4" w:space="0" w:color="366092"/>
              <w:right w:val="single" w:sz="4" w:space="0" w:color="366092"/>
            </w:tcBorders>
            <w:shd w:val="clear" w:color="000000" w:fill="16365C"/>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w:t>
            </w:r>
          </w:p>
        </w:tc>
        <w:tc>
          <w:tcPr>
            <w:tcW w:w="301" w:type="pct"/>
            <w:tcBorders>
              <w:top w:val="nil"/>
              <w:left w:val="nil"/>
              <w:bottom w:val="single" w:sz="4" w:space="0" w:color="366092"/>
              <w:right w:val="single" w:sz="4" w:space="0" w:color="366092"/>
            </w:tcBorders>
            <w:shd w:val="clear" w:color="000000" w:fill="16365C"/>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-11%</w:t>
            </w:r>
          </w:p>
        </w:tc>
        <w:tc>
          <w:tcPr>
            <w:tcW w:w="263" w:type="pct"/>
            <w:tcBorders>
              <w:top w:val="nil"/>
              <w:left w:val="nil"/>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100%</w:t>
            </w:r>
          </w:p>
        </w:tc>
        <w:tc>
          <w:tcPr>
            <w:tcW w:w="319" w:type="pct"/>
            <w:tcBorders>
              <w:top w:val="nil"/>
              <w:left w:val="nil"/>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136,200</w:t>
            </w:r>
          </w:p>
        </w:tc>
        <w:tc>
          <w:tcPr>
            <w:tcW w:w="319" w:type="pct"/>
            <w:tcBorders>
              <w:top w:val="nil"/>
              <w:left w:val="nil"/>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162,100</w:t>
            </w:r>
          </w:p>
        </w:tc>
        <w:tc>
          <w:tcPr>
            <w:tcW w:w="319" w:type="pct"/>
            <w:tcBorders>
              <w:top w:val="nil"/>
              <w:left w:val="nil"/>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184,200</w:t>
            </w:r>
          </w:p>
        </w:tc>
        <w:tc>
          <w:tcPr>
            <w:tcW w:w="250" w:type="pct"/>
            <w:tcBorders>
              <w:top w:val="nil"/>
              <w:left w:val="nil"/>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35%</w:t>
            </w:r>
          </w:p>
        </w:tc>
        <w:tc>
          <w:tcPr>
            <w:tcW w:w="301" w:type="pct"/>
            <w:tcBorders>
              <w:top w:val="nil"/>
              <w:left w:val="nil"/>
              <w:bottom w:val="single" w:sz="4" w:space="0" w:color="366092"/>
              <w:right w:val="single" w:sz="4" w:space="0" w:color="366092"/>
            </w:tcBorders>
            <w:shd w:val="clear" w:color="000000" w:fill="366092"/>
            <w:noWrap/>
            <w:vAlign w:val="center"/>
            <w:hideMark/>
          </w:tcPr>
          <w:p w:rsidR="00F72C48" w:rsidRPr="00DA2D8D" w:rsidRDefault="00F72C48" w:rsidP="00440176">
            <w:pPr>
              <w:spacing w:after="0" w:line="240" w:lineRule="auto"/>
              <w:jc w:val="right"/>
              <w:rPr>
                <w:rFonts w:cs="Arial"/>
                <w:b/>
                <w:bCs/>
                <w:color w:val="FFFFFF"/>
                <w:sz w:val="18"/>
                <w:szCs w:val="18"/>
                <w:lang w:eastAsia="en-AU"/>
              </w:rPr>
            </w:pPr>
            <w:r w:rsidRPr="00DA2D8D">
              <w:rPr>
                <w:rFonts w:cs="Arial"/>
                <w:b/>
                <w:bCs/>
                <w:color w:val="FFFFFF"/>
                <w:sz w:val="18"/>
                <w:szCs w:val="18"/>
                <w:lang w:eastAsia="en-AU"/>
              </w:rPr>
              <w:t>14%</w:t>
            </w:r>
          </w:p>
        </w:tc>
      </w:tr>
      <w:tr w:rsidR="00F72C48" w:rsidRPr="00DA2D8D" w:rsidTr="00440176">
        <w:trPr>
          <w:trHeight w:val="217"/>
        </w:trPr>
        <w:tc>
          <w:tcPr>
            <w:tcW w:w="1462" w:type="pct"/>
            <w:tcBorders>
              <w:top w:val="nil"/>
              <w:left w:val="nil"/>
              <w:bottom w:val="nil"/>
              <w:right w:val="nil"/>
            </w:tcBorders>
            <w:shd w:val="clear" w:color="auto" w:fill="auto"/>
            <w:noWrap/>
            <w:vAlign w:val="center"/>
            <w:hideMark/>
          </w:tcPr>
          <w:p w:rsidR="00F72C48" w:rsidRPr="00DA2D8D" w:rsidRDefault="00F72C48" w:rsidP="00440176">
            <w:pPr>
              <w:spacing w:after="0" w:line="240" w:lineRule="auto"/>
              <w:jc w:val="left"/>
              <w:rPr>
                <w:rFonts w:cs="Arial"/>
                <w:color w:val="366092"/>
                <w:sz w:val="18"/>
                <w:szCs w:val="18"/>
                <w:lang w:eastAsia="en-AU"/>
              </w:rPr>
            </w:pPr>
            <w:r w:rsidRPr="00DA2D8D">
              <w:rPr>
                <w:rFonts w:cs="Arial"/>
                <w:color w:val="366092"/>
                <w:sz w:val="18"/>
                <w:szCs w:val="18"/>
                <w:lang w:eastAsia="en-AU"/>
              </w:rPr>
              <w:t>Note: Numbers rounded to nearest 100.</w:t>
            </w:r>
          </w:p>
        </w:tc>
        <w:tc>
          <w:tcPr>
            <w:tcW w:w="263"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19"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19"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19"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249"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01"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263"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19"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19"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19"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250"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c>
          <w:tcPr>
            <w:tcW w:w="301" w:type="pct"/>
            <w:tcBorders>
              <w:top w:val="nil"/>
              <w:left w:val="nil"/>
              <w:bottom w:val="nil"/>
              <w:right w:val="nil"/>
            </w:tcBorders>
            <w:shd w:val="clear" w:color="auto" w:fill="auto"/>
            <w:noWrap/>
            <w:vAlign w:val="bottom"/>
            <w:hideMark/>
          </w:tcPr>
          <w:p w:rsidR="00F72C48" w:rsidRPr="00DA2D8D" w:rsidRDefault="00F72C48" w:rsidP="00440176">
            <w:pPr>
              <w:spacing w:after="0" w:line="240" w:lineRule="auto"/>
              <w:jc w:val="left"/>
              <w:rPr>
                <w:rFonts w:cs="Arial"/>
                <w:color w:val="000000"/>
                <w:sz w:val="18"/>
                <w:szCs w:val="18"/>
                <w:lang w:eastAsia="en-AU"/>
              </w:rPr>
            </w:pPr>
          </w:p>
        </w:tc>
      </w:tr>
    </w:tbl>
    <w:p w:rsidR="00F72C48" w:rsidRDefault="00F72C48" w:rsidP="00F72C48">
      <w:pPr>
        <w:sectPr w:rsidR="00F72C48" w:rsidSect="00440176">
          <w:pgSz w:w="16838" w:h="11906" w:orient="landscape"/>
          <w:pgMar w:top="1440" w:right="1440" w:bottom="1440" w:left="1440" w:header="709" w:footer="709" w:gutter="0"/>
          <w:cols w:space="708"/>
          <w:docGrid w:linePitch="360"/>
        </w:sectPr>
      </w:pPr>
    </w:p>
    <w:p w:rsidR="001F7AEB" w:rsidRDefault="001F7AEB" w:rsidP="00691010">
      <w:pPr>
        <w:spacing w:after="0" w:line="240" w:lineRule="auto"/>
        <w:jc w:val="left"/>
        <w:rPr>
          <w:rFonts w:cs="Arial"/>
          <w:szCs w:val="19"/>
        </w:rPr>
      </w:pPr>
    </w:p>
    <w:sectPr w:rsidR="001F7AEB" w:rsidSect="004027ED">
      <w:pgSz w:w="11907" w:h="16840" w:code="9"/>
      <w:pgMar w:top="993" w:right="1134"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0D" w:rsidRDefault="0095620D" w:rsidP="00DA3526">
      <w:r>
        <w:separator/>
      </w:r>
    </w:p>
  </w:endnote>
  <w:endnote w:type="continuationSeparator" w:id="0">
    <w:p w:rsidR="0095620D" w:rsidRDefault="0095620D" w:rsidP="00DA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37927"/>
      <w:docPartObj>
        <w:docPartGallery w:val="Page Numbers (Bottom of Page)"/>
        <w:docPartUnique/>
      </w:docPartObj>
    </w:sdtPr>
    <w:sdtEndPr>
      <w:rPr>
        <w:noProof/>
        <w:color w:val="365F91" w:themeColor="accent1" w:themeShade="BF"/>
      </w:rPr>
    </w:sdtEndPr>
    <w:sdtContent>
      <w:p w:rsidR="00AC2D92" w:rsidRPr="00AC40B9" w:rsidRDefault="00AC2D92" w:rsidP="00704EB3">
        <w:pPr>
          <w:pStyle w:val="Footer"/>
          <w:jc w:val="left"/>
          <w:rPr>
            <w:color w:val="365F91" w:themeColor="accent1" w:themeShade="BF"/>
          </w:rPr>
        </w:pPr>
        <w:r w:rsidRPr="00AC40B9">
          <w:rPr>
            <w:color w:val="365F91" w:themeColor="accent1" w:themeShade="BF"/>
          </w:rPr>
          <w:fldChar w:fldCharType="begin"/>
        </w:r>
        <w:r w:rsidRPr="00AC40B9">
          <w:rPr>
            <w:color w:val="365F91" w:themeColor="accent1" w:themeShade="BF"/>
          </w:rPr>
          <w:instrText xml:space="preserve"> PAGE   \* MERGEFORMAT </w:instrText>
        </w:r>
        <w:r w:rsidRPr="00AC40B9">
          <w:rPr>
            <w:color w:val="365F91" w:themeColor="accent1" w:themeShade="BF"/>
          </w:rPr>
          <w:fldChar w:fldCharType="separate"/>
        </w:r>
        <w:r w:rsidR="00667D45">
          <w:rPr>
            <w:noProof/>
            <w:color w:val="365F91" w:themeColor="accent1" w:themeShade="BF"/>
          </w:rPr>
          <w:t>70</w:t>
        </w:r>
        <w:r w:rsidRPr="00AC40B9">
          <w:rPr>
            <w:noProof/>
            <w:color w:val="365F91" w:themeColor="accent1" w:themeShade="BF"/>
          </w:rPr>
          <w:fldChar w:fldCharType="end"/>
        </w:r>
      </w:p>
    </w:sdtContent>
  </w:sdt>
  <w:p w:rsidR="00AC2D92" w:rsidRDefault="00AC2D92" w:rsidP="00DA35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65657"/>
      <w:docPartObj>
        <w:docPartGallery w:val="Page Numbers (Bottom of Page)"/>
        <w:docPartUnique/>
      </w:docPartObj>
    </w:sdtPr>
    <w:sdtEndPr>
      <w:rPr>
        <w:noProof/>
      </w:rPr>
    </w:sdtEndPr>
    <w:sdtContent>
      <w:p w:rsidR="00AC2D92" w:rsidRDefault="00AC2D92">
        <w:pPr>
          <w:pStyle w:val="Footer"/>
        </w:pPr>
        <w:r>
          <w:fldChar w:fldCharType="begin"/>
        </w:r>
        <w:r>
          <w:instrText xml:space="preserve"> PAGE   \* MERGEFORMAT </w:instrText>
        </w:r>
        <w:r>
          <w:fldChar w:fldCharType="separate"/>
        </w:r>
        <w:r>
          <w:rPr>
            <w:noProof/>
          </w:rPr>
          <w:t>3</w:t>
        </w:r>
        <w:r>
          <w:rPr>
            <w:noProof/>
          </w:rPr>
          <w:fldChar w:fldCharType="end"/>
        </w:r>
      </w:p>
    </w:sdtContent>
  </w:sdt>
  <w:p w:rsidR="00AC2D92" w:rsidRDefault="00AC2D92" w:rsidP="00DA35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rsidP="00DA352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825937"/>
      <w:docPartObj>
        <w:docPartGallery w:val="Page Numbers (Bottom of Page)"/>
        <w:docPartUnique/>
      </w:docPartObj>
    </w:sdtPr>
    <w:sdtEndPr>
      <w:rPr>
        <w:noProof/>
      </w:rPr>
    </w:sdtEndPr>
    <w:sdtContent>
      <w:p w:rsidR="00AC2D92" w:rsidRDefault="00AC2D92">
        <w:pPr>
          <w:pStyle w:val="Footer"/>
        </w:pPr>
        <w:r>
          <w:fldChar w:fldCharType="begin"/>
        </w:r>
        <w:r>
          <w:instrText xml:space="preserve"> PAGE   \* MERGEFORMAT </w:instrText>
        </w:r>
        <w:r>
          <w:fldChar w:fldCharType="separate"/>
        </w:r>
        <w:r w:rsidR="00667D45">
          <w:rPr>
            <w:noProof/>
          </w:rPr>
          <w:t>69</w:t>
        </w:r>
        <w:r>
          <w:rPr>
            <w:noProof/>
          </w:rPr>
          <w:fldChar w:fldCharType="end"/>
        </w:r>
      </w:p>
    </w:sdtContent>
  </w:sdt>
  <w:p w:rsidR="00AC2D92" w:rsidRDefault="00AC2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0D" w:rsidRDefault="0095620D" w:rsidP="00DA3526">
      <w:r>
        <w:separator/>
      </w:r>
    </w:p>
  </w:footnote>
  <w:footnote w:type="continuationSeparator" w:id="0">
    <w:p w:rsidR="0095620D" w:rsidRDefault="0095620D" w:rsidP="00DA3526">
      <w:r>
        <w:continuationSeparator/>
      </w:r>
    </w:p>
  </w:footnote>
  <w:footnote w:id="1">
    <w:p w:rsidR="00AC2D92" w:rsidRDefault="00AC2D92">
      <w:pPr>
        <w:pStyle w:val="FootnoteText"/>
      </w:pPr>
      <w:r>
        <w:rPr>
          <w:rStyle w:val="FootnoteReference"/>
        </w:rPr>
        <w:footnoteRef/>
      </w:r>
      <w:r>
        <w:t xml:space="preserve"> </w:t>
      </w:r>
      <w:r w:rsidRPr="00CC022A">
        <w:rPr>
          <w:sz w:val="16"/>
          <w:szCs w:val="16"/>
        </w:rPr>
        <w:t xml:space="preserve">This </w:t>
      </w:r>
      <w:r>
        <w:rPr>
          <w:sz w:val="16"/>
          <w:szCs w:val="16"/>
        </w:rPr>
        <w:t>is based upon 2013 training activity data matched against the 2012 skills shortages list. Following finalisation of the 2013 Reports the 2013 Skills Shortages list was completed, when the 2013 list is applied to 2013 training activity data the percentage of government subsidised enrolments that were “in shortage” or specialised occupations increased to 43%. The 2013 Skills Shortages list will be used in future reporting of training activity.</w:t>
      </w:r>
      <w:r w:rsidRPr="00CC022A">
        <w:rPr>
          <w:sz w:val="16"/>
          <w:szCs w:val="16"/>
        </w:rPr>
        <w:t xml:space="preserve"> </w:t>
      </w:r>
    </w:p>
  </w:footnote>
  <w:footnote w:id="2">
    <w:p w:rsidR="00AC2D92" w:rsidRPr="00E31B4C" w:rsidRDefault="00AC2D92" w:rsidP="002E0440">
      <w:r>
        <w:rPr>
          <w:rStyle w:val="FootnoteReference"/>
        </w:rPr>
        <w:footnoteRef/>
      </w:r>
      <w:r>
        <w:t xml:space="preserve"> </w:t>
      </w:r>
      <w:r w:rsidRPr="00F6206A">
        <w:rPr>
          <w:sz w:val="16"/>
          <w:szCs w:val="16"/>
        </w:rPr>
        <w:t xml:space="preserve">Note that a course enrolment indicates an enrolment by a student in specified course at a registered training </w:t>
      </w:r>
      <w:r>
        <w:rPr>
          <w:sz w:val="16"/>
          <w:szCs w:val="16"/>
        </w:rPr>
        <w:t>organisation</w:t>
      </w:r>
      <w:r w:rsidRPr="00F6206A">
        <w:rPr>
          <w:sz w:val="16"/>
          <w:szCs w:val="16"/>
        </w:rPr>
        <w:t xml:space="preserve">. Training hours on the other hand measures the hours taken to deliver training. Total student hours is not </w:t>
      </w:r>
      <w:r>
        <w:rPr>
          <w:sz w:val="16"/>
          <w:szCs w:val="16"/>
        </w:rPr>
        <w:t>an indicator of training provider</w:t>
      </w:r>
      <w:r w:rsidRPr="00F6206A">
        <w:rPr>
          <w:sz w:val="16"/>
          <w:szCs w:val="16"/>
        </w:rPr>
        <w:t xml:space="preserve"> revenue. </w:t>
      </w:r>
    </w:p>
    <w:p w:rsidR="00AC2D92" w:rsidRDefault="00AC2D92" w:rsidP="002E0440">
      <w:pPr>
        <w:pStyle w:val="FootnoteText"/>
      </w:pPr>
    </w:p>
  </w:footnote>
  <w:footnote w:id="3">
    <w:p w:rsidR="00AC2D92" w:rsidRPr="00CD6397" w:rsidRDefault="00AC2D92" w:rsidP="00CD6397">
      <w:pPr>
        <w:ind w:left="113"/>
        <w:rPr>
          <w:rFonts w:cs="Arial"/>
          <w:sz w:val="16"/>
          <w:szCs w:val="16"/>
        </w:rPr>
      </w:pPr>
      <w:r>
        <w:rPr>
          <w:rStyle w:val="FootnoteReference"/>
        </w:rPr>
        <w:footnoteRef/>
      </w:r>
      <w:r>
        <w:t xml:space="preserve"> </w:t>
      </w:r>
      <w:r w:rsidRPr="00B465B1">
        <w:rPr>
          <w:sz w:val="16"/>
          <w:szCs w:val="16"/>
        </w:rPr>
        <w:t>The 2012 estimated resident population</w:t>
      </w:r>
      <w:r w:rsidRPr="00B465B1">
        <w:rPr>
          <w:rFonts w:cs="Arial"/>
          <w:sz w:val="16"/>
          <w:szCs w:val="16"/>
        </w:rPr>
        <w:t xml:space="preserve"> published by the Australian Bureau of Statistics (Cat 3235.0) </w:t>
      </w:r>
      <w:r>
        <w:rPr>
          <w:rFonts w:cs="Arial"/>
          <w:sz w:val="16"/>
          <w:szCs w:val="16"/>
        </w:rPr>
        <w:t>were used t</w:t>
      </w:r>
      <w:r w:rsidRPr="00B465B1">
        <w:rPr>
          <w:rFonts w:cs="Arial"/>
          <w:sz w:val="16"/>
          <w:szCs w:val="16"/>
        </w:rPr>
        <w:t xml:space="preserve">o calculate the participation rate </w:t>
      </w:r>
      <w:r>
        <w:rPr>
          <w:rFonts w:cs="Arial"/>
          <w:sz w:val="16"/>
          <w:szCs w:val="16"/>
        </w:rPr>
        <w:t xml:space="preserve">for each </w:t>
      </w:r>
      <w:r w:rsidRPr="00B465B1">
        <w:rPr>
          <w:rFonts w:cs="Arial"/>
          <w:sz w:val="16"/>
          <w:szCs w:val="16"/>
        </w:rPr>
        <w:t>regional area</w:t>
      </w:r>
      <w:r>
        <w:rPr>
          <w:rFonts w:cs="Arial"/>
          <w:sz w:val="16"/>
          <w:szCs w:val="16"/>
        </w:rPr>
        <w:t xml:space="preserve"> in 2013, as the</w:t>
      </w:r>
      <w:r w:rsidRPr="00B465B1">
        <w:rPr>
          <w:rFonts w:cs="Arial"/>
          <w:sz w:val="16"/>
          <w:szCs w:val="16"/>
        </w:rPr>
        <w:t xml:space="preserve"> 2013 population data </w:t>
      </w:r>
      <w:r>
        <w:rPr>
          <w:rFonts w:cs="Arial"/>
          <w:sz w:val="16"/>
          <w:szCs w:val="16"/>
        </w:rPr>
        <w:t>by sub-state level is</w:t>
      </w:r>
      <w:r w:rsidRPr="00B465B1">
        <w:rPr>
          <w:rFonts w:cs="Arial"/>
          <w:sz w:val="16"/>
          <w:szCs w:val="16"/>
        </w:rPr>
        <w:t xml:space="preserve"> not yet available.</w:t>
      </w:r>
    </w:p>
    <w:p w:rsidR="00AC2D92" w:rsidRDefault="00AC2D92">
      <w:pPr>
        <w:pStyle w:val="FootnoteText"/>
      </w:pPr>
    </w:p>
  </w:footnote>
  <w:footnote w:id="4">
    <w:p w:rsidR="00AC2D92" w:rsidRPr="00FF201F" w:rsidRDefault="00AC2D92">
      <w:pPr>
        <w:pStyle w:val="FootnoteText"/>
        <w:rPr>
          <w:lang w:val="en-US"/>
        </w:rPr>
      </w:pPr>
      <w:r>
        <w:rPr>
          <w:rStyle w:val="FootnoteReference"/>
        </w:rPr>
        <w:footnoteRef/>
      </w:r>
      <w:r>
        <w:t xml:space="preserve"> </w:t>
      </w:r>
      <w:r w:rsidRPr="001D2673">
        <w:rPr>
          <w:sz w:val="16"/>
          <w:szCs w:val="16"/>
        </w:rPr>
        <w:t>For the purposes of this report the term Learn Local is used interchangeably with Adult and Community Education (ACE). However it should be noted that only Learn Local organisations report through to the ACFE Board, ACE organisations are self-identified and are not required to report through to the Board. In 2013 there were a very small number of Learn Local organisations that self-identified to SVTS as Private RTOs and therefore are not included in the count of Learn Local organisations for the purpose of this report.</w:t>
      </w:r>
    </w:p>
  </w:footnote>
  <w:footnote w:id="5">
    <w:p w:rsidR="00AC2D92" w:rsidRDefault="00AC2D92" w:rsidP="00446613">
      <w:pPr>
        <w:pStyle w:val="FootnoteText"/>
        <w:rPr>
          <w:sz w:val="16"/>
          <w:szCs w:val="16"/>
        </w:rPr>
      </w:pPr>
      <w:r>
        <w:rPr>
          <w:rStyle w:val="FootnoteReference"/>
        </w:rPr>
        <w:footnoteRef/>
      </w:r>
      <w:r>
        <w:t xml:space="preserve"> </w:t>
      </w:r>
      <w:r w:rsidRPr="003D04FC">
        <w:rPr>
          <w:sz w:val="16"/>
          <w:szCs w:val="16"/>
        </w:rPr>
        <w:t>Vulnerable workers tend to be in low-paid jobs, are often under-employed, and face job insecurity and limited job opportunities. They might not be able to access entitlements such as superannuation, sick leave, maternity leave and have little if any access to training and development. For some, their vulnerability stems from low skills or poor qualifications.</w:t>
      </w:r>
      <w:r>
        <w:rPr>
          <w:sz w:val="16"/>
          <w:szCs w:val="16"/>
        </w:rPr>
        <w:t xml:space="preserve"> </w:t>
      </w:r>
    </w:p>
    <w:p w:rsidR="00AC2D92" w:rsidRPr="00B21E3C" w:rsidRDefault="0095620D" w:rsidP="00446613">
      <w:pPr>
        <w:spacing w:after="0" w:line="240" w:lineRule="auto"/>
        <w:jc w:val="left"/>
        <w:rPr>
          <w:rFonts w:cs="Arial"/>
          <w:sz w:val="16"/>
          <w:szCs w:val="16"/>
        </w:rPr>
      </w:pPr>
      <w:hyperlink r:id="rId1" w:history="1">
        <w:r w:rsidR="00AC2D92" w:rsidRPr="00150CC4">
          <w:rPr>
            <w:rStyle w:val="Hyperlink"/>
            <w:rFonts w:cs="Arial"/>
            <w:sz w:val="16"/>
            <w:szCs w:val="16"/>
          </w:rPr>
          <w:t>www.education.vic.gov.au/Documents/about/research/acfepublications/hardtoreachlearn.pdf</w:t>
        </w:r>
      </w:hyperlink>
    </w:p>
  </w:footnote>
  <w:footnote w:id="6">
    <w:p w:rsidR="00AC2D92" w:rsidRDefault="00AC2D92">
      <w:pPr>
        <w:pStyle w:val="FootnoteText"/>
      </w:pPr>
      <w:r w:rsidRPr="00C6238D">
        <w:rPr>
          <w:rStyle w:val="FootnoteReference"/>
        </w:rPr>
        <w:footnoteRef/>
      </w:r>
      <w:r w:rsidRPr="00C6238D">
        <w:t xml:space="preserve"> </w:t>
      </w:r>
      <w:r w:rsidRPr="00C6238D">
        <w:rPr>
          <w:sz w:val="16"/>
          <w:szCs w:val="16"/>
        </w:rPr>
        <w:t>Australian Bureau of Statistics (9 October 2013), 42280DO001_201112 Programme for the International Assessment of Adult Competencies, Australia, 2011–12, Table 4 Literacy, Numeracy and Problem solving in technology-rich environments skill level of persons aged 15–64 years, By state or territory of usual residence</w:t>
      </w:r>
      <w:r>
        <w:rPr>
          <w:sz w:val="16"/>
          <w:szCs w:val="16"/>
        </w:rPr>
        <w:t>.</w:t>
      </w:r>
    </w:p>
  </w:footnote>
  <w:footnote w:id="7">
    <w:p w:rsidR="00AC2D92" w:rsidRDefault="00AC2D92" w:rsidP="00F72C48">
      <w:pPr>
        <w:pStyle w:val="FootnoteText"/>
      </w:pPr>
      <w:r>
        <w:rPr>
          <w:rStyle w:val="FootnoteReference"/>
        </w:rPr>
        <w:footnoteRef/>
      </w:r>
      <w:r>
        <w:t xml:space="preserve"> </w:t>
      </w:r>
      <w:r w:rsidRPr="001E2177">
        <w:rPr>
          <w:rFonts w:cs="Arial"/>
          <w:color w:val="000000"/>
          <w:sz w:val="16"/>
          <w:szCs w:val="16"/>
          <w:lang w:eastAsia="en-AU"/>
        </w:rPr>
        <w:t>Industry specific training includes all accredited vocational qualifications at Certificate I and above, but excludes generic training such as foundation skills, education pathways and low-level LOTE courses</w:t>
      </w:r>
      <w:r>
        <w:rPr>
          <w:rFonts w:cs="Arial"/>
          <w:color w:val="000000"/>
          <w:sz w:val="16"/>
          <w:szCs w:val="16"/>
          <w:lang w:eastAsia="en-AU"/>
        </w:rPr>
        <w:t>.</w:t>
      </w:r>
    </w:p>
  </w:footnote>
  <w:footnote w:id="8">
    <w:p w:rsidR="00AC2D92" w:rsidRPr="0038002F" w:rsidRDefault="00AC2D92" w:rsidP="00F72C48">
      <w:pPr>
        <w:pStyle w:val="FootnoteText"/>
        <w:rPr>
          <w:rFonts w:cs="Arial"/>
          <w:sz w:val="16"/>
          <w:szCs w:val="16"/>
        </w:rPr>
      </w:pPr>
      <w:r>
        <w:rPr>
          <w:rStyle w:val="FootnoteReference"/>
        </w:rPr>
        <w:footnoteRef/>
      </w:r>
      <w:r>
        <w:t xml:space="preserve"> </w:t>
      </w:r>
      <w:r w:rsidRPr="0038002F">
        <w:rPr>
          <w:rFonts w:cs="Arial"/>
          <w:sz w:val="16"/>
          <w:szCs w:val="16"/>
        </w:rPr>
        <w:t>Monash Centre for Policy Studies (2012) Employment Forecasting Model.</w:t>
      </w:r>
    </w:p>
    <w:p w:rsidR="00AC2D92" w:rsidRDefault="00AC2D92" w:rsidP="00F72C48">
      <w:pPr>
        <w:pStyle w:val="FootnoteText"/>
      </w:pPr>
      <w:r w:rsidRPr="0038002F">
        <w:rPr>
          <w:rFonts w:cs="Arial"/>
          <w:sz w:val="16"/>
          <w:szCs w:val="16"/>
        </w:rPr>
        <w:t>Average annual employment needs are average replacement demand and employment growth levels from 2011-12 through to 2016-17</w:t>
      </w:r>
      <w:r>
        <w:rPr>
          <w:rFonts w:cs="Arial"/>
          <w:sz w:val="16"/>
          <w:szCs w:val="16"/>
        </w:rPr>
        <w:t>.</w:t>
      </w:r>
    </w:p>
  </w:footnote>
  <w:footnote w:id="9">
    <w:p w:rsidR="00AC2D92" w:rsidRPr="000C7B63" w:rsidRDefault="00AC2D92" w:rsidP="00F72C48">
      <w:pPr>
        <w:pStyle w:val="FootnoteText"/>
        <w:rPr>
          <w:sz w:val="16"/>
          <w:szCs w:val="16"/>
        </w:rPr>
      </w:pPr>
      <w:r w:rsidRPr="000C7B63">
        <w:rPr>
          <w:rStyle w:val="FootnoteReference"/>
        </w:rPr>
        <w:footnoteRef/>
      </w:r>
      <w:r w:rsidRPr="000C7B63">
        <w:rPr>
          <w:sz w:val="16"/>
          <w:szCs w:val="16"/>
        </w:rPr>
        <w:t xml:space="preserve"> Commencements data is sourced from </w:t>
      </w:r>
      <w:r>
        <w:rPr>
          <w:sz w:val="16"/>
          <w:szCs w:val="16"/>
        </w:rPr>
        <w:t xml:space="preserve">DEECD’s </w:t>
      </w:r>
      <w:r w:rsidRPr="000C7B63">
        <w:rPr>
          <w:sz w:val="16"/>
          <w:szCs w:val="16"/>
        </w:rPr>
        <w:t xml:space="preserve">DELTA system </w:t>
      </w:r>
      <w:r>
        <w:rPr>
          <w:sz w:val="16"/>
          <w:szCs w:val="16"/>
        </w:rPr>
        <w:t xml:space="preserve">which is </w:t>
      </w:r>
      <w:r w:rsidRPr="000C7B63">
        <w:rPr>
          <w:sz w:val="16"/>
          <w:szCs w:val="16"/>
        </w:rPr>
        <w:t xml:space="preserve">used to manage and monitor training contracts. This data </w:t>
      </w:r>
      <w:r>
        <w:rPr>
          <w:sz w:val="16"/>
          <w:szCs w:val="16"/>
        </w:rPr>
        <w:t>is</w:t>
      </w:r>
      <w:r w:rsidRPr="000C7B63">
        <w:rPr>
          <w:sz w:val="16"/>
          <w:szCs w:val="16"/>
        </w:rPr>
        <w:t xml:space="preserve"> used for this purpose only as the </w:t>
      </w:r>
      <w:r>
        <w:rPr>
          <w:sz w:val="16"/>
          <w:szCs w:val="16"/>
        </w:rPr>
        <w:t xml:space="preserve">Victorian </w:t>
      </w:r>
      <w:r w:rsidRPr="000C7B63">
        <w:rPr>
          <w:sz w:val="16"/>
          <w:szCs w:val="16"/>
        </w:rPr>
        <w:t>Training Market Report is based on VET training activity</w:t>
      </w:r>
      <w:r>
        <w:rPr>
          <w:sz w:val="16"/>
          <w:szCs w:val="16"/>
        </w:rPr>
        <w:t xml:space="preserve"> data</w:t>
      </w:r>
      <w:r w:rsidRPr="000C7B63">
        <w:rPr>
          <w:sz w:val="16"/>
          <w:szCs w:val="16"/>
        </w:rPr>
        <w:t>.</w:t>
      </w:r>
      <w:r>
        <w:rPr>
          <w:sz w:val="16"/>
          <w:szCs w:val="16"/>
        </w:rPr>
        <w:tab/>
      </w:r>
    </w:p>
  </w:footnote>
  <w:footnote w:id="10">
    <w:p w:rsidR="00AC2D92" w:rsidRPr="000C7B63" w:rsidRDefault="00AC2D92" w:rsidP="00F72C48">
      <w:pPr>
        <w:pStyle w:val="FootnoteText"/>
        <w:rPr>
          <w:sz w:val="16"/>
          <w:szCs w:val="16"/>
        </w:rPr>
      </w:pPr>
      <w:r w:rsidRPr="000C7B63">
        <w:rPr>
          <w:rStyle w:val="FootnoteReference"/>
        </w:rPr>
        <w:footnoteRef/>
      </w:r>
      <w:r w:rsidRPr="000C7B63">
        <w:rPr>
          <w:rStyle w:val="FootnoteReference"/>
        </w:rPr>
        <w:t xml:space="preserve"> </w:t>
      </w:r>
      <w:r w:rsidRPr="000C7B63">
        <w:rPr>
          <w:sz w:val="16"/>
          <w:szCs w:val="16"/>
        </w:rPr>
        <w:t>Australian Bureau of Statistics</w:t>
      </w:r>
      <w:r>
        <w:rPr>
          <w:sz w:val="16"/>
          <w:szCs w:val="16"/>
        </w:rPr>
        <w:t>,</w:t>
      </w:r>
      <w:r w:rsidRPr="000C7B63">
        <w:rPr>
          <w:sz w:val="16"/>
          <w:szCs w:val="16"/>
        </w:rPr>
        <w:t xml:space="preserve"> Building Activity, Australia, 8752.0 Table 34. Number of Dwelling Unit Commencements by Sector, States and Territories</w:t>
      </w:r>
      <w:r>
        <w:rPr>
          <w:sz w:val="16"/>
          <w:szCs w:val="16"/>
        </w:rPr>
        <w:t>. Latest available data is September 2013.</w:t>
      </w:r>
    </w:p>
  </w:footnote>
  <w:footnote w:id="11">
    <w:p w:rsidR="00AC2D92" w:rsidRPr="00CF591B" w:rsidRDefault="00AC2D92" w:rsidP="00F72C48">
      <w:pPr>
        <w:pStyle w:val="FootnoteText"/>
        <w:rPr>
          <w:i/>
        </w:rPr>
      </w:pPr>
      <w:r>
        <w:rPr>
          <w:rStyle w:val="FootnoteReference"/>
        </w:rPr>
        <w:footnoteRef/>
      </w:r>
      <w:r>
        <w:t xml:space="preserve"> </w:t>
      </w:r>
      <w:r w:rsidRPr="000C7B63">
        <w:rPr>
          <w:sz w:val="16"/>
          <w:szCs w:val="16"/>
        </w:rPr>
        <w:t xml:space="preserve">The NCVER publication </w:t>
      </w:r>
      <w:r w:rsidRPr="00A7031B">
        <w:rPr>
          <w:sz w:val="16"/>
          <w:szCs w:val="16"/>
        </w:rPr>
        <w:t>Apprentices &amp; Trainees, Early trend estimates March Quarter 2013</w:t>
      </w:r>
      <w:r w:rsidRPr="000C7B63">
        <w:rPr>
          <w:sz w:val="16"/>
          <w:szCs w:val="16"/>
        </w:rPr>
        <w:t xml:space="preserve">, noted that at a national level </w:t>
      </w:r>
      <w:r>
        <w:rPr>
          <w:sz w:val="16"/>
          <w:szCs w:val="16"/>
        </w:rPr>
        <w:t>“</w:t>
      </w:r>
      <w:r w:rsidRPr="00A7031B">
        <w:rPr>
          <w:sz w:val="16"/>
          <w:szCs w:val="16"/>
        </w:rPr>
        <w:t>The substantial growth in non-trade commencements up to the June quarter 2012 and the subsequent decline in the September quarter is predominately due to changes to Commonwealth incentive payments for existing workers, namely the removal of the commencement incentive payment for those apprenticeships and traineeships not on the National Skills Needs List. Under the changes, training needed to have commenced prior to 1 July 2012 to attract the old subsidy rate.”</w:t>
      </w:r>
    </w:p>
  </w:footnote>
  <w:footnote w:id="12">
    <w:p w:rsidR="00AC2D92" w:rsidRDefault="00AC2D92" w:rsidP="00F72C48">
      <w:pPr>
        <w:contextualSpacing/>
        <w:rPr>
          <w:rFonts w:cs="Arial"/>
          <w:sz w:val="16"/>
          <w:szCs w:val="16"/>
        </w:rPr>
      </w:pPr>
      <w:r>
        <w:rPr>
          <w:rStyle w:val="FootnoteReference"/>
        </w:rPr>
        <w:footnoteRef/>
      </w:r>
      <w:r>
        <w:t xml:space="preserve"> </w:t>
      </w:r>
      <w:r>
        <w:rPr>
          <w:rFonts w:cs="Arial"/>
          <w:sz w:val="16"/>
          <w:szCs w:val="16"/>
        </w:rPr>
        <w:t>To ensure the most robust alignment with vocational outcomes in the government funded training sector this section is limited to:</w:t>
      </w:r>
    </w:p>
    <w:p w:rsidR="00AC2D92" w:rsidRDefault="00AC2D92" w:rsidP="00D83827">
      <w:pPr>
        <w:pStyle w:val="ListBullet"/>
        <w:numPr>
          <w:ilvl w:val="0"/>
          <w:numId w:val="13"/>
        </w:numPr>
        <w:tabs>
          <w:tab w:val="left" w:pos="720"/>
        </w:tabs>
        <w:spacing w:after="90"/>
        <w:ind w:left="284" w:right="113" w:hanging="284"/>
        <w:contextualSpacing/>
        <w:rPr>
          <w:sz w:val="16"/>
          <w:szCs w:val="16"/>
        </w:rPr>
      </w:pPr>
      <w:r>
        <w:rPr>
          <w:sz w:val="16"/>
          <w:szCs w:val="16"/>
        </w:rPr>
        <w:t>government subsidised training to onshore domestic students</w:t>
      </w:r>
    </w:p>
    <w:p w:rsidR="00AC2D92" w:rsidRDefault="00AC2D92" w:rsidP="00D83827">
      <w:pPr>
        <w:pStyle w:val="ListBullet"/>
        <w:numPr>
          <w:ilvl w:val="0"/>
          <w:numId w:val="13"/>
        </w:numPr>
        <w:tabs>
          <w:tab w:val="left" w:pos="720"/>
        </w:tabs>
        <w:spacing w:after="90"/>
        <w:ind w:left="284" w:right="113" w:hanging="284"/>
        <w:contextualSpacing/>
        <w:rPr>
          <w:sz w:val="16"/>
          <w:szCs w:val="16"/>
        </w:rPr>
      </w:pPr>
      <w:r>
        <w:rPr>
          <w:sz w:val="16"/>
          <w:szCs w:val="16"/>
        </w:rPr>
        <w:t>training in accredited AQF qualifications at Certificate I and above i.e. short courses, non-award courses and non-accredited training is excluded</w:t>
      </w:r>
    </w:p>
    <w:p w:rsidR="00AC2D92" w:rsidRDefault="00AC2D92" w:rsidP="00D83827">
      <w:pPr>
        <w:pStyle w:val="ListBullet"/>
        <w:numPr>
          <w:ilvl w:val="0"/>
          <w:numId w:val="13"/>
        </w:numPr>
        <w:tabs>
          <w:tab w:val="left" w:pos="720"/>
        </w:tabs>
        <w:spacing w:after="90"/>
        <w:ind w:left="284" w:right="113" w:hanging="284"/>
        <w:contextualSpacing/>
        <w:rPr>
          <w:sz w:val="16"/>
          <w:szCs w:val="16"/>
        </w:rPr>
      </w:pPr>
      <w:r>
        <w:rPr>
          <w:sz w:val="16"/>
          <w:szCs w:val="16"/>
        </w:rPr>
        <w:t>excludes courses which cannot be classified directly</w:t>
      </w:r>
      <w:r>
        <w:rPr>
          <w:rStyle w:val="FootnoteReference"/>
        </w:rPr>
        <w:footnoteRef/>
      </w:r>
      <w:r>
        <w:rPr>
          <w:sz w:val="16"/>
          <w:szCs w:val="16"/>
        </w:rPr>
        <w:t xml:space="preserve"> to an employment outcome in a particular occupation, such as training in generic foundation skills such as literacy and numeracy</w:t>
      </w:r>
    </w:p>
  </w:footnote>
  <w:footnote w:id="13">
    <w:p w:rsidR="00AC2D92" w:rsidRPr="000F4C2A" w:rsidRDefault="00AC2D92" w:rsidP="00F72C48">
      <w:pPr>
        <w:pStyle w:val="FootnoteText"/>
        <w:contextualSpacing/>
        <w:rPr>
          <w:rStyle w:val="FootnoteReference"/>
          <w:sz w:val="19"/>
          <w:szCs w:val="24"/>
        </w:rPr>
      </w:pPr>
      <w:r w:rsidRPr="000F4C2A">
        <w:rPr>
          <w:rStyle w:val="FootnoteReference"/>
          <w:sz w:val="19"/>
          <w:szCs w:val="24"/>
        </w:rPr>
        <w:footnoteRef/>
      </w:r>
      <w:r w:rsidRPr="000F4C2A">
        <w:rPr>
          <w:rStyle w:val="FootnoteReference"/>
          <w:sz w:val="19"/>
          <w:szCs w:val="24"/>
        </w:rPr>
        <w:t xml:space="preserve"> </w:t>
      </w:r>
      <w:r w:rsidRPr="000F4C2A">
        <w:rPr>
          <w:rFonts w:cs="Arial"/>
          <w:sz w:val="16"/>
          <w:szCs w:val="16"/>
        </w:rPr>
        <w:t>Australian Workforce and Productivity Agency</w:t>
      </w:r>
      <w:r>
        <w:rPr>
          <w:rFonts w:cs="Arial"/>
          <w:sz w:val="16"/>
          <w:szCs w:val="16"/>
        </w:rPr>
        <w:t xml:space="preserve"> (2012) specialised occupation</w:t>
      </w:r>
      <w:r w:rsidRPr="000F4C2A">
        <w:rPr>
          <w:rFonts w:cs="Arial"/>
          <w:sz w:val="16"/>
          <w:szCs w:val="16"/>
        </w:rPr>
        <w:t xml:space="preserve"> list.</w:t>
      </w:r>
    </w:p>
  </w:footnote>
  <w:footnote w:id="14">
    <w:p w:rsidR="00AC2D92" w:rsidRPr="000F4C2A" w:rsidRDefault="00AC2D92" w:rsidP="00F72C48">
      <w:pPr>
        <w:tabs>
          <w:tab w:val="num" w:pos="720"/>
        </w:tabs>
        <w:contextualSpacing/>
        <w:jc w:val="left"/>
        <w:rPr>
          <w:rStyle w:val="FootnoteReference"/>
        </w:rPr>
      </w:pPr>
      <w:r w:rsidRPr="000F4C2A">
        <w:rPr>
          <w:rStyle w:val="FootnoteReference"/>
        </w:rPr>
        <w:footnoteRef/>
      </w:r>
      <w:r w:rsidRPr="000F4C2A">
        <w:rPr>
          <w:rStyle w:val="FootnoteReference"/>
        </w:rPr>
        <w:t xml:space="preserve"> </w:t>
      </w:r>
      <w:r w:rsidRPr="000F4C2A">
        <w:rPr>
          <w:rFonts w:cs="Arial"/>
          <w:sz w:val="16"/>
          <w:szCs w:val="16"/>
        </w:rPr>
        <w:t xml:space="preserve">HESG </w:t>
      </w:r>
      <w:r>
        <w:rPr>
          <w:rFonts w:cs="Arial"/>
          <w:sz w:val="16"/>
          <w:szCs w:val="16"/>
        </w:rPr>
        <w:t xml:space="preserve">(2012) </w:t>
      </w:r>
      <w:r w:rsidRPr="000F4C2A">
        <w:rPr>
          <w:rFonts w:cs="Arial"/>
          <w:sz w:val="16"/>
          <w:szCs w:val="16"/>
        </w:rPr>
        <w:t xml:space="preserve">Skills Shortage list. </w:t>
      </w:r>
      <w:r>
        <w:rPr>
          <w:rFonts w:cs="Arial"/>
          <w:sz w:val="16"/>
          <w:szCs w:val="16"/>
        </w:rPr>
        <w:t xml:space="preserve">Skill shortage definition from </w:t>
      </w:r>
      <w:r w:rsidRPr="000F4C2A">
        <w:rPr>
          <w:rFonts w:cs="Arial"/>
          <w:sz w:val="16"/>
          <w:szCs w:val="16"/>
        </w:rPr>
        <w:t>DEEWR Skills Shortage List</w:t>
      </w:r>
    </w:p>
  </w:footnote>
  <w:footnote w:id="15">
    <w:p w:rsidR="00AC2D92" w:rsidRDefault="00AC2D92" w:rsidP="00F72C48">
      <w:pPr>
        <w:pStyle w:val="FootnoteText"/>
      </w:pPr>
      <w:r>
        <w:rPr>
          <w:rStyle w:val="FootnoteReference"/>
        </w:rPr>
        <w:footnoteRef/>
      </w:r>
      <w:r>
        <w:t xml:space="preserve"> </w:t>
      </w:r>
      <w:r>
        <w:rPr>
          <w:sz w:val="16"/>
          <w:szCs w:val="16"/>
        </w:rPr>
        <w:t>Historical e</w:t>
      </w:r>
      <w:r w:rsidRPr="00E3484C">
        <w:rPr>
          <w:sz w:val="16"/>
          <w:szCs w:val="16"/>
        </w:rPr>
        <w:t xml:space="preserve">nrolment numbers </w:t>
      </w:r>
      <w:r>
        <w:rPr>
          <w:sz w:val="16"/>
          <w:szCs w:val="16"/>
        </w:rPr>
        <w:t xml:space="preserve">for qualifications aligned to skills shortage occupations </w:t>
      </w:r>
      <w:r w:rsidRPr="00E3484C">
        <w:rPr>
          <w:sz w:val="16"/>
          <w:szCs w:val="16"/>
        </w:rPr>
        <w:t xml:space="preserve">reported </w:t>
      </w:r>
      <w:r>
        <w:rPr>
          <w:sz w:val="16"/>
          <w:szCs w:val="16"/>
        </w:rPr>
        <w:t xml:space="preserve">in the 2013 Training Market Report are lower than those reported in the 2012 Training Market Report. </w:t>
      </w:r>
      <w:r w:rsidRPr="00DA4B53">
        <w:rPr>
          <w:sz w:val="16"/>
          <w:szCs w:val="16"/>
        </w:rPr>
        <w:t>This is due to changes made to occupational alignment to courses. In particular, changes made to coding for Certificate III in Electrotechnology Systems Electrician is the main driver behind the discrepancy. The course now aligns to the occupation Electrician (Special Class) which is not classified as a skills shortage occupation, whereas it was previously aligned to Electrician (General) which is classified as a shortage occupation.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rsidP="00DA3526">
    <w:pPr>
      <w:pStyle w:val="Header"/>
    </w:pPr>
    <w:r>
      <w:rPr>
        <w:noProof/>
        <w:lang w:eastAsia="en-AU"/>
      </w:rPr>
      <mc:AlternateContent>
        <mc:Choice Requires="wpg">
          <w:drawing>
            <wp:anchor distT="0" distB="0" distL="114300" distR="114300" simplePos="0" relativeHeight="251657216" behindDoc="0" locked="1" layoutInCell="1" allowOverlap="1" wp14:anchorId="4190349F" wp14:editId="543FA083">
              <wp:simplePos x="0" y="0"/>
              <wp:positionH relativeFrom="page">
                <wp:posOffset>717550</wp:posOffset>
              </wp:positionH>
              <wp:positionV relativeFrom="page">
                <wp:posOffset>360045</wp:posOffset>
              </wp:positionV>
              <wp:extent cx="2329180" cy="422275"/>
              <wp:effectExtent l="3175" t="7620" r="1270" b="8255"/>
              <wp:wrapNone/>
              <wp:docPr id="3"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4" name="Freeform 3"/>
                      <wps:cNvSpPr>
                        <a:spLocks noChangeAspect="1" noEditPoints="1"/>
                      </wps:cNvSpPr>
                      <wps:spPr bwMode="auto">
                        <a:xfrm>
                          <a:off x="-17207" y="-1468"/>
                          <a:ext cx="12446" cy="7115"/>
                        </a:xfrm>
                        <a:custGeom>
                          <a:avLst/>
                          <a:gdLst>
                            <a:gd name="T0" fmla="*/ 9297 w 5269"/>
                            <a:gd name="T1" fmla="*/ 1129 h 3012"/>
                            <a:gd name="T2" fmla="*/ 9760 w 5269"/>
                            <a:gd name="T3" fmla="*/ 3019 h 3012"/>
                            <a:gd name="T4" fmla="*/ 10233 w 5269"/>
                            <a:gd name="T5" fmla="*/ 2457 h 3012"/>
                            <a:gd name="T6" fmla="*/ 9760 w 5269"/>
                            <a:gd name="T7" fmla="*/ 3019 h 3012"/>
                            <a:gd name="T8" fmla="*/ 10278 w 5269"/>
                            <a:gd name="T9" fmla="*/ 288 h 3012"/>
                            <a:gd name="T10" fmla="*/ 10724 w 5269"/>
                            <a:gd name="T11" fmla="*/ 1346 h 3012"/>
                            <a:gd name="T12" fmla="*/ 10956 w 5269"/>
                            <a:gd name="T13" fmla="*/ 945 h 3012"/>
                            <a:gd name="T14" fmla="*/ 10464 w 5269"/>
                            <a:gd name="T15" fmla="*/ 1847 h 3012"/>
                            <a:gd name="T16" fmla="*/ 7419 w 5269"/>
                            <a:gd name="T17" fmla="*/ 5232 h 3012"/>
                            <a:gd name="T18" fmla="*/ 3952 w 5269"/>
                            <a:gd name="T19" fmla="*/ 3631 h 3012"/>
                            <a:gd name="T20" fmla="*/ 2497 w 5269"/>
                            <a:gd name="T21" fmla="*/ 3454 h 3012"/>
                            <a:gd name="T22" fmla="*/ 7745 w 5269"/>
                            <a:gd name="T23" fmla="*/ 3454 h 3012"/>
                            <a:gd name="T24" fmla="*/ 0 w 5269"/>
                            <a:gd name="T25" fmla="*/ 7115 h 3012"/>
                            <a:gd name="T26" fmla="*/ 8832 w 5269"/>
                            <a:gd name="T27" fmla="*/ 3366 h 3012"/>
                            <a:gd name="T28" fmla="*/ 8877 w 5269"/>
                            <a:gd name="T29" fmla="*/ 3801 h 3012"/>
                            <a:gd name="T30" fmla="*/ 8697 w 5269"/>
                            <a:gd name="T31" fmla="*/ 3468 h 3012"/>
                            <a:gd name="T32" fmla="*/ 7788 w 5269"/>
                            <a:gd name="T33" fmla="*/ 3803 h 3012"/>
                            <a:gd name="T34" fmla="*/ 6548 w 5269"/>
                            <a:gd name="T35" fmla="*/ 3395 h 3012"/>
                            <a:gd name="T36" fmla="*/ 7396 w 5269"/>
                            <a:gd name="T37" fmla="*/ 3624 h 3012"/>
                            <a:gd name="T38" fmla="*/ 7051 w 5269"/>
                            <a:gd name="T39" fmla="*/ 3565 h 3012"/>
                            <a:gd name="T40" fmla="*/ 6706 w 5269"/>
                            <a:gd name="T41" fmla="*/ 3565 h 3012"/>
                            <a:gd name="T42" fmla="*/ 6097 w 5269"/>
                            <a:gd name="T43" fmla="*/ 3347 h 3012"/>
                            <a:gd name="T44" fmla="*/ 6321 w 5269"/>
                            <a:gd name="T45" fmla="*/ 3806 h 3012"/>
                            <a:gd name="T46" fmla="*/ 5969 w 5269"/>
                            <a:gd name="T47" fmla="*/ 3806 h 3012"/>
                            <a:gd name="T48" fmla="*/ 5898 w 5269"/>
                            <a:gd name="T49" fmla="*/ 3494 h 3012"/>
                            <a:gd name="T50" fmla="*/ 5558 w 5269"/>
                            <a:gd name="T51" fmla="*/ 3395 h 3012"/>
                            <a:gd name="T52" fmla="*/ 5485 w 5269"/>
                            <a:gd name="T53" fmla="*/ 3725 h 3012"/>
                            <a:gd name="T54" fmla="*/ 4571 w 5269"/>
                            <a:gd name="T55" fmla="*/ 3442 h 3012"/>
                            <a:gd name="T56" fmla="*/ 4677 w 5269"/>
                            <a:gd name="T57" fmla="*/ 3905 h 3012"/>
                            <a:gd name="T58" fmla="*/ 4110 w 5269"/>
                            <a:gd name="T59" fmla="*/ 3905 h 3012"/>
                            <a:gd name="T60" fmla="*/ 2501 w 5269"/>
                            <a:gd name="T61" fmla="*/ 3352 h 3012"/>
                            <a:gd name="T62" fmla="*/ 2716 w 5269"/>
                            <a:gd name="T63" fmla="*/ 3883 h 3012"/>
                            <a:gd name="T64" fmla="*/ 2034 w 5269"/>
                            <a:gd name="T65" fmla="*/ 3208 h 3012"/>
                            <a:gd name="T66" fmla="*/ 2034 w 5269"/>
                            <a:gd name="T67" fmla="*/ 3732 h 3012"/>
                            <a:gd name="T68" fmla="*/ 1904 w 5269"/>
                            <a:gd name="T69" fmla="*/ 3468 h 3012"/>
                            <a:gd name="T70" fmla="*/ 1339 w 5269"/>
                            <a:gd name="T71" fmla="*/ 3366 h 3012"/>
                            <a:gd name="T72" fmla="*/ 1786 w 5269"/>
                            <a:gd name="T73" fmla="*/ 3891 h 3012"/>
                            <a:gd name="T74" fmla="*/ 893 w 5269"/>
                            <a:gd name="T75" fmla="*/ 3366 h 3012"/>
                            <a:gd name="T76" fmla="*/ 1207 w 5269"/>
                            <a:gd name="T77" fmla="*/ 3352 h 3012"/>
                            <a:gd name="T78" fmla="*/ 1082 w 5269"/>
                            <a:gd name="T79" fmla="*/ 3905 h 3012"/>
                            <a:gd name="T80" fmla="*/ 598 w 5269"/>
                            <a:gd name="T81" fmla="*/ 3576 h 3012"/>
                            <a:gd name="T82" fmla="*/ 713 w 5269"/>
                            <a:gd name="T83" fmla="*/ 3274 h 3012"/>
                            <a:gd name="T84" fmla="*/ 319 w 5269"/>
                            <a:gd name="T85" fmla="*/ 3876 h 3012"/>
                            <a:gd name="T86" fmla="*/ 1505 w 5269"/>
                            <a:gd name="T87" fmla="*/ 6832 h 3012"/>
                            <a:gd name="T88" fmla="*/ 1540 w 5269"/>
                            <a:gd name="T89" fmla="*/ 5908 h 3012"/>
                            <a:gd name="T90" fmla="*/ 2849 w 5269"/>
                            <a:gd name="T91" fmla="*/ 5246 h 3012"/>
                            <a:gd name="T92" fmla="*/ 3475 w 5269"/>
                            <a:gd name="T93" fmla="*/ 3144 h 3012"/>
                            <a:gd name="T94" fmla="*/ 3614 w 5269"/>
                            <a:gd name="T95" fmla="*/ 3591 h 3012"/>
                            <a:gd name="T96" fmla="*/ 4996 w 5269"/>
                            <a:gd name="T97" fmla="*/ 6770 h 3012"/>
                            <a:gd name="T98" fmla="*/ 5003 w 5269"/>
                            <a:gd name="T99" fmla="*/ 5407 h 3012"/>
                            <a:gd name="T100" fmla="*/ 6182 w 5269"/>
                            <a:gd name="T101" fmla="*/ 6815 h 3012"/>
                            <a:gd name="T102" fmla="*/ 5454 w 5269"/>
                            <a:gd name="T103" fmla="*/ 4932 h 3012"/>
                            <a:gd name="T104" fmla="*/ 6130 w 5269"/>
                            <a:gd name="T105" fmla="*/ 5289 h 3012"/>
                            <a:gd name="T106" fmla="*/ 7429 w 5269"/>
                            <a:gd name="T107" fmla="*/ 4880 h 3012"/>
                            <a:gd name="T108" fmla="*/ 8062 w 5269"/>
                            <a:gd name="T109" fmla="*/ 3891 h 3012"/>
                            <a:gd name="T110" fmla="*/ 8582 w 5269"/>
                            <a:gd name="T111" fmla="*/ 3624 h 3012"/>
                            <a:gd name="T112" fmla="*/ 9321 w 5269"/>
                            <a:gd name="T113" fmla="*/ 5306 h 3012"/>
                            <a:gd name="T114" fmla="*/ 8976 w 5269"/>
                            <a:gd name="T115" fmla="*/ 4871 h 3012"/>
                            <a:gd name="T116" fmla="*/ 9734 w 5269"/>
                            <a:gd name="T117" fmla="*/ 4982 h 3012"/>
                            <a:gd name="T118" fmla="*/ 10476 w 5269"/>
                            <a:gd name="T119" fmla="*/ 6239 h 3012"/>
                            <a:gd name="T120" fmla="*/ 10847 w 5269"/>
                            <a:gd name="T121" fmla="*/ 4913 h 3012"/>
                            <a:gd name="T122" fmla="*/ 11721 w 5269"/>
                            <a:gd name="T123" fmla="*/ 6787 h 301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ChangeAspect="1" noEditPoints="1"/>
                      </wps:cNvSpPr>
                      <wps:spPr bwMode="auto">
                        <a:xfrm>
                          <a:off x="-3253" y="1286"/>
                          <a:ext cx="26222" cy="4507"/>
                        </a:xfrm>
                        <a:custGeom>
                          <a:avLst/>
                          <a:gdLst>
                            <a:gd name="T0" fmla="*/ 255 w 11101"/>
                            <a:gd name="T1" fmla="*/ 1410 h 1908"/>
                            <a:gd name="T2" fmla="*/ 1743 w 11101"/>
                            <a:gd name="T3" fmla="*/ 480 h 1908"/>
                            <a:gd name="T4" fmla="*/ 2667 w 11101"/>
                            <a:gd name="T5" fmla="*/ 2031 h 1908"/>
                            <a:gd name="T6" fmla="*/ 3109 w 11101"/>
                            <a:gd name="T7" fmla="*/ 1065 h 1908"/>
                            <a:gd name="T8" fmla="*/ 3560 w 11101"/>
                            <a:gd name="T9" fmla="*/ 631 h 1908"/>
                            <a:gd name="T10" fmla="*/ 4103 w 11101"/>
                            <a:gd name="T11" fmla="*/ 1094 h 1908"/>
                            <a:gd name="T12" fmla="*/ 5291 w 11101"/>
                            <a:gd name="T13" fmla="*/ 494 h 1908"/>
                            <a:gd name="T14" fmla="*/ 5849 w 11101"/>
                            <a:gd name="T15" fmla="*/ 1474 h 1908"/>
                            <a:gd name="T16" fmla="*/ 6354 w 11101"/>
                            <a:gd name="T17" fmla="*/ 477 h 1908"/>
                            <a:gd name="T18" fmla="*/ 7339 w 11101"/>
                            <a:gd name="T19" fmla="*/ 850 h 1908"/>
                            <a:gd name="T20" fmla="*/ 8586 w 11101"/>
                            <a:gd name="T21" fmla="*/ 595 h 1908"/>
                            <a:gd name="T22" fmla="*/ 9151 w 11101"/>
                            <a:gd name="T23" fmla="*/ 477 h 1908"/>
                            <a:gd name="T24" fmla="*/ 10129 w 11101"/>
                            <a:gd name="T25" fmla="*/ 231 h 1908"/>
                            <a:gd name="T26" fmla="*/ 10559 w 11101"/>
                            <a:gd name="T27" fmla="*/ 673 h 1908"/>
                            <a:gd name="T28" fmla="*/ 11475 w 11101"/>
                            <a:gd name="T29" fmla="*/ 1049 h 1908"/>
                            <a:gd name="T30" fmla="*/ 12970 w 11101"/>
                            <a:gd name="T31" fmla="*/ 506 h 1908"/>
                            <a:gd name="T32" fmla="*/ 13811 w 11101"/>
                            <a:gd name="T33" fmla="*/ 720 h 1908"/>
                            <a:gd name="T34" fmla="*/ 15285 w 11101"/>
                            <a:gd name="T35" fmla="*/ 588 h 1908"/>
                            <a:gd name="T36" fmla="*/ 15278 w 11101"/>
                            <a:gd name="T37" fmla="*/ 770 h 1908"/>
                            <a:gd name="T38" fmla="*/ 16162 w 11101"/>
                            <a:gd name="T39" fmla="*/ 1651 h 1908"/>
                            <a:gd name="T40" fmla="*/ 17600 w 11101"/>
                            <a:gd name="T41" fmla="*/ 758 h 1908"/>
                            <a:gd name="T42" fmla="*/ 18330 w 11101"/>
                            <a:gd name="T43" fmla="*/ 676 h 1908"/>
                            <a:gd name="T44" fmla="*/ 18477 w 11101"/>
                            <a:gd name="T45" fmla="*/ 1358 h 1908"/>
                            <a:gd name="T46" fmla="*/ 19535 w 11101"/>
                            <a:gd name="T47" fmla="*/ 1597 h 1908"/>
                            <a:gd name="T48" fmla="*/ 19691 w 11101"/>
                            <a:gd name="T49" fmla="*/ 182 h 1908"/>
                            <a:gd name="T50" fmla="*/ 20695 w 11101"/>
                            <a:gd name="T51" fmla="*/ 1467 h 1908"/>
                            <a:gd name="T52" fmla="*/ 21661 w 11101"/>
                            <a:gd name="T53" fmla="*/ 1618 h 1908"/>
                            <a:gd name="T54" fmla="*/ 23588 w 11101"/>
                            <a:gd name="T55" fmla="*/ 872 h 1908"/>
                            <a:gd name="T56" fmla="*/ 23380 w 11101"/>
                            <a:gd name="T57" fmla="*/ 1474 h 1908"/>
                            <a:gd name="T58" fmla="*/ 24377 w 11101"/>
                            <a:gd name="T59" fmla="*/ 1618 h 1908"/>
                            <a:gd name="T60" fmla="*/ 25908 w 11101"/>
                            <a:gd name="T61" fmla="*/ 406 h 1908"/>
                            <a:gd name="T62" fmla="*/ 867 w 11101"/>
                            <a:gd name="T63" fmla="*/ 4032 h 1908"/>
                            <a:gd name="T64" fmla="*/ 867 w 11101"/>
                            <a:gd name="T65" fmla="*/ 4032 h 1908"/>
                            <a:gd name="T66" fmla="*/ 1854 w 11101"/>
                            <a:gd name="T67" fmla="*/ 3076 h 1908"/>
                            <a:gd name="T68" fmla="*/ 2672 w 11101"/>
                            <a:gd name="T69" fmla="*/ 2889 h 1908"/>
                            <a:gd name="T70" fmla="*/ 3257 w 11101"/>
                            <a:gd name="T71" fmla="*/ 4030 h 1908"/>
                            <a:gd name="T72" fmla="*/ 3890 w 11101"/>
                            <a:gd name="T73" fmla="*/ 3522 h 1908"/>
                            <a:gd name="T74" fmla="*/ 5499 w 11101"/>
                            <a:gd name="T75" fmla="*/ 4056 h 1908"/>
                            <a:gd name="T76" fmla="*/ 4845 w 11101"/>
                            <a:gd name="T77" fmla="*/ 3295 h 1908"/>
                            <a:gd name="T78" fmla="*/ 6073 w 11101"/>
                            <a:gd name="T79" fmla="*/ 2709 h 1908"/>
                            <a:gd name="T80" fmla="*/ 7204 w 11101"/>
                            <a:gd name="T81" fmla="*/ 2596 h 1908"/>
                            <a:gd name="T82" fmla="*/ 7991 w 11101"/>
                            <a:gd name="T83" fmla="*/ 2416 h 1908"/>
                            <a:gd name="T84" fmla="*/ 8962 w 11101"/>
                            <a:gd name="T85" fmla="*/ 2414 h 1908"/>
                            <a:gd name="T86" fmla="*/ 10389 w 11101"/>
                            <a:gd name="T87" fmla="*/ 3248 h 1908"/>
                            <a:gd name="T88" fmla="*/ 10013 w 11101"/>
                            <a:gd name="T89" fmla="*/ 3099 h 1908"/>
                            <a:gd name="T90" fmla="*/ 11078 w 11101"/>
                            <a:gd name="T91" fmla="*/ 3078 h 1908"/>
                            <a:gd name="T92" fmla="*/ 13587 w 11101"/>
                            <a:gd name="T93" fmla="*/ 4032 h 1908"/>
                            <a:gd name="T94" fmla="*/ 13533 w 11101"/>
                            <a:gd name="T95" fmla="*/ 3184 h 1908"/>
                            <a:gd name="T96" fmla="*/ 15630 w 11101"/>
                            <a:gd name="T97" fmla="*/ 3276 h 1908"/>
                            <a:gd name="T98" fmla="*/ 16615 w 11101"/>
                            <a:gd name="T99" fmla="*/ 3765 h 1908"/>
                            <a:gd name="T100" fmla="*/ 16476 w 11101"/>
                            <a:gd name="T101" fmla="*/ 3364 h 1908"/>
                            <a:gd name="T102" fmla="*/ 17787 w 11101"/>
                            <a:gd name="T103" fmla="*/ 2922 h 1908"/>
                            <a:gd name="T104" fmla="*/ 18755 w 11101"/>
                            <a:gd name="T105" fmla="*/ 3543 h 1908"/>
                            <a:gd name="T106" fmla="*/ 19192 w 11101"/>
                            <a:gd name="T107" fmla="*/ 2416 h 1908"/>
                            <a:gd name="T108" fmla="*/ 20184 w 11101"/>
                            <a:gd name="T109" fmla="*/ 3484 h 1908"/>
                            <a:gd name="T110" fmla="*/ 21186 w 11101"/>
                            <a:gd name="T111" fmla="*/ 2896 h 1908"/>
                            <a:gd name="T112" fmla="*/ 22603 w 11101"/>
                            <a:gd name="T113" fmla="*/ 3057 h 1908"/>
                            <a:gd name="T114" fmla="*/ 22639 w 11101"/>
                            <a:gd name="T115" fmla="*/ 4032 h 1908"/>
                            <a:gd name="T116" fmla="*/ 23435 w 11101"/>
                            <a:gd name="T117" fmla="*/ 3479 h 1908"/>
                            <a:gd name="T118" fmla="*/ 25433 w 11101"/>
                            <a:gd name="T119" fmla="*/ 3203 h 1908"/>
                            <a:gd name="T120" fmla="*/ 25433 w 11101"/>
                            <a:gd name="T121" fmla="*/ 4032 h 1908"/>
                            <a:gd name="T122" fmla="*/ 26087 w 11101"/>
                            <a:gd name="T123" fmla="*/ 3888 h 190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56.5pt;margin-top:28.35pt;width:183.4pt;height:33.25pt;z-index:251657216;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">
              <o:lock v:ext="edit" aspectratio="t"/>
              <v:shape id="Freeform 3"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6a8EA&#10;AADaAAAADwAAAGRycy9kb3ducmV2LnhtbESPQWvCQBSE74L/YXmCF6mbiFSJriJCg3hrWvD6yL4m&#10;wex7IbvV+O9dodDjMDPfMNv94Fp1o943wgbSeQKKuBTbcGXg++vjbQ3KB2SLrTAZeJCH/W482mJm&#10;5c6fdCtCpSKEfYYG6hC6TGtf1uTQz6Ujjt6P9A5DlH2lbY/3CHetXiTJu3bYcFyosaNjTeW1+HUG&#10;fJIXK8klPTd5GJbp5TRbOTFmOhkOG1CBhvAf/mufrIElvK7EG6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OmvBAAAA2gAAAA8AAAAAAAAAAAAAAAAAmAIAAGRycy9kb3du&#10;cmV2LnhtbFBLBQYAAAAABAAEAPUAAACGAw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black [3213]" stroked="f">
                <v:path arrowok="t" o:connecttype="custom" o:connectlocs="21961,2667;23054,7132;24172,5804;23054,7132;24278,680;25331,3180;25879,2232;24717,4363;17525,12359;9335,8577;5898,8159;18295,8159;0,16807;20862,7951;20969,8979;20543,8192;18396,8984;15467,8020;17470,8561;16655,8421;15840,8421;14402,7906;14931,8991;14099,8991;13932,8254;13129,8020;12956,8799;10797,8131;11048,9224;9708,9224;5908,7918;6416,9172;4805,7578;4805,8816;4497,8192;3163,7951;4219,9191;2109,7951;2851,7918;2556,9224;1413,8447;1684,7734;754,9156;3555,16139;3638,13956;6730,12392;8208,7427;8537,8483;11801,15992;11818,12773;14603,16099;12883,11650;14480,12494;17548,11528;19043,9191;20272,8561;22017,12534;21202,11506;22993,11769;24746,14738;25622,11606;27686,16032" o:connectangles="0,0,0,0,0,0,0,0,0,0,0,0,0,0,0,0,0,0,0,0,0,0,0,0,0,0,0,0,0,0,0,0,0,0,0,0,0,0,0,0,0,0,0,0,0,0,0,0,0,0,0,0,0,0,0,0,0,0,0,0,0,0"/>
                <o:lock v:ext="edit" aspectratio="t" verticies="t"/>
              </v:shape>
              <v:shape id="Freeform 4"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QvcIA&#10;AADaAAAADwAAAGRycy9kb3ducmV2LnhtbESPT2sCMRTE74V+h/AK3jRbtUVWo1RFLL259eLtuXn7&#10;BzcvSxJ19dObgtDjMDO/YWaLzjTiQs7XlhW8DxIQxLnVNZcK9r+b/gSED8gaG8uk4EYeFvPXlxmm&#10;2l55R5cslCJC2KeooAqhTaX0eUUG/cC2xNErrDMYonSl1A6vEW4aOUyST2mw5rhQYUurivJTdjYK&#10;HB38cV1041F7xq39Gd+XRbZWqvfWfU1BBOrCf/jZ/tYKPuDv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9C9wgAAANoAAAAPAAAAAAAAAAAAAAAAAJgCAABkcnMvZG93&#10;bnJldi54bWxQSwUGAAAAAAQABAD1AAAAhwM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black [3213]" stroked="f">
                <v:path arrowok="t" o:connecttype="custom" o:connectlocs="602,3331;4117,1134;6300,4798;7344,2516;8409,1491;9692,2584;12498,1167;13816,3482;15009,1127;17336,2008;20281,1405;21616,1127;23926,546;24942,1590;27105,2478;30637,1195;32623,1701;36105,1389;36089,1819;38177,3900;41573,1791;43298,1597;43645,3208;46144,3772;46513,430;48884,3465;51166,3822;55718,2060;55227,3482;57582,3822;61198,959;2048,9524;2048,9524;4379,7266;6312,6824;7693,9520;9189,8320;12989,9581;11445,7783;14345,6399;17017,6132;18876,5707;21169,5702;24540,7672;23652,7320;26168,7271;32094,9524;31967,7521;36920,7738;39247,8894;38918,7946;42015,6902;44302,8369;45334,5707;47677,8230;50044,6841;53391,7221;53476,9524;55357,8218;60076,7566;60076,9524;61621,9184" o:connectangles="0,0,0,0,0,0,0,0,0,0,0,0,0,0,0,0,0,0,0,0,0,0,0,0,0,0,0,0,0,0,0,0,0,0,0,0,0,0,0,0,0,0,0,0,0,0,0,0,0,0,0,0,0,0,0,0,0,0,0,0,0,0"/>
                <o:lock v:ext="edit" aspectratio="t" verticies="t"/>
              </v:shape>
              <w10:wrap anchorx="page" anchory="page"/>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rsidP="00DA35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rsidP="00DA35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92" w:rsidRDefault="00AC2D92" w:rsidP="00DA3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0052BC"/>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7065C6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D2F10"/>
    <w:multiLevelType w:val="hybridMultilevel"/>
    <w:tmpl w:val="49165EB8"/>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nsid w:val="06BB724E"/>
    <w:multiLevelType w:val="singleLevel"/>
    <w:tmpl w:val="44C80BCE"/>
    <w:lvl w:ilvl="0">
      <w:start w:val="1"/>
      <w:numFmt w:val="decimal"/>
      <w:lvlRestart w:val="0"/>
      <w:pStyle w:val="BriefDocParagraph"/>
      <w:lvlText w:val="%1."/>
      <w:lvlJc w:val="left"/>
      <w:pPr>
        <w:tabs>
          <w:tab w:val="num" w:pos="357"/>
        </w:tabs>
        <w:ind w:left="357" w:hanging="357"/>
      </w:pPr>
      <w:rPr>
        <w:rFonts w:hint="default"/>
        <w:b w:val="0"/>
        <w:i w:val="0"/>
        <w:color w:val="auto"/>
        <w:sz w:val="24"/>
        <w:u w:val="none"/>
      </w:rPr>
    </w:lvl>
  </w:abstractNum>
  <w:abstractNum w:abstractNumId="4">
    <w:nsid w:val="0EEC398E"/>
    <w:multiLevelType w:val="hybridMultilevel"/>
    <w:tmpl w:val="5524B2E4"/>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20EEAA70">
      <w:start w:val="1"/>
      <w:numFmt w:val="bullet"/>
      <w:lvlText w:val=""/>
      <w:lvlJc w:val="left"/>
      <w:pPr>
        <w:ind w:left="1193" w:hanging="360"/>
      </w:pPr>
      <w:rPr>
        <w:rFonts w:ascii="Symbol" w:hAnsi="Symbol" w:hint="default"/>
        <w:b w:val="0"/>
        <w:i w:val="0"/>
        <w:color w:val="76923C" w:themeColor="accent3" w:themeShade="BF"/>
        <w:position w:val="2"/>
        <w:sz w:val="14"/>
      </w:rPr>
    </w:lvl>
    <w:lvl w:ilvl="2" w:tplc="0C090005">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nsid w:val="10426469"/>
    <w:multiLevelType w:val="hybridMultilevel"/>
    <w:tmpl w:val="DC9E123E"/>
    <w:lvl w:ilvl="0" w:tplc="947CE2AA">
      <w:start w:val="1"/>
      <w:numFmt w:val="bullet"/>
      <w:pStyle w:val="Bullet"/>
      <w:lvlText w:val=""/>
      <w:lvlJc w:val="left"/>
      <w:pPr>
        <w:tabs>
          <w:tab w:val="num" w:pos="113"/>
        </w:tabs>
        <w:ind w:left="227" w:hanging="114"/>
      </w:pPr>
      <w:rPr>
        <w:rFonts w:ascii="Symbol" w:hAnsi="Symbol" w:hint="default"/>
        <w:b w:val="0"/>
        <w:i w:val="0"/>
        <w:color w:val="365F91" w:themeColor="accent1" w:themeShade="BF"/>
        <w:position w:val="2"/>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75FF9"/>
    <w:multiLevelType w:val="hybridMultilevel"/>
    <w:tmpl w:val="5AB06AC8"/>
    <w:lvl w:ilvl="0" w:tplc="0C090001">
      <w:start w:val="1"/>
      <w:numFmt w:val="bullet"/>
      <w:lvlText w:val=""/>
      <w:lvlJc w:val="left"/>
      <w:pPr>
        <w:tabs>
          <w:tab w:val="num" w:pos="113"/>
        </w:tabs>
        <w:ind w:left="227" w:hanging="114"/>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1B368E"/>
    <w:multiLevelType w:val="hybridMultilevel"/>
    <w:tmpl w:val="4F0CFF6E"/>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nsid w:val="2432483A"/>
    <w:multiLevelType w:val="hybridMultilevel"/>
    <w:tmpl w:val="5A98E1C8"/>
    <w:lvl w:ilvl="0" w:tplc="9708A836">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nsid w:val="27B168DE"/>
    <w:multiLevelType w:val="hybridMultilevel"/>
    <w:tmpl w:val="C9229EE6"/>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nsid w:val="2B8663E3"/>
    <w:multiLevelType w:val="hybridMultilevel"/>
    <w:tmpl w:val="B4C2F4FC"/>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nsid w:val="2BD84BA8"/>
    <w:multiLevelType w:val="hybridMultilevel"/>
    <w:tmpl w:val="78084256"/>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20EEAA70">
      <w:start w:val="1"/>
      <w:numFmt w:val="bullet"/>
      <w:lvlText w:val=""/>
      <w:lvlJc w:val="left"/>
      <w:pPr>
        <w:ind w:left="1193" w:hanging="360"/>
      </w:pPr>
      <w:rPr>
        <w:rFonts w:ascii="Symbol" w:hAnsi="Symbol" w:hint="default"/>
        <w:b w:val="0"/>
        <w:i w:val="0"/>
        <w:color w:val="76923C" w:themeColor="accent3" w:themeShade="BF"/>
        <w:position w:val="2"/>
        <w:sz w:val="14"/>
      </w:rPr>
    </w:lvl>
    <w:lvl w:ilvl="2" w:tplc="0C090005">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nsid w:val="2E680530"/>
    <w:multiLevelType w:val="hybridMultilevel"/>
    <w:tmpl w:val="4CCA3E08"/>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nsid w:val="2F4E7F89"/>
    <w:multiLevelType w:val="hybridMultilevel"/>
    <w:tmpl w:val="41D873E2"/>
    <w:lvl w:ilvl="0" w:tplc="D38E9C94">
      <w:numFmt w:val="bullet"/>
      <w:lvlText w:val="•"/>
      <w:lvlJc w:val="left"/>
      <w:pPr>
        <w:ind w:left="1065" w:hanging="70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840424"/>
    <w:multiLevelType w:val="hybridMultilevel"/>
    <w:tmpl w:val="EBFE06BC"/>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978096BA">
      <w:start w:val="1"/>
      <w:numFmt w:val="bullet"/>
      <w:lvlText w:val=""/>
      <w:lvlJc w:val="left"/>
      <w:pPr>
        <w:ind w:left="1193" w:hanging="360"/>
      </w:pPr>
      <w:rPr>
        <w:rFonts w:ascii="Symbol" w:hAnsi="Symbol" w:hint="default"/>
        <w:b w:val="0"/>
        <w:i w:val="0"/>
        <w:color w:val="365F91" w:themeColor="accent1" w:themeShade="BF"/>
        <w:position w:val="2"/>
        <w:sz w:val="14"/>
      </w:rPr>
    </w:lvl>
    <w:lvl w:ilvl="2" w:tplc="0C090005">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nsid w:val="45643F75"/>
    <w:multiLevelType w:val="hybridMultilevel"/>
    <w:tmpl w:val="97A2B416"/>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nsid w:val="456A41E7"/>
    <w:multiLevelType w:val="hybridMultilevel"/>
    <w:tmpl w:val="6ED08D44"/>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nsid w:val="49003FCC"/>
    <w:multiLevelType w:val="hybridMultilevel"/>
    <w:tmpl w:val="4C0E0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5D2489"/>
    <w:multiLevelType w:val="hybridMultilevel"/>
    <w:tmpl w:val="CD6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900E8B"/>
    <w:multiLevelType w:val="hybridMultilevel"/>
    <w:tmpl w:val="2FEE1B6C"/>
    <w:lvl w:ilvl="0" w:tplc="9708A836">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nsid w:val="56966EB7"/>
    <w:multiLevelType w:val="hybridMultilevel"/>
    <w:tmpl w:val="7980B91E"/>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nsid w:val="59EF5DEB"/>
    <w:multiLevelType w:val="hybridMultilevel"/>
    <w:tmpl w:val="B0205A02"/>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nsid w:val="5A2B5ED1"/>
    <w:multiLevelType w:val="hybridMultilevel"/>
    <w:tmpl w:val="93BE8D3A"/>
    <w:lvl w:ilvl="0" w:tplc="20EEAA70">
      <w:start w:val="1"/>
      <w:numFmt w:val="bullet"/>
      <w:lvlText w:val=""/>
      <w:lvlJc w:val="left"/>
      <w:pPr>
        <w:ind w:left="357" w:hanging="357"/>
      </w:pPr>
      <w:rPr>
        <w:rFonts w:ascii="Symbol" w:hAnsi="Symbol" w:hint="default"/>
        <w:b w:val="0"/>
        <w:i w:val="0"/>
        <w:color w:val="76923C" w:themeColor="accent3" w:themeShade="BF"/>
        <w:position w:val="2"/>
        <w:sz w:val="1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E104437"/>
    <w:multiLevelType w:val="hybridMultilevel"/>
    <w:tmpl w:val="68A038CC"/>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nsid w:val="608C2EDA"/>
    <w:multiLevelType w:val="hybridMultilevel"/>
    <w:tmpl w:val="455E876C"/>
    <w:lvl w:ilvl="0" w:tplc="20EEAA70">
      <w:start w:val="1"/>
      <w:numFmt w:val="bullet"/>
      <w:lvlText w:val=""/>
      <w:lvlJc w:val="left"/>
      <w:pPr>
        <w:ind w:left="473" w:hanging="360"/>
      </w:pPr>
      <w:rPr>
        <w:rFonts w:ascii="Symbol" w:hAnsi="Symbol" w:hint="default"/>
        <w:b w:val="0"/>
        <w:i w:val="0"/>
        <w:color w:val="76923C" w:themeColor="accent3"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nsid w:val="62437916"/>
    <w:multiLevelType w:val="hybridMultilevel"/>
    <w:tmpl w:val="460A813A"/>
    <w:lvl w:ilvl="0" w:tplc="9708A836">
      <w:start w:val="1"/>
      <w:numFmt w:val="bullet"/>
      <w:lvlText w:val=""/>
      <w:lvlJc w:val="left"/>
      <w:pPr>
        <w:ind w:left="360" w:hanging="360"/>
      </w:pPr>
      <w:rPr>
        <w:rFonts w:ascii="Symbol" w:hAnsi="Symbol" w:hint="default"/>
        <w:b w:val="0"/>
        <w:i w:val="0"/>
        <w:color w:val="365F91" w:themeColor="accent1" w:themeShade="BF"/>
        <w:position w:val="2"/>
        <w:sz w:val="1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BC82344"/>
    <w:multiLevelType w:val="hybridMultilevel"/>
    <w:tmpl w:val="2CE84362"/>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20EEAA70">
      <w:start w:val="1"/>
      <w:numFmt w:val="bullet"/>
      <w:lvlText w:val=""/>
      <w:lvlJc w:val="left"/>
      <w:pPr>
        <w:ind w:left="1193" w:hanging="360"/>
      </w:pPr>
      <w:rPr>
        <w:rFonts w:ascii="Symbol" w:hAnsi="Symbol" w:hint="default"/>
        <w:b w:val="0"/>
        <w:i w:val="0"/>
        <w:color w:val="76923C" w:themeColor="accent3" w:themeShade="BF"/>
        <w:position w:val="2"/>
        <w:sz w:val="14"/>
      </w:rPr>
    </w:lvl>
    <w:lvl w:ilvl="2" w:tplc="0C090005">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nsid w:val="6DC318CA"/>
    <w:multiLevelType w:val="hybridMultilevel"/>
    <w:tmpl w:val="3DF2EAF6"/>
    <w:lvl w:ilvl="0" w:tplc="9708A836">
      <w:start w:val="1"/>
      <w:numFmt w:val="bullet"/>
      <w:lvlText w:val=""/>
      <w:lvlJc w:val="left"/>
      <w:pPr>
        <w:tabs>
          <w:tab w:val="num" w:pos="113"/>
        </w:tabs>
        <w:ind w:left="227" w:hanging="114"/>
      </w:pPr>
      <w:rPr>
        <w:rFonts w:ascii="Symbol" w:hAnsi="Symbol" w:hint="default"/>
        <w:b w:val="0"/>
        <w:i w:val="0"/>
        <w:color w:val="365F91" w:themeColor="accent1" w:themeShade="BF"/>
        <w:position w:val="2"/>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143DFC"/>
    <w:multiLevelType w:val="hybridMultilevel"/>
    <w:tmpl w:val="ABA2D370"/>
    <w:lvl w:ilvl="0" w:tplc="FFFFFFFF">
      <w:start w:val="1"/>
      <w:numFmt w:val="bullet"/>
      <w:pStyle w:val="Bulletlist"/>
      <w:lvlText w:val=""/>
      <w:lvlJc w:val="left"/>
      <w:pPr>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75627089"/>
    <w:multiLevelType w:val="hybridMultilevel"/>
    <w:tmpl w:val="F3FCB9CA"/>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0">
    <w:nsid w:val="75783D85"/>
    <w:multiLevelType w:val="hybridMultilevel"/>
    <w:tmpl w:val="B9E05F32"/>
    <w:lvl w:ilvl="0" w:tplc="9708A836">
      <w:start w:val="1"/>
      <w:numFmt w:val="bullet"/>
      <w:lvlText w:val=""/>
      <w:lvlJc w:val="left"/>
      <w:pPr>
        <w:ind w:left="357" w:hanging="357"/>
      </w:pPr>
      <w:rPr>
        <w:rFonts w:ascii="Symbol" w:hAnsi="Symbol" w:hint="default"/>
        <w:b w:val="0"/>
        <w:i w:val="0"/>
        <w:color w:val="365F91" w:themeColor="accent1" w:themeShade="BF"/>
        <w:position w:val="2"/>
        <w:sz w:val="1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7543155"/>
    <w:multiLevelType w:val="hybridMultilevel"/>
    <w:tmpl w:val="9C7E3D4A"/>
    <w:lvl w:ilvl="0" w:tplc="20EEAA70">
      <w:start w:val="1"/>
      <w:numFmt w:val="bullet"/>
      <w:lvlText w:val=""/>
      <w:lvlJc w:val="left"/>
      <w:pPr>
        <w:tabs>
          <w:tab w:val="num" w:pos="113"/>
        </w:tabs>
        <w:ind w:left="227" w:hanging="114"/>
      </w:pPr>
      <w:rPr>
        <w:rFonts w:ascii="Symbol" w:hAnsi="Symbol" w:hint="default"/>
        <w:b w:val="0"/>
        <w:i w:val="0"/>
        <w:color w:val="76923C" w:themeColor="accent3" w:themeShade="BF"/>
        <w:position w:val="2"/>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6C29DC"/>
    <w:multiLevelType w:val="hybridMultilevel"/>
    <w:tmpl w:val="C1962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A3D4339"/>
    <w:multiLevelType w:val="hybridMultilevel"/>
    <w:tmpl w:val="B05429F4"/>
    <w:lvl w:ilvl="0" w:tplc="978096BA">
      <w:start w:val="1"/>
      <w:numFmt w:val="bullet"/>
      <w:lvlText w:val=""/>
      <w:lvlJc w:val="left"/>
      <w:pPr>
        <w:ind w:left="473" w:hanging="360"/>
      </w:pPr>
      <w:rPr>
        <w:rFonts w:ascii="Symbol" w:hAnsi="Symbol" w:hint="default"/>
        <w:b w:val="0"/>
        <w:i w:val="0"/>
        <w:color w:val="365F91" w:themeColor="accent1" w:themeShade="BF"/>
        <w:position w:val="2"/>
        <w:sz w:val="14"/>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4">
    <w:nsid w:val="7FC030F8"/>
    <w:multiLevelType w:val="hybridMultilevel"/>
    <w:tmpl w:val="A68E0142"/>
    <w:lvl w:ilvl="0" w:tplc="978096BA">
      <w:start w:val="1"/>
      <w:numFmt w:val="bullet"/>
      <w:lvlText w:val=""/>
      <w:lvlJc w:val="left"/>
      <w:pPr>
        <w:ind w:left="360" w:hanging="360"/>
      </w:pPr>
      <w:rPr>
        <w:rFonts w:ascii="Symbol" w:hAnsi="Symbol" w:hint="default"/>
        <w:b w:val="0"/>
        <w:i w:val="0"/>
        <w:color w:val="365F91" w:themeColor="accent1" w:themeShade="BF"/>
        <w:position w:val="2"/>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8"/>
  </w:num>
  <w:num w:numId="4">
    <w:abstractNumId w:val="3"/>
  </w:num>
  <w:num w:numId="5">
    <w:abstractNumId w:val="24"/>
  </w:num>
  <w:num w:numId="6">
    <w:abstractNumId w:val="33"/>
  </w:num>
  <w:num w:numId="7">
    <w:abstractNumId w:val="29"/>
  </w:num>
  <w:num w:numId="8">
    <w:abstractNumId w:val="16"/>
  </w:num>
  <w:num w:numId="9">
    <w:abstractNumId w:val="15"/>
  </w:num>
  <w:num w:numId="10">
    <w:abstractNumId w:val="2"/>
  </w:num>
  <w:num w:numId="11">
    <w:abstractNumId w:val="31"/>
  </w:num>
  <w:num w:numId="12">
    <w:abstractNumId w:val="32"/>
  </w:num>
  <w:num w:numId="13">
    <w:abstractNumId w:val="17"/>
  </w:num>
  <w:num w:numId="14">
    <w:abstractNumId w:val="13"/>
  </w:num>
  <w:num w:numId="15">
    <w:abstractNumId w:val="22"/>
  </w:num>
  <w:num w:numId="16">
    <w:abstractNumId w:val="6"/>
  </w:num>
  <w:num w:numId="17">
    <w:abstractNumId w:val="34"/>
  </w:num>
  <w:num w:numId="18">
    <w:abstractNumId w:val="25"/>
  </w:num>
  <w:num w:numId="19">
    <w:abstractNumId w:val="19"/>
  </w:num>
  <w:num w:numId="20">
    <w:abstractNumId w:val="8"/>
  </w:num>
  <w:num w:numId="21">
    <w:abstractNumId w:val="30"/>
  </w:num>
  <w:num w:numId="22">
    <w:abstractNumId w:val="27"/>
  </w:num>
  <w:num w:numId="23">
    <w:abstractNumId w:val="5"/>
  </w:num>
  <w:num w:numId="24">
    <w:abstractNumId w:val="9"/>
  </w:num>
  <w:num w:numId="25">
    <w:abstractNumId w:val="10"/>
  </w:num>
  <w:num w:numId="26">
    <w:abstractNumId w:val="20"/>
  </w:num>
  <w:num w:numId="27">
    <w:abstractNumId w:val="21"/>
  </w:num>
  <w:num w:numId="28">
    <w:abstractNumId w:val="12"/>
  </w:num>
  <w:num w:numId="29">
    <w:abstractNumId w:val="23"/>
  </w:num>
  <w:num w:numId="30">
    <w:abstractNumId w:val="7"/>
  </w:num>
  <w:num w:numId="31">
    <w:abstractNumId w:val="11"/>
  </w:num>
  <w:num w:numId="32">
    <w:abstractNumId w:val="14"/>
  </w:num>
  <w:num w:numId="33">
    <w:abstractNumId w:val="26"/>
  </w:num>
  <w:num w:numId="34">
    <w:abstractNumId w:val="4"/>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8"/>
  </w:num>
  <w:num w:numId="43">
    <w:abstractNumId w:val="1"/>
  </w:num>
  <w:num w:numId="4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evenAndOddHeaders/>
  <w:characterSpacingControl w:val="doNotCompress"/>
  <w:hdrShapeDefaults>
    <o:shapedefaults v:ext="edit" spidmax="2049">
      <o:colormru v:ext="edit" colors="#06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Start" w:val="Empty"/>
  </w:docVars>
  <w:rsids>
    <w:rsidRoot w:val="00E41976"/>
    <w:rsid w:val="0000098C"/>
    <w:rsid w:val="00000D0B"/>
    <w:rsid w:val="00000F3A"/>
    <w:rsid w:val="000013BE"/>
    <w:rsid w:val="00001AF8"/>
    <w:rsid w:val="000021B0"/>
    <w:rsid w:val="000031E0"/>
    <w:rsid w:val="00003327"/>
    <w:rsid w:val="0000359A"/>
    <w:rsid w:val="0000436D"/>
    <w:rsid w:val="00004483"/>
    <w:rsid w:val="0000472C"/>
    <w:rsid w:val="00004E42"/>
    <w:rsid w:val="0000518C"/>
    <w:rsid w:val="000051A6"/>
    <w:rsid w:val="000055B3"/>
    <w:rsid w:val="00005927"/>
    <w:rsid w:val="00005DDA"/>
    <w:rsid w:val="00005FBF"/>
    <w:rsid w:val="00006E72"/>
    <w:rsid w:val="000073D9"/>
    <w:rsid w:val="00007B81"/>
    <w:rsid w:val="00010F3E"/>
    <w:rsid w:val="000115DF"/>
    <w:rsid w:val="00011895"/>
    <w:rsid w:val="000118FF"/>
    <w:rsid w:val="00011BFC"/>
    <w:rsid w:val="0001237D"/>
    <w:rsid w:val="00012B40"/>
    <w:rsid w:val="00012FB0"/>
    <w:rsid w:val="00013468"/>
    <w:rsid w:val="00013743"/>
    <w:rsid w:val="00013913"/>
    <w:rsid w:val="00013E21"/>
    <w:rsid w:val="00013E95"/>
    <w:rsid w:val="0001470B"/>
    <w:rsid w:val="00014D81"/>
    <w:rsid w:val="00014EAE"/>
    <w:rsid w:val="00015123"/>
    <w:rsid w:val="0001546F"/>
    <w:rsid w:val="000164CE"/>
    <w:rsid w:val="00016659"/>
    <w:rsid w:val="00016C10"/>
    <w:rsid w:val="00016E03"/>
    <w:rsid w:val="0001799B"/>
    <w:rsid w:val="00017A72"/>
    <w:rsid w:val="00020073"/>
    <w:rsid w:val="00020126"/>
    <w:rsid w:val="00020431"/>
    <w:rsid w:val="000205D5"/>
    <w:rsid w:val="0002073E"/>
    <w:rsid w:val="00021F8F"/>
    <w:rsid w:val="00022B50"/>
    <w:rsid w:val="00022DA7"/>
    <w:rsid w:val="000230B8"/>
    <w:rsid w:val="000230C3"/>
    <w:rsid w:val="00023385"/>
    <w:rsid w:val="000233EF"/>
    <w:rsid w:val="00023B7E"/>
    <w:rsid w:val="00023C92"/>
    <w:rsid w:val="0002436A"/>
    <w:rsid w:val="00024645"/>
    <w:rsid w:val="00024755"/>
    <w:rsid w:val="00024CC6"/>
    <w:rsid w:val="000251FC"/>
    <w:rsid w:val="00025B97"/>
    <w:rsid w:val="00025F9F"/>
    <w:rsid w:val="0002637D"/>
    <w:rsid w:val="000264A6"/>
    <w:rsid w:val="00026A86"/>
    <w:rsid w:val="00026B5B"/>
    <w:rsid w:val="00026DD0"/>
    <w:rsid w:val="00027452"/>
    <w:rsid w:val="000277CB"/>
    <w:rsid w:val="00027D3F"/>
    <w:rsid w:val="000301A6"/>
    <w:rsid w:val="000305F1"/>
    <w:rsid w:val="000306CE"/>
    <w:rsid w:val="000315BF"/>
    <w:rsid w:val="00031A06"/>
    <w:rsid w:val="00032139"/>
    <w:rsid w:val="000321D7"/>
    <w:rsid w:val="0003260C"/>
    <w:rsid w:val="00032693"/>
    <w:rsid w:val="00032D7D"/>
    <w:rsid w:val="000331E2"/>
    <w:rsid w:val="00033943"/>
    <w:rsid w:val="00033B5A"/>
    <w:rsid w:val="000344F2"/>
    <w:rsid w:val="000344F3"/>
    <w:rsid w:val="00035605"/>
    <w:rsid w:val="000359AF"/>
    <w:rsid w:val="00036337"/>
    <w:rsid w:val="00036B5A"/>
    <w:rsid w:val="00037113"/>
    <w:rsid w:val="00037144"/>
    <w:rsid w:val="00037779"/>
    <w:rsid w:val="00037C64"/>
    <w:rsid w:val="00037C6F"/>
    <w:rsid w:val="00037E8F"/>
    <w:rsid w:val="00040BF9"/>
    <w:rsid w:val="00040D76"/>
    <w:rsid w:val="00040DBD"/>
    <w:rsid w:val="000412CE"/>
    <w:rsid w:val="00041DB5"/>
    <w:rsid w:val="000427B9"/>
    <w:rsid w:val="000431BC"/>
    <w:rsid w:val="00044069"/>
    <w:rsid w:val="000445B3"/>
    <w:rsid w:val="0004488C"/>
    <w:rsid w:val="000448F9"/>
    <w:rsid w:val="00044D34"/>
    <w:rsid w:val="00045F0C"/>
    <w:rsid w:val="00047065"/>
    <w:rsid w:val="00047964"/>
    <w:rsid w:val="00047DB1"/>
    <w:rsid w:val="00047E08"/>
    <w:rsid w:val="00050691"/>
    <w:rsid w:val="00050AA4"/>
    <w:rsid w:val="00050F2B"/>
    <w:rsid w:val="00051C70"/>
    <w:rsid w:val="000530F2"/>
    <w:rsid w:val="000533B6"/>
    <w:rsid w:val="00053D88"/>
    <w:rsid w:val="00053F25"/>
    <w:rsid w:val="000542B4"/>
    <w:rsid w:val="000542BE"/>
    <w:rsid w:val="000544B0"/>
    <w:rsid w:val="00054902"/>
    <w:rsid w:val="00054966"/>
    <w:rsid w:val="00054B17"/>
    <w:rsid w:val="000552CE"/>
    <w:rsid w:val="00055674"/>
    <w:rsid w:val="000558AC"/>
    <w:rsid w:val="00055924"/>
    <w:rsid w:val="000567FF"/>
    <w:rsid w:val="00056B6C"/>
    <w:rsid w:val="000570D2"/>
    <w:rsid w:val="000605D5"/>
    <w:rsid w:val="0006077E"/>
    <w:rsid w:val="000609C4"/>
    <w:rsid w:val="00060FA4"/>
    <w:rsid w:val="00060FF1"/>
    <w:rsid w:val="0006144D"/>
    <w:rsid w:val="000618E6"/>
    <w:rsid w:val="000624ED"/>
    <w:rsid w:val="00062501"/>
    <w:rsid w:val="0006334B"/>
    <w:rsid w:val="00063DD4"/>
    <w:rsid w:val="00064D9F"/>
    <w:rsid w:val="000650E9"/>
    <w:rsid w:val="00065E25"/>
    <w:rsid w:val="0006608D"/>
    <w:rsid w:val="00066151"/>
    <w:rsid w:val="00066191"/>
    <w:rsid w:val="000670AF"/>
    <w:rsid w:val="000674EA"/>
    <w:rsid w:val="00070701"/>
    <w:rsid w:val="0007086C"/>
    <w:rsid w:val="00070EAA"/>
    <w:rsid w:val="00070FBB"/>
    <w:rsid w:val="0007140F"/>
    <w:rsid w:val="000718FE"/>
    <w:rsid w:val="00071BF5"/>
    <w:rsid w:val="00071E33"/>
    <w:rsid w:val="000723D7"/>
    <w:rsid w:val="0007240D"/>
    <w:rsid w:val="00072C85"/>
    <w:rsid w:val="00072E45"/>
    <w:rsid w:val="00073D30"/>
    <w:rsid w:val="0007417A"/>
    <w:rsid w:val="00074714"/>
    <w:rsid w:val="00075AE3"/>
    <w:rsid w:val="00076DD0"/>
    <w:rsid w:val="000778DC"/>
    <w:rsid w:val="00077C86"/>
    <w:rsid w:val="0008040B"/>
    <w:rsid w:val="00080CBB"/>
    <w:rsid w:val="00081678"/>
    <w:rsid w:val="00082870"/>
    <w:rsid w:val="00082ACB"/>
    <w:rsid w:val="00082BDC"/>
    <w:rsid w:val="00082F7C"/>
    <w:rsid w:val="000834AF"/>
    <w:rsid w:val="0008362A"/>
    <w:rsid w:val="00083B2E"/>
    <w:rsid w:val="00084502"/>
    <w:rsid w:val="000845E1"/>
    <w:rsid w:val="00084C29"/>
    <w:rsid w:val="00085687"/>
    <w:rsid w:val="00085CA6"/>
    <w:rsid w:val="00085E8F"/>
    <w:rsid w:val="00086094"/>
    <w:rsid w:val="000866DB"/>
    <w:rsid w:val="00086B12"/>
    <w:rsid w:val="00086BD6"/>
    <w:rsid w:val="00086C04"/>
    <w:rsid w:val="00086DCD"/>
    <w:rsid w:val="0008714D"/>
    <w:rsid w:val="000874CB"/>
    <w:rsid w:val="0008750F"/>
    <w:rsid w:val="00087C36"/>
    <w:rsid w:val="00090411"/>
    <w:rsid w:val="000904E5"/>
    <w:rsid w:val="0009295E"/>
    <w:rsid w:val="00092C2D"/>
    <w:rsid w:val="00093CFF"/>
    <w:rsid w:val="00093E20"/>
    <w:rsid w:val="00094060"/>
    <w:rsid w:val="000949E3"/>
    <w:rsid w:val="00094B22"/>
    <w:rsid w:val="00094B73"/>
    <w:rsid w:val="00094C6E"/>
    <w:rsid w:val="0009522F"/>
    <w:rsid w:val="00095265"/>
    <w:rsid w:val="000952D6"/>
    <w:rsid w:val="000955C5"/>
    <w:rsid w:val="00095642"/>
    <w:rsid w:val="000957B5"/>
    <w:rsid w:val="00095D34"/>
    <w:rsid w:val="00095DBA"/>
    <w:rsid w:val="00096336"/>
    <w:rsid w:val="0009644C"/>
    <w:rsid w:val="00096914"/>
    <w:rsid w:val="00096B7C"/>
    <w:rsid w:val="00097A9E"/>
    <w:rsid w:val="000A01B4"/>
    <w:rsid w:val="000A031C"/>
    <w:rsid w:val="000A0792"/>
    <w:rsid w:val="000A0CD0"/>
    <w:rsid w:val="000A12B3"/>
    <w:rsid w:val="000A1309"/>
    <w:rsid w:val="000A13A9"/>
    <w:rsid w:val="000A1523"/>
    <w:rsid w:val="000A191D"/>
    <w:rsid w:val="000A1C0E"/>
    <w:rsid w:val="000A263E"/>
    <w:rsid w:val="000A28E5"/>
    <w:rsid w:val="000A2BB1"/>
    <w:rsid w:val="000A3827"/>
    <w:rsid w:val="000A41E2"/>
    <w:rsid w:val="000A4428"/>
    <w:rsid w:val="000A4698"/>
    <w:rsid w:val="000A4E9B"/>
    <w:rsid w:val="000A4EAE"/>
    <w:rsid w:val="000A532A"/>
    <w:rsid w:val="000A5C0F"/>
    <w:rsid w:val="000A5C66"/>
    <w:rsid w:val="000B0008"/>
    <w:rsid w:val="000B07A1"/>
    <w:rsid w:val="000B0828"/>
    <w:rsid w:val="000B14A5"/>
    <w:rsid w:val="000B1BA6"/>
    <w:rsid w:val="000B1CF3"/>
    <w:rsid w:val="000B1EBC"/>
    <w:rsid w:val="000B208D"/>
    <w:rsid w:val="000B20BC"/>
    <w:rsid w:val="000B242F"/>
    <w:rsid w:val="000B25BC"/>
    <w:rsid w:val="000B3520"/>
    <w:rsid w:val="000B4033"/>
    <w:rsid w:val="000B4E4D"/>
    <w:rsid w:val="000B5151"/>
    <w:rsid w:val="000B5179"/>
    <w:rsid w:val="000B5372"/>
    <w:rsid w:val="000B5A60"/>
    <w:rsid w:val="000B63C6"/>
    <w:rsid w:val="000B6438"/>
    <w:rsid w:val="000B696B"/>
    <w:rsid w:val="000B7190"/>
    <w:rsid w:val="000B7B43"/>
    <w:rsid w:val="000B7EA5"/>
    <w:rsid w:val="000C0342"/>
    <w:rsid w:val="000C0A2C"/>
    <w:rsid w:val="000C0A7E"/>
    <w:rsid w:val="000C0C5B"/>
    <w:rsid w:val="000C1100"/>
    <w:rsid w:val="000C1529"/>
    <w:rsid w:val="000C18FC"/>
    <w:rsid w:val="000C193A"/>
    <w:rsid w:val="000C1BAF"/>
    <w:rsid w:val="000C1E17"/>
    <w:rsid w:val="000C1F9E"/>
    <w:rsid w:val="000C24B9"/>
    <w:rsid w:val="000C24FB"/>
    <w:rsid w:val="000C258B"/>
    <w:rsid w:val="000C300D"/>
    <w:rsid w:val="000C304C"/>
    <w:rsid w:val="000C304F"/>
    <w:rsid w:val="000C3C27"/>
    <w:rsid w:val="000C4238"/>
    <w:rsid w:val="000C5656"/>
    <w:rsid w:val="000C6713"/>
    <w:rsid w:val="000C6A8B"/>
    <w:rsid w:val="000C6DE2"/>
    <w:rsid w:val="000C7B63"/>
    <w:rsid w:val="000C7EFC"/>
    <w:rsid w:val="000D002C"/>
    <w:rsid w:val="000D00D1"/>
    <w:rsid w:val="000D0125"/>
    <w:rsid w:val="000D0131"/>
    <w:rsid w:val="000D0334"/>
    <w:rsid w:val="000D0F9F"/>
    <w:rsid w:val="000D120A"/>
    <w:rsid w:val="000D1845"/>
    <w:rsid w:val="000D1C15"/>
    <w:rsid w:val="000D1D4F"/>
    <w:rsid w:val="000D26FA"/>
    <w:rsid w:val="000D2D76"/>
    <w:rsid w:val="000D2E28"/>
    <w:rsid w:val="000D3829"/>
    <w:rsid w:val="000D3D11"/>
    <w:rsid w:val="000D420A"/>
    <w:rsid w:val="000D42D3"/>
    <w:rsid w:val="000D4602"/>
    <w:rsid w:val="000D4779"/>
    <w:rsid w:val="000D4AE8"/>
    <w:rsid w:val="000D4DEB"/>
    <w:rsid w:val="000D52DF"/>
    <w:rsid w:val="000D5764"/>
    <w:rsid w:val="000D5840"/>
    <w:rsid w:val="000D5B80"/>
    <w:rsid w:val="000D61CA"/>
    <w:rsid w:val="000D631F"/>
    <w:rsid w:val="000D64A6"/>
    <w:rsid w:val="000D650C"/>
    <w:rsid w:val="000D66FE"/>
    <w:rsid w:val="000D6B2B"/>
    <w:rsid w:val="000D6F19"/>
    <w:rsid w:val="000D715B"/>
    <w:rsid w:val="000D7B6E"/>
    <w:rsid w:val="000D7D83"/>
    <w:rsid w:val="000E03AA"/>
    <w:rsid w:val="000E0614"/>
    <w:rsid w:val="000E15F7"/>
    <w:rsid w:val="000E1C05"/>
    <w:rsid w:val="000E2510"/>
    <w:rsid w:val="000E25CF"/>
    <w:rsid w:val="000E296F"/>
    <w:rsid w:val="000E3652"/>
    <w:rsid w:val="000E3913"/>
    <w:rsid w:val="000E5201"/>
    <w:rsid w:val="000E5DF4"/>
    <w:rsid w:val="000E6CEE"/>
    <w:rsid w:val="000E6E19"/>
    <w:rsid w:val="000E6E8E"/>
    <w:rsid w:val="000E6F8E"/>
    <w:rsid w:val="000E7B52"/>
    <w:rsid w:val="000F07BC"/>
    <w:rsid w:val="000F0ED1"/>
    <w:rsid w:val="000F15B8"/>
    <w:rsid w:val="000F178B"/>
    <w:rsid w:val="000F191C"/>
    <w:rsid w:val="000F2173"/>
    <w:rsid w:val="000F2294"/>
    <w:rsid w:val="000F22B6"/>
    <w:rsid w:val="000F2336"/>
    <w:rsid w:val="000F2530"/>
    <w:rsid w:val="000F39A1"/>
    <w:rsid w:val="000F39CF"/>
    <w:rsid w:val="000F3BC9"/>
    <w:rsid w:val="000F3E83"/>
    <w:rsid w:val="000F44E9"/>
    <w:rsid w:val="000F48FE"/>
    <w:rsid w:val="000F4DDF"/>
    <w:rsid w:val="000F5582"/>
    <w:rsid w:val="000F5F57"/>
    <w:rsid w:val="000F5F74"/>
    <w:rsid w:val="000F62B7"/>
    <w:rsid w:val="000F68F8"/>
    <w:rsid w:val="000F6D76"/>
    <w:rsid w:val="000F759A"/>
    <w:rsid w:val="000F764C"/>
    <w:rsid w:val="000F7F86"/>
    <w:rsid w:val="00100278"/>
    <w:rsid w:val="0010054C"/>
    <w:rsid w:val="0010169A"/>
    <w:rsid w:val="0010227E"/>
    <w:rsid w:val="00102584"/>
    <w:rsid w:val="001026CE"/>
    <w:rsid w:val="00102BAA"/>
    <w:rsid w:val="001035B5"/>
    <w:rsid w:val="0010392D"/>
    <w:rsid w:val="00103B14"/>
    <w:rsid w:val="00104DDF"/>
    <w:rsid w:val="00105985"/>
    <w:rsid w:val="00105A2F"/>
    <w:rsid w:val="00105B25"/>
    <w:rsid w:val="00105BAB"/>
    <w:rsid w:val="0010680B"/>
    <w:rsid w:val="00106E8B"/>
    <w:rsid w:val="001070D0"/>
    <w:rsid w:val="001101DB"/>
    <w:rsid w:val="001105A0"/>
    <w:rsid w:val="001108B4"/>
    <w:rsid w:val="00110919"/>
    <w:rsid w:val="001110D9"/>
    <w:rsid w:val="001113D9"/>
    <w:rsid w:val="00111521"/>
    <w:rsid w:val="00111F04"/>
    <w:rsid w:val="00112881"/>
    <w:rsid w:val="00113117"/>
    <w:rsid w:val="001132E2"/>
    <w:rsid w:val="001134F7"/>
    <w:rsid w:val="00113C7D"/>
    <w:rsid w:val="00113E2F"/>
    <w:rsid w:val="001140B2"/>
    <w:rsid w:val="00114CF9"/>
    <w:rsid w:val="00115ACD"/>
    <w:rsid w:val="00115C86"/>
    <w:rsid w:val="00116BB7"/>
    <w:rsid w:val="00116E31"/>
    <w:rsid w:val="0011770A"/>
    <w:rsid w:val="00117EA7"/>
    <w:rsid w:val="0012014F"/>
    <w:rsid w:val="001209A8"/>
    <w:rsid w:val="00120CAF"/>
    <w:rsid w:val="00121063"/>
    <w:rsid w:val="0012135F"/>
    <w:rsid w:val="001219D3"/>
    <w:rsid w:val="00121C7B"/>
    <w:rsid w:val="00121DD8"/>
    <w:rsid w:val="00122529"/>
    <w:rsid w:val="00122755"/>
    <w:rsid w:val="0012276C"/>
    <w:rsid w:val="00122B28"/>
    <w:rsid w:val="00122E6C"/>
    <w:rsid w:val="001232DA"/>
    <w:rsid w:val="001238DA"/>
    <w:rsid w:val="0012396C"/>
    <w:rsid w:val="00123D7F"/>
    <w:rsid w:val="00123E40"/>
    <w:rsid w:val="00124F05"/>
    <w:rsid w:val="00125103"/>
    <w:rsid w:val="00125604"/>
    <w:rsid w:val="001256D1"/>
    <w:rsid w:val="001258F3"/>
    <w:rsid w:val="00125A62"/>
    <w:rsid w:val="00125C24"/>
    <w:rsid w:val="00126689"/>
    <w:rsid w:val="00126CFD"/>
    <w:rsid w:val="00126DCF"/>
    <w:rsid w:val="001273F0"/>
    <w:rsid w:val="00127418"/>
    <w:rsid w:val="001305E3"/>
    <w:rsid w:val="00131DDA"/>
    <w:rsid w:val="0013272D"/>
    <w:rsid w:val="00132BAB"/>
    <w:rsid w:val="00132D85"/>
    <w:rsid w:val="001330E6"/>
    <w:rsid w:val="00133277"/>
    <w:rsid w:val="001333FA"/>
    <w:rsid w:val="00134751"/>
    <w:rsid w:val="00134B3D"/>
    <w:rsid w:val="001356A6"/>
    <w:rsid w:val="00136BFB"/>
    <w:rsid w:val="00137239"/>
    <w:rsid w:val="001375A4"/>
    <w:rsid w:val="00140050"/>
    <w:rsid w:val="0014079C"/>
    <w:rsid w:val="001407BE"/>
    <w:rsid w:val="0014080E"/>
    <w:rsid w:val="00140AAF"/>
    <w:rsid w:val="00140F38"/>
    <w:rsid w:val="00141132"/>
    <w:rsid w:val="0014153F"/>
    <w:rsid w:val="001416A5"/>
    <w:rsid w:val="00141912"/>
    <w:rsid w:val="001427B0"/>
    <w:rsid w:val="001436DB"/>
    <w:rsid w:val="00143BE2"/>
    <w:rsid w:val="00143DC7"/>
    <w:rsid w:val="00143FE1"/>
    <w:rsid w:val="0014406E"/>
    <w:rsid w:val="00144180"/>
    <w:rsid w:val="001441F7"/>
    <w:rsid w:val="00144A73"/>
    <w:rsid w:val="00144BC3"/>
    <w:rsid w:val="001454D6"/>
    <w:rsid w:val="00145859"/>
    <w:rsid w:val="00145909"/>
    <w:rsid w:val="001473B2"/>
    <w:rsid w:val="00147BA5"/>
    <w:rsid w:val="00147D01"/>
    <w:rsid w:val="00147F75"/>
    <w:rsid w:val="00150202"/>
    <w:rsid w:val="00150FCA"/>
    <w:rsid w:val="001513CC"/>
    <w:rsid w:val="001514EA"/>
    <w:rsid w:val="0015173E"/>
    <w:rsid w:val="00151B26"/>
    <w:rsid w:val="00151BF0"/>
    <w:rsid w:val="00152340"/>
    <w:rsid w:val="00152498"/>
    <w:rsid w:val="00152DDC"/>
    <w:rsid w:val="00152DF0"/>
    <w:rsid w:val="00153583"/>
    <w:rsid w:val="001540F0"/>
    <w:rsid w:val="00154EFA"/>
    <w:rsid w:val="001551E4"/>
    <w:rsid w:val="001556B6"/>
    <w:rsid w:val="001558F6"/>
    <w:rsid w:val="00155ACB"/>
    <w:rsid w:val="00155DDB"/>
    <w:rsid w:val="00156A0D"/>
    <w:rsid w:val="00156D17"/>
    <w:rsid w:val="00156E3A"/>
    <w:rsid w:val="00156E79"/>
    <w:rsid w:val="0015729C"/>
    <w:rsid w:val="00157503"/>
    <w:rsid w:val="00157F14"/>
    <w:rsid w:val="00160DBE"/>
    <w:rsid w:val="00160FCC"/>
    <w:rsid w:val="00161236"/>
    <w:rsid w:val="00161629"/>
    <w:rsid w:val="00161755"/>
    <w:rsid w:val="0016179B"/>
    <w:rsid w:val="00162B67"/>
    <w:rsid w:val="00163382"/>
    <w:rsid w:val="001637D2"/>
    <w:rsid w:val="00163DA9"/>
    <w:rsid w:val="00163E95"/>
    <w:rsid w:val="00164517"/>
    <w:rsid w:val="0016482F"/>
    <w:rsid w:val="00165031"/>
    <w:rsid w:val="00165A89"/>
    <w:rsid w:val="00165A9C"/>
    <w:rsid w:val="00165BB3"/>
    <w:rsid w:val="00165E35"/>
    <w:rsid w:val="00165FD1"/>
    <w:rsid w:val="001661C5"/>
    <w:rsid w:val="00166CF5"/>
    <w:rsid w:val="00167A07"/>
    <w:rsid w:val="00167B61"/>
    <w:rsid w:val="00170699"/>
    <w:rsid w:val="00170CD7"/>
    <w:rsid w:val="00170D7E"/>
    <w:rsid w:val="00171020"/>
    <w:rsid w:val="00171CC7"/>
    <w:rsid w:val="00171F58"/>
    <w:rsid w:val="00172DFF"/>
    <w:rsid w:val="00173AE8"/>
    <w:rsid w:val="00174D56"/>
    <w:rsid w:val="00175C50"/>
    <w:rsid w:val="00175E2E"/>
    <w:rsid w:val="001773E4"/>
    <w:rsid w:val="001777F9"/>
    <w:rsid w:val="00180005"/>
    <w:rsid w:val="0018031D"/>
    <w:rsid w:val="0018175E"/>
    <w:rsid w:val="00181838"/>
    <w:rsid w:val="00181A4C"/>
    <w:rsid w:val="00182A95"/>
    <w:rsid w:val="00182ACC"/>
    <w:rsid w:val="00182CF9"/>
    <w:rsid w:val="00183580"/>
    <w:rsid w:val="001836E8"/>
    <w:rsid w:val="00184227"/>
    <w:rsid w:val="00184951"/>
    <w:rsid w:val="00184BF4"/>
    <w:rsid w:val="00184F84"/>
    <w:rsid w:val="00185804"/>
    <w:rsid w:val="00185BFA"/>
    <w:rsid w:val="001864A9"/>
    <w:rsid w:val="001865CC"/>
    <w:rsid w:val="00186A43"/>
    <w:rsid w:val="00186E21"/>
    <w:rsid w:val="00187225"/>
    <w:rsid w:val="00187322"/>
    <w:rsid w:val="001877CD"/>
    <w:rsid w:val="001877DC"/>
    <w:rsid w:val="0019011C"/>
    <w:rsid w:val="001902DA"/>
    <w:rsid w:val="001904CD"/>
    <w:rsid w:val="001905F7"/>
    <w:rsid w:val="00190CE0"/>
    <w:rsid w:val="00191FD9"/>
    <w:rsid w:val="001920E4"/>
    <w:rsid w:val="00192656"/>
    <w:rsid w:val="00193029"/>
    <w:rsid w:val="0019346B"/>
    <w:rsid w:val="001934C0"/>
    <w:rsid w:val="00193D82"/>
    <w:rsid w:val="00194286"/>
    <w:rsid w:val="0019492E"/>
    <w:rsid w:val="00194B91"/>
    <w:rsid w:val="00194CA3"/>
    <w:rsid w:val="00196041"/>
    <w:rsid w:val="0019627B"/>
    <w:rsid w:val="001962EA"/>
    <w:rsid w:val="0019649C"/>
    <w:rsid w:val="00196974"/>
    <w:rsid w:val="0019699B"/>
    <w:rsid w:val="00196EBA"/>
    <w:rsid w:val="00196F19"/>
    <w:rsid w:val="00197840"/>
    <w:rsid w:val="00197A9A"/>
    <w:rsid w:val="001A07BD"/>
    <w:rsid w:val="001A0854"/>
    <w:rsid w:val="001A1581"/>
    <w:rsid w:val="001A1AD1"/>
    <w:rsid w:val="001A1E6E"/>
    <w:rsid w:val="001A31C4"/>
    <w:rsid w:val="001A3314"/>
    <w:rsid w:val="001A3458"/>
    <w:rsid w:val="001A40F0"/>
    <w:rsid w:val="001A4590"/>
    <w:rsid w:val="001A492A"/>
    <w:rsid w:val="001A4A54"/>
    <w:rsid w:val="001A4B12"/>
    <w:rsid w:val="001A4CF9"/>
    <w:rsid w:val="001A4FF7"/>
    <w:rsid w:val="001A618D"/>
    <w:rsid w:val="001A65CA"/>
    <w:rsid w:val="001A68E3"/>
    <w:rsid w:val="001A7030"/>
    <w:rsid w:val="001A743A"/>
    <w:rsid w:val="001A77DB"/>
    <w:rsid w:val="001B0187"/>
    <w:rsid w:val="001B16D7"/>
    <w:rsid w:val="001B1F62"/>
    <w:rsid w:val="001B2568"/>
    <w:rsid w:val="001B33B8"/>
    <w:rsid w:val="001B3621"/>
    <w:rsid w:val="001B3B1D"/>
    <w:rsid w:val="001B4775"/>
    <w:rsid w:val="001B537A"/>
    <w:rsid w:val="001B53F4"/>
    <w:rsid w:val="001B5413"/>
    <w:rsid w:val="001B545B"/>
    <w:rsid w:val="001B59F5"/>
    <w:rsid w:val="001B5B7E"/>
    <w:rsid w:val="001B5D25"/>
    <w:rsid w:val="001B6171"/>
    <w:rsid w:val="001B690A"/>
    <w:rsid w:val="001B69B8"/>
    <w:rsid w:val="001B6ED9"/>
    <w:rsid w:val="001B723B"/>
    <w:rsid w:val="001B796C"/>
    <w:rsid w:val="001B7D17"/>
    <w:rsid w:val="001B7FA5"/>
    <w:rsid w:val="001B7FE0"/>
    <w:rsid w:val="001C02B4"/>
    <w:rsid w:val="001C0387"/>
    <w:rsid w:val="001C062F"/>
    <w:rsid w:val="001C0BE7"/>
    <w:rsid w:val="001C10D4"/>
    <w:rsid w:val="001C1188"/>
    <w:rsid w:val="001C124F"/>
    <w:rsid w:val="001C1596"/>
    <w:rsid w:val="001C1759"/>
    <w:rsid w:val="001C1EE7"/>
    <w:rsid w:val="001C20D6"/>
    <w:rsid w:val="001C215C"/>
    <w:rsid w:val="001C2339"/>
    <w:rsid w:val="001C239D"/>
    <w:rsid w:val="001C28DD"/>
    <w:rsid w:val="001C2DDC"/>
    <w:rsid w:val="001C3148"/>
    <w:rsid w:val="001C3505"/>
    <w:rsid w:val="001C3ACD"/>
    <w:rsid w:val="001C57B0"/>
    <w:rsid w:val="001C5D5A"/>
    <w:rsid w:val="001C6679"/>
    <w:rsid w:val="001C668F"/>
    <w:rsid w:val="001C68E2"/>
    <w:rsid w:val="001C6CBB"/>
    <w:rsid w:val="001C6EFC"/>
    <w:rsid w:val="001C7091"/>
    <w:rsid w:val="001C72E4"/>
    <w:rsid w:val="001C790D"/>
    <w:rsid w:val="001C7A8C"/>
    <w:rsid w:val="001C7B86"/>
    <w:rsid w:val="001D0105"/>
    <w:rsid w:val="001D0AE1"/>
    <w:rsid w:val="001D1656"/>
    <w:rsid w:val="001D20B8"/>
    <w:rsid w:val="001D2673"/>
    <w:rsid w:val="001D2792"/>
    <w:rsid w:val="001D2857"/>
    <w:rsid w:val="001D2CF4"/>
    <w:rsid w:val="001D3585"/>
    <w:rsid w:val="001D50D0"/>
    <w:rsid w:val="001D53B5"/>
    <w:rsid w:val="001D5930"/>
    <w:rsid w:val="001D599A"/>
    <w:rsid w:val="001D5CD7"/>
    <w:rsid w:val="001D6168"/>
    <w:rsid w:val="001D71CB"/>
    <w:rsid w:val="001D728C"/>
    <w:rsid w:val="001D7560"/>
    <w:rsid w:val="001D759F"/>
    <w:rsid w:val="001D7956"/>
    <w:rsid w:val="001E0752"/>
    <w:rsid w:val="001E08B8"/>
    <w:rsid w:val="001E09DD"/>
    <w:rsid w:val="001E21F4"/>
    <w:rsid w:val="001E23BD"/>
    <w:rsid w:val="001E2B36"/>
    <w:rsid w:val="001E3026"/>
    <w:rsid w:val="001E3486"/>
    <w:rsid w:val="001E3686"/>
    <w:rsid w:val="001E3E22"/>
    <w:rsid w:val="001E4A04"/>
    <w:rsid w:val="001E5003"/>
    <w:rsid w:val="001E6395"/>
    <w:rsid w:val="001E7437"/>
    <w:rsid w:val="001E7C6A"/>
    <w:rsid w:val="001F0434"/>
    <w:rsid w:val="001F0A4B"/>
    <w:rsid w:val="001F1847"/>
    <w:rsid w:val="001F1C0D"/>
    <w:rsid w:val="001F2260"/>
    <w:rsid w:val="001F240B"/>
    <w:rsid w:val="001F29E3"/>
    <w:rsid w:val="001F2BFB"/>
    <w:rsid w:val="001F2C90"/>
    <w:rsid w:val="001F2DCF"/>
    <w:rsid w:val="001F2FE6"/>
    <w:rsid w:val="001F333F"/>
    <w:rsid w:val="001F3AE1"/>
    <w:rsid w:val="001F3DC5"/>
    <w:rsid w:val="001F4261"/>
    <w:rsid w:val="001F5431"/>
    <w:rsid w:val="001F56DC"/>
    <w:rsid w:val="001F580F"/>
    <w:rsid w:val="001F5FC3"/>
    <w:rsid w:val="001F6116"/>
    <w:rsid w:val="001F63E6"/>
    <w:rsid w:val="001F64A9"/>
    <w:rsid w:val="001F6726"/>
    <w:rsid w:val="001F6C83"/>
    <w:rsid w:val="001F78C1"/>
    <w:rsid w:val="001F7A52"/>
    <w:rsid w:val="001F7AEB"/>
    <w:rsid w:val="001F7C07"/>
    <w:rsid w:val="00200194"/>
    <w:rsid w:val="00200B0F"/>
    <w:rsid w:val="0020110B"/>
    <w:rsid w:val="002014E5"/>
    <w:rsid w:val="00202768"/>
    <w:rsid w:val="00202F23"/>
    <w:rsid w:val="002033D9"/>
    <w:rsid w:val="00203B44"/>
    <w:rsid w:val="00204000"/>
    <w:rsid w:val="002044DF"/>
    <w:rsid w:val="00205339"/>
    <w:rsid w:val="00205A58"/>
    <w:rsid w:val="00205A9D"/>
    <w:rsid w:val="00205B50"/>
    <w:rsid w:val="00205EF5"/>
    <w:rsid w:val="0020601B"/>
    <w:rsid w:val="002061AC"/>
    <w:rsid w:val="002065E8"/>
    <w:rsid w:val="0020691A"/>
    <w:rsid w:val="00206ACC"/>
    <w:rsid w:val="0020796B"/>
    <w:rsid w:val="00207DF0"/>
    <w:rsid w:val="0021038E"/>
    <w:rsid w:val="00210422"/>
    <w:rsid w:val="00210774"/>
    <w:rsid w:val="002118B7"/>
    <w:rsid w:val="002124F0"/>
    <w:rsid w:val="002125AB"/>
    <w:rsid w:val="00212E16"/>
    <w:rsid w:val="00213095"/>
    <w:rsid w:val="002131B9"/>
    <w:rsid w:val="00213BC5"/>
    <w:rsid w:val="00213C0F"/>
    <w:rsid w:val="00214F35"/>
    <w:rsid w:val="00215601"/>
    <w:rsid w:val="0021651B"/>
    <w:rsid w:val="002169A8"/>
    <w:rsid w:val="00216B80"/>
    <w:rsid w:val="00217421"/>
    <w:rsid w:val="00217764"/>
    <w:rsid w:val="00220148"/>
    <w:rsid w:val="0022176C"/>
    <w:rsid w:val="00221A72"/>
    <w:rsid w:val="00221E29"/>
    <w:rsid w:val="00222544"/>
    <w:rsid w:val="0022275F"/>
    <w:rsid w:val="00222E74"/>
    <w:rsid w:val="0022400D"/>
    <w:rsid w:val="00224378"/>
    <w:rsid w:val="00224561"/>
    <w:rsid w:val="002248DA"/>
    <w:rsid w:val="00224C3A"/>
    <w:rsid w:val="00224E66"/>
    <w:rsid w:val="00225029"/>
    <w:rsid w:val="002269E2"/>
    <w:rsid w:val="00227312"/>
    <w:rsid w:val="002275C9"/>
    <w:rsid w:val="002277E9"/>
    <w:rsid w:val="00227F04"/>
    <w:rsid w:val="00227F35"/>
    <w:rsid w:val="00230896"/>
    <w:rsid w:val="002309EA"/>
    <w:rsid w:val="00230E49"/>
    <w:rsid w:val="0023164B"/>
    <w:rsid w:val="002318E7"/>
    <w:rsid w:val="00231994"/>
    <w:rsid w:val="00231A35"/>
    <w:rsid w:val="00231FD0"/>
    <w:rsid w:val="002324B6"/>
    <w:rsid w:val="00232544"/>
    <w:rsid w:val="002327DE"/>
    <w:rsid w:val="002329EF"/>
    <w:rsid w:val="00232C9F"/>
    <w:rsid w:val="00233202"/>
    <w:rsid w:val="0023338B"/>
    <w:rsid w:val="00233452"/>
    <w:rsid w:val="00233C45"/>
    <w:rsid w:val="00233F17"/>
    <w:rsid w:val="00234AF0"/>
    <w:rsid w:val="00234DB4"/>
    <w:rsid w:val="00235011"/>
    <w:rsid w:val="0023505C"/>
    <w:rsid w:val="00235109"/>
    <w:rsid w:val="002358FE"/>
    <w:rsid w:val="0023598E"/>
    <w:rsid w:val="00236CCD"/>
    <w:rsid w:val="00236DE0"/>
    <w:rsid w:val="00240BA4"/>
    <w:rsid w:val="00240E1B"/>
    <w:rsid w:val="00240F20"/>
    <w:rsid w:val="00241BC1"/>
    <w:rsid w:val="0024209D"/>
    <w:rsid w:val="00242B10"/>
    <w:rsid w:val="00243EAA"/>
    <w:rsid w:val="00244765"/>
    <w:rsid w:val="00244A97"/>
    <w:rsid w:val="00245864"/>
    <w:rsid w:val="00246095"/>
    <w:rsid w:val="0024635B"/>
    <w:rsid w:val="0024706D"/>
    <w:rsid w:val="00247288"/>
    <w:rsid w:val="0024747B"/>
    <w:rsid w:val="00247897"/>
    <w:rsid w:val="002508E9"/>
    <w:rsid w:val="00251094"/>
    <w:rsid w:val="002511BC"/>
    <w:rsid w:val="00251427"/>
    <w:rsid w:val="00252000"/>
    <w:rsid w:val="0025254F"/>
    <w:rsid w:val="002531BA"/>
    <w:rsid w:val="00253442"/>
    <w:rsid w:val="00253FE6"/>
    <w:rsid w:val="0025400C"/>
    <w:rsid w:val="0025463D"/>
    <w:rsid w:val="00255874"/>
    <w:rsid w:val="00255E47"/>
    <w:rsid w:val="00256257"/>
    <w:rsid w:val="00256922"/>
    <w:rsid w:val="002571B0"/>
    <w:rsid w:val="0026038D"/>
    <w:rsid w:val="00260CCC"/>
    <w:rsid w:val="0026109A"/>
    <w:rsid w:val="00261552"/>
    <w:rsid w:val="00261697"/>
    <w:rsid w:val="00261798"/>
    <w:rsid w:val="00261BE6"/>
    <w:rsid w:val="00261F1A"/>
    <w:rsid w:val="002629BC"/>
    <w:rsid w:val="00262C8A"/>
    <w:rsid w:val="00263D3B"/>
    <w:rsid w:val="002647C8"/>
    <w:rsid w:val="00265A46"/>
    <w:rsid w:val="00265FE3"/>
    <w:rsid w:val="0026607E"/>
    <w:rsid w:val="00267307"/>
    <w:rsid w:val="0027062C"/>
    <w:rsid w:val="00270AFC"/>
    <w:rsid w:val="00271202"/>
    <w:rsid w:val="00271C2E"/>
    <w:rsid w:val="0027209E"/>
    <w:rsid w:val="002727C9"/>
    <w:rsid w:val="002729F7"/>
    <w:rsid w:val="002734C6"/>
    <w:rsid w:val="002736AE"/>
    <w:rsid w:val="0027429D"/>
    <w:rsid w:val="002744F6"/>
    <w:rsid w:val="002755F5"/>
    <w:rsid w:val="002757F4"/>
    <w:rsid w:val="00275821"/>
    <w:rsid w:val="00275C1F"/>
    <w:rsid w:val="00275E16"/>
    <w:rsid w:val="0027602B"/>
    <w:rsid w:val="002761B6"/>
    <w:rsid w:val="0027794E"/>
    <w:rsid w:val="00277A25"/>
    <w:rsid w:val="00277AD8"/>
    <w:rsid w:val="00277F59"/>
    <w:rsid w:val="00280144"/>
    <w:rsid w:val="00281061"/>
    <w:rsid w:val="002819C9"/>
    <w:rsid w:val="0028224E"/>
    <w:rsid w:val="002824F4"/>
    <w:rsid w:val="00282704"/>
    <w:rsid w:val="00282D83"/>
    <w:rsid w:val="00283290"/>
    <w:rsid w:val="00283916"/>
    <w:rsid w:val="002844A9"/>
    <w:rsid w:val="00284656"/>
    <w:rsid w:val="00285E32"/>
    <w:rsid w:val="00286148"/>
    <w:rsid w:val="002865B6"/>
    <w:rsid w:val="00286B1D"/>
    <w:rsid w:val="0028706F"/>
    <w:rsid w:val="00287A0F"/>
    <w:rsid w:val="0029026D"/>
    <w:rsid w:val="002905B4"/>
    <w:rsid w:val="0029169D"/>
    <w:rsid w:val="00291FA1"/>
    <w:rsid w:val="00292BE1"/>
    <w:rsid w:val="0029325D"/>
    <w:rsid w:val="00293302"/>
    <w:rsid w:val="002936E7"/>
    <w:rsid w:val="00293917"/>
    <w:rsid w:val="00294E33"/>
    <w:rsid w:val="00295297"/>
    <w:rsid w:val="00295618"/>
    <w:rsid w:val="00295CC2"/>
    <w:rsid w:val="00295E3C"/>
    <w:rsid w:val="00296087"/>
    <w:rsid w:val="002960BB"/>
    <w:rsid w:val="002967D9"/>
    <w:rsid w:val="00296B9A"/>
    <w:rsid w:val="0029718E"/>
    <w:rsid w:val="00297820"/>
    <w:rsid w:val="002A081A"/>
    <w:rsid w:val="002A0921"/>
    <w:rsid w:val="002A15E7"/>
    <w:rsid w:val="002A163D"/>
    <w:rsid w:val="002A1A81"/>
    <w:rsid w:val="002A1DD0"/>
    <w:rsid w:val="002A1E89"/>
    <w:rsid w:val="002A1EBA"/>
    <w:rsid w:val="002A238F"/>
    <w:rsid w:val="002A3A89"/>
    <w:rsid w:val="002A4123"/>
    <w:rsid w:val="002A41B7"/>
    <w:rsid w:val="002A4AA2"/>
    <w:rsid w:val="002A4E4E"/>
    <w:rsid w:val="002A537E"/>
    <w:rsid w:val="002A53DF"/>
    <w:rsid w:val="002A55E3"/>
    <w:rsid w:val="002A5A95"/>
    <w:rsid w:val="002A5B3A"/>
    <w:rsid w:val="002A5FE3"/>
    <w:rsid w:val="002A6332"/>
    <w:rsid w:val="002A6C3C"/>
    <w:rsid w:val="002A6E04"/>
    <w:rsid w:val="002A6EE3"/>
    <w:rsid w:val="002A7990"/>
    <w:rsid w:val="002B0508"/>
    <w:rsid w:val="002B055A"/>
    <w:rsid w:val="002B095B"/>
    <w:rsid w:val="002B18E9"/>
    <w:rsid w:val="002B1E62"/>
    <w:rsid w:val="002B1F57"/>
    <w:rsid w:val="002B2550"/>
    <w:rsid w:val="002B3E90"/>
    <w:rsid w:val="002B4702"/>
    <w:rsid w:val="002B4E24"/>
    <w:rsid w:val="002B50EC"/>
    <w:rsid w:val="002B5A8D"/>
    <w:rsid w:val="002B5CF7"/>
    <w:rsid w:val="002B5DD2"/>
    <w:rsid w:val="002B5FFA"/>
    <w:rsid w:val="002B62A0"/>
    <w:rsid w:val="002B6374"/>
    <w:rsid w:val="002B6720"/>
    <w:rsid w:val="002B69CB"/>
    <w:rsid w:val="002C004A"/>
    <w:rsid w:val="002C0587"/>
    <w:rsid w:val="002C076D"/>
    <w:rsid w:val="002C0816"/>
    <w:rsid w:val="002C191F"/>
    <w:rsid w:val="002C1ABF"/>
    <w:rsid w:val="002C2116"/>
    <w:rsid w:val="002C21E2"/>
    <w:rsid w:val="002C240D"/>
    <w:rsid w:val="002C2441"/>
    <w:rsid w:val="002C369F"/>
    <w:rsid w:val="002C3968"/>
    <w:rsid w:val="002C3B6F"/>
    <w:rsid w:val="002C446E"/>
    <w:rsid w:val="002C4BD1"/>
    <w:rsid w:val="002C4D3A"/>
    <w:rsid w:val="002C4DC2"/>
    <w:rsid w:val="002C4E6B"/>
    <w:rsid w:val="002C58FB"/>
    <w:rsid w:val="002C5A1D"/>
    <w:rsid w:val="002C60E7"/>
    <w:rsid w:val="002C640A"/>
    <w:rsid w:val="002C6B0B"/>
    <w:rsid w:val="002C6C8C"/>
    <w:rsid w:val="002C72F2"/>
    <w:rsid w:val="002C79B5"/>
    <w:rsid w:val="002C7AC7"/>
    <w:rsid w:val="002C7EC1"/>
    <w:rsid w:val="002D0333"/>
    <w:rsid w:val="002D03D2"/>
    <w:rsid w:val="002D1565"/>
    <w:rsid w:val="002D16A9"/>
    <w:rsid w:val="002D2025"/>
    <w:rsid w:val="002D21EC"/>
    <w:rsid w:val="002D2B4D"/>
    <w:rsid w:val="002D2B65"/>
    <w:rsid w:val="002D2C17"/>
    <w:rsid w:val="002D2F56"/>
    <w:rsid w:val="002D34B0"/>
    <w:rsid w:val="002D34CC"/>
    <w:rsid w:val="002D34DE"/>
    <w:rsid w:val="002D3846"/>
    <w:rsid w:val="002D431B"/>
    <w:rsid w:val="002D46C5"/>
    <w:rsid w:val="002D49D9"/>
    <w:rsid w:val="002D4C03"/>
    <w:rsid w:val="002D4C04"/>
    <w:rsid w:val="002D4D82"/>
    <w:rsid w:val="002D5249"/>
    <w:rsid w:val="002D59AD"/>
    <w:rsid w:val="002D5AD5"/>
    <w:rsid w:val="002D5B23"/>
    <w:rsid w:val="002D5E2B"/>
    <w:rsid w:val="002D6560"/>
    <w:rsid w:val="002D66F4"/>
    <w:rsid w:val="002D6A3A"/>
    <w:rsid w:val="002D6CA8"/>
    <w:rsid w:val="002D7808"/>
    <w:rsid w:val="002D780B"/>
    <w:rsid w:val="002D7A04"/>
    <w:rsid w:val="002E0440"/>
    <w:rsid w:val="002E063A"/>
    <w:rsid w:val="002E06A5"/>
    <w:rsid w:val="002E08E3"/>
    <w:rsid w:val="002E0E28"/>
    <w:rsid w:val="002E1305"/>
    <w:rsid w:val="002E1A81"/>
    <w:rsid w:val="002E1EF8"/>
    <w:rsid w:val="002E2502"/>
    <w:rsid w:val="002E25A1"/>
    <w:rsid w:val="002E2891"/>
    <w:rsid w:val="002E2B85"/>
    <w:rsid w:val="002E2F12"/>
    <w:rsid w:val="002E3B01"/>
    <w:rsid w:val="002E3B0C"/>
    <w:rsid w:val="002E48BF"/>
    <w:rsid w:val="002E4C15"/>
    <w:rsid w:val="002E4EF9"/>
    <w:rsid w:val="002E4F0C"/>
    <w:rsid w:val="002E59B9"/>
    <w:rsid w:val="002E5AA7"/>
    <w:rsid w:val="002E60E2"/>
    <w:rsid w:val="002E6786"/>
    <w:rsid w:val="002E6D1E"/>
    <w:rsid w:val="002E7DBC"/>
    <w:rsid w:val="002F07A2"/>
    <w:rsid w:val="002F0F44"/>
    <w:rsid w:val="002F1A38"/>
    <w:rsid w:val="002F1E1A"/>
    <w:rsid w:val="002F25A7"/>
    <w:rsid w:val="002F2B7B"/>
    <w:rsid w:val="002F2BA4"/>
    <w:rsid w:val="002F3212"/>
    <w:rsid w:val="002F3C54"/>
    <w:rsid w:val="002F4553"/>
    <w:rsid w:val="002F45D5"/>
    <w:rsid w:val="002F46C0"/>
    <w:rsid w:val="002F4C52"/>
    <w:rsid w:val="002F5669"/>
    <w:rsid w:val="002F6D3E"/>
    <w:rsid w:val="002F7067"/>
    <w:rsid w:val="002F763C"/>
    <w:rsid w:val="002F7717"/>
    <w:rsid w:val="002F78AB"/>
    <w:rsid w:val="002F7AE1"/>
    <w:rsid w:val="002F7DB2"/>
    <w:rsid w:val="00300347"/>
    <w:rsid w:val="0030086D"/>
    <w:rsid w:val="00300B10"/>
    <w:rsid w:val="00300BBC"/>
    <w:rsid w:val="00301197"/>
    <w:rsid w:val="003013F7"/>
    <w:rsid w:val="00301762"/>
    <w:rsid w:val="00301FDF"/>
    <w:rsid w:val="00303654"/>
    <w:rsid w:val="003037E5"/>
    <w:rsid w:val="00303E17"/>
    <w:rsid w:val="003040D5"/>
    <w:rsid w:val="00304358"/>
    <w:rsid w:val="0030458E"/>
    <w:rsid w:val="00304C92"/>
    <w:rsid w:val="00305146"/>
    <w:rsid w:val="003054BD"/>
    <w:rsid w:val="00305555"/>
    <w:rsid w:val="003057F1"/>
    <w:rsid w:val="00306BD0"/>
    <w:rsid w:val="00307014"/>
    <w:rsid w:val="003078FB"/>
    <w:rsid w:val="00307966"/>
    <w:rsid w:val="00307A13"/>
    <w:rsid w:val="0031016D"/>
    <w:rsid w:val="00310751"/>
    <w:rsid w:val="00310976"/>
    <w:rsid w:val="00310BCF"/>
    <w:rsid w:val="00310C91"/>
    <w:rsid w:val="00311256"/>
    <w:rsid w:val="00311297"/>
    <w:rsid w:val="00311660"/>
    <w:rsid w:val="003117F3"/>
    <w:rsid w:val="00311A2E"/>
    <w:rsid w:val="00311EAD"/>
    <w:rsid w:val="00312808"/>
    <w:rsid w:val="00312A9E"/>
    <w:rsid w:val="00312DC6"/>
    <w:rsid w:val="00313625"/>
    <w:rsid w:val="00313A94"/>
    <w:rsid w:val="0031418F"/>
    <w:rsid w:val="003144B4"/>
    <w:rsid w:val="003149B8"/>
    <w:rsid w:val="003152CC"/>
    <w:rsid w:val="00315C21"/>
    <w:rsid w:val="00316D7F"/>
    <w:rsid w:val="003178E7"/>
    <w:rsid w:val="00320016"/>
    <w:rsid w:val="00321041"/>
    <w:rsid w:val="0032113A"/>
    <w:rsid w:val="0032113E"/>
    <w:rsid w:val="00321D45"/>
    <w:rsid w:val="00321DE9"/>
    <w:rsid w:val="00321ED2"/>
    <w:rsid w:val="00321F8E"/>
    <w:rsid w:val="0032249D"/>
    <w:rsid w:val="003237F9"/>
    <w:rsid w:val="0032399D"/>
    <w:rsid w:val="0032509B"/>
    <w:rsid w:val="00325C60"/>
    <w:rsid w:val="00325EA9"/>
    <w:rsid w:val="0032652B"/>
    <w:rsid w:val="00326DBB"/>
    <w:rsid w:val="00326E20"/>
    <w:rsid w:val="00327020"/>
    <w:rsid w:val="003274DF"/>
    <w:rsid w:val="00327A82"/>
    <w:rsid w:val="00327B56"/>
    <w:rsid w:val="00327B57"/>
    <w:rsid w:val="00330167"/>
    <w:rsid w:val="0033017F"/>
    <w:rsid w:val="0033099B"/>
    <w:rsid w:val="003314B2"/>
    <w:rsid w:val="003318B2"/>
    <w:rsid w:val="00331A90"/>
    <w:rsid w:val="003323B6"/>
    <w:rsid w:val="003327CA"/>
    <w:rsid w:val="0033309A"/>
    <w:rsid w:val="00333FF8"/>
    <w:rsid w:val="0033535B"/>
    <w:rsid w:val="00336495"/>
    <w:rsid w:val="00336FD9"/>
    <w:rsid w:val="003371E0"/>
    <w:rsid w:val="00337473"/>
    <w:rsid w:val="003402E1"/>
    <w:rsid w:val="00340385"/>
    <w:rsid w:val="003404F2"/>
    <w:rsid w:val="00341097"/>
    <w:rsid w:val="003419D9"/>
    <w:rsid w:val="00341BDE"/>
    <w:rsid w:val="0034225C"/>
    <w:rsid w:val="0034233A"/>
    <w:rsid w:val="003423AC"/>
    <w:rsid w:val="003427AB"/>
    <w:rsid w:val="00342B0F"/>
    <w:rsid w:val="00342CAF"/>
    <w:rsid w:val="003432FF"/>
    <w:rsid w:val="0034339A"/>
    <w:rsid w:val="00343F58"/>
    <w:rsid w:val="00345224"/>
    <w:rsid w:val="00347B09"/>
    <w:rsid w:val="00347E13"/>
    <w:rsid w:val="00347EB8"/>
    <w:rsid w:val="0035036D"/>
    <w:rsid w:val="003503D9"/>
    <w:rsid w:val="00350D29"/>
    <w:rsid w:val="00350D9B"/>
    <w:rsid w:val="00350E35"/>
    <w:rsid w:val="00351166"/>
    <w:rsid w:val="003518C2"/>
    <w:rsid w:val="00351DE9"/>
    <w:rsid w:val="00352375"/>
    <w:rsid w:val="003524C7"/>
    <w:rsid w:val="00352617"/>
    <w:rsid w:val="00352D9F"/>
    <w:rsid w:val="00353262"/>
    <w:rsid w:val="003535F3"/>
    <w:rsid w:val="00354108"/>
    <w:rsid w:val="003542A9"/>
    <w:rsid w:val="003545A7"/>
    <w:rsid w:val="003547D7"/>
    <w:rsid w:val="00354A56"/>
    <w:rsid w:val="003552D9"/>
    <w:rsid w:val="003556C8"/>
    <w:rsid w:val="00355DDA"/>
    <w:rsid w:val="0035604F"/>
    <w:rsid w:val="00356319"/>
    <w:rsid w:val="003564AE"/>
    <w:rsid w:val="003564F4"/>
    <w:rsid w:val="00356959"/>
    <w:rsid w:val="00356ED9"/>
    <w:rsid w:val="00357518"/>
    <w:rsid w:val="00360460"/>
    <w:rsid w:val="00360951"/>
    <w:rsid w:val="00360FE6"/>
    <w:rsid w:val="003612E2"/>
    <w:rsid w:val="00361689"/>
    <w:rsid w:val="00361DA1"/>
    <w:rsid w:val="00361E44"/>
    <w:rsid w:val="003626BB"/>
    <w:rsid w:val="0036283E"/>
    <w:rsid w:val="00362E51"/>
    <w:rsid w:val="00363B35"/>
    <w:rsid w:val="003642AD"/>
    <w:rsid w:val="0036442C"/>
    <w:rsid w:val="003648EF"/>
    <w:rsid w:val="00364A12"/>
    <w:rsid w:val="003655F4"/>
    <w:rsid w:val="00365806"/>
    <w:rsid w:val="003659C6"/>
    <w:rsid w:val="00366161"/>
    <w:rsid w:val="003669B4"/>
    <w:rsid w:val="00366ACC"/>
    <w:rsid w:val="003670E8"/>
    <w:rsid w:val="00367436"/>
    <w:rsid w:val="00367A84"/>
    <w:rsid w:val="00367E19"/>
    <w:rsid w:val="00367FDB"/>
    <w:rsid w:val="00370B87"/>
    <w:rsid w:val="003712A9"/>
    <w:rsid w:val="003722DF"/>
    <w:rsid w:val="00372D4B"/>
    <w:rsid w:val="00372EA7"/>
    <w:rsid w:val="00373778"/>
    <w:rsid w:val="003746F8"/>
    <w:rsid w:val="00374ED1"/>
    <w:rsid w:val="00375752"/>
    <w:rsid w:val="003757C0"/>
    <w:rsid w:val="00375C94"/>
    <w:rsid w:val="00375DDA"/>
    <w:rsid w:val="00375EFF"/>
    <w:rsid w:val="00375F7F"/>
    <w:rsid w:val="003760F5"/>
    <w:rsid w:val="003764F2"/>
    <w:rsid w:val="0037746F"/>
    <w:rsid w:val="00377638"/>
    <w:rsid w:val="003778A9"/>
    <w:rsid w:val="0037793E"/>
    <w:rsid w:val="00377AAA"/>
    <w:rsid w:val="003801EA"/>
    <w:rsid w:val="0038178F"/>
    <w:rsid w:val="00381D8D"/>
    <w:rsid w:val="00382204"/>
    <w:rsid w:val="00382343"/>
    <w:rsid w:val="0038243B"/>
    <w:rsid w:val="00382960"/>
    <w:rsid w:val="00383942"/>
    <w:rsid w:val="00383CF6"/>
    <w:rsid w:val="00383D02"/>
    <w:rsid w:val="00384885"/>
    <w:rsid w:val="00384BC2"/>
    <w:rsid w:val="003859BE"/>
    <w:rsid w:val="00385DBA"/>
    <w:rsid w:val="00385F2D"/>
    <w:rsid w:val="003860F6"/>
    <w:rsid w:val="0038624C"/>
    <w:rsid w:val="003863F2"/>
    <w:rsid w:val="003866C5"/>
    <w:rsid w:val="00386BD7"/>
    <w:rsid w:val="00386BFA"/>
    <w:rsid w:val="00387472"/>
    <w:rsid w:val="003878D5"/>
    <w:rsid w:val="00387912"/>
    <w:rsid w:val="00387EC4"/>
    <w:rsid w:val="00390092"/>
    <w:rsid w:val="003900F7"/>
    <w:rsid w:val="003903C9"/>
    <w:rsid w:val="0039055D"/>
    <w:rsid w:val="003906CE"/>
    <w:rsid w:val="0039072E"/>
    <w:rsid w:val="0039074D"/>
    <w:rsid w:val="00390B40"/>
    <w:rsid w:val="00390F00"/>
    <w:rsid w:val="0039262A"/>
    <w:rsid w:val="003927AA"/>
    <w:rsid w:val="00392DAC"/>
    <w:rsid w:val="003938FB"/>
    <w:rsid w:val="0039410E"/>
    <w:rsid w:val="003941C8"/>
    <w:rsid w:val="00394A7B"/>
    <w:rsid w:val="00394A8E"/>
    <w:rsid w:val="00395242"/>
    <w:rsid w:val="003962B9"/>
    <w:rsid w:val="00396399"/>
    <w:rsid w:val="00397AF4"/>
    <w:rsid w:val="00397C0D"/>
    <w:rsid w:val="00397C95"/>
    <w:rsid w:val="003A05AD"/>
    <w:rsid w:val="003A0646"/>
    <w:rsid w:val="003A0804"/>
    <w:rsid w:val="003A0C8E"/>
    <w:rsid w:val="003A0CB7"/>
    <w:rsid w:val="003A15C4"/>
    <w:rsid w:val="003A17A6"/>
    <w:rsid w:val="003A1BA5"/>
    <w:rsid w:val="003A3628"/>
    <w:rsid w:val="003A388D"/>
    <w:rsid w:val="003A3ECA"/>
    <w:rsid w:val="003A40A9"/>
    <w:rsid w:val="003A419B"/>
    <w:rsid w:val="003A4F95"/>
    <w:rsid w:val="003A595B"/>
    <w:rsid w:val="003A5E44"/>
    <w:rsid w:val="003A680C"/>
    <w:rsid w:val="003A77CE"/>
    <w:rsid w:val="003A7C35"/>
    <w:rsid w:val="003B04EA"/>
    <w:rsid w:val="003B0532"/>
    <w:rsid w:val="003B0652"/>
    <w:rsid w:val="003B0D06"/>
    <w:rsid w:val="003B1428"/>
    <w:rsid w:val="003B2ABE"/>
    <w:rsid w:val="003B33FB"/>
    <w:rsid w:val="003B3C27"/>
    <w:rsid w:val="003B3CA3"/>
    <w:rsid w:val="003B3E17"/>
    <w:rsid w:val="003B46B0"/>
    <w:rsid w:val="003B49B6"/>
    <w:rsid w:val="003B4B6C"/>
    <w:rsid w:val="003B4D63"/>
    <w:rsid w:val="003B4EE7"/>
    <w:rsid w:val="003B5280"/>
    <w:rsid w:val="003B57CE"/>
    <w:rsid w:val="003B5967"/>
    <w:rsid w:val="003B5B55"/>
    <w:rsid w:val="003B5CC2"/>
    <w:rsid w:val="003B6005"/>
    <w:rsid w:val="003B6A37"/>
    <w:rsid w:val="003B7116"/>
    <w:rsid w:val="003B716D"/>
    <w:rsid w:val="003B7A52"/>
    <w:rsid w:val="003B7A75"/>
    <w:rsid w:val="003C0A63"/>
    <w:rsid w:val="003C17B3"/>
    <w:rsid w:val="003C19A6"/>
    <w:rsid w:val="003C1D94"/>
    <w:rsid w:val="003C309B"/>
    <w:rsid w:val="003C3503"/>
    <w:rsid w:val="003C3779"/>
    <w:rsid w:val="003C3DFD"/>
    <w:rsid w:val="003C3EAC"/>
    <w:rsid w:val="003C42E3"/>
    <w:rsid w:val="003C4E57"/>
    <w:rsid w:val="003C531F"/>
    <w:rsid w:val="003C60A4"/>
    <w:rsid w:val="003C638E"/>
    <w:rsid w:val="003C64BD"/>
    <w:rsid w:val="003C6826"/>
    <w:rsid w:val="003C6BC3"/>
    <w:rsid w:val="003C70E2"/>
    <w:rsid w:val="003C7F25"/>
    <w:rsid w:val="003D01DF"/>
    <w:rsid w:val="003D04A5"/>
    <w:rsid w:val="003D04FC"/>
    <w:rsid w:val="003D06F9"/>
    <w:rsid w:val="003D0B77"/>
    <w:rsid w:val="003D0B83"/>
    <w:rsid w:val="003D0C76"/>
    <w:rsid w:val="003D127A"/>
    <w:rsid w:val="003D1B11"/>
    <w:rsid w:val="003D1F0F"/>
    <w:rsid w:val="003D2B68"/>
    <w:rsid w:val="003D2C28"/>
    <w:rsid w:val="003D2DB4"/>
    <w:rsid w:val="003D356E"/>
    <w:rsid w:val="003D428F"/>
    <w:rsid w:val="003D467A"/>
    <w:rsid w:val="003D475D"/>
    <w:rsid w:val="003D5467"/>
    <w:rsid w:val="003D5B53"/>
    <w:rsid w:val="003D5F27"/>
    <w:rsid w:val="003D6152"/>
    <w:rsid w:val="003D6709"/>
    <w:rsid w:val="003D6852"/>
    <w:rsid w:val="003D6ABC"/>
    <w:rsid w:val="003D6F84"/>
    <w:rsid w:val="003D7231"/>
    <w:rsid w:val="003D738C"/>
    <w:rsid w:val="003D73F7"/>
    <w:rsid w:val="003D73FD"/>
    <w:rsid w:val="003D74FD"/>
    <w:rsid w:val="003D7663"/>
    <w:rsid w:val="003D7A1B"/>
    <w:rsid w:val="003E1293"/>
    <w:rsid w:val="003E15DC"/>
    <w:rsid w:val="003E180C"/>
    <w:rsid w:val="003E1898"/>
    <w:rsid w:val="003E265B"/>
    <w:rsid w:val="003E26CF"/>
    <w:rsid w:val="003E2B4C"/>
    <w:rsid w:val="003E307C"/>
    <w:rsid w:val="003E325C"/>
    <w:rsid w:val="003E3882"/>
    <w:rsid w:val="003E3A06"/>
    <w:rsid w:val="003E5729"/>
    <w:rsid w:val="003E5C73"/>
    <w:rsid w:val="003E5E52"/>
    <w:rsid w:val="003E66F5"/>
    <w:rsid w:val="003E6C12"/>
    <w:rsid w:val="003E7198"/>
    <w:rsid w:val="003E7502"/>
    <w:rsid w:val="003E78E5"/>
    <w:rsid w:val="003E7CFF"/>
    <w:rsid w:val="003F0817"/>
    <w:rsid w:val="003F0B1F"/>
    <w:rsid w:val="003F0B8D"/>
    <w:rsid w:val="003F0BDE"/>
    <w:rsid w:val="003F0C71"/>
    <w:rsid w:val="003F0FFE"/>
    <w:rsid w:val="003F15B3"/>
    <w:rsid w:val="003F173C"/>
    <w:rsid w:val="003F2BBB"/>
    <w:rsid w:val="003F3002"/>
    <w:rsid w:val="003F3426"/>
    <w:rsid w:val="003F3790"/>
    <w:rsid w:val="003F3ABA"/>
    <w:rsid w:val="003F3CC5"/>
    <w:rsid w:val="003F3CF1"/>
    <w:rsid w:val="003F3F47"/>
    <w:rsid w:val="003F4BA3"/>
    <w:rsid w:val="003F545E"/>
    <w:rsid w:val="003F5D03"/>
    <w:rsid w:val="003F61CF"/>
    <w:rsid w:val="003F6393"/>
    <w:rsid w:val="003F7606"/>
    <w:rsid w:val="004004B6"/>
    <w:rsid w:val="00400E32"/>
    <w:rsid w:val="004014B2"/>
    <w:rsid w:val="00401A98"/>
    <w:rsid w:val="004027ED"/>
    <w:rsid w:val="00402945"/>
    <w:rsid w:val="00402AE8"/>
    <w:rsid w:val="00402BA7"/>
    <w:rsid w:val="0040326D"/>
    <w:rsid w:val="00403DC4"/>
    <w:rsid w:val="0040408C"/>
    <w:rsid w:val="004041D1"/>
    <w:rsid w:val="00404265"/>
    <w:rsid w:val="004042E8"/>
    <w:rsid w:val="00404AB0"/>
    <w:rsid w:val="00405349"/>
    <w:rsid w:val="0040591F"/>
    <w:rsid w:val="00405B55"/>
    <w:rsid w:val="00405CF2"/>
    <w:rsid w:val="0040635F"/>
    <w:rsid w:val="004067B5"/>
    <w:rsid w:val="00406ABC"/>
    <w:rsid w:val="00407310"/>
    <w:rsid w:val="00407369"/>
    <w:rsid w:val="0040743A"/>
    <w:rsid w:val="00407788"/>
    <w:rsid w:val="00407A28"/>
    <w:rsid w:val="00407CB0"/>
    <w:rsid w:val="0041083F"/>
    <w:rsid w:val="004111E3"/>
    <w:rsid w:val="004113EA"/>
    <w:rsid w:val="004117D2"/>
    <w:rsid w:val="00411DEF"/>
    <w:rsid w:val="00412284"/>
    <w:rsid w:val="0041249D"/>
    <w:rsid w:val="00412973"/>
    <w:rsid w:val="00413203"/>
    <w:rsid w:val="0041429C"/>
    <w:rsid w:val="004145B9"/>
    <w:rsid w:val="00414EFB"/>
    <w:rsid w:val="004155CE"/>
    <w:rsid w:val="00416B1A"/>
    <w:rsid w:val="00416B67"/>
    <w:rsid w:val="00416D6F"/>
    <w:rsid w:val="004206F8"/>
    <w:rsid w:val="00422EC5"/>
    <w:rsid w:val="00423423"/>
    <w:rsid w:val="00423B9C"/>
    <w:rsid w:val="00424363"/>
    <w:rsid w:val="00424EFC"/>
    <w:rsid w:val="0042530C"/>
    <w:rsid w:val="00425450"/>
    <w:rsid w:val="004257C4"/>
    <w:rsid w:val="00426187"/>
    <w:rsid w:val="00426252"/>
    <w:rsid w:val="00426650"/>
    <w:rsid w:val="00426ABA"/>
    <w:rsid w:val="0042760E"/>
    <w:rsid w:val="00427E55"/>
    <w:rsid w:val="004302D8"/>
    <w:rsid w:val="00430A43"/>
    <w:rsid w:val="004311C7"/>
    <w:rsid w:val="00431768"/>
    <w:rsid w:val="004319EB"/>
    <w:rsid w:val="00431D26"/>
    <w:rsid w:val="0043232D"/>
    <w:rsid w:val="004324BC"/>
    <w:rsid w:val="00432790"/>
    <w:rsid w:val="0043328F"/>
    <w:rsid w:val="00433312"/>
    <w:rsid w:val="00433A3A"/>
    <w:rsid w:val="00434144"/>
    <w:rsid w:val="00434910"/>
    <w:rsid w:val="00434EEF"/>
    <w:rsid w:val="004359B4"/>
    <w:rsid w:val="00435B9E"/>
    <w:rsid w:val="00435D95"/>
    <w:rsid w:val="00435EB6"/>
    <w:rsid w:val="00436827"/>
    <w:rsid w:val="00437ACC"/>
    <w:rsid w:val="00437FA9"/>
    <w:rsid w:val="00440176"/>
    <w:rsid w:val="0044026D"/>
    <w:rsid w:val="00441483"/>
    <w:rsid w:val="00442CBB"/>
    <w:rsid w:val="00442DEB"/>
    <w:rsid w:val="00443212"/>
    <w:rsid w:val="00443529"/>
    <w:rsid w:val="0044360F"/>
    <w:rsid w:val="0044425D"/>
    <w:rsid w:val="004445E4"/>
    <w:rsid w:val="00445755"/>
    <w:rsid w:val="004461F5"/>
    <w:rsid w:val="00446613"/>
    <w:rsid w:val="00446AF0"/>
    <w:rsid w:val="00446BE5"/>
    <w:rsid w:val="0044708C"/>
    <w:rsid w:val="004478B6"/>
    <w:rsid w:val="0045005D"/>
    <w:rsid w:val="0045041A"/>
    <w:rsid w:val="004504D4"/>
    <w:rsid w:val="00451109"/>
    <w:rsid w:val="00451217"/>
    <w:rsid w:val="004512E2"/>
    <w:rsid w:val="00451A20"/>
    <w:rsid w:val="00451C98"/>
    <w:rsid w:val="00451CF6"/>
    <w:rsid w:val="00452253"/>
    <w:rsid w:val="00452698"/>
    <w:rsid w:val="004529B8"/>
    <w:rsid w:val="00452AAC"/>
    <w:rsid w:val="00452C40"/>
    <w:rsid w:val="00452EAA"/>
    <w:rsid w:val="00453279"/>
    <w:rsid w:val="00453928"/>
    <w:rsid w:val="00454034"/>
    <w:rsid w:val="004543E3"/>
    <w:rsid w:val="0045471B"/>
    <w:rsid w:val="0045523F"/>
    <w:rsid w:val="00455A42"/>
    <w:rsid w:val="00455AA2"/>
    <w:rsid w:val="004566D8"/>
    <w:rsid w:val="004571B4"/>
    <w:rsid w:val="004571E4"/>
    <w:rsid w:val="00457D77"/>
    <w:rsid w:val="00457E38"/>
    <w:rsid w:val="00460AB7"/>
    <w:rsid w:val="00462358"/>
    <w:rsid w:val="0046280E"/>
    <w:rsid w:val="004635B1"/>
    <w:rsid w:val="00463D64"/>
    <w:rsid w:val="00463D85"/>
    <w:rsid w:val="00464995"/>
    <w:rsid w:val="00466C7C"/>
    <w:rsid w:val="00466E1B"/>
    <w:rsid w:val="0046736F"/>
    <w:rsid w:val="004679ED"/>
    <w:rsid w:val="00467A90"/>
    <w:rsid w:val="00467F90"/>
    <w:rsid w:val="0047004A"/>
    <w:rsid w:val="00470D51"/>
    <w:rsid w:val="00470E76"/>
    <w:rsid w:val="00471FC1"/>
    <w:rsid w:val="0047367B"/>
    <w:rsid w:val="0047390C"/>
    <w:rsid w:val="00473E16"/>
    <w:rsid w:val="00473E46"/>
    <w:rsid w:val="00473FF6"/>
    <w:rsid w:val="00474605"/>
    <w:rsid w:val="00475213"/>
    <w:rsid w:val="0047523E"/>
    <w:rsid w:val="00475A9C"/>
    <w:rsid w:val="00476107"/>
    <w:rsid w:val="0047660A"/>
    <w:rsid w:val="0047672F"/>
    <w:rsid w:val="004767B8"/>
    <w:rsid w:val="004771F6"/>
    <w:rsid w:val="00480283"/>
    <w:rsid w:val="004802BD"/>
    <w:rsid w:val="00480446"/>
    <w:rsid w:val="004807D9"/>
    <w:rsid w:val="00480A1C"/>
    <w:rsid w:val="00480AFA"/>
    <w:rsid w:val="00480B3B"/>
    <w:rsid w:val="00480D54"/>
    <w:rsid w:val="004816EE"/>
    <w:rsid w:val="00482F83"/>
    <w:rsid w:val="004833EF"/>
    <w:rsid w:val="00483582"/>
    <w:rsid w:val="00483ED3"/>
    <w:rsid w:val="00484338"/>
    <w:rsid w:val="0048472F"/>
    <w:rsid w:val="00484A61"/>
    <w:rsid w:val="0048510C"/>
    <w:rsid w:val="00485115"/>
    <w:rsid w:val="00485168"/>
    <w:rsid w:val="004851B2"/>
    <w:rsid w:val="004855FD"/>
    <w:rsid w:val="004856D4"/>
    <w:rsid w:val="00485841"/>
    <w:rsid w:val="00485899"/>
    <w:rsid w:val="0048612D"/>
    <w:rsid w:val="0048695A"/>
    <w:rsid w:val="00486FB5"/>
    <w:rsid w:val="00487041"/>
    <w:rsid w:val="004873CA"/>
    <w:rsid w:val="0048755D"/>
    <w:rsid w:val="0048779E"/>
    <w:rsid w:val="00487BE6"/>
    <w:rsid w:val="004907C4"/>
    <w:rsid w:val="004909DC"/>
    <w:rsid w:val="00490EA6"/>
    <w:rsid w:val="00491308"/>
    <w:rsid w:val="004914CF"/>
    <w:rsid w:val="00491822"/>
    <w:rsid w:val="004927FD"/>
    <w:rsid w:val="00492838"/>
    <w:rsid w:val="00492955"/>
    <w:rsid w:val="0049336A"/>
    <w:rsid w:val="00493A15"/>
    <w:rsid w:val="004942B7"/>
    <w:rsid w:val="00494659"/>
    <w:rsid w:val="004946DA"/>
    <w:rsid w:val="00494F1F"/>
    <w:rsid w:val="004957F9"/>
    <w:rsid w:val="00495A64"/>
    <w:rsid w:val="00495C76"/>
    <w:rsid w:val="0049613A"/>
    <w:rsid w:val="0049626A"/>
    <w:rsid w:val="004970EB"/>
    <w:rsid w:val="004972C3"/>
    <w:rsid w:val="00497809"/>
    <w:rsid w:val="004978BF"/>
    <w:rsid w:val="00497C8C"/>
    <w:rsid w:val="004A0779"/>
    <w:rsid w:val="004A0863"/>
    <w:rsid w:val="004A08A6"/>
    <w:rsid w:val="004A0B59"/>
    <w:rsid w:val="004A0BA6"/>
    <w:rsid w:val="004A10D1"/>
    <w:rsid w:val="004A1216"/>
    <w:rsid w:val="004A1B68"/>
    <w:rsid w:val="004A374A"/>
    <w:rsid w:val="004A379C"/>
    <w:rsid w:val="004A4330"/>
    <w:rsid w:val="004A4862"/>
    <w:rsid w:val="004A48AE"/>
    <w:rsid w:val="004A4BF5"/>
    <w:rsid w:val="004A4DCD"/>
    <w:rsid w:val="004A5D82"/>
    <w:rsid w:val="004A60D7"/>
    <w:rsid w:val="004A6167"/>
    <w:rsid w:val="004A63A7"/>
    <w:rsid w:val="004A6D0D"/>
    <w:rsid w:val="004A7054"/>
    <w:rsid w:val="004A7171"/>
    <w:rsid w:val="004A7E3C"/>
    <w:rsid w:val="004B00BD"/>
    <w:rsid w:val="004B0AE6"/>
    <w:rsid w:val="004B0DD9"/>
    <w:rsid w:val="004B19DE"/>
    <w:rsid w:val="004B1B0C"/>
    <w:rsid w:val="004B2831"/>
    <w:rsid w:val="004B2BBC"/>
    <w:rsid w:val="004B328B"/>
    <w:rsid w:val="004B383A"/>
    <w:rsid w:val="004B3B2C"/>
    <w:rsid w:val="004B4665"/>
    <w:rsid w:val="004B47B3"/>
    <w:rsid w:val="004B47BB"/>
    <w:rsid w:val="004B4B50"/>
    <w:rsid w:val="004B4B8F"/>
    <w:rsid w:val="004B4CDC"/>
    <w:rsid w:val="004B4DAD"/>
    <w:rsid w:val="004B4E03"/>
    <w:rsid w:val="004B52D7"/>
    <w:rsid w:val="004B5382"/>
    <w:rsid w:val="004B558C"/>
    <w:rsid w:val="004B5B92"/>
    <w:rsid w:val="004B63DD"/>
    <w:rsid w:val="004B699C"/>
    <w:rsid w:val="004B742F"/>
    <w:rsid w:val="004C0232"/>
    <w:rsid w:val="004C0778"/>
    <w:rsid w:val="004C0BC4"/>
    <w:rsid w:val="004C0C3F"/>
    <w:rsid w:val="004C1212"/>
    <w:rsid w:val="004C136A"/>
    <w:rsid w:val="004C182B"/>
    <w:rsid w:val="004C1E34"/>
    <w:rsid w:val="004C2074"/>
    <w:rsid w:val="004C214D"/>
    <w:rsid w:val="004C28F6"/>
    <w:rsid w:val="004C2953"/>
    <w:rsid w:val="004C2FA3"/>
    <w:rsid w:val="004C30A8"/>
    <w:rsid w:val="004C30CC"/>
    <w:rsid w:val="004C3365"/>
    <w:rsid w:val="004C3990"/>
    <w:rsid w:val="004C4133"/>
    <w:rsid w:val="004C4556"/>
    <w:rsid w:val="004C4C2E"/>
    <w:rsid w:val="004C4F6B"/>
    <w:rsid w:val="004C50C9"/>
    <w:rsid w:val="004C5789"/>
    <w:rsid w:val="004C5A1D"/>
    <w:rsid w:val="004C5F99"/>
    <w:rsid w:val="004C6AE7"/>
    <w:rsid w:val="004C7064"/>
    <w:rsid w:val="004C74E6"/>
    <w:rsid w:val="004C76C6"/>
    <w:rsid w:val="004C7933"/>
    <w:rsid w:val="004C7A16"/>
    <w:rsid w:val="004C7C07"/>
    <w:rsid w:val="004C7E5B"/>
    <w:rsid w:val="004D1427"/>
    <w:rsid w:val="004D1BB9"/>
    <w:rsid w:val="004D1E90"/>
    <w:rsid w:val="004D1F77"/>
    <w:rsid w:val="004D2823"/>
    <w:rsid w:val="004D29B8"/>
    <w:rsid w:val="004D29F2"/>
    <w:rsid w:val="004D38C7"/>
    <w:rsid w:val="004D38C8"/>
    <w:rsid w:val="004D3A11"/>
    <w:rsid w:val="004D3E83"/>
    <w:rsid w:val="004D40EC"/>
    <w:rsid w:val="004D422C"/>
    <w:rsid w:val="004D44FA"/>
    <w:rsid w:val="004D4522"/>
    <w:rsid w:val="004D47C4"/>
    <w:rsid w:val="004D4F69"/>
    <w:rsid w:val="004D5841"/>
    <w:rsid w:val="004D598A"/>
    <w:rsid w:val="004D5C63"/>
    <w:rsid w:val="004D646E"/>
    <w:rsid w:val="004D64B2"/>
    <w:rsid w:val="004D6937"/>
    <w:rsid w:val="004D6CEB"/>
    <w:rsid w:val="004D6EE1"/>
    <w:rsid w:val="004D7D6F"/>
    <w:rsid w:val="004E0101"/>
    <w:rsid w:val="004E0193"/>
    <w:rsid w:val="004E0FA0"/>
    <w:rsid w:val="004E1567"/>
    <w:rsid w:val="004E18BC"/>
    <w:rsid w:val="004E1997"/>
    <w:rsid w:val="004E20AB"/>
    <w:rsid w:val="004E28E6"/>
    <w:rsid w:val="004E2D5E"/>
    <w:rsid w:val="004E3528"/>
    <w:rsid w:val="004E3EC2"/>
    <w:rsid w:val="004E4031"/>
    <w:rsid w:val="004E48F6"/>
    <w:rsid w:val="004E497D"/>
    <w:rsid w:val="004E5359"/>
    <w:rsid w:val="004E585C"/>
    <w:rsid w:val="004E643D"/>
    <w:rsid w:val="004E7369"/>
    <w:rsid w:val="004E77E1"/>
    <w:rsid w:val="004E7A47"/>
    <w:rsid w:val="004F0806"/>
    <w:rsid w:val="004F0C3E"/>
    <w:rsid w:val="004F0EED"/>
    <w:rsid w:val="004F21C7"/>
    <w:rsid w:val="004F2875"/>
    <w:rsid w:val="004F28F9"/>
    <w:rsid w:val="004F2B96"/>
    <w:rsid w:val="004F2BC4"/>
    <w:rsid w:val="004F309E"/>
    <w:rsid w:val="004F37AD"/>
    <w:rsid w:val="004F40ED"/>
    <w:rsid w:val="004F42E1"/>
    <w:rsid w:val="004F4399"/>
    <w:rsid w:val="004F531A"/>
    <w:rsid w:val="004F5D91"/>
    <w:rsid w:val="004F6909"/>
    <w:rsid w:val="004F6E0C"/>
    <w:rsid w:val="00500B47"/>
    <w:rsid w:val="0050241E"/>
    <w:rsid w:val="005024B3"/>
    <w:rsid w:val="00502A21"/>
    <w:rsid w:val="00502A93"/>
    <w:rsid w:val="00502B6F"/>
    <w:rsid w:val="0050391C"/>
    <w:rsid w:val="005043DF"/>
    <w:rsid w:val="005045A9"/>
    <w:rsid w:val="0050480C"/>
    <w:rsid w:val="00504D4C"/>
    <w:rsid w:val="005054AA"/>
    <w:rsid w:val="00505827"/>
    <w:rsid w:val="0050584F"/>
    <w:rsid w:val="005060F0"/>
    <w:rsid w:val="00506365"/>
    <w:rsid w:val="00506CF4"/>
    <w:rsid w:val="005070DD"/>
    <w:rsid w:val="005077D9"/>
    <w:rsid w:val="00507AB3"/>
    <w:rsid w:val="00507BAC"/>
    <w:rsid w:val="0051046D"/>
    <w:rsid w:val="00510ACF"/>
    <w:rsid w:val="00511064"/>
    <w:rsid w:val="0051170D"/>
    <w:rsid w:val="0051242C"/>
    <w:rsid w:val="00512488"/>
    <w:rsid w:val="00512EAB"/>
    <w:rsid w:val="00512F77"/>
    <w:rsid w:val="005133F2"/>
    <w:rsid w:val="0051380E"/>
    <w:rsid w:val="00513A29"/>
    <w:rsid w:val="00513B34"/>
    <w:rsid w:val="00513B3C"/>
    <w:rsid w:val="00513C7F"/>
    <w:rsid w:val="00513F4D"/>
    <w:rsid w:val="005145E5"/>
    <w:rsid w:val="00514DC6"/>
    <w:rsid w:val="005152C5"/>
    <w:rsid w:val="005156F6"/>
    <w:rsid w:val="00516259"/>
    <w:rsid w:val="005163A3"/>
    <w:rsid w:val="005164C1"/>
    <w:rsid w:val="00516CDF"/>
    <w:rsid w:val="00516D52"/>
    <w:rsid w:val="00516D60"/>
    <w:rsid w:val="00516E3C"/>
    <w:rsid w:val="00517941"/>
    <w:rsid w:val="005179DC"/>
    <w:rsid w:val="00517A26"/>
    <w:rsid w:val="00517D0F"/>
    <w:rsid w:val="005200E2"/>
    <w:rsid w:val="0052033B"/>
    <w:rsid w:val="00520473"/>
    <w:rsid w:val="00520723"/>
    <w:rsid w:val="00520911"/>
    <w:rsid w:val="00520B8B"/>
    <w:rsid w:val="00520E24"/>
    <w:rsid w:val="00522D3D"/>
    <w:rsid w:val="0052300B"/>
    <w:rsid w:val="00523CCB"/>
    <w:rsid w:val="005248E0"/>
    <w:rsid w:val="00524A3E"/>
    <w:rsid w:val="00525112"/>
    <w:rsid w:val="005257CC"/>
    <w:rsid w:val="00525F75"/>
    <w:rsid w:val="005261BA"/>
    <w:rsid w:val="00526461"/>
    <w:rsid w:val="00526EF5"/>
    <w:rsid w:val="00526FF8"/>
    <w:rsid w:val="0052721E"/>
    <w:rsid w:val="005274A3"/>
    <w:rsid w:val="005275EE"/>
    <w:rsid w:val="00527E6B"/>
    <w:rsid w:val="00530325"/>
    <w:rsid w:val="00530BB8"/>
    <w:rsid w:val="0053179A"/>
    <w:rsid w:val="005325F0"/>
    <w:rsid w:val="00532A8B"/>
    <w:rsid w:val="00532E69"/>
    <w:rsid w:val="00533365"/>
    <w:rsid w:val="00534276"/>
    <w:rsid w:val="005342CC"/>
    <w:rsid w:val="00534474"/>
    <w:rsid w:val="00534AA7"/>
    <w:rsid w:val="00534C20"/>
    <w:rsid w:val="00534D85"/>
    <w:rsid w:val="00534E42"/>
    <w:rsid w:val="005351D4"/>
    <w:rsid w:val="00535298"/>
    <w:rsid w:val="00535B58"/>
    <w:rsid w:val="00536046"/>
    <w:rsid w:val="00536848"/>
    <w:rsid w:val="00536D1C"/>
    <w:rsid w:val="00536E42"/>
    <w:rsid w:val="0053783C"/>
    <w:rsid w:val="00537E45"/>
    <w:rsid w:val="00537EC3"/>
    <w:rsid w:val="00537FFC"/>
    <w:rsid w:val="0054156A"/>
    <w:rsid w:val="005415D1"/>
    <w:rsid w:val="00541B24"/>
    <w:rsid w:val="00541C01"/>
    <w:rsid w:val="00541E62"/>
    <w:rsid w:val="005428A2"/>
    <w:rsid w:val="00542C4D"/>
    <w:rsid w:val="00542D0A"/>
    <w:rsid w:val="0054323B"/>
    <w:rsid w:val="00543352"/>
    <w:rsid w:val="00543659"/>
    <w:rsid w:val="00543940"/>
    <w:rsid w:val="00543C57"/>
    <w:rsid w:val="0054428D"/>
    <w:rsid w:val="005444B3"/>
    <w:rsid w:val="005448E1"/>
    <w:rsid w:val="005449D6"/>
    <w:rsid w:val="00544C47"/>
    <w:rsid w:val="00545396"/>
    <w:rsid w:val="0054549A"/>
    <w:rsid w:val="0054657E"/>
    <w:rsid w:val="00546FF3"/>
    <w:rsid w:val="00547292"/>
    <w:rsid w:val="005478EC"/>
    <w:rsid w:val="0055077B"/>
    <w:rsid w:val="0055106F"/>
    <w:rsid w:val="005513CD"/>
    <w:rsid w:val="00551E3C"/>
    <w:rsid w:val="00551EE7"/>
    <w:rsid w:val="00552267"/>
    <w:rsid w:val="00553387"/>
    <w:rsid w:val="00553D35"/>
    <w:rsid w:val="00553FE6"/>
    <w:rsid w:val="0055438C"/>
    <w:rsid w:val="005544BA"/>
    <w:rsid w:val="0055463D"/>
    <w:rsid w:val="00554A9A"/>
    <w:rsid w:val="00554D80"/>
    <w:rsid w:val="005559B7"/>
    <w:rsid w:val="00556294"/>
    <w:rsid w:val="00556A0F"/>
    <w:rsid w:val="00556A33"/>
    <w:rsid w:val="00556B43"/>
    <w:rsid w:val="0056007C"/>
    <w:rsid w:val="005600CA"/>
    <w:rsid w:val="005608BE"/>
    <w:rsid w:val="00561677"/>
    <w:rsid w:val="005618A8"/>
    <w:rsid w:val="005618DF"/>
    <w:rsid w:val="0056235D"/>
    <w:rsid w:val="0056235E"/>
    <w:rsid w:val="005623EB"/>
    <w:rsid w:val="00562EA3"/>
    <w:rsid w:val="0056332F"/>
    <w:rsid w:val="00563711"/>
    <w:rsid w:val="00563A19"/>
    <w:rsid w:val="00563B93"/>
    <w:rsid w:val="00563BDF"/>
    <w:rsid w:val="005642A8"/>
    <w:rsid w:val="00564627"/>
    <w:rsid w:val="00564A0D"/>
    <w:rsid w:val="005654CD"/>
    <w:rsid w:val="005657E5"/>
    <w:rsid w:val="0056612D"/>
    <w:rsid w:val="00566467"/>
    <w:rsid w:val="00566DAE"/>
    <w:rsid w:val="00566E42"/>
    <w:rsid w:val="005671BD"/>
    <w:rsid w:val="00567724"/>
    <w:rsid w:val="0056797E"/>
    <w:rsid w:val="00567A2D"/>
    <w:rsid w:val="0057045E"/>
    <w:rsid w:val="00570464"/>
    <w:rsid w:val="00570E03"/>
    <w:rsid w:val="005713D1"/>
    <w:rsid w:val="005721E0"/>
    <w:rsid w:val="00572277"/>
    <w:rsid w:val="005722AB"/>
    <w:rsid w:val="00572795"/>
    <w:rsid w:val="00572D72"/>
    <w:rsid w:val="00572EA9"/>
    <w:rsid w:val="005732B5"/>
    <w:rsid w:val="005734D1"/>
    <w:rsid w:val="0057395C"/>
    <w:rsid w:val="00574097"/>
    <w:rsid w:val="00574BF9"/>
    <w:rsid w:val="00574CCF"/>
    <w:rsid w:val="00575616"/>
    <w:rsid w:val="0057573E"/>
    <w:rsid w:val="00575D68"/>
    <w:rsid w:val="00576174"/>
    <w:rsid w:val="005763EB"/>
    <w:rsid w:val="005764E1"/>
    <w:rsid w:val="0057663D"/>
    <w:rsid w:val="0057676F"/>
    <w:rsid w:val="00576C4A"/>
    <w:rsid w:val="00580492"/>
    <w:rsid w:val="005805ED"/>
    <w:rsid w:val="0058065A"/>
    <w:rsid w:val="00580BEE"/>
    <w:rsid w:val="00580C06"/>
    <w:rsid w:val="005818FA"/>
    <w:rsid w:val="00581A9A"/>
    <w:rsid w:val="005822DB"/>
    <w:rsid w:val="00582E24"/>
    <w:rsid w:val="00582E4C"/>
    <w:rsid w:val="00583039"/>
    <w:rsid w:val="00584014"/>
    <w:rsid w:val="005840FC"/>
    <w:rsid w:val="005844A6"/>
    <w:rsid w:val="00584D28"/>
    <w:rsid w:val="005853A2"/>
    <w:rsid w:val="0058587D"/>
    <w:rsid w:val="00585E3D"/>
    <w:rsid w:val="00585F0E"/>
    <w:rsid w:val="00586622"/>
    <w:rsid w:val="00586BF8"/>
    <w:rsid w:val="005870BC"/>
    <w:rsid w:val="00587D50"/>
    <w:rsid w:val="00587EF7"/>
    <w:rsid w:val="00590888"/>
    <w:rsid w:val="005908C5"/>
    <w:rsid w:val="00590F3C"/>
    <w:rsid w:val="00590FEF"/>
    <w:rsid w:val="00591B33"/>
    <w:rsid w:val="00591CA0"/>
    <w:rsid w:val="005921C0"/>
    <w:rsid w:val="00592C57"/>
    <w:rsid w:val="005931B6"/>
    <w:rsid w:val="00593A5B"/>
    <w:rsid w:val="00594702"/>
    <w:rsid w:val="0059542A"/>
    <w:rsid w:val="00595A4F"/>
    <w:rsid w:val="00595A75"/>
    <w:rsid w:val="00595D95"/>
    <w:rsid w:val="00596183"/>
    <w:rsid w:val="005961B7"/>
    <w:rsid w:val="00596716"/>
    <w:rsid w:val="00597113"/>
    <w:rsid w:val="005979E6"/>
    <w:rsid w:val="005A04B0"/>
    <w:rsid w:val="005A06D0"/>
    <w:rsid w:val="005A0CEB"/>
    <w:rsid w:val="005A0D36"/>
    <w:rsid w:val="005A13F1"/>
    <w:rsid w:val="005A1668"/>
    <w:rsid w:val="005A1E57"/>
    <w:rsid w:val="005A23D3"/>
    <w:rsid w:val="005A25C3"/>
    <w:rsid w:val="005A2A04"/>
    <w:rsid w:val="005A2B5E"/>
    <w:rsid w:val="005A2E6A"/>
    <w:rsid w:val="005A2F31"/>
    <w:rsid w:val="005A3E90"/>
    <w:rsid w:val="005A4041"/>
    <w:rsid w:val="005A42A6"/>
    <w:rsid w:val="005A4F0D"/>
    <w:rsid w:val="005A5787"/>
    <w:rsid w:val="005A5856"/>
    <w:rsid w:val="005A59CC"/>
    <w:rsid w:val="005A5CFD"/>
    <w:rsid w:val="005A775B"/>
    <w:rsid w:val="005A778A"/>
    <w:rsid w:val="005A78D9"/>
    <w:rsid w:val="005A7E6C"/>
    <w:rsid w:val="005B1665"/>
    <w:rsid w:val="005B16BB"/>
    <w:rsid w:val="005B1771"/>
    <w:rsid w:val="005B1783"/>
    <w:rsid w:val="005B1A83"/>
    <w:rsid w:val="005B210A"/>
    <w:rsid w:val="005B235C"/>
    <w:rsid w:val="005B2564"/>
    <w:rsid w:val="005B2A78"/>
    <w:rsid w:val="005B3257"/>
    <w:rsid w:val="005B3DDA"/>
    <w:rsid w:val="005B3DF7"/>
    <w:rsid w:val="005B441D"/>
    <w:rsid w:val="005B478C"/>
    <w:rsid w:val="005B47FC"/>
    <w:rsid w:val="005B4818"/>
    <w:rsid w:val="005B48EA"/>
    <w:rsid w:val="005B4B21"/>
    <w:rsid w:val="005B4F6B"/>
    <w:rsid w:val="005B51DD"/>
    <w:rsid w:val="005B533C"/>
    <w:rsid w:val="005B5730"/>
    <w:rsid w:val="005B6676"/>
    <w:rsid w:val="005B746A"/>
    <w:rsid w:val="005B75E2"/>
    <w:rsid w:val="005C0406"/>
    <w:rsid w:val="005C1070"/>
    <w:rsid w:val="005C12FB"/>
    <w:rsid w:val="005C13CE"/>
    <w:rsid w:val="005C1634"/>
    <w:rsid w:val="005C229E"/>
    <w:rsid w:val="005C22C8"/>
    <w:rsid w:val="005C3749"/>
    <w:rsid w:val="005C3871"/>
    <w:rsid w:val="005C3915"/>
    <w:rsid w:val="005C3976"/>
    <w:rsid w:val="005C3BA8"/>
    <w:rsid w:val="005C424E"/>
    <w:rsid w:val="005C44D7"/>
    <w:rsid w:val="005C45D3"/>
    <w:rsid w:val="005C4736"/>
    <w:rsid w:val="005C4DF9"/>
    <w:rsid w:val="005C5078"/>
    <w:rsid w:val="005C55EE"/>
    <w:rsid w:val="005C59EC"/>
    <w:rsid w:val="005C5C3D"/>
    <w:rsid w:val="005C5C90"/>
    <w:rsid w:val="005C628E"/>
    <w:rsid w:val="005C68C7"/>
    <w:rsid w:val="005C7102"/>
    <w:rsid w:val="005C75F5"/>
    <w:rsid w:val="005C76B6"/>
    <w:rsid w:val="005D0377"/>
    <w:rsid w:val="005D0A1D"/>
    <w:rsid w:val="005D14F0"/>
    <w:rsid w:val="005D184D"/>
    <w:rsid w:val="005D1B56"/>
    <w:rsid w:val="005D2010"/>
    <w:rsid w:val="005D22D7"/>
    <w:rsid w:val="005D249A"/>
    <w:rsid w:val="005D24B7"/>
    <w:rsid w:val="005D33B6"/>
    <w:rsid w:val="005D38A8"/>
    <w:rsid w:val="005D3A43"/>
    <w:rsid w:val="005D3EC2"/>
    <w:rsid w:val="005D45A1"/>
    <w:rsid w:val="005D4649"/>
    <w:rsid w:val="005D46B9"/>
    <w:rsid w:val="005D4704"/>
    <w:rsid w:val="005D49A4"/>
    <w:rsid w:val="005D4CC9"/>
    <w:rsid w:val="005D4D70"/>
    <w:rsid w:val="005D4ED9"/>
    <w:rsid w:val="005D5595"/>
    <w:rsid w:val="005D5610"/>
    <w:rsid w:val="005D5A34"/>
    <w:rsid w:val="005D5CA9"/>
    <w:rsid w:val="005D5D3C"/>
    <w:rsid w:val="005D5F65"/>
    <w:rsid w:val="005D67D7"/>
    <w:rsid w:val="005D6A8E"/>
    <w:rsid w:val="005D7006"/>
    <w:rsid w:val="005D73E6"/>
    <w:rsid w:val="005E0511"/>
    <w:rsid w:val="005E07EC"/>
    <w:rsid w:val="005E0855"/>
    <w:rsid w:val="005E09A0"/>
    <w:rsid w:val="005E0FE9"/>
    <w:rsid w:val="005E1659"/>
    <w:rsid w:val="005E2892"/>
    <w:rsid w:val="005E2A6B"/>
    <w:rsid w:val="005E2D96"/>
    <w:rsid w:val="005E32EB"/>
    <w:rsid w:val="005E336A"/>
    <w:rsid w:val="005E3757"/>
    <w:rsid w:val="005E3BE6"/>
    <w:rsid w:val="005E40C6"/>
    <w:rsid w:val="005E4464"/>
    <w:rsid w:val="005E4EE6"/>
    <w:rsid w:val="005E5093"/>
    <w:rsid w:val="005E54EF"/>
    <w:rsid w:val="005E54F8"/>
    <w:rsid w:val="005E5F68"/>
    <w:rsid w:val="005E6AE3"/>
    <w:rsid w:val="005E6E6D"/>
    <w:rsid w:val="005F018D"/>
    <w:rsid w:val="005F038B"/>
    <w:rsid w:val="005F0D7E"/>
    <w:rsid w:val="005F0EEB"/>
    <w:rsid w:val="005F10CA"/>
    <w:rsid w:val="005F145E"/>
    <w:rsid w:val="005F166A"/>
    <w:rsid w:val="005F2DE9"/>
    <w:rsid w:val="005F2EE0"/>
    <w:rsid w:val="005F2FD6"/>
    <w:rsid w:val="005F3779"/>
    <w:rsid w:val="005F405E"/>
    <w:rsid w:val="005F43F0"/>
    <w:rsid w:val="005F45A6"/>
    <w:rsid w:val="005F4779"/>
    <w:rsid w:val="005F48E5"/>
    <w:rsid w:val="005F4CA6"/>
    <w:rsid w:val="005F550A"/>
    <w:rsid w:val="005F59D7"/>
    <w:rsid w:val="005F60A1"/>
    <w:rsid w:val="005F6EC8"/>
    <w:rsid w:val="005F716E"/>
    <w:rsid w:val="005F733A"/>
    <w:rsid w:val="005F73D7"/>
    <w:rsid w:val="005F7A4D"/>
    <w:rsid w:val="005F7EA4"/>
    <w:rsid w:val="006003DD"/>
    <w:rsid w:val="006007D8"/>
    <w:rsid w:val="00600A13"/>
    <w:rsid w:val="006017AF"/>
    <w:rsid w:val="006017BC"/>
    <w:rsid w:val="00601D9A"/>
    <w:rsid w:val="006023DB"/>
    <w:rsid w:val="00602414"/>
    <w:rsid w:val="00602750"/>
    <w:rsid w:val="00602C39"/>
    <w:rsid w:val="00602DDA"/>
    <w:rsid w:val="0060344B"/>
    <w:rsid w:val="00603687"/>
    <w:rsid w:val="00603EEA"/>
    <w:rsid w:val="0060411E"/>
    <w:rsid w:val="00604618"/>
    <w:rsid w:val="0060490F"/>
    <w:rsid w:val="00604B3B"/>
    <w:rsid w:val="00604C80"/>
    <w:rsid w:val="00604ECC"/>
    <w:rsid w:val="006050D5"/>
    <w:rsid w:val="00605DF6"/>
    <w:rsid w:val="006066DE"/>
    <w:rsid w:val="006075A3"/>
    <w:rsid w:val="00607E3B"/>
    <w:rsid w:val="00607F6D"/>
    <w:rsid w:val="00607FB0"/>
    <w:rsid w:val="00610170"/>
    <w:rsid w:val="006114A2"/>
    <w:rsid w:val="00611513"/>
    <w:rsid w:val="00611D77"/>
    <w:rsid w:val="00611E69"/>
    <w:rsid w:val="00612315"/>
    <w:rsid w:val="00613207"/>
    <w:rsid w:val="00614654"/>
    <w:rsid w:val="00614D84"/>
    <w:rsid w:val="00615050"/>
    <w:rsid w:val="006153A2"/>
    <w:rsid w:val="0061550D"/>
    <w:rsid w:val="006157B1"/>
    <w:rsid w:val="00615B96"/>
    <w:rsid w:val="00615CE2"/>
    <w:rsid w:val="00615DE1"/>
    <w:rsid w:val="00615F57"/>
    <w:rsid w:val="006162FE"/>
    <w:rsid w:val="00616C28"/>
    <w:rsid w:val="0061711E"/>
    <w:rsid w:val="006173D7"/>
    <w:rsid w:val="0061781E"/>
    <w:rsid w:val="00617C62"/>
    <w:rsid w:val="00617DF9"/>
    <w:rsid w:val="00617EAB"/>
    <w:rsid w:val="00620C4E"/>
    <w:rsid w:val="00620F5A"/>
    <w:rsid w:val="00621929"/>
    <w:rsid w:val="00621D18"/>
    <w:rsid w:val="00621F6A"/>
    <w:rsid w:val="006225CF"/>
    <w:rsid w:val="0062326B"/>
    <w:rsid w:val="00623528"/>
    <w:rsid w:val="0062363D"/>
    <w:rsid w:val="00623F2C"/>
    <w:rsid w:val="00624414"/>
    <w:rsid w:val="006244B3"/>
    <w:rsid w:val="00624954"/>
    <w:rsid w:val="00624E82"/>
    <w:rsid w:val="00625696"/>
    <w:rsid w:val="00625B52"/>
    <w:rsid w:val="006264D1"/>
    <w:rsid w:val="00626E65"/>
    <w:rsid w:val="00626EED"/>
    <w:rsid w:val="0062734E"/>
    <w:rsid w:val="00627D72"/>
    <w:rsid w:val="00630A60"/>
    <w:rsid w:val="00630F8F"/>
    <w:rsid w:val="00631084"/>
    <w:rsid w:val="006313D0"/>
    <w:rsid w:val="00631405"/>
    <w:rsid w:val="00631BA0"/>
    <w:rsid w:val="00631DB2"/>
    <w:rsid w:val="00631DE4"/>
    <w:rsid w:val="00631F13"/>
    <w:rsid w:val="00632717"/>
    <w:rsid w:val="00632EBD"/>
    <w:rsid w:val="006332D3"/>
    <w:rsid w:val="006339FB"/>
    <w:rsid w:val="00634045"/>
    <w:rsid w:val="00634640"/>
    <w:rsid w:val="006348E6"/>
    <w:rsid w:val="00634B13"/>
    <w:rsid w:val="00634DBE"/>
    <w:rsid w:val="00634FA8"/>
    <w:rsid w:val="00635235"/>
    <w:rsid w:val="00635A7B"/>
    <w:rsid w:val="00635F2B"/>
    <w:rsid w:val="006361B2"/>
    <w:rsid w:val="006363BF"/>
    <w:rsid w:val="00636FAF"/>
    <w:rsid w:val="006370C2"/>
    <w:rsid w:val="006370CF"/>
    <w:rsid w:val="00637700"/>
    <w:rsid w:val="00640667"/>
    <w:rsid w:val="00640ACA"/>
    <w:rsid w:val="006410BE"/>
    <w:rsid w:val="00641355"/>
    <w:rsid w:val="006419B4"/>
    <w:rsid w:val="00641A50"/>
    <w:rsid w:val="00641DB4"/>
    <w:rsid w:val="0064229D"/>
    <w:rsid w:val="006429FA"/>
    <w:rsid w:val="00642E4E"/>
    <w:rsid w:val="0064339B"/>
    <w:rsid w:val="00643640"/>
    <w:rsid w:val="0064384F"/>
    <w:rsid w:val="00643A84"/>
    <w:rsid w:val="00643E6A"/>
    <w:rsid w:val="00643FCF"/>
    <w:rsid w:val="00644908"/>
    <w:rsid w:val="00644AF7"/>
    <w:rsid w:val="0064593A"/>
    <w:rsid w:val="00645BCF"/>
    <w:rsid w:val="00645DDE"/>
    <w:rsid w:val="006463BA"/>
    <w:rsid w:val="006467D6"/>
    <w:rsid w:val="00647919"/>
    <w:rsid w:val="00647D69"/>
    <w:rsid w:val="00650962"/>
    <w:rsid w:val="00651032"/>
    <w:rsid w:val="00651174"/>
    <w:rsid w:val="00651223"/>
    <w:rsid w:val="0065185E"/>
    <w:rsid w:val="00652532"/>
    <w:rsid w:val="006529D4"/>
    <w:rsid w:val="00652CC2"/>
    <w:rsid w:val="00652D1F"/>
    <w:rsid w:val="0065356A"/>
    <w:rsid w:val="00653634"/>
    <w:rsid w:val="006537CB"/>
    <w:rsid w:val="00653B42"/>
    <w:rsid w:val="00653D7C"/>
    <w:rsid w:val="006549C2"/>
    <w:rsid w:val="006555FF"/>
    <w:rsid w:val="006559F0"/>
    <w:rsid w:val="00655A85"/>
    <w:rsid w:val="00655CC9"/>
    <w:rsid w:val="0065640A"/>
    <w:rsid w:val="00656839"/>
    <w:rsid w:val="0065735E"/>
    <w:rsid w:val="00657ECA"/>
    <w:rsid w:val="00660445"/>
    <w:rsid w:val="00660565"/>
    <w:rsid w:val="00660DA1"/>
    <w:rsid w:val="00660F1F"/>
    <w:rsid w:val="006611A1"/>
    <w:rsid w:val="00661C0C"/>
    <w:rsid w:val="006621FB"/>
    <w:rsid w:val="0066236D"/>
    <w:rsid w:val="0066289A"/>
    <w:rsid w:val="00662BE3"/>
    <w:rsid w:val="0066313F"/>
    <w:rsid w:val="00663489"/>
    <w:rsid w:val="00663A1C"/>
    <w:rsid w:val="00663D79"/>
    <w:rsid w:val="0066432C"/>
    <w:rsid w:val="006643B5"/>
    <w:rsid w:val="00664548"/>
    <w:rsid w:val="006655DF"/>
    <w:rsid w:val="006666F3"/>
    <w:rsid w:val="00666713"/>
    <w:rsid w:val="0066674A"/>
    <w:rsid w:val="00666ACF"/>
    <w:rsid w:val="00667042"/>
    <w:rsid w:val="006672F1"/>
    <w:rsid w:val="00667468"/>
    <w:rsid w:val="006674DA"/>
    <w:rsid w:val="00667740"/>
    <w:rsid w:val="00667CC8"/>
    <w:rsid w:val="00667CD2"/>
    <w:rsid w:val="00667D45"/>
    <w:rsid w:val="00667E1C"/>
    <w:rsid w:val="0067087F"/>
    <w:rsid w:val="00670E15"/>
    <w:rsid w:val="00670E65"/>
    <w:rsid w:val="00670ED4"/>
    <w:rsid w:val="0067161B"/>
    <w:rsid w:val="006717E7"/>
    <w:rsid w:val="0067194A"/>
    <w:rsid w:val="00671B1A"/>
    <w:rsid w:val="0067260A"/>
    <w:rsid w:val="006732FE"/>
    <w:rsid w:val="00673777"/>
    <w:rsid w:val="006738FB"/>
    <w:rsid w:val="00673ED3"/>
    <w:rsid w:val="00673FAF"/>
    <w:rsid w:val="00676422"/>
    <w:rsid w:val="00676CCF"/>
    <w:rsid w:val="00680113"/>
    <w:rsid w:val="0068024D"/>
    <w:rsid w:val="006802BF"/>
    <w:rsid w:val="00680341"/>
    <w:rsid w:val="00680F22"/>
    <w:rsid w:val="00681602"/>
    <w:rsid w:val="00681BB5"/>
    <w:rsid w:val="00681C3A"/>
    <w:rsid w:val="00681D4F"/>
    <w:rsid w:val="00681DBD"/>
    <w:rsid w:val="0068254D"/>
    <w:rsid w:val="0068260C"/>
    <w:rsid w:val="006826FE"/>
    <w:rsid w:val="006832E1"/>
    <w:rsid w:val="00683401"/>
    <w:rsid w:val="006836E7"/>
    <w:rsid w:val="00684217"/>
    <w:rsid w:val="0068505E"/>
    <w:rsid w:val="0068526C"/>
    <w:rsid w:val="00685C00"/>
    <w:rsid w:val="00686593"/>
    <w:rsid w:val="00686A3D"/>
    <w:rsid w:val="00686FAA"/>
    <w:rsid w:val="0068755B"/>
    <w:rsid w:val="0068771C"/>
    <w:rsid w:val="0069078C"/>
    <w:rsid w:val="00690A25"/>
    <w:rsid w:val="00690B78"/>
    <w:rsid w:val="00690D1F"/>
    <w:rsid w:val="00690D38"/>
    <w:rsid w:val="00691010"/>
    <w:rsid w:val="0069103A"/>
    <w:rsid w:val="006911E7"/>
    <w:rsid w:val="00691DEA"/>
    <w:rsid w:val="00692154"/>
    <w:rsid w:val="00692C68"/>
    <w:rsid w:val="00692D4F"/>
    <w:rsid w:val="0069307D"/>
    <w:rsid w:val="006942C3"/>
    <w:rsid w:val="0069491B"/>
    <w:rsid w:val="00694B2F"/>
    <w:rsid w:val="006951C3"/>
    <w:rsid w:val="00695477"/>
    <w:rsid w:val="00695EFE"/>
    <w:rsid w:val="00696DB3"/>
    <w:rsid w:val="0069769C"/>
    <w:rsid w:val="00697B97"/>
    <w:rsid w:val="00697D6A"/>
    <w:rsid w:val="006A0D6B"/>
    <w:rsid w:val="006A1079"/>
    <w:rsid w:val="006A11F8"/>
    <w:rsid w:val="006A19CD"/>
    <w:rsid w:val="006A19F9"/>
    <w:rsid w:val="006A1BFD"/>
    <w:rsid w:val="006A1CB5"/>
    <w:rsid w:val="006A344C"/>
    <w:rsid w:val="006A37C0"/>
    <w:rsid w:val="006A3C5D"/>
    <w:rsid w:val="006A3CFA"/>
    <w:rsid w:val="006A3E62"/>
    <w:rsid w:val="006A415B"/>
    <w:rsid w:val="006A4725"/>
    <w:rsid w:val="006A502F"/>
    <w:rsid w:val="006A53C5"/>
    <w:rsid w:val="006A58D6"/>
    <w:rsid w:val="006A5D79"/>
    <w:rsid w:val="006A63EE"/>
    <w:rsid w:val="006A6503"/>
    <w:rsid w:val="006A669D"/>
    <w:rsid w:val="006A68DA"/>
    <w:rsid w:val="006A6AE7"/>
    <w:rsid w:val="006A6CF4"/>
    <w:rsid w:val="006A6E19"/>
    <w:rsid w:val="006A6E38"/>
    <w:rsid w:val="006A7072"/>
    <w:rsid w:val="006A7F0C"/>
    <w:rsid w:val="006B08F9"/>
    <w:rsid w:val="006B0F2D"/>
    <w:rsid w:val="006B11AB"/>
    <w:rsid w:val="006B1203"/>
    <w:rsid w:val="006B1A5A"/>
    <w:rsid w:val="006B1B53"/>
    <w:rsid w:val="006B2205"/>
    <w:rsid w:val="006B29BB"/>
    <w:rsid w:val="006B2CD8"/>
    <w:rsid w:val="006B4CF3"/>
    <w:rsid w:val="006B4E35"/>
    <w:rsid w:val="006B500A"/>
    <w:rsid w:val="006B56C2"/>
    <w:rsid w:val="006B6638"/>
    <w:rsid w:val="006B700F"/>
    <w:rsid w:val="006B7941"/>
    <w:rsid w:val="006C0366"/>
    <w:rsid w:val="006C0880"/>
    <w:rsid w:val="006C0A1B"/>
    <w:rsid w:val="006C0A32"/>
    <w:rsid w:val="006C0D53"/>
    <w:rsid w:val="006C1B1A"/>
    <w:rsid w:val="006C1D5C"/>
    <w:rsid w:val="006C2B2B"/>
    <w:rsid w:val="006C2F88"/>
    <w:rsid w:val="006C3A42"/>
    <w:rsid w:val="006C3B7A"/>
    <w:rsid w:val="006C4447"/>
    <w:rsid w:val="006C482D"/>
    <w:rsid w:val="006C49A8"/>
    <w:rsid w:val="006C4C7F"/>
    <w:rsid w:val="006C503C"/>
    <w:rsid w:val="006C5152"/>
    <w:rsid w:val="006C51CF"/>
    <w:rsid w:val="006C60FB"/>
    <w:rsid w:val="006C65F5"/>
    <w:rsid w:val="006C6696"/>
    <w:rsid w:val="006C6844"/>
    <w:rsid w:val="006C6BAF"/>
    <w:rsid w:val="006C743A"/>
    <w:rsid w:val="006C7ECE"/>
    <w:rsid w:val="006D0361"/>
    <w:rsid w:val="006D0C46"/>
    <w:rsid w:val="006D0CE9"/>
    <w:rsid w:val="006D1A58"/>
    <w:rsid w:val="006D1B68"/>
    <w:rsid w:val="006D200C"/>
    <w:rsid w:val="006D30F7"/>
    <w:rsid w:val="006D3F2F"/>
    <w:rsid w:val="006D3FF0"/>
    <w:rsid w:val="006D41D1"/>
    <w:rsid w:val="006D4F92"/>
    <w:rsid w:val="006D5D49"/>
    <w:rsid w:val="006D5EAE"/>
    <w:rsid w:val="006D6C4A"/>
    <w:rsid w:val="006D73B9"/>
    <w:rsid w:val="006D7CEE"/>
    <w:rsid w:val="006E0058"/>
    <w:rsid w:val="006E0FE6"/>
    <w:rsid w:val="006E1F0B"/>
    <w:rsid w:val="006E2070"/>
    <w:rsid w:val="006E29DC"/>
    <w:rsid w:val="006E2CA5"/>
    <w:rsid w:val="006E39E9"/>
    <w:rsid w:val="006E3D0C"/>
    <w:rsid w:val="006E3D45"/>
    <w:rsid w:val="006E415B"/>
    <w:rsid w:val="006E4FB6"/>
    <w:rsid w:val="006E5138"/>
    <w:rsid w:val="006E5D40"/>
    <w:rsid w:val="006E66E8"/>
    <w:rsid w:val="006E745A"/>
    <w:rsid w:val="006E7CD7"/>
    <w:rsid w:val="006F120D"/>
    <w:rsid w:val="006F139F"/>
    <w:rsid w:val="006F1B03"/>
    <w:rsid w:val="006F1F63"/>
    <w:rsid w:val="006F2808"/>
    <w:rsid w:val="006F2EDF"/>
    <w:rsid w:val="006F35A8"/>
    <w:rsid w:val="006F424D"/>
    <w:rsid w:val="006F44A2"/>
    <w:rsid w:val="006F4AA2"/>
    <w:rsid w:val="006F4C0F"/>
    <w:rsid w:val="006F5A32"/>
    <w:rsid w:val="006F5E43"/>
    <w:rsid w:val="006F6071"/>
    <w:rsid w:val="006F6955"/>
    <w:rsid w:val="006F6BF0"/>
    <w:rsid w:val="006F702E"/>
    <w:rsid w:val="006F7BB6"/>
    <w:rsid w:val="006F7E65"/>
    <w:rsid w:val="00700189"/>
    <w:rsid w:val="007004F5"/>
    <w:rsid w:val="00700592"/>
    <w:rsid w:val="007009F9"/>
    <w:rsid w:val="00700ADC"/>
    <w:rsid w:val="00701614"/>
    <w:rsid w:val="007028DF"/>
    <w:rsid w:val="007031B4"/>
    <w:rsid w:val="007035D5"/>
    <w:rsid w:val="00703FBD"/>
    <w:rsid w:val="007044AB"/>
    <w:rsid w:val="007044BB"/>
    <w:rsid w:val="0070481F"/>
    <w:rsid w:val="00704A0F"/>
    <w:rsid w:val="00704BDF"/>
    <w:rsid w:val="00704EB3"/>
    <w:rsid w:val="0070517A"/>
    <w:rsid w:val="007053C9"/>
    <w:rsid w:val="00705A6A"/>
    <w:rsid w:val="00705ABD"/>
    <w:rsid w:val="00706306"/>
    <w:rsid w:val="00707328"/>
    <w:rsid w:val="00707A85"/>
    <w:rsid w:val="007100A8"/>
    <w:rsid w:val="007108D9"/>
    <w:rsid w:val="00710FA2"/>
    <w:rsid w:val="00713E3A"/>
    <w:rsid w:val="00713E3D"/>
    <w:rsid w:val="0071402F"/>
    <w:rsid w:val="00715173"/>
    <w:rsid w:val="00715603"/>
    <w:rsid w:val="00715C5B"/>
    <w:rsid w:val="00716231"/>
    <w:rsid w:val="007167F6"/>
    <w:rsid w:val="00716F19"/>
    <w:rsid w:val="0071728F"/>
    <w:rsid w:val="00717568"/>
    <w:rsid w:val="00717EC0"/>
    <w:rsid w:val="00720835"/>
    <w:rsid w:val="00721245"/>
    <w:rsid w:val="00721748"/>
    <w:rsid w:val="00721C84"/>
    <w:rsid w:val="00721D47"/>
    <w:rsid w:val="00722508"/>
    <w:rsid w:val="007225CC"/>
    <w:rsid w:val="00722C38"/>
    <w:rsid w:val="00723485"/>
    <w:rsid w:val="0072366B"/>
    <w:rsid w:val="00724000"/>
    <w:rsid w:val="00724464"/>
    <w:rsid w:val="007245D2"/>
    <w:rsid w:val="00724F81"/>
    <w:rsid w:val="00725257"/>
    <w:rsid w:val="00726D7E"/>
    <w:rsid w:val="00726E48"/>
    <w:rsid w:val="0072709D"/>
    <w:rsid w:val="0072758E"/>
    <w:rsid w:val="007279D0"/>
    <w:rsid w:val="00727D20"/>
    <w:rsid w:val="00727E6E"/>
    <w:rsid w:val="0073026C"/>
    <w:rsid w:val="0073027A"/>
    <w:rsid w:val="00730BF4"/>
    <w:rsid w:val="0073171A"/>
    <w:rsid w:val="00731D92"/>
    <w:rsid w:val="00731ED4"/>
    <w:rsid w:val="00732556"/>
    <w:rsid w:val="00732764"/>
    <w:rsid w:val="00732A64"/>
    <w:rsid w:val="007332B6"/>
    <w:rsid w:val="00733815"/>
    <w:rsid w:val="00733BF4"/>
    <w:rsid w:val="00733FDA"/>
    <w:rsid w:val="00733FE5"/>
    <w:rsid w:val="0073405C"/>
    <w:rsid w:val="0073416E"/>
    <w:rsid w:val="00734456"/>
    <w:rsid w:val="0073485D"/>
    <w:rsid w:val="00734D55"/>
    <w:rsid w:val="007350E0"/>
    <w:rsid w:val="00735629"/>
    <w:rsid w:val="0073570C"/>
    <w:rsid w:val="00735A31"/>
    <w:rsid w:val="00735F37"/>
    <w:rsid w:val="007360A1"/>
    <w:rsid w:val="00736513"/>
    <w:rsid w:val="00736AC4"/>
    <w:rsid w:val="00736BBD"/>
    <w:rsid w:val="0073736B"/>
    <w:rsid w:val="0073789B"/>
    <w:rsid w:val="007404DD"/>
    <w:rsid w:val="00740564"/>
    <w:rsid w:val="007405F0"/>
    <w:rsid w:val="00740D79"/>
    <w:rsid w:val="00741027"/>
    <w:rsid w:val="00741651"/>
    <w:rsid w:val="007416A6"/>
    <w:rsid w:val="0074182E"/>
    <w:rsid w:val="00741C44"/>
    <w:rsid w:val="00741E36"/>
    <w:rsid w:val="00741FC6"/>
    <w:rsid w:val="00742301"/>
    <w:rsid w:val="0074280D"/>
    <w:rsid w:val="00742905"/>
    <w:rsid w:val="007431BC"/>
    <w:rsid w:val="007436A4"/>
    <w:rsid w:val="00743D2A"/>
    <w:rsid w:val="007442A5"/>
    <w:rsid w:val="00744DC1"/>
    <w:rsid w:val="0074540B"/>
    <w:rsid w:val="00745CBC"/>
    <w:rsid w:val="007462D2"/>
    <w:rsid w:val="007464A3"/>
    <w:rsid w:val="0074691A"/>
    <w:rsid w:val="00746F99"/>
    <w:rsid w:val="00747063"/>
    <w:rsid w:val="00747BC6"/>
    <w:rsid w:val="00747C33"/>
    <w:rsid w:val="0075010E"/>
    <w:rsid w:val="00750266"/>
    <w:rsid w:val="00750922"/>
    <w:rsid w:val="00751719"/>
    <w:rsid w:val="00751C3E"/>
    <w:rsid w:val="0075243D"/>
    <w:rsid w:val="00752A8D"/>
    <w:rsid w:val="00752D53"/>
    <w:rsid w:val="0075318B"/>
    <w:rsid w:val="00753D13"/>
    <w:rsid w:val="00753F00"/>
    <w:rsid w:val="007545A5"/>
    <w:rsid w:val="0075492A"/>
    <w:rsid w:val="0075523B"/>
    <w:rsid w:val="007552AE"/>
    <w:rsid w:val="00755400"/>
    <w:rsid w:val="00755B7E"/>
    <w:rsid w:val="00756102"/>
    <w:rsid w:val="00756574"/>
    <w:rsid w:val="00757289"/>
    <w:rsid w:val="007608FC"/>
    <w:rsid w:val="0076107A"/>
    <w:rsid w:val="00762056"/>
    <w:rsid w:val="0076279C"/>
    <w:rsid w:val="00762ED4"/>
    <w:rsid w:val="00762FF9"/>
    <w:rsid w:val="00763B81"/>
    <w:rsid w:val="0076466A"/>
    <w:rsid w:val="00764C90"/>
    <w:rsid w:val="00765A0B"/>
    <w:rsid w:val="00765E27"/>
    <w:rsid w:val="00766C59"/>
    <w:rsid w:val="00766CC6"/>
    <w:rsid w:val="007675F1"/>
    <w:rsid w:val="00767C54"/>
    <w:rsid w:val="00767C7C"/>
    <w:rsid w:val="007707BC"/>
    <w:rsid w:val="00770A07"/>
    <w:rsid w:val="0077126D"/>
    <w:rsid w:val="007719A7"/>
    <w:rsid w:val="00771F91"/>
    <w:rsid w:val="0077346A"/>
    <w:rsid w:val="00774A98"/>
    <w:rsid w:val="00774E17"/>
    <w:rsid w:val="00775296"/>
    <w:rsid w:val="00776904"/>
    <w:rsid w:val="00776908"/>
    <w:rsid w:val="00776AE1"/>
    <w:rsid w:val="00776B83"/>
    <w:rsid w:val="0077753A"/>
    <w:rsid w:val="007775C4"/>
    <w:rsid w:val="00777BA8"/>
    <w:rsid w:val="00780270"/>
    <w:rsid w:val="00780631"/>
    <w:rsid w:val="00781647"/>
    <w:rsid w:val="00781A03"/>
    <w:rsid w:val="00781CF2"/>
    <w:rsid w:val="0078244A"/>
    <w:rsid w:val="00783017"/>
    <w:rsid w:val="00783503"/>
    <w:rsid w:val="00783590"/>
    <w:rsid w:val="007845FA"/>
    <w:rsid w:val="0078493F"/>
    <w:rsid w:val="00785303"/>
    <w:rsid w:val="00785628"/>
    <w:rsid w:val="007862F0"/>
    <w:rsid w:val="00786BCD"/>
    <w:rsid w:val="00787567"/>
    <w:rsid w:val="007877AE"/>
    <w:rsid w:val="007878D2"/>
    <w:rsid w:val="00787968"/>
    <w:rsid w:val="007902FD"/>
    <w:rsid w:val="0079050F"/>
    <w:rsid w:val="00790D75"/>
    <w:rsid w:val="00790FA8"/>
    <w:rsid w:val="007910C5"/>
    <w:rsid w:val="00791233"/>
    <w:rsid w:val="00791863"/>
    <w:rsid w:val="0079261D"/>
    <w:rsid w:val="00792F3B"/>
    <w:rsid w:val="007933EA"/>
    <w:rsid w:val="007936E9"/>
    <w:rsid w:val="00793C19"/>
    <w:rsid w:val="00793CB5"/>
    <w:rsid w:val="00794C13"/>
    <w:rsid w:val="00794EF3"/>
    <w:rsid w:val="0079511D"/>
    <w:rsid w:val="0079532F"/>
    <w:rsid w:val="007957E3"/>
    <w:rsid w:val="0079603E"/>
    <w:rsid w:val="0079652C"/>
    <w:rsid w:val="00796F31"/>
    <w:rsid w:val="00797E05"/>
    <w:rsid w:val="007A0034"/>
    <w:rsid w:val="007A0147"/>
    <w:rsid w:val="007A06EE"/>
    <w:rsid w:val="007A070F"/>
    <w:rsid w:val="007A1201"/>
    <w:rsid w:val="007A144E"/>
    <w:rsid w:val="007A1BF6"/>
    <w:rsid w:val="007A1ED3"/>
    <w:rsid w:val="007A2223"/>
    <w:rsid w:val="007A27E5"/>
    <w:rsid w:val="007A28C5"/>
    <w:rsid w:val="007A28E4"/>
    <w:rsid w:val="007A2BA3"/>
    <w:rsid w:val="007A2CE7"/>
    <w:rsid w:val="007A2E6A"/>
    <w:rsid w:val="007A3A50"/>
    <w:rsid w:val="007A3BD4"/>
    <w:rsid w:val="007A3FAB"/>
    <w:rsid w:val="007A41D5"/>
    <w:rsid w:val="007A42AC"/>
    <w:rsid w:val="007A4A4B"/>
    <w:rsid w:val="007A4A54"/>
    <w:rsid w:val="007A4ED0"/>
    <w:rsid w:val="007A587F"/>
    <w:rsid w:val="007A5C34"/>
    <w:rsid w:val="007A6711"/>
    <w:rsid w:val="007A71E5"/>
    <w:rsid w:val="007A7D5E"/>
    <w:rsid w:val="007B0860"/>
    <w:rsid w:val="007B0B1A"/>
    <w:rsid w:val="007B0FCD"/>
    <w:rsid w:val="007B10C9"/>
    <w:rsid w:val="007B1723"/>
    <w:rsid w:val="007B1DB1"/>
    <w:rsid w:val="007B1DCB"/>
    <w:rsid w:val="007B20E8"/>
    <w:rsid w:val="007B29DA"/>
    <w:rsid w:val="007B33AB"/>
    <w:rsid w:val="007B3547"/>
    <w:rsid w:val="007B3A84"/>
    <w:rsid w:val="007B3AB1"/>
    <w:rsid w:val="007B3B1D"/>
    <w:rsid w:val="007B4284"/>
    <w:rsid w:val="007B4A16"/>
    <w:rsid w:val="007B52ED"/>
    <w:rsid w:val="007B530B"/>
    <w:rsid w:val="007B5993"/>
    <w:rsid w:val="007B6B4C"/>
    <w:rsid w:val="007B6D52"/>
    <w:rsid w:val="007B77E4"/>
    <w:rsid w:val="007B7FAE"/>
    <w:rsid w:val="007C0731"/>
    <w:rsid w:val="007C0937"/>
    <w:rsid w:val="007C0A80"/>
    <w:rsid w:val="007C105F"/>
    <w:rsid w:val="007C1279"/>
    <w:rsid w:val="007C16E1"/>
    <w:rsid w:val="007C1976"/>
    <w:rsid w:val="007C2327"/>
    <w:rsid w:val="007C259F"/>
    <w:rsid w:val="007C2964"/>
    <w:rsid w:val="007C2AC5"/>
    <w:rsid w:val="007C3680"/>
    <w:rsid w:val="007C3A1B"/>
    <w:rsid w:val="007C3D24"/>
    <w:rsid w:val="007C46F6"/>
    <w:rsid w:val="007C4C3D"/>
    <w:rsid w:val="007C4D71"/>
    <w:rsid w:val="007C4E08"/>
    <w:rsid w:val="007C55D1"/>
    <w:rsid w:val="007C565C"/>
    <w:rsid w:val="007C6426"/>
    <w:rsid w:val="007C64D9"/>
    <w:rsid w:val="007C6640"/>
    <w:rsid w:val="007C7311"/>
    <w:rsid w:val="007C7AA9"/>
    <w:rsid w:val="007C7BBC"/>
    <w:rsid w:val="007D05A2"/>
    <w:rsid w:val="007D0B9E"/>
    <w:rsid w:val="007D0C14"/>
    <w:rsid w:val="007D0CA7"/>
    <w:rsid w:val="007D0D62"/>
    <w:rsid w:val="007D0F87"/>
    <w:rsid w:val="007D158A"/>
    <w:rsid w:val="007D1E39"/>
    <w:rsid w:val="007D1F00"/>
    <w:rsid w:val="007D20D4"/>
    <w:rsid w:val="007D276C"/>
    <w:rsid w:val="007D2E14"/>
    <w:rsid w:val="007D2E78"/>
    <w:rsid w:val="007D309B"/>
    <w:rsid w:val="007D3481"/>
    <w:rsid w:val="007D3F9B"/>
    <w:rsid w:val="007D43AE"/>
    <w:rsid w:val="007D4691"/>
    <w:rsid w:val="007D478D"/>
    <w:rsid w:val="007D56E5"/>
    <w:rsid w:val="007D59C7"/>
    <w:rsid w:val="007D5EE3"/>
    <w:rsid w:val="007D6209"/>
    <w:rsid w:val="007D6CEB"/>
    <w:rsid w:val="007D6E47"/>
    <w:rsid w:val="007D6E5A"/>
    <w:rsid w:val="007D759C"/>
    <w:rsid w:val="007D75CA"/>
    <w:rsid w:val="007D7B83"/>
    <w:rsid w:val="007D7D21"/>
    <w:rsid w:val="007E0806"/>
    <w:rsid w:val="007E0D38"/>
    <w:rsid w:val="007E0DA0"/>
    <w:rsid w:val="007E14F5"/>
    <w:rsid w:val="007E1CA0"/>
    <w:rsid w:val="007E2013"/>
    <w:rsid w:val="007E26D7"/>
    <w:rsid w:val="007E3448"/>
    <w:rsid w:val="007E3868"/>
    <w:rsid w:val="007E3A32"/>
    <w:rsid w:val="007E3C9F"/>
    <w:rsid w:val="007E45A0"/>
    <w:rsid w:val="007E4610"/>
    <w:rsid w:val="007E483D"/>
    <w:rsid w:val="007E48DA"/>
    <w:rsid w:val="007E48DC"/>
    <w:rsid w:val="007E49D5"/>
    <w:rsid w:val="007E5CAF"/>
    <w:rsid w:val="007E5EAF"/>
    <w:rsid w:val="007E5F95"/>
    <w:rsid w:val="007E63E9"/>
    <w:rsid w:val="007E717A"/>
    <w:rsid w:val="007E7B89"/>
    <w:rsid w:val="007F0360"/>
    <w:rsid w:val="007F0873"/>
    <w:rsid w:val="007F0928"/>
    <w:rsid w:val="007F09CF"/>
    <w:rsid w:val="007F0A64"/>
    <w:rsid w:val="007F0A7B"/>
    <w:rsid w:val="007F12D5"/>
    <w:rsid w:val="007F178F"/>
    <w:rsid w:val="007F2111"/>
    <w:rsid w:val="007F2CF8"/>
    <w:rsid w:val="007F2D39"/>
    <w:rsid w:val="007F3076"/>
    <w:rsid w:val="007F3DD2"/>
    <w:rsid w:val="007F4066"/>
    <w:rsid w:val="007F42A6"/>
    <w:rsid w:val="007F44CC"/>
    <w:rsid w:val="007F58B2"/>
    <w:rsid w:val="007F5C0B"/>
    <w:rsid w:val="007F5EC5"/>
    <w:rsid w:val="007F611D"/>
    <w:rsid w:val="007F66F1"/>
    <w:rsid w:val="007F66F5"/>
    <w:rsid w:val="007F6980"/>
    <w:rsid w:val="007F6BFA"/>
    <w:rsid w:val="007F6C4C"/>
    <w:rsid w:val="007F6C52"/>
    <w:rsid w:val="007F6FCA"/>
    <w:rsid w:val="007F732F"/>
    <w:rsid w:val="007F7E97"/>
    <w:rsid w:val="007F7FF9"/>
    <w:rsid w:val="0080096F"/>
    <w:rsid w:val="00800C58"/>
    <w:rsid w:val="00800D3B"/>
    <w:rsid w:val="00800E6F"/>
    <w:rsid w:val="00800ED9"/>
    <w:rsid w:val="00800F14"/>
    <w:rsid w:val="00802130"/>
    <w:rsid w:val="0080231F"/>
    <w:rsid w:val="008024CA"/>
    <w:rsid w:val="008029D4"/>
    <w:rsid w:val="00802CEF"/>
    <w:rsid w:val="0080359A"/>
    <w:rsid w:val="00803871"/>
    <w:rsid w:val="00804150"/>
    <w:rsid w:val="008042CC"/>
    <w:rsid w:val="0080482D"/>
    <w:rsid w:val="00804E0B"/>
    <w:rsid w:val="008054AC"/>
    <w:rsid w:val="0080629D"/>
    <w:rsid w:val="0080679A"/>
    <w:rsid w:val="008072C7"/>
    <w:rsid w:val="008073A1"/>
    <w:rsid w:val="00807C85"/>
    <w:rsid w:val="00810084"/>
    <w:rsid w:val="008100E7"/>
    <w:rsid w:val="008108F0"/>
    <w:rsid w:val="00811200"/>
    <w:rsid w:val="00812139"/>
    <w:rsid w:val="008121D1"/>
    <w:rsid w:val="008142F7"/>
    <w:rsid w:val="008145D4"/>
    <w:rsid w:val="00814926"/>
    <w:rsid w:val="00814D63"/>
    <w:rsid w:val="00814F3D"/>
    <w:rsid w:val="0081522F"/>
    <w:rsid w:val="00815417"/>
    <w:rsid w:val="0081559F"/>
    <w:rsid w:val="00816027"/>
    <w:rsid w:val="00817695"/>
    <w:rsid w:val="008176F8"/>
    <w:rsid w:val="00817761"/>
    <w:rsid w:val="0082018B"/>
    <w:rsid w:val="008203B5"/>
    <w:rsid w:val="00820C50"/>
    <w:rsid w:val="008210F0"/>
    <w:rsid w:val="00821DF9"/>
    <w:rsid w:val="00822725"/>
    <w:rsid w:val="00822E83"/>
    <w:rsid w:val="00823050"/>
    <w:rsid w:val="0082367D"/>
    <w:rsid w:val="00824267"/>
    <w:rsid w:val="00824884"/>
    <w:rsid w:val="00824FD9"/>
    <w:rsid w:val="00825637"/>
    <w:rsid w:val="00825B64"/>
    <w:rsid w:val="00825D7F"/>
    <w:rsid w:val="008261CF"/>
    <w:rsid w:val="008263F8"/>
    <w:rsid w:val="008272A4"/>
    <w:rsid w:val="008274EB"/>
    <w:rsid w:val="00827CF1"/>
    <w:rsid w:val="00830DB0"/>
    <w:rsid w:val="0083106B"/>
    <w:rsid w:val="008316F6"/>
    <w:rsid w:val="00831B57"/>
    <w:rsid w:val="00832DED"/>
    <w:rsid w:val="00833E5E"/>
    <w:rsid w:val="00833FA2"/>
    <w:rsid w:val="00833FCB"/>
    <w:rsid w:val="00834544"/>
    <w:rsid w:val="00834ACD"/>
    <w:rsid w:val="00834F43"/>
    <w:rsid w:val="008350C4"/>
    <w:rsid w:val="0083522A"/>
    <w:rsid w:val="00835980"/>
    <w:rsid w:val="00835D9F"/>
    <w:rsid w:val="0083667E"/>
    <w:rsid w:val="00836A3B"/>
    <w:rsid w:val="00836BAA"/>
    <w:rsid w:val="008378F2"/>
    <w:rsid w:val="00837A82"/>
    <w:rsid w:val="008400A7"/>
    <w:rsid w:val="008400C9"/>
    <w:rsid w:val="00840B83"/>
    <w:rsid w:val="00841842"/>
    <w:rsid w:val="00841AF5"/>
    <w:rsid w:val="00841F48"/>
    <w:rsid w:val="00842451"/>
    <w:rsid w:val="00842521"/>
    <w:rsid w:val="00842871"/>
    <w:rsid w:val="00842E88"/>
    <w:rsid w:val="00843310"/>
    <w:rsid w:val="008433F8"/>
    <w:rsid w:val="008437EB"/>
    <w:rsid w:val="0084394B"/>
    <w:rsid w:val="00843A27"/>
    <w:rsid w:val="00843BB3"/>
    <w:rsid w:val="00843FCD"/>
    <w:rsid w:val="0084470F"/>
    <w:rsid w:val="00844F81"/>
    <w:rsid w:val="0084505D"/>
    <w:rsid w:val="00845719"/>
    <w:rsid w:val="00846EB6"/>
    <w:rsid w:val="008471A8"/>
    <w:rsid w:val="0084780D"/>
    <w:rsid w:val="008478F0"/>
    <w:rsid w:val="008478F8"/>
    <w:rsid w:val="00850296"/>
    <w:rsid w:val="00851F80"/>
    <w:rsid w:val="008520C5"/>
    <w:rsid w:val="00852AA8"/>
    <w:rsid w:val="00853656"/>
    <w:rsid w:val="00853684"/>
    <w:rsid w:val="008543B2"/>
    <w:rsid w:val="00854CF8"/>
    <w:rsid w:val="008553C7"/>
    <w:rsid w:val="008553F1"/>
    <w:rsid w:val="00855494"/>
    <w:rsid w:val="00855B88"/>
    <w:rsid w:val="00855D93"/>
    <w:rsid w:val="008567F4"/>
    <w:rsid w:val="00860C4B"/>
    <w:rsid w:val="00861092"/>
    <w:rsid w:val="008610B1"/>
    <w:rsid w:val="008610DE"/>
    <w:rsid w:val="0086172F"/>
    <w:rsid w:val="00861BA9"/>
    <w:rsid w:val="00861E37"/>
    <w:rsid w:val="008621F2"/>
    <w:rsid w:val="00862AC8"/>
    <w:rsid w:val="00862BD7"/>
    <w:rsid w:val="00862C48"/>
    <w:rsid w:val="00862FFD"/>
    <w:rsid w:val="00863BF8"/>
    <w:rsid w:val="00863DA9"/>
    <w:rsid w:val="008646DD"/>
    <w:rsid w:val="00864F6C"/>
    <w:rsid w:val="0086546B"/>
    <w:rsid w:val="00865E95"/>
    <w:rsid w:val="00866073"/>
    <w:rsid w:val="008660F7"/>
    <w:rsid w:val="008661B9"/>
    <w:rsid w:val="00866CF3"/>
    <w:rsid w:val="008674E2"/>
    <w:rsid w:val="0086770D"/>
    <w:rsid w:val="00867C79"/>
    <w:rsid w:val="00870840"/>
    <w:rsid w:val="00871190"/>
    <w:rsid w:val="008712B8"/>
    <w:rsid w:val="0087156B"/>
    <w:rsid w:val="0087191A"/>
    <w:rsid w:val="00871A6A"/>
    <w:rsid w:val="00872765"/>
    <w:rsid w:val="00872830"/>
    <w:rsid w:val="0087334C"/>
    <w:rsid w:val="00873524"/>
    <w:rsid w:val="008736F2"/>
    <w:rsid w:val="008736F9"/>
    <w:rsid w:val="00873A1E"/>
    <w:rsid w:val="00873A27"/>
    <w:rsid w:val="00873EC3"/>
    <w:rsid w:val="0087415A"/>
    <w:rsid w:val="008747D9"/>
    <w:rsid w:val="00874B0C"/>
    <w:rsid w:val="00874F18"/>
    <w:rsid w:val="0087506D"/>
    <w:rsid w:val="0087526E"/>
    <w:rsid w:val="008763D7"/>
    <w:rsid w:val="0087646D"/>
    <w:rsid w:val="00876B42"/>
    <w:rsid w:val="00876D78"/>
    <w:rsid w:val="00877C0A"/>
    <w:rsid w:val="0088004C"/>
    <w:rsid w:val="008802CD"/>
    <w:rsid w:val="008808D9"/>
    <w:rsid w:val="00880DE5"/>
    <w:rsid w:val="0088127A"/>
    <w:rsid w:val="008819CD"/>
    <w:rsid w:val="00881AAB"/>
    <w:rsid w:val="00881CFF"/>
    <w:rsid w:val="00881E1D"/>
    <w:rsid w:val="00881E2B"/>
    <w:rsid w:val="00882035"/>
    <w:rsid w:val="008820DC"/>
    <w:rsid w:val="00882CED"/>
    <w:rsid w:val="00883257"/>
    <w:rsid w:val="008835A8"/>
    <w:rsid w:val="008839A6"/>
    <w:rsid w:val="00883BCA"/>
    <w:rsid w:val="00883C06"/>
    <w:rsid w:val="00884114"/>
    <w:rsid w:val="00884279"/>
    <w:rsid w:val="008842A4"/>
    <w:rsid w:val="00884B08"/>
    <w:rsid w:val="00885223"/>
    <w:rsid w:val="00886180"/>
    <w:rsid w:val="0088765B"/>
    <w:rsid w:val="00887CED"/>
    <w:rsid w:val="00890737"/>
    <w:rsid w:val="00891619"/>
    <w:rsid w:val="0089176D"/>
    <w:rsid w:val="00891973"/>
    <w:rsid w:val="00891A33"/>
    <w:rsid w:val="00891E91"/>
    <w:rsid w:val="00892002"/>
    <w:rsid w:val="00892373"/>
    <w:rsid w:val="0089259D"/>
    <w:rsid w:val="00892C80"/>
    <w:rsid w:val="00893134"/>
    <w:rsid w:val="00893FC0"/>
    <w:rsid w:val="00894840"/>
    <w:rsid w:val="008952DF"/>
    <w:rsid w:val="00895474"/>
    <w:rsid w:val="008956CD"/>
    <w:rsid w:val="0089640E"/>
    <w:rsid w:val="00896FEA"/>
    <w:rsid w:val="00897DD5"/>
    <w:rsid w:val="00897F57"/>
    <w:rsid w:val="008A047B"/>
    <w:rsid w:val="008A1819"/>
    <w:rsid w:val="008A1997"/>
    <w:rsid w:val="008A1998"/>
    <w:rsid w:val="008A1A0F"/>
    <w:rsid w:val="008A1C18"/>
    <w:rsid w:val="008A1DDA"/>
    <w:rsid w:val="008A1E13"/>
    <w:rsid w:val="008A1E4F"/>
    <w:rsid w:val="008A2A00"/>
    <w:rsid w:val="008A2B68"/>
    <w:rsid w:val="008A329C"/>
    <w:rsid w:val="008A3E33"/>
    <w:rsid w:val="008A40A3"/>
    <w:rsid w:val="008A4D44"/>
    <w:rsid w:val="008A5F7A"/>
    <w:rsid w:val="008A6441"/>
    <w:rsid w:val="008A6CD7"/>
    <w:rsid w:val="008A6EDD"/>
    <w:rsid w:val="008A70A1"/>
    <w:rsid w:val="008A7538"/>
    <w:rsid w:val="008A76F0"/>
    <w:rsid w:val="008B1446"/>
    <w:rsid w:val="008B1B21"/>
    <w:rsid w:val="008B2184"/>
    <w:rsid w:val="008B26CC"/>
    <w:rsid w:val="008B2778"/>
    <w:rsid w:val="008B27BB"/>
    <w:rsid w:val="008B2D03"/>
    <w:rsid w:val="008B2F26"/>
    <w:rsid w:val="008B471F"/>
    <w:rsid w:val="008B4D01"/>
    <w:rsid w:val="008B6318"/>
    <w:rsid w:val="008B6585"/>
    <w:rsid w:val="008B6C38"/>
    <w:rsid w:val="008B6DEA"/>
    <w:rsid w:val="008C06D6"/>
    <w:rsid w:val="008C0A56"/>
    <w:rsid w:val="008C10E9"/>
    <w:rsid w:val="008C17E4"/>
    <w:rsid w:val="008C384B"/>
    <w:rsid w:val="008C3A1C"/>
    <w:rsid w:val="008C410C"/>
    <w:rsid w:val="008C4341"/>
    <w:rsid w:val="008C4640"/>
    <w:rsid w:val="008C4794"/>
    <w:rsid w:val="008C4CAE"/>
    <w:rsid w:val="008C51EE"/>
    <w:rsid w:val="008C52D7"/>
    <w:rsid w:val="008C5BF3"/>
    <w:rsid w:val="008C642C"/>
    <w:rsid w:val="008C75EE"/>
    <w:rsid w:val="008C76DC"/>
    <w:rsid w:val="008C7955"/>
    <w:rsid w:val="008D0872"/>
    <w:rsid w:val="008D089B"/>
    <w:rsid w:val="008D0A84"/>
    <w:rsid w:val="008D0B3C"/>
    <w:rsid w:val="008D13A0"/>
    <w:rsid w:val="008D19EC"/>
    <w:rsid w:val="008D1F00"/>
    <w:rsid w:val="008D26B8"/>
    <w:rsid w:val="008D2A99"/>
    <w:rsid w:val="008D2D17"/>
    <w:rsid w:val="008D2D6D"/>
    <w:rsid w:val="008D3738"/>
    <w:rsid w:val="008D3AD5"/>
    <w:rsid w:val="008D4742"/>
    <w:rsid w:val="008D5A89"/>
    <w:rsid w:val="008D5C77"/>
    <w:rsid w:val="008D6D73"/>
    <w:rsid w:val="008D6EDC"/>
    <w:rsid w:val="008D6FD3"/>
    <w:rsid w:val="008D7D5A"/>
    <w:rsid w:val="008E0383"/>
    <w:rsid w:val="008E0725"/>
    <w:rsid w:val="008E0E61"/>
    <w:rsid w:val="008E0F58"/>
    <w:rsid w:val="008E0FFA"/>
    <w:rsid w:val="008E17B9"/>
    <w:rsid w:val="008E1968"/>
    <w:rsid w:val="008E1D1A"/>
    <w:rsid w:val="008E26C2"/>
    <w:rsid w:val="008E2C14"/>
    <w:rsid w:val="008E2CFF"/>
    <w:rsid w:val="008E2E43"/>
    <w:rsid w:val="008E35A7"/>
    <w:rsid w:val="008E366B"/>
    <w:rsid w:val="008E37FC"/>
    <w:rsid w:val="008E3E14"/>
    <w:rsid w:val="008E4520"/>
    <w:rsid w:val="008E50AB"/>
    <w:rsid w:val="008E5A60"/>
    <w:rsid w:val="008E5BEB"/>
    <w:rsid w:val="008E66DC"/>
    <w:rsid w:val="008E763E"/>
    <w:rsid w:val="008E7CED"/>
    <w:rsid w:val="008E7DA7"/>
    <w:rsid w:val="008F06D9"/>
    <w:rsid w:val="008F075B"/>
    <w:rsid w:val="008F0BCF"/>
    <w:rsid w:val="008F0E07"/>
    <w:rsid w:val="008F1942"/>
    <w:rsid w:val="008F1968"/>
    <w:rsid w:val="008F2321"/>
    <w:rsid w:val="008F2E5E"/>
    <w:rsid w:val="008F330E"/>
    <w:rsid w:val="008F358F"/>
    <w:rsid w:val="008F3678"/>
    <w:rsid w:val="008F4915"/>
    <w:rsid w:val="008F56CF"/>
    <w:rsid w:val="008F5B96"/>
    <w:rsid w:val="008F5DCE"/>
    <w:rsid w:val="008F5E1B"/>
    <w:rsid w:val="008F5FEC"/>
    <w:rsid w:val="008F6437"/>
    <w:rsid w:val="008F6998"/>
    <w:rsid w:val="008F741D"/>
    <w:rsid w:val="008F78B2"/>
    <w:rsid w:val="0090034E"/>
    <w:rsid w:val="00900B70"/>
    <w:rsid w:val="009011A4"/>
    <w:rsid w:val="009012BC"/>
    <w:rsid w:val="00901708"/>
    <w:rsid w:val="00902072"/>
    <w:rsid w:val="0090257E"/>
    <w:rsid w:val="00903550"/>
    <w:rsid w:val="00903D11"/>
    <w:rsid w:val="00903D87"/>
    <w:rsid w:val="00903E77"/>
    <w:rsid w:val="00904FF5"/>
    <w:rsid w:val="00905F55"/>
    <w:rsid w:val="00906560"/>
    <w:rsid w:val="0090660F"/>
    <w:rsid w:val="00906A1A"/>
    <w:rsid w:val="009071EF"/>
    <w:rsid w:val="009072C8"/>
    <w:rsid w:val="0091012C"/>
    <w:rsid w:val="00910212"/>
    <w:rsid w:val="0091031B"/>
    <w:rsid w:val="009108AB"/>
    <w:rsid w:val="00910A12"/>
    <w:rsid w:val="00910C9A"/>
    <w:rsid w:val="00910E61"/>
    <w:rsid w:val="00912340"/>
    <w:rsid w:val="00912895"/>
    <w:rsid w:val="00912B14"/>
    <w:rsid w:val="00914256"/>
    <w:rsid w:val="0091445A"/>
    <w:rsid w:val="009144C2"/>
    <w:rsid w:val="0091488F"/>
    <w:rsid w:val="00915A55"/>
    <w:rsid w:val="00915F01"/>
    <w:rsid w:val="00915FED"/>
    <w:rsid w:val="00916401"/>
    <w:rsid w:val="0091670A"/>
    <w:rsid w:val="00916832"/>
    <w:rsid w:val="0091688B"/>
    <w:rsid w:val="009168B0"/>
    <w:rsid w:val="009171DD"/>
    <w:rsid w:val="009178E1"/>
    <w:rsid w:val="00917B7C"/>
    <w:rsid w:val="009205EA"/>
    <w:rsid w:val="0092089B"/>
    <w:rsid w:val="009209FE"/>
    <w:rsid w:val="00920DAA"/>
    <w:rsid w:val="009211B4"/>
    <w:rsid w:val="00921805"/>
    <w:rsid w:val="00921D2E"/>
    <w:rsid w:val="009224E2"/>
    <w:rsid w:val="00922AAD"/>
    <w:rsid w:val="0092336B"/>
    <w:rsid w:val="009240F8"/>
    <w:rsid w:val="00924989"/>
    <w:rsid w:val="0092499B"/>
    <w:rsid w:val="00924D66"/>
    <w:rsid w:val="009266F7"/>
    <w:rsid w:val="00926AC1"/>
    <w:rsid w:val="00927329"/>
    <w:rsid w:val="009274DD"/>
    <w:rsid w:val="00927968"/>
    <w:rsid w:val="00927DE0"/>
    <w:rsid w:val="00927F84"/>
    <w:rsid w:val="00930138"/>
    <w:rsid w:val="00930E25"/>
    <w:rsid w:val="009313B5"/>
    <w:rsid w:val="00931CFA"/>
    <w:rsid w:val="009321B7"/>
    <w:rsid w:val="00932385"/>
    <w:rsid w:val="0093266C"/>
    <w:rsid w:val="00932A44"/>
    <w:rsid w:val="00932F0D"/>
    <w:rsid w:val="00933173"/>
    <w:rsid w:val="00933FDB"/>
    <w:rsid w:val="0093488C"/>
    <w:rsid w:val="00934BDD"/>
    <w:rsid w:val="00934FF9"/>
    <w:rsid w:val="00935643"/>
    <w:rsid w:val="00935B93"/>
    <w:rsid w:val="00935DCA"/>
    <w:rsid w:val="00936167"/>
    <w:rsid w:val="009367C5"/>
    <w:rsid w:val="00936871"/>
    <w:rsid w:val="00937142"/>
    <w:rsid w:val="009371DE"/>
    <w:rsid w:val="00937BBB"/>
    <w:rsid w:val="00937D0F"/>
    <w:rsid w:val="009406DC"/>
    <w:rsid w:val="00941010"/>
    <w:rsid w:val="00941061"/>
    <w:rsid w:val="009412AE"/>
    <w:rsid w:val="0094147E"/>
    <w:rsid w:val="0094160D"/>
    <w:rsid w:val="00942C52"/>
    <w:rsid w:val="00942FCD"/>
    <w:rsid w:val="0094306E"/>
    <w:rsid w:val="009432C5"/>
    <w:rsid w:val="009432F5"/>
    <w:rsid w:val="00943E87"/>
    <w:rsid w:val="0094436D"/>
    <w:rsid w:val="009445EA"/>
    <w:rsid w:val="00944792"/>
    <w:rsid w:val="00944997"/>
    <w:rsid w:val="009452E7"/>
    <w:rsid w:val="00945970"/>
    <w:rsid w:val="0094669B"/>
    <w:rsid w:val="00946C85"/>
    <w:rsid w:val="00947194"/>
    <w:rsid w:val="00947508"/>
    <w:rsid w:val="009479BE"/>
    <w:rsid w:val="00947B91"/>
    <w:rsid w:val="00947C36"/>
    <w:rsid w:val="00947ED2"/>
    <w:rsid w:val="00950167"/>
    <w:rsid w:val="009503DA"/>
    <w:rsid w:val="00950C07"/>
    <w:rsid w:val="0095153A"/>
    <w:rsid w:val="009516C0"/>
    <w:rsid w:val="00951867"/>
    <w:rsid w:val="00951EBD"/>
    <w:rsid w:val="009525C5"/>
    <w:rsid w:val="00953BD5"/>
    <w:rsid w:val="00953FCF"/>
    <w:rsid w:val="00954076"/>
    <w:rsid w:val="009540CA"/>
    <w:rsid w:val="009545EB"/>
    <w:rsid w:val="009549E6"/>
    <w:rsid w:val="009554A3"/>
    <w:rsid w:val="009554C8"/>
    <w:rsid w:val="00955769"/>
    <w:rsid w:val="009558ED"/>
    <w:rsid w:val="00955CEF"/>
    <w:rsid w:val="0095620D"/>
    <w:rsid w:val="009565B5"/>
    <w:rsid w:val="009566F8"/>
    <w:rsid w:val="00956B4C"/>
    <w:rsid w:val="00956EE8"/>
    <w:rsid w:val="009570BA"/>
    <w:rsid w:val="00960471"/>
    <w:rsid w:val="009605F5"/>
    <w:rsid w:val="0096072E"/>
    <w:rsid w:val="00960E09"/>
    <w:rsid w:val="00961222"/>
    <w:rsid w:val="00961671"/>
    <w:rsid w:val="0096195B"/>
    <w:rsid w:val="00961BED"/>
    <w:rsid w:val="00961E63"/>
    <w:rsid w:val="00961FFE"/>
    <w:rsid w:val="00962237"/>
    <w:rsid w:val="00962660"/>
    <w:rsid w:val="00962D5C"/>
    <w:rsid w:val="00963271"/>
    <w:rsid w:val="00963A2A"/>
    <w:rsid w:val="0096468B"/>
    <w:rsid w:val="00964E76"/>
    <w:rsid w:val="0096559A"/>
    <w:rsid w:val="009656FF"/>
    <w:rsid w:val="00966133"/>
    <w:rsid w:val="00966289"/>
    <w:rsid w:val="0096694C"/>
    <w:rsid w:val="00966B94"/>
    <w:rsid w:val="00967084"/>
    <w:rsid w:val="00967354"/>
    <w:rsid w:val="0096750E"/>
    <w:rsid w:val="00970065"/>
    <w:rsid w:val="00970A05"/>
    <w:rsid w:val="00970ACA"/>
    <w:rsid w:val="00970C2F"/>
    <w:rsid w:val="009710CD"/>
    <w:rsid w:val="009717B7"/>
    <w:rsid w:val="00971F2D"/>
    <w:rsid w:val="00972C26"/>
    <w:rsid w:val="00972F69"/>
    <w:rsid w:val="00973310"/>
    <w:rsid w:val="00973895"/>
    <w:rsid w:val="009738A5"/>
    <w:rsid w:val="00973B6C"/>
    <w:rsid w:val="00973B7E"/>
    <w:rsid w:val="00974B7F"/>
    <w:rsid w:val="00975112"/>
    <w:rsid w:val="0097609C"/>
    <w:rsid w:val="0097660D"/>
    <w:rsid w:val="00976941"/>
    <w:rsid w:val="00976CAA"/>
    <w:rsid w:val="009775A7"/>
    <w:rsid w:val="00977BE0"/>
    <w:rsid w:val="00977E0A"/>
    <w:rsid w:val="00980A53"/>
    <w:rsid w:val="00980FC2"/>
    <w:rsid w:val="0098213E"/>
    <w:rsid w:val="009821D5"/>
    <w:rsid w:val="00982FBC"/>
    <w:rsid w:val="0098311A"/>
    <w:rsid w:val="00983FA4"/>
    <w:rsid w:val="00984307"/>
    <w:rsid w:val="00984B48"/>
    <w:rsid w:val="00984F58"/>
    <w:rsid w:val="009855FA"/>
    <w:rsid w:val="009868BB"/>
    <w:rsid w:val="00986C56"/>
    <w:rsid w:val="009901A0"/>
    <w:rsid w:val="00990342"/>
    <w:rsid w:val="009907A5"/>
    <w:rsid w:val="00990AAC"/>
    <w:rsid w:val="009911CF"/>
    <w:rsid w:val="00991481"/>
    <w:rsid w:val="00991587"/>
    <w:rsid w:val="009918AA"/>
    <w:rsid w:val="0099198D"/>
    <w:rsid w:val="00991D21"/>
    <w:rsid w:val="009921B4"/>
    <w:rsid w:val="00992281"/>
    <w:rsid w:val="00992912"/>
    <w:rsid w:val="0099306E"/>
    <w:rsid w:val="009930D3"/>
    <w:rsid w:val="00993815"/>
    <w:rsid w:val="00994396"/>
    <w:rsid w:val="00994490"/>
    <w:rsid w:val="009945B0"/>
    <w:rsid w:val="00994C97"/>
    <w:rsid w:val="00994D1D"/>
    <w:rsid w:val="00995873"/>
    <w:rsid w:val="00995AC5"/>
    <w:rsid w:val="0099614A"/>
    <w:rsid w:val="0099649F"/>
    <w:rsid w:val="00996922"/>
    <w:rsid w:val="00996D76"/>
    <w:rsid w:val="00996FB1"/>
    <w:rsid w:val="00997375"/>
    <w:rsid w:val="00997833"/>
    <w:rsid w:val="009A07BD"/>
    <w:rsid w:val="009A14DC"/>
    <w:rsid w:val="009A1B6F"/>
    <w:rsid w:val="009A1FE0"/>
    <w:rsid w:val="009A2D3B"/>
    <w:rsid w:val="009A4160"/>
    <w:rsid w:val="009A42DF"/>
    <w:rsid w:val="009A498C"/>
    <w:rsid w:val="009A586A"/>
    <w:rsid w:val="009A595B"/>
    <w:rsid w:val="009A5B92"/>
    <w:rsid w:val="009A5C4C"/>
    <w:rsid w:val="009A6044"/>
    <w:rsid w:val="009A6584"/>
    <w:rsid w:val="009A68C5"/>
    <w:rsid w:val="009A6A74"/>
    <w:rsid w:val="009A6EAF"/>
    <w:rsid w:val="009A6F78"/>
    <w:rsid w:val="009A716B"/>
    <w:rsid w:val="009A7514"/>
    <w:rsid w:val="009A756A"/>
    <w:rsid w:val="009A7E0D"/>
    <w:rsid w:val="009A7FF0"/>
    <w:rsid w:val="009B00D6"/>
    <w:rsid w:val="009B06BB"/>
    <w:rsid w:val="009B1AFD"/>
    <w:rsid w:val="009B24EB"/>
    <w:rsid w:val="009B27D2"/>
    <w:rsid w:val="009B2846"/>
    <w:rsid w:val="009B29A1"/>
    <w:rsid w:val="009B30E0"/>
    <w:rsid w:val="009B318D"/>
    <w:rsid w:val="009B3874"/>
    <w:rsid w:val="009B3936"/>
    <w:rsid w:val="009B40E0"/>
    <w:rsid w:val="009B416E"/>
    <w:rsid w:val="009B423C"/>
    <w:rsid w:val="009B51A9"/>
    <w:rsid w:val="009B51C6"/>
    <w:rsid w:val="009B54AD"/>
    <w:rsid w:val="009B5642"/>
    <w:rsid w:val="009B5895"/>
    <w:rsid w:val="009B5BD8"/>
    <w:rsid w:val="009B6024"/>
    <w:rsid w:val="009B6121"/>
    <w:rsid w:val="009B614A"/>
    <w:rsid w:val="009B6A67"/>
    <w:rsid w:val="009B6D9E"/>
    <w:rsid w:val="009B6E7F"/>
    <w:rsid w:val="009B734B"/>
    <w:rsid w:val="009B7387"/>
    <w:rsid w:val="009B74C5"/>
    <w:rsid w:val="009C1600"/>
    <w:rsid w:val="009C1BBA"/>
    <w:rsid w:val="009C1F1C"/>
    <w:rsid w:val="009C25FC"/>
    <w:rsid w:val="009C3807"/>
    <w:rsid w:val="009C3D2B"/>
    <w:rsid w:val="009C3D94"/>
    <w:rsid w:val="009C4A67"/>
    <w:rsid w:val="009C56CD"/>
    <w:rsid w:val="009C6353"/>
    <w:rsid w:val="009C657F"/>
    <w:rsid w:val="009C6A30"/>
    <w:rsid w:val="009C6D1F"/>
    <w:rsid w:val="009C6E20"/>
    <w:rsid w:val="009C6E79"/>
    <w:rsid w:val="009C7247"/>
    <w:rsid w:val="009C74CF"/>
    <w:rsid w:val="009C7A39"/>
    <w:rsid w:val="009D099C"/>
    <w:rsid w:val="009D0FCF"/>
    <w:rsid w:val="009D1BAD"/>
    <w:rsid w:val="009D2161"/>
    <w:rsid w:val="009D2469"/>
    <w:rsid w:val="009D32CD"/>
    <w:rsid w:val="009D391E"/>
    <w:rsid w:val="009D3C68"/>
    <w:rsid w:val="009D3EB2"/>
    <w:rsid w:val="009D4221"/>
    <w:rsid w:val="009D437D"/>
    <w:rsid w:val="009D4B51"/>
    <w:rsid w:val="009D4D30"/>
    <w:rsid w:val="009D524A"/>
    <w:rsid w:val="009D55E3"/>
    <w:rsid w:val="009D57BC"/>
    <w:rsid w:val="009D5B50"/>
    <w:rsid w:val="009D5C6C"/>
    <w:rsid w:val="009D5E5A"/>
    <w:rsid w:val="009D616C"/>
    <w:rsid w:val="009D7BEC"/>
    <w:rsid w:val="009D7DFA"/>
    <w:rsid w:val="009E03EF"/>
    <w:rsid w:val="009E0CDF"/>
    <w:rsid w:val="009E0D01"/>
    <w:rsid w:val="009E13B2"/>
    <w:rsid w:val="009E1EAD"/>
    <w:rsid w:val="009E20FF"/>
    <w:rsid w:val="009E226C"/>
    <w:rsid w:val="009E2626"/>
    <w:rsid w:val="009E27BE"/>
    <w:rsid w:val="009E3A7B"/>
    <w:rsid w:val="009E3C85"/>
    <w:rsid w:val="009E406F"/>
    <w:rsid w:val="009E42BA"/>
    <w:rsid w:val="009E499C"/>
    <w:rsid w:val="009E5922"/>
    <w:rsid w:val="009E5BB6"/>
    <w:rsid w:val="009E60B8"/>
    <w:rsid w:val="009E6239"/>
    <w:rsid w:val="009E72AD"/>
    <w:rsid w:val="009E73B0"/>
    <w:rsid w:val="009E73C8"/>
    <w:rsid w:val="009F0072"/>
    <w:rsid w:val="009F0122"/>
    <w:rsid w:val="009F12AD"/>
    <w:rsid w:val="009F145A"/>
    <w:rsid w:val="009F184D"/>
    <w:rsid w:val="009F2000"/>
    <w:rsid w:val="009F21F2"/>
    <w:rsid w:val="009F2531"/>
    <w:rsid w:val="009F2C5F"/>
    <w:rsid w:val="009F445F"/>
    <w:rsid w:val="009F5059"/>
    <w:rsid w:val="009F51D5"/>
    <w:rsid w:val="009F53E7"/>
    <w:rsid w:val="009F58BD"/>
    <w:rsid w:val="009F59E5"/>
    <w:rsid w:val="009F60F5"/>
    <w:rsid w:val="009F63B7"/>
    <w:rsid w:val="009F6905"/>
    <w:rsid w:val="009F6C20"/>
    <w:rsid w:val="009F6C31"/>
    <w:rsid w:val="009F6ECF"/>
    <w:rsid w:val="00A00A46"/>
    <w:rsid w:val="00A0178B"/>
    <w:rsid w:val="00A01918"/>
    <w:rsid w:val="00A01E44"/>
    <w:rsid w:val="00A02451"/>
    <w:rsid w:val="00A03902"/>
    <w:rsid w:val="00A03D4F"/>
    <w:rsid w:val="00A03F31"/>
    <w:rsid w:val="00A03FE2"/>
    <w:rsid w:val="00A042D1"/>
    <w:rsid w:val="00A0444E"/>
    <w:rsid w:val="00A04AA6"/>
    <w:rsid w:val="00A05095"/>
    <w:rsid w:val="00A05773"/>
    <w:rsid w:val="00A05A6D"/>
    <w:rsid w:val="00A06096"/>
    <w:rsid w:val="00A06182"/>
    <w:rsid w:val="00A065F7"/>
    <w:rsid w:val="00A06652"/>
    <w:rsid w:val="00A06882"/>
    <w:rsid w:val="00A069BB"/>
    <w:rsid w:val="00A07718"/>
    <w:rsid w:val="00A07DEC"/>
    <w:rsid w:val="00A07EA6"/>
    <w:rsid w:val="00A07EBB"/>
    <w:rsid w:val="00A10CFD"/>
    <w:rsid w:val="00A11333"/>
    <w:rsid w:val="00A11B89"/>
    <w:rsid w:val="00A122C0"/>
    <w:rsid w:val="00A123F7"/>
    <w:rsid w:val="00A125C2"/>
    <w:rsid w:val="00A1265B"/>
    <w:rsid w:val="00A12815"/>
    <w:rsid w:val="00A128A2"/>
    <w:rsid w:val="00A12A1C"/>
    <w:rsid w:val="00A12AF3"/>
    <w:rsid w:val="00A12B63"/>
    <w:rsid w:val="00A12C90"/>
    <w:rsid w:val="00A13C17"/>
    <w:rsid w:val="00A13C46"/>
    <w:rsid w:val="00A14578"/>
    <w:rsid w:val="00A14997"/>
    <w:rsid w:val="00A1579D"/>
    <w:rsid w:val="00A15FDF"/>
    <w:rsid w:val="00A15FEF"/>
    <w:rsid w:val="00A16A7F"/>
    <w:rsid w:val="00A171E0"/>
    <w:rsid w:val="00A1744A"/>
    <w:rsid w:val="00A17649"/>
    <w:rsid w:val="00A17C05"/>
    <w:rsid w:val="00A17E5E"/>
    <w:rsid w:val="00A208AE"/>
    <w:rsid w:val="00A213A6"/>
    <w:rsid w:val="00A2179E"/>
    <w:rsid w:val="00A21B54"/>
    <w:rsid w:val="00A21ECD"/>
    <w:rsid w:val="00A2387A"/>
    <w:rsid w:val="00A23A06"/>
    <w:rsid w:val="00A23E1C"/>
    <w:rsid w:val="00A241F8"/>
    <w:rsid w:val="00A24733"/>
    <w:rsid w:val="00A24B20"/>
    <w:rsid w:val="00A24FC3"/>
    <w:rsid w:val="00A25081"/>
    <w:rsid w:val="00A2523C"/>
    <w:rsid w:val="00A253C4"/>
    <w:rsid w:val="00A25A59"/>
    <w:rsid w:val="00A25AD0"/>
    <w:rsid w:val="00A26ADD"/>
    <w:rsid w:val="00A26D81"/>
    <w:rsid w:val="00A270F2"/>
    <w:rsid w:val="00A27409"/>
    <w:rsid w:val="00A27BF7"/>
    <w:rsid w:val="00A27EC9"/>
    <w:rsid w:val="00A30550"/>
    <w:rsid w:val="00A30966"/>
    <w:rsid w:val="00A30C8F"/>
    <w:rsid w:val="00A313DA"/>
    <w:rsid w:val="00A31AE1"/>
    <w:rsid w:val="00A31E1A"/>
    <w:rsid w:val="00A326AF"/>
    <w:rsid w:val="00A34678"/>
    <w:rsid w:val="00A3546F"/>
    <w:rsid w:val="00A35ADF"/>
    <w:rsid w:val="00A35F0A"/>
    <w:rsid w:val="00A362A1"/>
    <w:rsid w:val="00A36682"/>
    <w:rsid w:val="00A369F8"/>
    <w:rsid w:val="00A37A40"/>
    <w:rsid w:val="00A37E72"/>
    <w:rsid w:val="00A37FC4"/>
    <w:rsid w:val="00A40263"/>
    <w:rsid w:val="00A40BFD"/>
    <w:rsid w:val="00A41DA7"/>
    <w:rsid w:val="00A425AE"/>
    <w:rsid w:val="00A42C93"/>
    <w:rsid w:val="00A43820"/>
    <w:rsid w:val="00A43F0B"/>
    <w:rsid w:val="00A447E6"/>
    <w:rsid w:val="00A44AB4"/>
    <w:rsid w:val="00A44BDB"/>
    <w:rsid w:val="00A44C75"/>
    <w:rsid w:val="00A44D61"/>
    <w:rsid w:val="00A44FEB"/>
    <w:rsid w:val="00A4567D"/>
    <w:rsid w:val="00A45796"/>
    <w:rsid w:val="00A45AAC"/>
    <w:rsid w:val="00A45F12"/>
    <w:rsid w:val="00A46053"/>
    <w:rsid w:val="00A4618F"/>
    <w:rsid w:val="00A46325"/>
    <w:rsid w:val="00A46600"/>
    <w:rsid w:val="00A4668A"/>
    <w:rsid w:val="00A46DF5"/>
    <w:rsid w:val="00A4703B"/>
    <w:rsid w:val="00A47565"/>
    <w:rsid w:val="00A47AB4"/>
    <w:rsid w:val="00A47ABA"/>
    <w:rsid w:val="00A501BA"/>
    <w:rsid w:val="00A50357"/>
    <w:rsid w:val="00A50905"/>
    <w:rsid w:val="00A50E11"/>
    <w:rsid w:val="00A5147F"/>
    <w:rsid w:val="00A516C2"/>
    <w:rsid w:val="00A516E5"/>
    <w:rsid w:val="00A51703"/>
    <w:rsid w:val="00A51ADC"/>
    <w:rsid w:val="00A51B8A"/>
    <w:rsid w:val="00A52944"/>
    <w:rsid w:val="00A529A1"/>
    <w:rsid w:val="00A52C22"/>
    <w:rsid w:val="00A52D97"/>
    <w:rsid w:val="00A535DD"/>
    <w:rsid w:val="00A53648"/>
    <w:rsid w:val="00A53DE9"/>
    <w:rsid w:val="00A5473F"/>
    <w:rsid w:val="00A54987"/>
    <w:rsid w:val="00A54CD4"/>
    <w:rsid w:val="00A54E5D"/>
    <w:rsid w:val="00A5568B"/>
    <w:rsid w:val="00A55ADA"/>
    <w:rsid w:val="00A56BF3"/>
    <w:rsid w:val="00A5792B"/>
    <w:rsid w:val="00A57AC4"/>
    <w:rsid w:val="00A6044B"/>
    <w:rsid w:val="00A60731"/>
    <w:rsid w:val="00A60A2F"/>
    <w:rsid w:val="00A60DBE"/>
    <w:rsid w:val="00A6102D"/>
    <w:rsid w:val="00A6137A"/>
    <w:rsid w:val="00A62688"/>
    <w:rsid w:val="00A629DF"/>
    <w:rsid w:val="00A62E5E"/>
    <w:rsid w:val="00A63C79"/>
    <w:rsid w:val="00A641C4"/>
    <w:rsid w:val="00A648CA"/>
    <w:rsid w:val="00A65030"/>
    <w:rsid w:val="00A650B5"/>
    <w:rsid w:val="00A6569A"/>
    <w:rsid w:val="00A65AE9"/>
    <w:rsid w:val="00A661F9"/>
    <w:rsid w:val="00A666E5"/>
    <w:rsid w:val="00A66872"/>
    <w:rsid w:val="00A66E1F"/>
    <w:rsid w:val="00A67201"/>
    <w:rsid w:val="00A674EA"/>
    <w:rsid w:val="00A67786"/>
    <w:rsid w:val="00A67D7B"/>
    <w:rsid w:val="00A67E1A"/>
    <w:rsid w:val="00A67E55"/>
    <w:rsid w:val="00A7031B"/>
    <w:rsid w:val="00A70366"/>
    <w:rsid w:val="00A705CD"/>
    <w:rsid w:val="00A706DC"/>
    <w:rsid w:val="00A70DA3"/>
    <w:rsid w:val="00A710C2"/>
    <w:rsid w:val="00A71642"/>
    <w:rsid w:val="00A717D2"/>
    <w:rsid w:val="00A71AF2"/>
    <w:rsid w:val="00A71EB6"/>
    <w:rsid w:val="00A722D3"/>
    <w:rsid w:val="00A724F4"/>
    <w:rsid w:val="00A726A1"/>
    <w:rsid w:val="00A73038"/>
    <w:rsid w:val="00A7315D"/>
    <w:rsid w:val="00A73482"/>
    <w:rsid w:val="00A7377C"/>
    <w:rsid w:val="00A73969"/>
    <w:rsid w:val="00A73978"/>
    <w:rsid w:val="00A73A77"/>
    <w:rsid w:val="00A73D67"/>
    <w:rsid w:val="00A7403E"/>
    <w:rsid w:val="00A74278"/>
    <w:rsid w:val="00A74808"/>
    <w:rsid w:val="00A7484C"/>
    <w:rsid w:val="00A74BEF"/>
    <w:rsid w:val="00A75809"/>
    <w:rsid w:val="00A75B48"/>
    <w:rsid w:val="00A75D92"/>
    <w:rsid w:val="00A7627B"/>
    <w:rsid w:val="00A772F9"/>
    <w:rsid w:val="00A77D23"/>
    <w:rsid w:val="00A802D3"/>
    <w:rsid w:val="00A80A62"/>
    <w:rsid w:val="00A80D14"/>
    <w:rsid w:val="00A8118D"/>
    <w:rsid w:val="00A81853"/>
    <w:rsid w:val="00A824FC"/>
    <w:rsid w:val="00A831FC"/>
    <w:rsid w:val="00A83268"/>
    <w:rsid w:val="00A83459"/>
    <w:rsid w:val="00A84A1B"/>
    <w:rsid w:val="00A850AE"/>
    <w:rsid w:val="00A854F7"/>
    <w:rsid w:val="00A85819"/>
    <w:rsid w:val="00A861F3"/>
    <w:rsid w:val="00A86430"/>
    <w:rsid w:val="00A86523"/>
    <w:rsid w:val="00A86D60"/>
    <w:rsid w:val="00A8722D"/>
    <w:rsid w:val="00A8729B"/>
    <w:rsid w:val="00A87A21"/>
    <w:rsid w:val="00A87D7F"/>
    <w:rsid w:val="00A87F9B"/>
    <w:rsid w:val="00A903CB"/>
    <w:rsid w:val="00A903E9"/>
    <w:rsid w:val="00A907C4"/>
    <w:rsid w:val="00A9155E"/>
    <w:rsid w:val="00A9165D"/>
    <w:rsid w:val="00A92094"/>
    <w:rsid w:val="00A9260A"/>
    <w:rsid w:val="00A93133"/>
    <w:rsid w:val="00A94534"/>
    <w:rsid w:val="00A958CB"/>
    <w:rsid w:val="00A95E02"/>
    <w:rsid w:val="00A96203"/>
    <w:rsid w:val="00A96BB4"/>
    <w:rsid w:val="00A96DB2"/>
    <w:rsid w:val="00A976D5"/>
    <w:rsid w:val="00A977F2"/>
    <w:rsid w:val="00A978A8"/>
    <w:rsid w:val="00A97CCC"/>
    <w:rsid w:val="00A97DF4"/>
    <w:rsid w:val="00A97EFE"/>
    <w:rsid w:val="00AA0A2B"/>
    <w:rsid w:val="00AA11E9"/>
    <w:rsid w:val="00AA14A7"/>
    <w:rsid w:val="00AA2A28"/>
    <w:rsid w:val="00AA2FB8"/>
    <w:rsid w:val="00AA30CC"/>
    <w:rsid w:val="00AA34D3"/>
    <w:rsid w:val="00AA3672"/>
    <w:rsid w:val="00AA38F4"/>
    <w:rsid w:val="00AA4293"/>
    <w:rsid w:val="00AA44D2"/>
    <w:rsid w:val="00AA4B36"/>
    <w:rsid w:val="00AA54EB"/>
    <w:rsid w:val="00AA5681"/>
    <w:rsid w:val="00AA57CC"/>
    <w:rsid w:val="00AA61B4"/>
    <w:rsid w:val="00AA6C8B"/>
    <w:rsid w:val="00AA6CC2"/>
    <w:rsid w:val="00AA6CF5"/>
    <w:rsid w:val="00AA6EC8"/>
    <w:rsid w:val="00AB0036"/>
    <w:rsid w:val="00AB03D7"/>
    <w:rsid w:val="00AB11B9"/>
    <w:rsid w:val="00AB13DE"/>
    <w:rsid w:val="00AB1A4B"/>
    <w:rsid w:val="00AB1F61"/>
    <w:rsid w:val="00AB2688"/>
    <w:rsid w:val="00AB275E"/>
    <w:rsid w:val="00AB2CEC"/>
    <w:rsid w:val="00AB2D09"/>
    <w:rsid w:val="00AB300A"/>
    <w:rsid w:val="00AB3289"/>
    <w:rsid w:val="00AB32E5"/>
    <w:rsid w:val="00AB3D95"/>
    <w:rsid w:val="00AB4C4F"/>
    <w:rsid w:val="00AB5C86"/>
    <w:rsid w:val="00AB6611"/>
    <w:rsid w:val="00AB6CB3"/>
    <w:rsid w:val="00AB740B"/>
    <w:rsid w:val="00AB7C58"/>
    <w:rsid w:val="00AC0732"/>
    <w:rsid w:val="00AC07A0"/>
    <w:rsid w:val="00AC07F3"/>
    <w:rsid w:val="00AC0E76"/>
    <w:rsid w:val="00AC1061"/>
    <w:rsid w:val="00AC1722"/>
    <w:rsid w:val="00AC28B5"/>
    <w:rsid w:val="00AC2D92"/>
    <w:rsid w:val="00AC3184"/>
    <w:rsid w:val="00AC37B5"/>
    <w:rsid w:val="00AC40B9"/>
    <w:rsid w:val="00AC42D7"/>
    <w:rsid w:val="00AC4A3F"/>
    <w:rsid w:val="00AC55B2"/>
    <w:rsid w:val="00AC5705"/>
    <w:rsid w:val="00AC5CFD"/>
    <w:rsid w:val="00AC691A"/>
    <w:rsid w:val="00AC7E33"/>
    <w:rsid w:val="00AC7F98"/>
    <w:rsid w:val="00AD0335"/>
    <w:rsid w:val="00AD0774"/>
    <w:rsid w:val="00AD136B"/>
    <w:rsid w:val="00AD154B"/>
    <w:rsid w:val="00AD1717"/>
    <w:rsid w:val="00AD1732"/>
    <w:rsid w:val="00AD1BBD"/>
    <w:rsid w:val="00AD2361"/>
    <w:rsid w:val="00AD2D2A"/>
    <w:rsid w:val="00AD2E8A"/>
    <w:rsid w:val="00AD4AE7"/>
    <w:rsid w:val="00AD4F8A"/>
    <w:rsid w:val="00AD562F"/>
    <w:rsid w:val="00AD5742"/>
    <w:rsid w:val="00AD6239"/>
    <w:rsid w:val="00AD63C3"/>
    <w:rsid w:val="00AD640F"/>
    <w:rsid w:val="00AD6A9E"/>
    <w:rsid w:val="00AD718F"/>
    <w:rsid w:val="00AD79A3"/>
    <w:rsid w:val="00AE05BB"/>
    <w:rsid w:val="00AE063E"/>
    <w:rsid w:val="00AE0970"/>
    <w:rsid w:val="00AE09BD"/>
    <w:rsid w:val="00AE0CC1"/>
    <w:rsid w:val="00AE121B"/>
    <w:rsid w:val="00AE1940"/>
    <w:rsid w:val="00AE1D54"/>
    <w:rsid w:val="00AE2141"/>
    <w:rsid w:val="00AE2237"/>
    <w:rsid w:val="00AE39BF"/>
    <w:rsid w:val="00AE3D9A"/>
    <w:rsid w:val="00AE4754"/>
    <w:rsid w:val="00AE4812"/>
    <w:rsid w:val="00AE4F10"/>
    <w:rsid w:val="00AE54A3"/>
    <w:rsid w:val="00AE6353"/>
    <w:rsid w:val="00AE672D"/>
    <w:rsid w:val="00AE6989"/>
    <w:rsid w:val="00AE729E"/>
    <w:rsid w:val="00AE797A"/>
    <w:rsid w:val="00AF01A3"/>
    <w:rsid w:val="00AF01D0"/>
    <w:rsid w:val="00AF027F"/>
    <w:rsid w:val="00AF0721"/>
    <w:rsid w:val="00AF2125"/>
    <w:rsid w:val="00AF230B"/>
    <w:rsid w:val="00AF29D4"/>
    <w:rsid w:val="00AF2E86"/>
    <w:rsid w:val="00AF362C"/>
    <w:rsid w:val="00AF3F88"/>
    <w:rsid w:val="00AF4424"/>
    <w:rsid w:val="00AF4DCF"/>
    <w:rsid w:val="00AF4F4E"/>
    <w:rsid w:val="00AF50E2"/>
    <w:rsid w:val="00AF525D"/>
    <w:rsid w:val="00AF5496"/>
    <w:rsid w:val="00AF570E"/>
    <w:rsid w:val="00AF5945"/>
    <w:rsid w:val="00AF59CF"/>
    <w:rsid w:val="00AF5F46"/>
    <w:rsid w:val="00AF6726"/>
    <w:rsid w:val="00AF688C"/>
    <w:rsid w:val="00AF6E00"/>
    <w:rsid w:val="00AF6E1F"/>
    <w:rsid w:val="00AF7473"/>
    <w:rsid w:val="00AF7FE7"/>
    <w:rsid w:val="00B00480"/>
    <w:rsid w:val="00B00847"/>
    <w:rsid w:val="00B01380"/>
    <w:rsid w:val="00B016CB"/>
    <w:rsid w:val="00B0185A"/>
    <w:rsid w:val="00B02653"/>
    <w:rsid w:val="00B02EF0"/>
    <w:rsid w:val="00B0348D"/>
    <w:rsid w:val="00B03850"/>
    <w:rsid w:val="00B03C13"/>
    <w:rsid w:val="00B04011"/>
    <w:rsid w:val="00B04161"/>
    <w:rsid w:val="00B049E6"/>
    <w:rsid w:val="00B04B71"/>
    <w:rsid w:val="00B04C62"/>
    <w:rsid w:val="00B0543C"/>
    <w:rsid w:val="00B062C4"/>
    <w:rsid w:val="00B069AF"/>
    <w:rsid w:val="00B0756A"/>
    <w:rsid w:val="00B077B4"/>
    <w:rsid w:val="00B07952"/>
    <w:rsid w:val="00B10EDC"/>
    <w:rsid w:val="00B11FC6"/>
    <w:rsid w:val="00B12843"/>
    <w:rsid w:val="00B13DE6"/>
    <w:rsid w:val="00B1437B"/>
    <w:rsid w:val="00B148E5"/>
    <w:rsid w:val="00B14A59"/>
    <w:rsid w:val="00B14DB7"/>
    <w:rsid w:val="00B16580"/>
    <w:rsid w:val="00B16981"/>
    <w:rsid w:val="00B1730F"/>
    <w:rsid w:val="00B205FB"/>
    <w:rsid w:val="00B207E7"/>
    <w:rsid w:val="00B21070"/>
    <w:rsid w:val="00B21594"/>
    <w:rsid w:val="00B21C4D"/>
    <w:rsid w:val="00B21E3C"/>
    <w:rsid w:val="00B22E77"/>
    <w:rsid w:val="00B235C9"/>
    <w:rsid w:val="00B23BE8"/>
    <w:rsid w:val="00B24C4B"/>
    <w:rsid w:val="00B24FFB"/>
    <w:rsid w:val="00B25055"/>
    <w:rsid w:val="00B26006"/>
    <w:rsid w:val="00B264F8"/>
    <w:rsid w:val="00B26618"/>
    <w:rsid w:val="00B26B1D"/>
    <w:rsid w:val="00B26C9E"/>
    <w:rsid w:val="00B2703D"/>
    <w:rsid w:val="00B3005F"/>
    <w:rsid w:val="00B30275"/>
    <w:rsid w:val="00B30C60"/>
    <w:rsid w:val="00B313ED"/>
    <w:rsid w:val="00B3209C"/>
    <w:rsid w:val="00B32515"/>
    <w:rsid w:val="00B32935"/>
    <w:rsid w:val="00B32ADD"/>
    <w:rsid w:val="00B33730"/>
    <w:rsid w:val="00B339E4"/>
    <w:rsid w:val="00B33C0A"/>
    <w:rsid w:val="00B34178"/>
    <w:rsid w:val="00B3446B"/>
    <w:rsid w:val="00B345E6"/>
    <w:rsid w:val="00B34D43"/>
    <w:rsid w:val="00B34DB7"/>
    <w:rsid w:val="00B3537B"/>
    <w:rsid w:val="00B3553E"/>
    <w:rsid w:val="00B35779"/>
    <w:rsid w:val="00B35A2C"/>
    <w:rsid w:val="00B366FB"/>
    <w:rsid w:val="00B36C18"/>
    <w:rsid w:val="00B36FE5"/>
    <w:rsid w:val="00B36FE9"/>
    <w:rsid w:val="00B37019"/>
    <w:rsid w:val="00B377BB"/>
    <w:rsid w:val="00B378D9"/>
    <w:rsid w:val="00B40134"/>
    <w:rsid w:val="00B40325"/>
    <w:rsid w:val="00B40C43"/>
    <w:rsid w:val="00B40C85"/>
    <w:rsid w:val="00B40CCA"/>
    <w:rsid w:val="00B41108"/>
    <w:rsid w:val="00B41298"/>
    <w:rsid w:val="00B412CF"/>
    <w:rsid w:val="00B41369"/>
    <w:rsid w:val="00B41444"/>
    <w:rsid w:val="00B4147D"/>
    <w:rsid w:val="00B42099"/>
    <w:rsid w:val="00B4272B"/>
    <w:rsid w:val="00B42FA8"/>
    <w:rsid w:val="00B430AD"/>
    <w:rsid w:val="00B4332E"/>
    <w:rsid w:val="00B4345D"/>
    <w:rsid w:val="00B4345F"/>
    <w:rsid w:val="00B447EA"/>
    <w:rsid w:val="00B453C0"/>
    <w:rsid w:val="00B45566"/>
    <w:rsid w:val="00B45A9B"/>
    <w:rsid w:val="00B461A8"/>
    <w:rsid w:val="00B465B1"/>
    <w:rsid w:val="00B4686E"/>
    <w:rsid w:val="00B46C0A"/>
    <w:rsid w:val="00B46CC9"/>
    <w:rsid w:val="00B46CF3"/>
    <w:rsid w:val="00B47A48"/>
    <w:rsid w:val="00B47D66"/>
    <w:rsid w:val="00B47EFD"/>
    <w:rsid w:val="00B51187"/>
    <w:rsid w:val="00B5336B"/>
    <w:rsid w:val="00B5417B"/>
    <w:rsid w:val="00B5417C"/>
    <w:rsid w:val="00B54811"/>
    <w:rsid w:val="00B560C7"/>
    <w:rsid w:val="00B562E6"/>
    <w:rsid w:val="00B56CC3"/>
    <w:rsid w:val="00B56D27"/>
    <w:rsid w:val="00B56F89"/>
    <w:rsid w:val="00B574F2"/>
    <w:rsid w:val="00B57A56"/>
    <w:rsid w:val="00B57C11"/>
    <w:rsid w:val="00B6005D"/>
    <w:rsid w:val="00B60580"/>
    <w:rsid w:val="00B60A4F"/>
    <w:rsid w:val="00B6102D"/>
    <w:rsid w:val="00B6104A"/>
    <w:rsid w:val="00B611CE"/>
    <w:rsid w:val="00B61365"/>
    <w:rsid w:val="00B62AF0"/>
    <w:rsid w:val="00B62B06"/>
    <w:rsid w:val="00B62C4D"/>
    <w:rsid w:val="00B62DB5"/>
    <w:rsid w:val="00B630DB"/>
    <w:rsid w:val="00B637B1"/>
    <w:rsid w:val="00B63826"/>
    <w:rsid w:val="00B6399C"/>
    <w:rsid w:val="00B64135"/>
    <w:rsid w:val="00B64434"/>
    <w:rsid w:val="00B6525F"/>
    <w:rsid w:val="00B657D2"/>
    <w:rsid w:val="00B65940"/>
    <w:rsid w:val="00B659AC"/>
    <w:rsid w:val="00B65AE0"/>
    <w:rsid w:val="00B65D74"/>
    <w:rsid w:val="00B665E0"/>
    <w:rsid w:val="00B66680"/>
    <w:rsid w:val="00B67294"/>
    <w:rsid w:val="00B672BD"/>
    <w:rsid w:val="00B6745C"/>
    <w:rsid w:val="00B67698"/>
    <w:rsid w:val="00B677C9"/>
    <w:rsid w:val="00B67A95"/>
    <w:rsid w:val="00B67C87"/>
    <w:rsid w:val="00B67F43"/>
    <w:rsid w:val="00B70F1A"/>
    <w:rsid w:val="00B711DB"/>
    <w:rsid w:val="00B71391"/>
    <w:rsid w:val="00B715AD"/>
    <w:rsid w:val="00B7199C"/>
    <w:rsid w:val="00B7209A"/>
    <w:rsid w:val="00B723A3"/>
    <w:rsid w:val="00B72480"/>
    <w:rsid w:val="00B72707"/>
    <w:rsid w:val="00B72B2E"/>
    <w:rsid w:val="00B736CD"/>
    <w:rsid w:val="00B73C8B"/>
    <w:rsid w:val="00B758A9"/>
    <w:rsid w:val="00B76E6D"/>
    <w:rsid w:val="00B775B7"/>
    <w:rsid w:val="00B77759"/>
    <w:rsid w:val="00B807CB"/>
    <w:rsid w:val="00B8093D"/>
    <w:rsid w:val="00B8104D"/>
    <w:rsid w:val="00B8121D"/>
    <w:rsid w:val="00B81281"/>
    <w:rsid w:val="00B813FD"/>
    <w:rsid w:val="00B81670"/>
    <w:rsid w:val="00B81C3C"/>
    <w:rsid w:val="00B828F9"/>
    <w:rsid w:val="00B8300B"/>
    <w:rsid w:val="00B83F9A"/>
    <w:rsid w:val="00B8426B"/>
    <w:rsid w:val="00B85214"/>
    <w:rsid w:val="00B86444"/>
    <w:rsid w:val="00B866BC"/>
    <w:rsid w:val="00B86C20"/>
    <w:rsid w:val="00B86E51"/>
    <w:rsid w:val="00B8799C"/>
    <w:rsid w:val="00B87F18"/>
    <w:rsid w:val="00B90580"/>
    <w:rsid w:val="00B913F8"/>
    <w:rsid w:val="00B9140C"/>
    <w:rsid w:val="00B91472"/>
    <w:rsid w:val="00B916D5"/>
    <w:rsid w:val="00B91AF9"/>
    <w:rsid w:val="00B91D10"/>
    <w:rsid w:val="00B928E5"/>
    <w:rsid w:val="00B932E8"/>
    <w:rsid w:val="00B9389A"/>
    <w:rsid w:val="00B9391D"/>
    <w:rsid w:val="00B93B80"/>
    <w:rsid w:val="00B9431D"/>
    <w:rsid w:val="00B94402"/>
    <w:rsid w:val="00B944FC"/>
    <w:rsid w:val="00B94C86"/>
    <w:rsid w:val="00B94D91"/>
    <w:rsid w:val="00B95015"/>
    <w:rsid w:val="00B95E3F"/>
    <w:rsid w:val="00B95F2A"/>
    <w:rsid w:val="00B97320"/>
    <w:rsid w:val="00B97F8B"/>
    <w:rsid w:val="00BA07D5"/>
    <w:rsid w:val="00BA11A5"/>
    <w:rsid w:val="00BA1E2D"/>
    <w:rsid w:val="00BA2A7C"/>
    <w:rsid w:val="00BA2C82"/>
    <w:rsid w:val="00BA3186"/>
    <w:rsid w:val="00BA3F06"/>
    <w:rsid w:val="00BA4161"/>
    <w:rsid w:val="00BA4541"/>
    <w:rsid w:val="00BA4D7A"/>
    <w:rsid w:val="00BA58D4"/>
    <w:rsid w:val="00BA6359"/>
    <w:rsid w:val="00BA6ED4"/>
    <w:rsid w:val="00BA7302"/>
    <w:rsid w:val="00BA7BAF"/>
    <w:rsid w:val="00BA7D97"/>
    <w:rsid w:val="00BB058F"/>
    <w:rsid w:val="00BB0D42"/>
    <w:rsid w:val="00BB0F9D"/>
    <w:rsid w:val="00BB1E91"/>
    <w:rsid w:val="00BB290A"/>
    <w:rsid w:val="00BB30B9"/>
    <w:rsid w:val="00BB37EA"/>
    <w:rsid w:val="00BB3D3A"/>
    <w:rsid w:val="00BB42C5"/>
    <w:rsid w:val="00BB43E4"/>
    <w:rsid w:val="00BB4519"/>
    <w:rsid w:val="00BB46CC"/>
    <w:rsid w:val="00BB551A"/>
    <w:rsid w:val="00BB5E9B"/>
    <w:rsid w:val="00BB5EA3"/>
    <w:rsid w:val="00BB6373"/>
    <w:rsid w:val="00BB63F2"/>
    <w:rsid w:val="00BB6565"/>
    <w:rsid w:val="00BB6AF0"/>
    <w:rsid w:val="00BB7276"/>
    <w:rsid w:val="00BB7D39"/>
    <w:rsid w:val="00BB7E11"/>
    <w:rsid w:val="00BC07F2"/>
    <w:rsid w:val="00BC13B7"/>
    <w:rsid w:val="00BC1554"/>
    <w:rsid w:val="00BC172B"/>
    <w:rsid w:val="00BC1769"/>
    <w:rsid w:val="00BC1E11"/>
    <w:rsid w:val="00BC20F8"/>
    <w:rsid w:val="00BC2184"/>
    <w:rsid w:val="00BC2911"/>
    <w:rsid w:val="00BC3693"/>
    <w:rsid w:val="00BC3B24"/>
    <w:rsid w:val="00BC4014"/>
    <w:rsid w:val="00BC4F64"/>
    <w:rsid w:val="00BC577E"/>
    <w:rsid w:val="00BC596A"/>
    <w:rsid w:val="00BC5B29"/>
    <w:rsid w:val="00BC6567"/>
    <w:rsid w:val="00BC713E"/>
    <w:rsid w:val="00BC7552"/>
    <w:rsid w:val="00BC75FB"/>
    <w:rsid w:val="00BC793B"/>
    <w:rsid w:val="00BC7AFA"/>
    <w:rsid w:val="00BD05E2"/>
    <w:rsid w:val="00BD0909"/>
    <w:rsid w:val="00BD0CE3"/>
    <w:rsid w:val="00BD0F3F"/>
    <w:rsid w:val="00BD188E"/>
    <w:rsid w:val="00BD19B8"/>
    <w:rsid w:val="00BD1F3F"/>
    <w:rsid w:val="00BD2205"/>
    <w:rsid w:val="00BD40AF"/>
    <w:rsid w:val="00BD45AD"/>
    <w:rsid w:val="00BD48C3"/>
    <w:rsid w:val="00BD4956"/>
    <w:rsid w:val="00BD5457"/>
    <w:rsid w:val="00BD5759"/>
    <w:rsid w:val="00BD5941"/>
    <w:rsid w:val="00BD6202"/>
    <w:rsid w:val="00BD6458"/>
    <w:rsid w:val="00BD6636"/>
    <w:rsid w:val="00BD68EB"/>
    <w:rsid w:val="00BD6E0F"/>
    <w:rsid w:val="00BD6EF1"/>
    <w:rsid w:val="00BD7A2E"/>
    <w:rsid w:val="00BE011B"/>
    <w:rsid w:val="00BE0A43"/>
    <w:rsid w:val="00BE11FB"/>
    <w:rsid w:val="00BE2668"/>
    <w:rsid w:val="00BE29BF"/>
    <w:rsid w:val="00BE2BC1"/>
    <w:rsid w:val="00BE3545"/>
    <w:rsid w:val="00BE366B"/>
    <w:rsid w:val="00BE4185"/>
    <w:rsid w:val="00BE4320"/>
    <w:rsid w:val="00BE44E6"/>
    <w:rsid w:val="00BE44ED"/>
    <w:rsid w:val="00BE469B"/>
    <w:rsid w:val="00BE49EA"/>
    <w:rsid w:val="00BE4A30"/>
    <w:rsid w:val="00BE4F3A"/>
    <w:rsid w:val="00BE6203"/>
    <w:rsid w:val="00BE6285"/>
    <w:rsid w:val="00BE6D8C"/>
    <w:rsid w:val="00BE6D91"/>
    <w:rsid w:val="00BF00F9"/>
    <w:rsid w:val="00BF030E"/>
    <w:rsid w:val="00BF1E5C"/>
    <w:rsid w:val="00BF37DA"/>
    <w:rsid w:val="00BF4DD7"/>
    <w:rsid w:val="00BF544B"/>
    <w:rsid w:val="00BF5A52"/>
    <w:rsid w:val="00BF5A79"/>
    <w:rsid w:val="00BF639B"/>
    <w:rsid w:val="00BF6478"/>
    <w:rsid w:val="00BF6657"/>
    <w:rsid w:val="00BF6D9A"/>
    <w:rsid w:val="00BF7361"/>
    <w:rsid w:val="00BF797E"/>
    <w:rsid w:val="00BF7D47"/>
    <w:rsid w:val="00BF7E7E"/>
    <w:rsid w:val="00C002EF"/>
    <w:rsid w:val="00C0030A"/>
    <w:rsid w:val="00C003F4"/>
    <w:rsid w:val="00C004C6"/>
    <w:rsid w:val="00C008B3"/>
    <w:rsid w:val="00C01F6E"/>
    <w:rsid w:val="00C024F6"/>
    <w:rsid w:val="00C028EB"/>
    <w:rsid w:val="00C0314F"/>
    <w:rsid w:val="00C03543"/>
    <w:rsid w:val="00C03B4B"/>
    <w:rsid w:val="00C042EB"/>
    <w:rsid w:val="00C04F69"/>
    <w:rsid w:val="00C0549F"/>
    <w:rsid w:val="00C059EC"/>
    <w:rsid w:val="00C05EEE"/>
    <w:rsid w:val="00C062BF"/>
    <w:rsid w:val="00C062D4"/>
    <w:rsid w:val="00C06D0E"/>
    <w:rsid w:val="00C06FE2"/>
    <w:rsid w:val="00C07D8A"/>
    <w:rsid w:val="00C10D8D"/>
    <w:rsid w:val="00C113F0"/>
    <w:rsid w:val="00C11A0A"/>
    <w:rsid w:val="00C12171"/>
    <w:rsid w:val="00C12190"/>
    <w:rsid w:val="00C127FD"/>
    <w:rsid w:val="00C13143"/>
    <w:rsid w:val="00C134AB"/>
    <w:rsid w:val="00C135C8"/>
    <w:rsid w:val="00C13AAE"/>
    <w:rsid w:val="00C13EC4"/>
    <w:rsid w:val="00C140D3"/>
    <w:rsid w:val="00C14724"/>
    <w:rsid w:val="00C14890"/>
    <w:rsid w:val="00C14971"/>
    <w:rsid w:val="00C14A8B"/>
    <w:rsid w:val="00C14C35"/>
    <w:rsid w:val="00C14F78"/>
    <w:rsid w:val="00C15149"/>
    <w:rsid w:val="00C15A15"/>
    <w:rsid w:val="00C161DB"/>
    <w:rsid w:val="00C1637A"/>
    <w:rsid w:val="00C171CC"/>
    <w:rsid w:val="00C1742F"/>
    <w:rsid w:val="00C1765E"/>
    <w:rsid w:val="00C20C8B"/>
    <w:rsid w:val="00C20E6F"/>
    <w:rsid w:val="00C2142B"/>
    <w:rsid w:val="00C224B0"/>
    <w:rsid w:val="00C224EF"/>
    <w:rsid w:val="00C225D7"/>
    <w:rsid w:val="00C22DB9"/>
    <w:rsid w:val="00C2301A"/>
    <w:rsid w:val="00C236C8"/>
    <w:rsid w:val="00C23952"/>
    <w:rsid w:val="00C23B2A"/>
    <w:rsid w:val="00C2403C"/>
    <w:rsid w:val="00C2403F"/>
    <w:rsid w:val="00C24055"/>
    <w:rsid w:val="00C245E0"/>
    <w:rsid w:val="00C25015"/>
    <w:rsid w:val="00C25220"/>
    <w:rsid w:val="00C25830"/>
    <w:rsid w:val="00C25D22"/>
    <w:rsid w:val="00C269CF"/>
    <w:rsid w:val="00C26EDF"/>
    <w:rsid w:val="00C27881"/>
    <w:rsid w:val="00C2798C"/>
    <w:rsid w:val="00C301B8"/>
    <w:rsid w:val="00C3122E"/>
    <w:rsid w:val="00C31A72"/>
    <w:rsid w:val="00C322E8"/>
    <w:rsid w:val="00C32942"/>
    <w:rsid w:val="00C3334B"/>
    <w:rsid w:val="00C3355E"/>
    <w:rsid w:val="00C33B65"/>
    <w:rsid w:val="00C343E2"/>
    <w:rsid w:val="00C344CE"/>
    <w:rsid w:val="00C34661"/>
    <w:rsid w:val="00C34D67"/>
    <w:rsid w:val="00C35746"/>
    <w:rsid w:val="00C35869"/>
    <w:rsid w:val="00C35EAE"/>
    <w:rsid w:val="00C36320"/>
    <w:rsid w:val="00C3687A"/>
    <w:rsid w:val="00C36C47"/>
    <w:rsid w:val="00C36D96"/>
    <w:rsid w:val="00C37A3B"/>
    <w:rsid w:val="00C401F8"/>
    <w:rsid w:val="00C403BD"/>
    <w:rsid w:val="00C40883"/>
    <w:rsid w:val="00C40B0C"/>
    <w:rsid w:val="00C40CAA"/>
    <w:rsid w:val="00C40D1B"/>
    <w:rsid w:val="00C40D56"/>
    <w:rsid w:val="00C4158C"/>
    <w:rsid w:val="00C41C13"/>
    <w:rsid w:val="00C41D58"/>
    <w:rsid w:val="00C42497"/>
    <w:rsid w:val="00C4319F"/>
    <w:rsid w:val="00C43497"/>
    <w:rsid w:val="00C440AF"/>
    <w:rsid w:val="00C449CF"/>
    <w:rsid w:val="00C44B72"/>
    <w:rsid w:val="00C45220"/>
    <w:rsid w:val="00C45AD9"/>
    <w:rsid w:val="00C45B16"/>
    <w:rsid w:val="00C464E9"/>
    <w:rsid w:val="00C46A63"/>
    <w:rsid w:val="00C46D3C"/>
    <w:rsid w:val="00C46D46"/>
    <w:rsid w:val="00C501FB"/>
    <w:rsid w:val="00C50BC4"/>
    <w:rsid w:val="00C50FEB"/>
    <w:rsid w:val="00C5141F"/>
    <w:rsid w:val="00C5148E"/>
    <w:rsid w:val="00C518EE"/>
    <w:rsid w:val="00C51937"/>
    <w:rsid w:val="00C51BFA"/>
    <w:rsid w:val="00C51DF4"/>
    <w:rsid w:val="00C52103"/>
    <w:rsid w:val="00C52D6C"/>
    <w:rsid w:val="00C53713"/>
    <w:rsid w:val="00C53935"/>
    <w:rsid w:val="00C53B57"/>
    <w:rsid w:val="00C53C3C"/>
    <w:rsid w:val="00C5499C"/>
    <w:rsid w:val="00C54B09"/>
    <w:rsid w:val="00C550AF"/>
    <w:rsid w:val="00C55681"/>
    <w:rsid w:val="00C5583D"/>
    <w:rsid w:val="00C56673"/>
    <w:rsid w:val="00C57910"/>
    <w:rsid w:val="00C57DA6"/>
    <w:rsid w:val="00C605FF"/>
    <w:rsid w:val="00C6168C"/>
    <w:rsid w:val="00C62164"/>
    <w:rsid w:val="00C6238D"/>
    <w:rsid w:val="00C627EE"/>
    <w:rsid w:val="00C62829"/>
    <w:rsid w:val="00C628E2"/>
    <w:rsid w:val="00C62910"/>
    <w:rsid w:val="00C62C9C"/>
    <w:rsid w:val="00C63816"/>
    <w:rsid w:val="00C63D52"/>
    <w:rsid w:val="00C640A8"/>
    <w:rsid w:val="00C6549D"/>
    <w:rsid w:val="00C65828"/>
    <w:rsid w:val="00C65C06"/>
    <w:rsid w:val="00C65CC7"/>
    <w:rsid w:val="00C65D62"/>
    <w:rsid w:val="00C65FDE"/>
    <w:rsid w:val="00C66413"/>
    <w:rsid w:val="00C6679F"/>
    <w:rsid w:val="00C66EDA"/>
    <w:rsid w:val="00C672D5"/>
    <w:rsid w:val="00C70050"/>
    <w:rsid w:val="00C7009B"/>
    <w:rsid w:val="00C7030A"/>
    <w:rsid w:val="00C7033F"/>
    <w:rsid w:val="00C703EC"/>
    <w:rsid w:val="00C70CED"/>
    <w:rsid w:val="00C70E6E"/>
    <w:rsid w:val="00C7107E"/>
    <w:rsid w:val="00C719C7"/>
    <w:rsid w:val="00C7232C"/>
    <w:rsid w:val="00C72469"/>
    <w:rsid w:val="00C72508"/>
    <w:rsid w:val="00C72852"/>
    <w:rsid w:val="00C73333"/>
    <w:rsid w:val="00C73357"/>
    <w:rsid w:val="00C735F1"/>
    <w:rsid w:val="00C73DBE"/>
    <w:rsid w:val="00C74A74"/>
    <w:rsid w:val="00C74DB9"/>
    <w:rsid w:val="00C75313"/>
    <w:rsid w:val="00C7535A"/>
    <w:rsid w:val="00C757F2"/>
    <w:rsid w:val="00C75C97"/>
    <w:rsid w:val="00C766B3"/>
    <w:rsid w:val="00C767AD"/>
    <w:rsid w:val="00C7735A"/>
    <w:rsid w:val="00C77B36"/>
    <w:rsid w:val="00C80499"/>
    <w:rsid w:val="00C80FF7"/>
    <w:rsid w:val="00C8100A"/>
    <w:rsid w:val="00C819FF"/>
    <w:rsid w:val="00C81A5C"/>
    <w:rsid w:val="00C81F4A"/>
    <w:rsid w:val="00C82628"/>
    <w:rsid w:val="00C8307E"/>
    <w:rsid w:val="00C83673"/>
    <w:rsid w:val="00C83E7F"/>
    <w:rsid w:val="00C84487"/>
    <w:rsid w:val="00C845CA"/>
    <w:rsid w:val="00C84C72"/>
    <w:rsid w:val="00C85357"/>
    <w:rsid w:val="00C8546A"/>
    <w:rsid w:val="00C85600"/>
    <w:rsid w:val="00C87407"/>
    <w:rsid w:val="00C87D2F"/>
    <w:rsid w:val="00C87E89"/>
    <w:rsid w:val="00C901CA"/>
    <w:rsid w:val="00C90634"/>
    <w:rsid w:val="00C90DA6"/>
    <w:rsid w:val="00C9107A"/>
    <w:rsid w:val="00C91269"/>
    <w:rsid w:val="00C91776"/>
    <w:rsid w:val="00C917ED"/>
    <w:rsid w:val="00C91B0A"/>
    <w:rsid w:val="00C91DA3"/>
    <w:rsid w:val="00C91F49"/>
    <w:rsid w:val="00C92185"/>
    <w:rsid w:val="00C92DDE"/>
    <w:rsid w:val="00C933EE"/>
    <w:rsid w:val="00C93FF8"/>
    <w:rsid w:val="00C945FC"/>
    <w:rsid w:val="00C9492A"/>
    <w:rsid w:val="00C9529A"/>
    <w:rsid w:val="00C95910"/>
    <w:rsid w:val="00C95C39"/>
    <w:rsid w:val="00C95D0B"/>
    <w:rsid w:val="00C96157"/>
    <w:rsid w:val="00C968FF"/>
    <w:rsid w:val="00C96FDE"/>
    <w:rsid w:val="00C975B9"/>
    <w:rsid w:val="00C979FF"/>
    <w:rsid w:val="00CA03C0"/>
    <w:rsid w:val="00CA0965"/>
    <w:rsid w:val="00CA0C83"/>
    <w:rsid w:val="00CA1725"/>
    <w:rsid w:val="00CA17E8"/>
    <w:rsid w:val="00CA1E22"/>
    <w:rsid w:val="00CA2528"/>
    <w:rsid w:val="00CA3544"/>
    <w:rsid w:val="00CA3F4F"/>
    <w:rsid w:val="00CA5068"/>
    <w:rsid w:val="00CA53B2"/>
    <w:rsid w:val="00CA5895"/>
    <w:rsid w:val="00CA59A5"/>
    <w:rsid w:val="00CA59AF"/>
    <w:rsid w:val="00CA5B82"/>
    <w:rsid w:val="00CA7253"/>
    <w:rsid w:val="00CA761B"/>
    <w:rsid w:val="00CA7940"/>
    <w:rsid w:val="00CA79D5"/>
    <w:rsid w:val="00CB1117"/>
    <w:rsid w:val="00CB1C64"/>
    <w:rsid w:val="00CB2F95"/>
    <w:rsid w:val="00CB339D"/>
    <w:rsid w:val="00CB3474"/>
    <w:rsid w:val="00CB367C"/>
    <w:rsid w:val="00CB38A6"/>
    <w:rsid w:val="00CB40F3"/>
    <w:rsid w:val="00CB426A"/>
    <w:rsid w:val="00CB42AC"/>
    <w:rsid w:val="00CB4A85"/>
    <w:rsid w:val="00CB5276"/>
    <w:rsid w:val="00CB53D7"/>
    <w:rsid w:val="00CB5563"/>
    <w:rsid w:val="00CB5B58"/>
    <w:rsid w:val="00CB5F33"/>
    <w:rsid w:val="00CB63CA"/>
    <w:rsid w:val="00CB7101"/>
    <w:rsid w:val="00CB7FC7"/>
    <w:rsid w:val="00CC00E2"/>
    <w:rsid w:val="00CC022A"/>
    <w:rsid w:val="00CC0C50"/>
    <w:rsid w:val="00CC2652"/>
    <w:rsid w:val="00CC27DC"/>
    <w:rsid w:val="00CC30AA"/>
    <w:rsid w:val="00CC3175"/>
    <w:rsid w:val="00CC33C0"/>
    <w:rsid w:val="00CC3531"/>
    <w:rsid w:val="00CC3858"/>
    <w:rsid w:val="00CC4860"/>
    <w:rsid w:val="00CC57B5"/>
    <w:rsid w:val="00CC5A45"/>
    <w:rsid w:val="00CC6223"/>
    <w:rsid w:val="00CC62D6"/>
    <w:rsid w:val="00CC6372"/>
    <w:rsid w:val="00CC65B6"/>
    <w:rsid w:val="00CC6809"/>
    <w:rsid w:val="00CC6BE7"/>
    <w:rsid w:val="00CC6EFD"/>
    <w:rsid w:val="00CC70C1"/>
    <w:rsid w:val="00CC70E1"/>
    <w:rsid w:val="00CD0525"/>
    <w:rsid w:val="00CD08B6"/>
    <w:rsid w:val="00CD0E08"/>
    <w:rsid w:val="00CD1169"/>
    <w:rsid w:val="00CD21C1"/>
    <w:rsid w:val="00CD260E"/>
    <w:rsid w:val="00CD34EB"/>
    <w:rsid w:val="00CD38BE"/>
    <w:rsid w:val="00CD3AAA"/>
    <w:rsid w:val="00CD3C5A"/>
    <w:rsid w:val="00CD3CBE"/>
    <w:rsid w:val="00CD3D7A"/>
    <w:rsid w:val="00CD3DD8"/>
    <w:rsid w:val="00CD3E5E"/>
    <w:rsid w:val="00CD4079"/>
    <w:rsid w:val="00CD423A"/>
    <w:rsid w:val="00CD4ED8"/>
    <w:rsid w:val="00CD5141"/>
    <w:rsid w:val="00CD52FA"/>
    <w:rsid w:val="00CD54C2"/>
    <w:rsid w:val="00CD55A7"/>
    <w:rsid w:val="00CD5B00"/>
    <w:rsid w:val="00CD5D51"/>
    <w:rsid w:val="00CD6397"/>
    <w:rsid w:val="00CD6CCF"/>
    <w:rsid w:val="00CE051C"/>
    <w:rsid w:val="00CE11E9"/>
    <w:rsid w:val="00CE12BE"/>
    <w:rsid w:val="00CE1C42"/>
    <w:rsid w:val="00CE1E09"/>
    <w:rsid w:val="00CE216F"/>
    <w:rsid w:val="00CE225C"/>
    <w:rsid w:val="00CE252B"/>
    <w:rsid w:val="00CE30C6"/>
    <w:rsid w:val="00CE32F9"/>
    <w:rsid w:val="00CE334B"/>
    <w:rsid w:val="00CE3686"/>
    <w:rsid w:val="00CE3873"/>
    <w:rsid w:val="00CE3978"/>
    <w:rsid w:val="00CE41CC"/>
    <w:rsid w:val="00CE47A3"/>
    <w:rsid w:val="00CE48D9"/>
    <w:rsid w:val="00CE4CAF"/>
    <w:rsid w:val="00CE5028"/>
    <w:rsid w:val="00CE618B"/>
    <w:rsid w:val="00CE66B6"/>
    <w:rsid w:val="00CE66D9"/>
    <w:rsid w:val="00CE6A9D"/>
    <w:rsid w:val="00CE7528"/>
    <w:rsid w:val="00CE7789"/>
    <w:rsid w:val="00CE7A30"/>
    <w:rsid w:val="00CE7BDF"/>
    <w:rsid w:val="00CF0797"/>
    <w:rsid w:val="00CF0A04"/>
    <w:rsid w:val="00CF0B87"/>
    <w:rsid w:val="00CF12A6"/>
    <w:rsid w:val="00CF17A2"/>
    <w:rsid w:val="00CF1CB9"/>
    <w:rsid w:val="00CF214A"/>
    <w:rsid w:val="00CF2938"/>
    <w:rsid w:val="00CF2A46"/>
    <w:rsid w:val="00CF2FD7"/>
    <w:rsid w:val="00CF32FB"/>
    <w:rsid w:val="00CF3422"/>
    <w:rsid w:val="00CF3D30"/>
    <w:rsid w:val="00CF4AAA"/>
    <w:rsid w:val="00CF4E9D"/>
    <w:rsid w:val="00CF591B"/>
    <w:rsid w:val="00CF5D1C"/>
    <w:rsid w:val="00CF61B9"/>
    <w:rsid w:val="00CF662D"/>
    <w:rsid w:val="00CF6C05"/>
    <w:rsid w:val="00CF6E2C"/>
    <w:rsid w:val="00D007AE"/>
    <w:rsid w:val="00D01B5D"/>
    <w:rsid w:val="00D020DD"/>
    <w:rsid w:val="00D022C6"/>
    <w:rsid w:val="00D02302"/>
    <w:rsid w:val="00D03540"/>
    <w:rsid w:val="00D03C9A"/>
    <w:rsid w:val="00D04124"/>
    <w:rsid w:val="00D04314"/>
    <w:rsid w:val="00D0510F"/>
    <w:rsid w:val="00D053DA"/>
    <w:rsid w:val="00D0594C"/>
    <w:rsid w:val="00D05A64"/>
    <w:rsid w:val="00D05BCB"/>
    <w:rsid w:val="00D05F5E"/>
    <w:rsid w:val="00D05FE7"/>
    <w:rsid w:val="00D06016"/>
    <w:rsid w:val="00D06207"/>
    <w:rsid w:val="00D06C0E"/>
    <w:rsid w:val="00D06F82"/>
    <w:rsid w:val="00D07CF1"/>
    <w:rsid w:val="00D10224"/>
    <w:rsid w:val="00D1038C"/>
    <w:rsid w:val="00D107AA"/>
    <w:rsid w:val="00D109BC"/>
    <w:rsid w:val="00D118DC"/>
    <w:rsid w:val="00D11A78"/>
    <w:rsid w:val="00D11AB9"/>
    <w:rsid w:val="00D11E29"/>
    <w:rsid w:val="00D12048"/>
    <w:rsid w:val="00D1237A"/>
    <w:rsid w:val="00D12AD8"/>
    <w:rsid w:val="00D13205"/>
    <w:rsid w:val="00D13582"/>
    <w:rsid w:val="00D13FA9"/>
    <w:rsid w:val="00D14C67"/>
    <w:rsid w:val="00D15199"/>
    <w:rsid w:val="00D151BE"/>
    <w:rsid w:val="00D15283"/>
    <w:rsid w:val="00D154BA"/>
    <w:rsid w:val="00D15BCB"/>
    <w:rsid w:val="00D168D3"/>
    <w:rsid w:val="00D16B8E"/>
    <w:rsid w:val="00D17972"/>
    <w:rsid w:val="00D17A78"/>
    <w:rsid w:val="00D17AF1"/>
    <w:rsid w:val="00D17F7A"/>
    <w:rsid w:val="00D20582"/>
    <w:rsid w:val="00D212B9"/>
    <w:rsid w:val="00D21810"/>
    <w:rsid w:val="00D21B76"/>
    <w:rsid w:val="00D21EAD"/>
    <w:rsid w:val="00D22055"/>
    <w:rsid w:val="00D22716"/>
    <w:rsid w:val="00D227DE"/>
    <w:rsid w:val="00D2282E"/>
    <w:rsid w:val="00D23438"/>
    <w:rsid w:val="00D23810"/>
    <w:rsid w:val="00D24593"/>
    <w:rsid w:val="00D246A2"/>
    <w:rsid w:val="00D248FA"/>
    <w:rsid w:val="00D249CB"/>
    <w:rsid w:val="00D24E6A"/>
    <w:rsid w:val="00D24E72"/>
    <w:rsid w:val="00D2533C"/>
    <w:rsid w:val="00D25831"/>
    <w:rsid w:val="00D264F1"/>
    <w:rsid w:val="00D26ACD"/>
    <w:rsid w:val="00D26B24"/>
    <w:rsid w:val="00D26BC4"/>
    <w:rsid w:val="00D27344"/>
    <w:rsid w:val="00D275F7"/>
    <w:rsid w:val="00D278CA"/>
    <w:rsid w:val="00D27F5E"/>
    <w:rsid w:val="00D27F6C"/>
    <w:rsid w:val="00D30763"/>
    <w:rsid w:val="00D30828"/>
    <w:rsid w:val="00D30A07"/>
    <w:rsid w:val="00D30BC0"/>
    <w:rsid w:val="00D30E20"/>
    <w:rsid w:val="00D315E3"/>
    <w:rsid w:val="00D31837"/>
    <w:rsid w:val="00D31E32"/>
    <w:rsid w:val="00D3297B"/>
    <w:rsid w:val="00D3348C"/>
    <w:rsid w:val="00D33931"/>
    <w:rsid w:val="00D345F3"/>
    <w:rsid w:val="00D34AE6"/>
    <w:rsid w:val="00D34BC1"/>
    <w:rsid w:val="00D35125"/>
    <w:rsid w:val="00D351CC"/>
    <w:rsid w:val="00D365B2"/>
    <w:rsid w:val="00D36819"/>
    <w:rsid w:val="00D3690D"/>
    <w:rsid w:val="00D36B62"/>
    <w:rsid w:val="00D3707C"/>
    <w:rsid w:val="00D37516"/>
    <w:rsid w:val="00D3788A"/>
    <w:rsid w:val="00D37D95"/>
    <w:rsid w:val="00D37FF0"/>
    <w:rsid w:val="00D4000A"/>
    <w:rsid w:val="00D407FC"/>
    <w:rsid w:val="00D4154C"/>
    <w:rsid w:val="00D41869"/>
    <w:rsid w:val="00D41F4E"/>
    <w:rsid w:val="00D420C6"/>
    <w:rsid w:val="00D42206"/>
    <w:rsid w:val="00D430AF"/>
    <w:rsid w:val="00D434D8"/>
    <w:rsid w:val="00D43DB5"/>
    <w:rsid w:val="00D45101"/>
    <w:rsid w:val="00D459FC"/>
    <w:rsid w:val="00D45F17"/>
    <w:rsid w:val="00D468C0"/>
    <w:rsid w:val="00D46C83"/>
    <w:rsid w:val="00D47E94"/>
    <w:rsid w:val="00D50194"/>
    <w:rsid w:val="00D503BC"/>
    <w:rsid w:val="00D50F5E"/>
    <w:rsid w:val="00D51496"/>
    <w:rsid w:val="00D51590"/>
    <w:rsid w:val="00D51B31"/>
    <w:rsid w:val="00D51C53"/>
    <w:rsid w:val="00D5246F"/>
    <w:rsid w:val="00D5311D"/>
    <w:rsid w:val="00D53876"/>
    <w:rsid w:val="00D53A25"/>
    <w:rsid w:val="00D53BDE"/>
    <w:rsid w:val="00D53CBA"/>
    <w:rsid w:val="00D53F6F"/>
    <w:rsid w:val="00D54C88"/>
    <w:rsid w:val="00D54E27"/>
    <w:rsid w:val="00D54F62"/>
    <w:rsid w:val="00D55E0D"/>
    <w:rsid w:val="00D5609A"/>
    <w:rsid w:val="00D56E24"/>
    <w:rsid w:val="00D574B6"/>
    <w:rsid w:val="00D57752"/>
    <w:rsid w:val="00D57A03"/>
    <w:rsid w:val="00D57A7F"/>
    <w:rsid w:val="00D60B44"/>
    <w:rsid w:val="00D60CA4"/>
    <w:rsid w:val="00D62444"/>
    <w:rsid w:val="00D6269E"/>
    <w:rsid w:val="00D6299C"/>
    <w:rsid w:val="00D62CFB"/>
    <w:rsid w:val="00D64F9A"/>
    <w:rsid w:val="00D65420"/>
    <w:rsid w:val="00D6553B"/>
    <w:rsid w:val="00D655B7"/>
    <w:rsid w:val="00D66F93"/>
    <w:rsid w:val="00D67B5E"/>
    <w:rsid w:val="00D67CEA"/>
    <w:rsid w:val="00D70112"/>
    <w:rsid w:val="00D70D05"/>
    <w:rsid w:val="00D70E75"/>
    <w:rsid w:val="00D712E6"/>
    <w:rsid w:val="00D71749"/>
    <w:rsid w:val="00D71C0C"/>
    <w:rsid w:val="00D71FFD"/>
    <w:rsid w:val="00D729A3"/>
    <w:rsid w:val="00D72ACF"/>
    <w:rsid w:val="00D72F0D"/>
    <w:rsid w:val="00D736D9"/>
    <w:rsid w:val="00D73A89"/>
    <w:rsid w:val="00D73E5A"/>
    <w:rsid w:val="00D75619"/>
    <w:rsid w:val="00D756FD"/>
    <w:rsid w:val="00D757E0"/>
    <w:rsid w:val="00D758F5"/>
    <w:rsid w:val="00D75FDF"/>
    <w:rsid w:val="00D7671A"/>
    <w:rsid w:val="00D76721"/>
    <w:rsid w:val="00D76D72"/>
    <w:rsid w:val="00D76E70"/>
    <w:rsid w:val="00D775AF"/>
    <w:rsid w:val="00D7770D"/>
    <w:rsid w:val="00D8052D"/>
    <w:rsid w:val="00D80D9D"/>
    <w:rsid w:val="00D813E6"/>
    <w:rsid w:val="00D81478"/>
    <w:rsid w:val="00D81B03"/>
    <w:rsid w:val="00D81BF7"/>
    <w:rsid w:val="00D81D0B"/>
    <w:rsid w:val="00D827F6"/>
    <w:rsid w:val="00D82820"/>
    <w:rsid w:val="00D82CED"/>
    <w:rsid w:val="00D82D07"/>
    <w:rsid w:val="00D83406"/>
    <w:rsid w:val="00D834EC"/>
    <w:rsid w:val="00D83827"/>
    <w:rsid w:val="00D8389D"/>
    <w:rsid w:val="00D8489E"/>
    <w:rsid w:val="00D848D1"/>
    <w:rsid w:val="00D84CA9"/>
    <w:rsid w:val="00D8550F"/>
    <w:rsid w:val="00D857A4"/>
    <w:rsid w:val="00D86DA4"/>
    <w:rsid w:val="00D86FF6"/>
    <w:rsid w:val="00D87D1D"/>
    <w:rsid w:val="00D90908"/>
    <w:rsid w:val="00D90EF4"/>
    <w:rsid w:val="00D9125B"/>
    <w:rsid w:val="00D912EA"/>
    <w:rsid w:val="00D923E1"/>
    <w:rsid w:val="00D9280F"/>
    <w:rsid w:val="00D92CE9"/>
    <w:rsid w:val="00D93474"/>
    <w:rsid w:val="00D93A1F"/>
    <w:rsid w:val="00D93BF1"/>
    <w:rsid w:val="00D94074"/>
    <w:rsid w:val="00D940E1"/>
    <w:rsid w:val="00D944C8"/>
    <w:rsid w:val="00D948CA"/>
    <w:rsid w:val="00D95246"/>
    <w:rsid w:val="00D952B7"/>
    <w:rsid w:val="00D95B03"/>
    <w:rsid w:val="00D9629B"/>
    <w:rsid w:val="00D962B9"/>
    <w:rsid w:val="00D9634D"/>
    <w:rsid w:val="00D96C09"/>
    <w:rsid w:val="00D96D9C"/>
    <w:rsid w:val="00D979A8"/>
    <w:rsid w:val="00DA1A94"/>
    <w:rsid w:val="00DA21A2"/>
    <w:rsid w:val="00DA268F"/>
    <w:rsid w:val="00DA2A7D"/>
    <w:rsid w:val="00DA2D8D"/>
    <w:rsid w:val="00DA3526"/>
    <w:rsid w:val="00DA36B8"/>
    <w:rsid w:val="00DA3A7B"/>
    <w:rsid w:val="00DA4291"/>
    <w:rsid w:val="00DA4C20"/>
    <w:rsid w:val="00DA5649"/>
    <w:rsid w:val="00DA5706"/>
    <w:rsid w:val="00DA634F"/>
    <w:rsid w:val="00DA6AF9"/>
    <w:rsid w:val="00DA743D"/>
    <w:rsid w:val="00DA7582"/>
    <w:rsid w:val="00DA7EF3"/>
    <w:rsid w:val="00DB07E0"/>
    <w:rsid w:val="00DB08E2"/>
    <w:rsid w:val="00DB0D23"/>
    <w:rsid w:val="00DB126C"/>
    <w:rsid w:val="00DB14C3"/>
    <w:rsid w:val="00DB1840"/>
    <w:rsid w:val="00DB1E0C"/>
    <w:rsid w:val="00DB1E23"/>
    <w:rsid w:val="00DB28A8"/>
    <w:rsid w:val="00DB2A6E"/>
    <w:rsid w:val="00DB2BE7"/>
    <w:rsid w:val="00DB3BAE"/>
    <w:rsid w:val="00DB466F"/>
    <w:rsid w:val="00DB4B43"/>
    <w:rsid w:val="00DB5345"/>
    <w:rsid w:val="00DB54A4"/>
    <w:rsid w:val="00DB5C9C"/>
    <w:rsid w:val="00DB5E06"/>
    <w:rsid w:val="00DB620F"/>
    <w:rsid w:val="00DB65C2"/>
    <w:rsid w:val="00DB6E3B"/>
    <w:rsid w:val="00DB6F1E"/>
    <w:rsid w:val="00DB72B4"/>
    <w:rsid w:val="00DB731D"/>
    <w:rsid w:val="00DB7765"/>
    <w:rsid w:val="00DC01D2"/>
    <w:rsid w:val="00DC07D7"/>
    <w:rsid w:val="00DC0B26"/>
    <w:rsid w:val="00DC0BA2"/>
    <w:rsid w:val="00DC0DA5"/>
    <w:rsid w:val="00DC19C4"/>
    <w:rsid w:val="00DC19F2"/>
    <w:rsid w:val="00DC3A04"/>
    <w:rsid w:val="00DC41E7"/>
    <w:rsid w:val="00DC46C7"/>
    <w:rsid w:val="00DC4E86"/>
    <w:rsid w:val="00DC58D9"/>
    <w:rsid w:val="00DC5904"/>
    <w:rsid w:val="00DC5E83"/>
    <w:rsid w:val="00DC6A0C"/>
    <w:rsid w:val="00DC6D47"/>
    <w:rsid w:val="00DC6F46"/>
    <w:rsid w:val="00DC78B4"/>
    <w:rsid w:val="00DC7917"/>
    <w:rsid w:val="00DC79F4"/>
    <w:rsid w:val="00DC7CEC"/>
    <w:rsid w:val="00DC7DC8"/>
    <w:rsid w:val="00DC7E31"/>
    <w:rsid w:val="00DC7EAC"/>
    <w:rsid w:val="00DD2751"/>
    <w:rsid w:val="00DD3AC7"/>
    <w:rsid w:val="00DD3F3B"/>
    <w:rsid w:val="00DD40A3"/>
    <w:rsid w:val="00DD41D9"/>
    <w:rsid w:val="00DD4243"/>
    <w:rsid w:val="00DD44AB"/>
    <w:rsid w:val="00DD4AC0"/>
    <w:rsid w:val="00DD4F9C"/>
    <w:rsid w:val="00DD52DE"/>
    <w:rsid w:val="00DD5456"/>
    <w:rsid w:val="00DD5FF2"/>
    <w:rsid w:val="00DD6D5B"/>
    <w:rsid w:val="00DD7E6F"/>
    <w:rsid w:val="00DE0030"/>
    <w:rsid w:val="00DE0559"/>
    <w:rsid w:val="00DE081A"/>
    <w:rsid w:val="00DE08C8"/>
    <w:rsid w:val="00DE1522"/>
    <w:rsid w:val="00DE1E06"/>
    <w:rsid w:val="00DE27EC"/>
    <w:rsid w:val="00DE2DDE"/>
    <w:rsid w:val="00DE3964"/>
    <w:rsid w:val="00DE3D8B"/>
    <w:rsid w:val="00DE411D"/>
    <w:rsid w:val="00DE42FA"/>
    <w:rsid w:val="00DE48E2"/>
    <w:rsid w:val="00DE48EB"/>
    <w:rsid w:val="00DE4A31"/>
    <w:rsid w:val="00DE53A4"/>
    <w:rsid w:val="00DE53B2"/>
    <w:rsid w:val="00DE54FE"/>
    <w:rsid w:val="00DE55F2"/>
    <w:rsid w:val="00DE5606"/>
    <w:rsid w:val="00DE6154"/>
    <w:rsid w:val="00DE650C"/>
    <w:rsid w:val="00DE6982"/>
    <w:rsid w:val="00DE6B3A"/>
    <w:rsid w:val="00DE6D26"/>
    <w:rsid w:val="00DE6FA3"/>
    <w:rsid w:val="00DE70AD"/>
    <w:rsid w:val="00DE7180"/>
    <w:rsid w:val="00DE751A"/>
    <w:rsid w:val="00DE784E"/>
    <w:rsid w:val="00DF03A2"/>
    <w:rsid w:val="00DF0ADC"/>
    <w:rsid w:val="00DF0EF9"/>
    <w:rsid w:val="00DF16BE"/>
    <w:rsid w:val="00DF18D3"/>
    <w:rsid w:val="00DF1B47"/>
    <w:rsid w:val="00DF1C63"/>
    <w:rsid w:val="00DF2279"/>
    <w:rsid w:val="00DF2386"/>
    <w:rsid w:val="00DF2433"/>
    <w:rsid w:val="00DF258C"/>
    <w:rsid w:val="00DF270A"/>
    <w:rsid w:val="00DF2C55"/>
    <w:rsid w:val="00DF2D8C"/>
    <w:rsid w:val="00DF3F20"/>
    <w:rsid w:val="00DF45D9"/>
    <w:rsid w:val="00DF4C27"/>
    <w:rsid w:val="00DF4DDE"/>
    <w:rsid w:val="00DF4E0B"/>
    <w:rsid w:val="00DF50A2"/>
    <w:rsid w:val="00DF526A"/>
    <w:rsid w:val="00DF544F"/>
    <w:rsid w:val="00DF62BF"/>
    <w:rsid w:val="00DF6A17"/>
    <w:rsid w:val="00DF7467"/>
    <w:rsid w:val="00DF7C01"/>
    <w:rsid w:val="00E00021"/>
    <w:rsid w:val="00E00149"/>
    <w:rsid w:val="00E00702"/>
    <w:rsid w:val="00E00B9F"/>
    <w:rsid w:val="00E01ADB"/>
    <w:rsid w:val="00E01E41"/>
    <w:rsid w:val="00E02141"/>
    <w:rsid w:val="00E02224"/>
    <w:rsid w:val="00E028BC"/>
    <w:rsid w:val="00E034BE"/>
    <w:rsid w:val="00E03DE7"/>
    <w:rsid w:val="00E03EE1"/>
    <w:rsid w:val="00E0459C"/>
    <w:rsid w:val="00E04A5D"/>
    <w:rsid w:val="00E05984"/>
    <w:rsid w:val="00E05A50"/>
    <w:rsid w:val="00E06C85"/>
    <w:rsid w:val="00E079A5"/>
    <w:rsid w:val="00E079F0"/>
    <w:rsid w:val="00E07A0F"/>
    <w:rsid w:val="00E113A1"/>
    <w:rsid w:val="00E1196B"/>
    <w:rsid w:val="00E11FD3"/>
    <w:rsid w:val="00E12072"/>
    <w:rsid w:val="00E123AB"/>
    <w:rsid w:val="00E1287D"/>
    <w:rsid w:val="00E129B2"/>
    <w:rsid w:val="00E1423E"/>
    <w:rsid w:val="00E14D83"/>
    <w:rsid w:val="00E14DEA"/>
    <w:rsid w:val="00E15362"/>
    <w:rsid w:val="00E153B3"/>
    <w:rsid w:val="00E159FF"/>
    <w:rsid w:val="00E16633"/>
    <w:rsid w:val="00E16DF3"/>
    <w:rsid w:val="00E1754F"/>
    <w:rsid w:val="00E17C5E"/>
    <w:rsid w:val="00E2022C"/>
    <w:rsid w:val="00E20923"/>
    <w:rsid w:val="00E216BF"/>
    <w:rsid w:val="00E222E9"/>
    <w:rsid w:val="00E232C6"/>
    <w:rsid w:val="00E236DE"/>
    <w:rsid w:val="00E23F19"/>
    <w:rsid w:val="00E241AA"/>
    <w:rsid w:val="00E2454F"/>
    <w:rsid w:val="00E24958"/>
    <w:rsid w:val="00E24AF4"/>
    <w:rsid w:val="00E25051"/>
    <w:rsid w:val="00E2616D"/>
    <w:rsid w:val="00E275DD"/>
    <w:rsid w:val="00E30A70"/>
    <w:rsid w:val="00E30EDD"/>
    <w:rsid w:val="00E313B8"/>
    <w:rsid w:val="00E3187C"/>
    <w:rsid w:val="00E31B4C"/>
    <w:rsid w:val="00E3204F"/>
    <w:rsid w:val="00E32275"/>
    <w:rsid w:val="00E32331"/>
    <w:rsid w:val="00E32A42"/>
    <w:rsid w:val="00E32D1A"/>
    <w:rsid w:val="00E332C7"/>
    <w:rsid w:val="00E33454"/>
    <w:rsid w:val="00E3386E"/>
    <w:rsid w:val="00E33BEB"/>
    <w:rsid w:val="00E33E94"/>
    <w:rsid w:val="00E34620"/>
    <w:rsid w:val="00E346FC"/>
    <w:rsid w:val="00E34827"/>
    <w:rsid w:val="00E3514F"/>
    <w:rsid w:val="00E36210"/>
    <w:rsid w:val="00E36927"/>
    <w:rsid w:val="00E36971"/>
    <w:rsid w:val="00E36C40"/>
    <w:rsid w:val="00E37232"/>
    <w:rsid w:val="00E37331"/>
    <w:rsid w:val="00E3735A"/>
    <w:rsid w:val="00E377FE"/>
    <w:rsid w:val="00E37E23"/>
    <w:rsid w:val="00E40008"/>
    <w:rsid w:val="00E40CD6"/>
    <w:rsid w:val="00E41976"/>
    <w:rsid w:val="00E42EF4"/>
    <w:rsid w:val="00E43372"/>
    <w:rsid w:val="00E435F6"/>
    <w:rsid w:val="00E436C0"/>
    <w:rsid w:val="00E439F5"/>
    <w:rsid w:val="00E43C55"/>
    <w:rsid w:val="00E43E29"/>
    <w:rsid w:val="00E441DE"/>
    <w:rsid w:val="00E443BE"/>
    <w:rsid w:val="00E45233"/>
    <w:rsid w:val="00E45236"/>
    <w:rsid w:val="00E454B9"/>
    <w:rsid w:val="00E4627E"/>
    <w:rsid w:val="00E46379"/>
    <w:rsid w:val="00E46B80"/>
    <w:rsid w:val="00E47240"/>
    <w:rsid w:val="00E50406"/>
    <w:rsid w:val="00E51A0D"/>
    <w:rsid w:val="00E51EB8"/>
    <w:rsid w:val="00E51EF4"/>
    <w:rsid w:val="00E52084"/>
    <w:rsid w:val="00E530A9"/>
    <w:rsid w:val="00E536A1"/>
    <w:rsid w:val="00E54136"/>
    <w:rsid w:val="00E542B7"/>
    <w:rsid w:val="00E54C45"/>
    <w:rsid w:val="00E55D13"/>
    <w:rsid w:val="00E5611D"/>
    <w:rsid w:val="00E5616C"/>
    <w:rsid w:val="00E56991"/>
    <w:rsid w:val="00E56CF7"/>
    <w:rsid w:val="00E5740A"/>
    <w:rsid w:val="00E5780A"/>
    <w:rsid w:val="00E6010C"/>
    <w:rsid w:val="00E603D6"/>
    <w:rsid w:val="00E6041C"/>
    <w:rsid w:val="00E60668"/>
    <w:rsid w:val="00E60828"/>
    <w:rsid w:val="00E60A8C"/>
    <w:rsid w:val="00E60CC7"/>
    <w:rsid w:val="00E612FD"/>
    <w:rsid w:val="00E6153B"/>
    <w:rsid w:val="00E615CC"/>
    <w:rsid w:val="00E61ECA"/>
    <w:rsid w:val="00E61FA4"/>
    <w:rsid w:val="00E621B6"/>
    <w:rsid w:val="00E6244D"/>
    <w:rsid w:val="00E6294B"/>
    <w:rsid w:val="00E62C12"/>
    <w:rsid w:val="00E63486"/>
    <w:rsid w:val="00E63830"/>
    <w:rsid w:val="00E63AF0"/>
    <w:rsid w:val="00E640F2"/>
    <w:rsid w:val="00E644BE"/>
    <w:rsid w:val="00E645B1"/>
    <w:rsid w:val="00E646B0"/>
    <w:rsid w:val="00E64894"/>
    <w:rsid w:val="00E64A77"/>
    <w:rsid w:val="00E64EB6"/>
    <w:rsid w:val="00E65959"/>
    <w:rsid w:val="00E663FC"/>
    <w:rsid w:val="00E66557"/>
    <w:rsid w:val="00E666E4"/>
    <w:rsid w:val="00E667FD"/>
    <w:rsid w:val="00E668AC"/>
    <w:rsid w:val="00E6727C"/>
    <w:rsid w:val="00E67C61"/>
    <w:rsid w:val="00E70002"/>
    <w:rsid w:val="00E70DE6"/>
    <w:rsid w:val="00E70ECF"/>
    <w:rsid w:val="00E70FE9"/>
    <w:rsid w:val="00E71623"/>
    <w:rsid w:val="00E71985"/>
    <w:rsid w:val="00E71A69"/>
    <w:rsid w:val="00E71D15"/>
    <w:rsid w:val="00E71F2E"/>
    <w:rsid w:val="00E7212E"/>
    <w:rsid w:val="00E72392"/>
    <w:rsid w:val="00E72788"/>
    <w:rsid w:val="00E72C99"/>
    <w:rsid w:val="00E72CED"/>
    <w:rsid w:val="00E735EB"/>
    <w:rsid w:val="00E7370A"/>
    <w:rsid w:val="00E7392C"/>
    <w:rsid w:val="00E741CD"/>
    <w:rsid w:val="00E742A4"/>
    <w:rsid w:val="00E742BB"/>
    <w:rsid w:val="00E748B9"/>
    <w:rsid w:val="00E74A3C"/>
    <w:rsid w:val="00E74C01"/>
    <w:rsid w:val="00E751EC"/>
    <w:rsid w:val="00E75455"/>
    <w:rsid w:val="00E75763"/>
    <w:rsid w:val="00E75F75"/>
    <w:rsid w:val="00E75FF8"/>
    <w:rsid w:val="00E76C5B"/>
    <w:rsid w:val="00E774F4"/>
    <w:rsid w:val="00E800CB"/>
    <w:rsid w:val="00E81224"/>
    <w:rsid w:val="00E81A29"/>
    <w:rsid w:val="00E81C95"/>
    <w:rsid w:val="00E821E5"/>
    <w:rsid w:val="00E82D09"/>
    <w:rsid w:val="00E85CCB"/>
    <w:rsid w:val="00E860C2"/>
    <w:rsid w:val="00E86237"/>
    <w:rsid w:val="00E862AD"/>
    <w:rsid w:val="00E86368"/>
    <w:rsid w:val="00E86C24"/>
    <w:rsid w:val="00E86E57"/>
    <w:rsid w:val="00E90E8A"/>
    <w:rsid w:val="00E910B5"/>
    <w:rsid w:val="00E91446"/>
    <w:rsid w:val="00E925B6"/>
    <w:rsid w:val="00E92751"/>
    <w:rsid w:val="00E93644"/>
    <w:rsid w:val="00E94245"/>
    <w:rsid w:val="00E942B8"/>
    <w:rsid w:val="00E9449E"/>
    <w:rsid w:val="00E945CD"/>
    <w:rsid w:val="00E95287"/>
    <w:rsid w:val="00E95301"/>
    <w:rsid w:val="00E954A9"/>
    <w:rsid w:val="00E95DED"/>
    <w:rsid w:val="00E95DF1"/>
    <w:rsid w:val="00E96114"/>
    <w:rsid w:val="00E966BB"/>
    <w:rsid w:val="00E96CB4"/>
    <w:rsid w:val="00E9714A"/>
    <w:rsid w:val="00E97217"/>
    <w:rsid w:val="00E97395"/>
    <w:rsid w:val="00E97EF1"/>
    <w:rsid w:val="00EA064C"/>
    <w:rsid w:val="00EA07C8"/>
    <w:rsid w:val="00EA0AA8"/>
    <w:rsid w:val="00EA0BEF"/>
    <w:rsid w:val="00EA14F8"/>
    <w:rsid w:val="00EA1AA3"/>
    <w:rsid w:val="00EA1B71"/>
    <w:rsid w:val="00EA233A"/>
    <w:rsid w:val="00EA2372"/>
    <w:rsid w:val="00EA23A5"/>
    <w:rsid w:val="00EA26AA"/>
    <w:rsid w:val="00EA271D"/>
    <w:rsid w:val="00EA27CC"/>
    <w:rsid w:val="00EA2A86"/>
    <w:rsid w:val="00EA2BFF"/>
    <w:rsid w:val="00EA2E3E"/>
    <w:rsid w:val="00EA374C"/>
    <w:rsid w:val="00EA411A"/>
    <w:rsid w:val="00EA4562"/>
    <w:rsid w:val="00EA5101"/>
    <w:rsid w:val="00EA5A06"/>
    <w:rsid w:val="00EA5ABC"/>
    <w:rsid w:val="00EA67BE"/>
    <w:rsid w:val="00EA724D"/>
    <w:rsid w:val="00EA73C9"/>
    <w:rsid w:val="00EA74F8"/>
    <w:rsid w:val="00EA7875"/>
    <w:rsid w:val="00EB03D4"/>
    <w:rsid w:val="00EB0A1A"/>
    <w:rsid w:val="00EB10C4"/>
    <w:rsid w:val="00EB181A"/>
    <w:rsid w:val="00EB1CCB"/>
    <w:rsid w:val="00EB1FF8"/>
    <w:rsid w:val="00EB2713"/>
    <w:rsid w:val="00EB2F4B"/>
    <w:rsid w:val="00EB320C"/>
    <w:rsid w:val="00EB3A86"/>
    <w:rsid w:val="00EB48F8"/>
    <w:rsid w:val="00EB4CDF"/>
    <w:rsid w:val="00EB4EE5"/>
    <w:rsid w:val="00EB58FC"/>
    <w:rsid w:val="00EB60B7"/>
    <w:rsid w:val="00EB6351"/>
    <w:rsid w:val="00EB6633"/>
    <w:rsid w:val="00EB68BB"/>
    <w:rsid w:val="00EB6AEC"/>
    <w:rsid w:val="00EB6FFA"/>
    <w:rsid w:val="00EB757F"/>
    <w:rsid w:val="00EB7F74"/>
    <w:rsid w:val="00EC0861"/>
    <w:rsid w:val="00EC0DB9"/>
    <w:rsid w:val="00EC2247"/>
    <w:rsid w:val="00EC3F15"/>
    <w:rsid w:val="00EC42C1"/>
    <w:rsid w:val="00EC4729"/>
    <w:rsid w:val="00EC5088"/>
    <w:rsid w:val="00EC5297"/>
    <w:rsid w:val="00EC5C65"/>
    <w:rsid w:val="00EC6091"/>
    <w:rsid w:val="00EC6526"/>
    <w:rsid w:val="00EC664F"/>
    <w:rsid w:val="00EC67C3"/>
    <w:rsid w:val="00EC6C77"/>
    <w:rsid w:val="00EC6D40"/>
    <w:rsid w:val="00EC7B01"/>
    <w:rsid w:val="00EC7FEF"/>
    <w:rsid w:val="00ED0454"/>
    <w:rsid w:val="00ED095A"/>
    <w:rsid w:val="00ED0D04"/>
    <w:rsid w:val="00ED171F"/>
    <w:rsid w:val="00ED19D3"/>
    <w:rsid w:val="00ED19E9"/>
    <w:rsid w:val="00ED1B27"/>
    <w:rsid w:val="00ED1F4D"/>
    <w:rsid w:val="00ED2280"/>
    <w:rsid w:val="00ED3BA7"/>
    <w:rsid w:val="00ED4739"/>
    <w:rsid w:val="00ED4E7D"/>
    <w:rsid w:val="00ED5FD8"/>
    <w:rsid w:val="00ED5FF4"/>
    <w:rsid w:val="00ED675F"/>
    <w:rsid w:val="00ED6E1C"/>
    <w:rsid w:val="00ED6EDF"/>
    <w:rsid w:val="00ED7E34"/>
    <w:rsid w:val="00ED7ECA"/>
    <w:rsid w:val="00EE010A"/>
    <w:rsid w:val="00EE04B2"/>
    <w:rsid w:val="00EE14F0"/>
    <w:rsid w:val="00EE1907"/>
    <w:rsid w:val="00EE197A"/>
    <w:rsid w:val="00EE19F9"/>
    <w:rsid w:val="00EE2F9E"/>
    <w:rsid w:val="00EE3033"/>
    <w:rsid w:val="00EE32E8"/>
    <w:rsid w:val="00EE45D8"/>
    <w:rsid w:val="00EE4A35"/>
    <w:rsid w:val="00EE50C4"/>
    <w:rsid w:val="00EE527D"/>
    <w:rsid w:val="00EE5660"/>
    <w:rsid w:val="00EE567B"/>
    <w:rsid w:val="00EE5731"/>
    <w:rsid w:val="00EE5AD0"/>
    <w:rsid w:val="00EE6085"/>
    <w:rsid w:val="00EE616F"/>
    <w:rsid w:val="00EE6970"/>
    <w:rsid w:val="00EE6BD1"/>
    <w:rsid w:val="00EE6D19"/>
    <w:rsid w:val="00EE7E32"/>
    <w:rsid w:val="00EF001B"/>
    <w:rsid w:val="00EF05A4"/>
    <w:rsid w:val="00EF0780"/>
    <w:rsid w:val="00EF0DBE"/>
    <w:rsid w:val="00EF1402"/>
    <w:rsid w:val="00EF1DBC"/>
    <w:rsid w:val="00EF2F29"/>
    <w:rsid w:val="00EF39A5"/>
    <w:rsid w:val="00EF45C0"/>
    <w:rsid w:val="00EF55B5"/>
    <w:rsid w:val="00EF55F0"/>
    <w:rsid w:val="00EF5C4D"/>
    <w:rsid w:val="00EF77C5"/>
    <w:rsid w:val="00EF799D"/>
    <w:rsid w:val="00EF7BF8"/>
    <w:rsid w:val="00F00040"/>
    <w:rsid w:val="00F00D52"/>
    <w:rsid w:val="00F01267"/>
    <w:rsid w:val="00F015D8"/>
    <w:rsid w:val="00F01FB6"/>
    <w:rsid w:val="00F02991"/>
    <w:rsid w:val="00F02A00"/>
    <w:rsid w:val="00F02B92"/>
    <w:rsid w:val="00F034AF"/>
    <w:rsid w:val="00F03785"/>
    <w:rsid w:val="00F04131"/>
    <w:rsid w:val="00F053A4"/>
    <w:rsid w:val="00F054EF"/>
    <w:rsid w:val="00F05562"/>
    <w:rsid w:val="00F05803"/>
    <w:rsid w:val="00F05C9A"/>
    <w:rsid w:val="00F05E2E"/>
    <w:rsid w:val="00F0638A"/>
    <w:rsid w:val="00F06CEB"/>
    <w:rsid w:val="00F06DED"/>
    <w:rsid w:val="00F06EE6"/>
    <w:rsid w:val="00F0701D"/>
    <w:rsid w:val="00F0734E"/>
    <w:rsid w:val="00F0755D"/>
    <w:rsid w:val="00F07595"/>
    <w:rsid w:val="00F077D0"/>
    <w:rsid w:val="00F07F49"/>
    <w:rsid w:val="00F1008C"/>
    <w:rsid w:val="00F10262"/>
    <w:rsid w:val="00F10357"/>
    <w:rsid w:val="00F1035A"/>
    <w:rsid w:val="00F10674"/>
    <w:rsid w:val="00F108AA"/>
    <w:rsid w:val="00F10BCF"/>
    <w:rsid w:val="00F10C31"/>
    <w:rsid w:val="00F11085"/>
    <w:rsid w:val="00F114D2"/>
    <w:rsid w:val="00F11D45"/>
    <w:rsid w:val="00F123CC"/>
    <w:rsid w:val="00F131E6"/>
    <w:rsid w:val="00F1419E"/>
    <w:rsid w:val="00F14889"/>
    <w:rsid w:val="00F156AB"/>
    <w:rsid w:val="00F156DC"/>
    <w:rsid w:val="00F1575F"/>
    <w:rsid w:val="00F15C1C"/>
    <w:rsid w:val="00F16587"/>
    <w:rsid w:val="00F165E6"/>
    <w:rsid w:val="00F1684C"/>
    <w:rsid w:val="00F16953"/>
    <w:rsid w:val="00F16F74"/>
    <w:rsid w:val="00F177BC"/>
    <w:rsid w:val="00F17812"/>
    <w:rsid w:val="00F17E56"/>
    <w:rsid w:val="00F201FD"/>
    <w:rsid w:val="00F21337"/>
    <w:rsid w:val="00F2141D"/>
    <w:rsid w:val="00F2161D"/>
    <w:rsid w:val="00F2190F"/>
    <w:rsid w:val="00F21C1A"/>
    <w:rsid w:val="00F222C1"/>
    <w:rsid w:val="00F22876"/>
    <w:rsid w:val="00F22A45"/>
    <w:rsid w:val="00F22A6B"/>
    <w:rsid w:val="00F22D47"/>
    <w:rsid w:val="00F2332C"/>
    <w:rsid w:val="00F236D1"/>
    <w:rsid w:val="00F23F05"/>
    <w:rsid w:val="00F25073"/>
    <w:rsid w:val="00F254C4"/>
    <w:rsid w:val="00F25D32"/>
    <w:rsid w:val="00F25FA6"/>
    <w:rsid w:val="00F26244"/>
    <w:rsid w:val="00F26278"/>
    <w:rsid w:val="00F26AC3"/>
    <w:rsid w:val="00F26B92"/>
    <w:rsid w:val="00F26C5B"/>
    <w:rsid w:val="00F26CEB"/>
    <w:rsid w:val="00F271F7"/>
    <w:rsid w:val="00F2738A"/>
    <w:rsid w:val="00F27478"/>
    <w:rsid w:val="00F27982"/>
    <w:rsid w:val="00F27F42"/>
    <w:rsid w:val="00F3012F"/>
    <w:rsid w:val="00F301A7"/>
    <w:rsid w:val="00F304D7"/>
    <w:rsid w:val="00F30B67"/>
    <w:rsid w:val="00F31E54"/>
    <w:rsid w:val="00F31E8B"/>
    <w:rsid w:val="00F31FC4"/>
    <w:rsid w:val="00F32027"/>
    <w:rsid w:val="00F3262A"/>
    <w:rsid w:val="00F326CD"/>
    <w:rsid w:val="00F3283A"/>
    <w:rsid w:val="00F32E43"/>
    <w:rsid w:val="00F32E74"/>
    <w:rsid w:val="00F34DAD"/>
    <w:rsid w:val="00F35070"/>
    <w:rsid w:val="00F35156"/>
    <w:rsid w:val="00F35EC2"/>
    <w:rsid w:val="00F36173"/>
    <w:rsid w:val="00F36240"/>
    <w:rsid w:val="00F3627C"/>
    <w:rsid w:val="00F37555"/>
    <w:rsid w:val="00F37D22"/>
    <w:rsid w:val="00F37E7E"/>
    <w:rsid w:val="00F406E0"/>
    <w:rsid w:val="00F41965"/>
    <w:rsid w:val="00F41F93"/>
    <w:rsid w:val="00F42B4A"/>
    <w:rsid w:val="00F42BFD"/>
    <w:rsid w:val="00F42D56"/>
    <w:rsid w:val="00F43A7D"/>
    <w:rsid w:val="00F43D0C"/>
    <w:rsid w:val="00F44057"/>
    <w:rsid w:val="00F44564"/>
    <w:rsid w:val="00F44583"/>
    <w:rsid w:val="00F44D5D"/>
    <w:rsid w:val="00F45306"/>
    <w:rsid w:val="00F46349"/>
    <w:rsid w:val="00F465A2"/>
    <w:rsid w:val="00F46AD9"/>
    <w:rsid w:val="00F46BB3"/>
    <w:rsid w:val="00F46C6E"/>
    <w:rsid w:val="00F46C7D"/>
    <w:rsid w:val="00F46CB4"/>
    <w:rsid w:val="00F4742F"/>
    <w:rsid w:val="00F474F2"/>
    <w:rsid w:val="00F47532"/>
    <w:rsid w:val="00F501CB"/>
    <w:rsid w:val="00F502F5"/>
    <w:rsid w:val="00F50592"/>
    <w:rsid w:val="00F507C0"/>
    <w:rsid w:val="00F50953"/>
    <w:rsid w:val="00F51779"/>
    <w:rsid w:val="00F51940"/>
    <w:rsid w:val="00F523F7"/>
    <w:rsid w:val="00F537BF"/>
    <w:rsid w:val="00F53A84"/>
    <w:rsid w:val="00F53E4A"/>
    <w:rsid w:val="00F541A7"/>
    <w:rsid w:val="00F546C0"/>
    <w:rsid w:val="00F55035"/>
    <w:rsid w:val="00F55071"/>
    <w:rsid w:val="00F551CC"/>
    <w:rsid w:val="00F55250"/>
    <w:rsid w:val="00F55BDE"/>
    <w:rsid w:val="00F5648A"/>
    <w:rsid w:val="00F567E8"/>
    <w:rsid w:val="00F57087"/>
    <w:rsid w:val="00F57513"/>
    <w:rsid w:val="00F57AC7"/>
    <w:rsid w:val="00F57B01"/>
    <w:rsid w:val="00F57C80"/>
    <w:rsid w:val="00F60047"/>
    <w:rsid w:val="00F603E0"/>
    <w:rsid w:val="00F604D5"/>
    <w:rsid w:val="00F60A30"/>
    <w:rsid w:val="00F60B4E"/>
    <w:rsid w:val="00F60BD4"/>
    <w:rsid w:val="00F61352"/>
    <w:rsid w:val="00F61526"/>
    <w:rsid w:val="00F619E1"/>
    <w:rsid w:val="00F61D87"/>
    <w:rsid w:val="00F6205B"/>
    <w:rsid w:val="00F6206A"/>
    <w:rsid w:val="00F624F2"/>
    <w:rsid w:val="00F62E2B"/>
    <w:rsid w:val="00F630F7"/>
    <w:rsid w:val="00F639EF"/>
    <w:rsid w:val="00F63A1D"/>
    <w:rsid w:val="00F642CE"/>
    <w:rsid w:val="00F6461E"/>
    <w:rsid w:val="00F64786"/>
    <w:rsid w:val="00F6501F"/>
    <w:rsid w:val="00F65064"/>
    <w:rsid w:val="00F652BB"/>
    <w:rsid w:val="00F6644B"/>
    <w:rsid w:val="00F6667E"/>
    <w:rsid w:val="00F67E85"/>
    <w:rsid w:val="00F700AC"/>
    <w:rsid w:val="00F70643"/>
    <w:rsid w:val="00F70A7F"/>
    <w:rsid w:val="00F70B21"/>
    <w:rsid w:val="00F711B1"/>
    <w:rsid w:val="00F71582"/>
    <w:rsid w:val="00F71A26"/>
    <w:rsid w:val="00F72324"/>
    <w:rsid w:val="00F7261E"/>
    <w:rsid w:val="00F72C48"/>
    <w:rsid w:val="00F73776"/>
    <w:rsid w:val="00F74724"/>
    <w:rsid w:val="00F74A8F"/>
    <w:rsid w:val="00F75021"/>
    <w:rsid w:val="00F7592F"/>
    <w:rsid w:val="00F75B32"/>
    <w:rsid w:val="00F75ECF"/>
    <w:rsid w:val="00F76524"/>
    <w:rsid w:val="00F7683C"/>
    <w:rsid w:val="00F76885"/>
    <w:rsid w:val="00F76BA5"/>
    <w:rsid w:val="00F7728F"/>
    <w:rsid w:val="00F772C4"/>
    <w:rsid w:val="00F772C5"/>
    <w:rsid w:val="00F7779E"/>
    <w:rsid w:val="00F81305"/>
    <w:rsid w:val="00F81D81"/>
    <w:rsid w:val="00F821BC"/>
    <w:rsid w:val="00F82284"/>
    <w:rsid w:val="00F828D5"/>
    <w:rsid w:val="00F82E0A"/>
    <w:rsid w:val="00F830DD"/>
    <w:rsid w:val="00F83CAD"/>
    <w:rsid w:val="00F83EC2"/>
    <w:rsid w:val="00F83F6B"/>
    <w:rsid w:val="00F84A1F"/>
    <w:rsid w:val="00F84E27"/>
    <w:rsid w:val="00F860F9"/>
    <w:rsid w:val="00F86C78"/>
    <w:rsid w:val="00F86D5C"/>
    <w:rsid w:val="00F87392"/>
    <w:rsid w:val="00F876BB"/>
    <w:rsid w:val="00F87DA6"/>
    <w:rsid w:val="00F87EB1"/>
    <w:rsid w:val="00F90D71"/>
    <w:rsid w:val="00F91326"/>
    <w:rsid w:val="00F9148B"/>
    <w:rsid w:val="00F9156E"/>
    <w:rsid w:val="00F916BB"/>
    <w:rsid w:val="00F92609"/>
    <w:rsid w:val="00F930A2"/>
    <w:rsid w:val="00F9318B"/>
    <w:rsid w:val="00F93740"/>
    <w:rsid w:val="00F9393B"/>
    <w:rsid w:val="00F93BA5"/>
    <w:rsid w:val="00F93BFA"/>
    <w:rsid w:val="00F93E74"/>
    <w:rsid w:val="00F94367"/>
    <w:rsid w:val="00F9436D"/>
    <w:rsid w:val="00F948CC"/>
    <w:rsid w:val="00F94933"/>
    <w:rsid w:val="00F94B14"/>
    <w:rsid w:val="00F94D0C"/>
    <w:rsid w:val="00F952B3"/>
    <w:rsid w:val="00F96C46"/>
    <w:rsid w:val="00F97131"/>
    <w:rsid w:val="00F97247"/>
    <w:rsid w:val="00F979E8"/>
    <w:rsid w:val="00F97FD2"/>
    <w:rsid w:val="00FA0737"/>
    <w:rsid w:val="00FA08BA"/>
    <w:rsid w:val="00FA0DFF"/>
    <w:rsid w:val="00FA1183"/>
    <w:rsid w:val="00FA23F0"/>
    <w:rsid w:val="00FA2660"/>
    <w:rsid w:val="00FA2F9A"/>
    <w:rsid w:val="00FA3124"/>
    <w:rsid w:val="00FA34BB"/>
    <w:rsid w:val="00FA3721"/>
    <w:rsid w:val="00FA3A34"/>
    <w:rsid w:val="00FA3E8E"/>
    <w:rsid w:val="00FA4508"/>
    <w:rsid w:val="00FA4989"/>
    <w:rsid w:val="00FA4C08"/>
    <w:rsid w:val="00FA50E5"/>
    <w:rsid w:val="00FA54E0"/>
    <w:rsid w:val="00FA591F"/>
    <w:rsid w:val="00FA5A94"/>
    <w:rsid w:val="00FA5C8F"/>
    <w:rsid w:val="00FA60EB"/>
    <w:rsid w:val="00FA64D5"/>
    <w:rsid w:val="00FA6614"/>
    <w:rsid w:val="00FA6FE1"/>
    <w:rsid w:val="00FA7172"/>
    <w:rsid w:val="00FA71F4"/>
    <w:rsid w:val="00FA7464"/>
    <w:rsid w:val="00FB0256"/>
    <w:rsid w:val="00FB168E"/>
    <w:rsid w:val="00FB1909"/>
    <w:rsid w:val="00FB1ECF"/>
    <w:rsid w:val="00FB3842"/>
    <w:rsid w:val="00FB4406"/>
    <w:rsid w:val="00FB49E6"/>
    <w:rsid w:val="00FB4FC1"/>
    <w:rsid w:val="00FB550C"/>
    <w:rsid w:val="00FB5597"/>
    <w:rsid w:val="00FB57DC"/>
    <w:rsid w:val="00FB5A5E"/>
    <w:rsid w:val="00FB5C33"/>
    <w:rsid w:val="00FB5CA3"/>
    <w:rsid w:val="00FB6652"/>
    <w:rsid w:val="00FB76F1"/>
    <w:rsid w:val="00FC0D2D"/>
    <w:rsid w:val="00FC2047"/>
    <w:rsid w:val="00FC263C"/>
    <w:rsid w:val="00FC26F5"/>
    <w:rsid w:val="00FC2785"/>
    <w:rsid w:val="00FC28AB"/>
    <w:rsid w:val="00FC33CB"/>
    <w:rsid w:val="00FC373B"/>
    <w:rsid w:val="00FC4830"/>
    <w:rsid w:val="00FC4F8E"/>
    <w:rsid w:val="00FC633F"/>
    <w:rsid w:val="00FC6605"/>
    <w:rsid w:val="00FC662F"/>
    <w:rsid w:val="00FC664D"/>
    <w:rsid w:val="00FC6C06"/>
    <w:rsid w:val="00FC6C8D"/>
    <w:rsid w:val="00FC6EAF"/>
    <w:rsid w:val="00FC76A1"/>
    <w:rsid w:val="00FC76BA"/>
    <w:rsid w:val="00FC779F"/>
    <w:rsid w:val="00FC77BC"/>
    <w:rsid w:val="00FC7DCE"/>
    <w:rsid w:val="00FD008E"/>
    <w:rsid w:val="00FD0A55"/>
    <w:rsid w:val="00FD1678"/>
    <w:rsid w:val="00FD172E"/>
    <w:rsid w:val="00FD21E7"/>
    <w:rsid w:val="00FD2EF6"/>
    <w:rsid w:val="00FD31FE"/>
    <w:rsid w:val="00FD365F"/>
    <w:rsid w:val="00FD40CF"/>
    <w:rsid w:val="00FD41DF"/>
    <w:rsid w:val="00FD43C6"/>
    <w:rsid w:val="00FD4594"/>
    <w:rsid w:val="00FD4F31"/>
    <w:rsid w:val="00FD5C56"/>
    <w:rsid w:val="00FD61EB"/>
    <w:rsid w:val="00FD6C2C"/>
    <w:rsid w:val="00FD6FA2"/>
    <w:rsid w:val="00FD76C1"/>
    <w:rsid w:val="00FD7B00"/>
    <w:rsid w:val="00FD7B39"/>
    <w:rsid w:val="00FD7FA7"/>
    <w:rsid w:val="00FE017F"/>
    <w:rsid w:val="00FE0405"/>
    <w:rsid w:val="00FE0876"/>
    <w:rsid w:val="00FE0FB6"/>
    <w:rsid w:val="00FE10F6"/>
    <w:rsid w:val="00FE1301"/>
    <w:rsid w:val="00FE24A8"/>
    <w:rsid w:val="00FE24C5"/>
    <w:rsid w:val="00FE2549"/>
    <w:rsid w:val="00FE282A"/>
    <w:rsid w:val="00FE2839"/>
    <w:rsid w:val="00FE28E0"/>
    <w:rsid w:val="00FE360B"/>
    <w:rsid w:val="00FE58BA"/>
    <w:rsid w:val="00FE5E4B"/>
    <w:rsid w:val="00FE622D"/>
    <w:rsid w:val="00FE7E89"/>
    <w:rsid w:val="00FF0082"/>
    <w:rsid w:val="00FF0738"/>
    <w:rsid w:val="00FF0923"/>
    <w:rsid w:val="00FF1C37"/>
    <w:rsid w:val="00FF1D16"/>
    <w:rsid w:val="00FF201F"/>
    <w:rsid w:val="00FF23D7"/>
    <w:rsid w:val="00FF2785"/>
    <w:rsid w:val="00FF2CFF"/>
    <w:rsid w:val="00FF2D8E"/>
    <w:rsid w:val="00FF2F1E"/>
    <w:rsid w:val="00FF34F3"/>
    <w:rsid w:val="00FF385F"/>
    <w:rsid w:val="00FF4341"/>
    <w:rsid w:val="00FF4753"/>
    <w:rsid w:val="00FF4BB3"/>
    <w:rsid w:val="00FF5161"/>
    <w:rsid w:val="00FF53E1"/>
    <w:rsid w:val="00FF607D"/>
    <w:rsid w:val="00FF64CA"/>
    <w:rsid w:val="00FF6514"/>
    <w:rsid w:val="00FF66B4"/>
    <w:rsid w:val="00FF7026"/>
    <w:rsid w:val="00FF7A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annotation text" w:uiPriority="99"/>
    <w:lsdException w:name="footer" w:uiPriority="99"/>
    <w:lsdException w:name="caption" w:locked="1"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DB"/>
    <w:pPr>
      <w:spacing w:after="90" w:line="220" w:lineRule="atLeast"/>
      <w:jc w:val="both"/>
    </w:pPr>
    <w:rPr>
      <w:rFonts w:ascii="Arial" w:hAnsi="Arial"/>
      <w:sz w:val="19"/>
      <w:szCs w:val="24"/>
      <w:lang w:eastAsia="en-US"/>
    </w:rPr>
  </w:style>
  <w:style w:type="paragraph" w:styleId="Heading1">
    <w:name w:val="heading 1"/>
    <w:basedOn w:val="ReportTitle"/>
    <w:next w:val="Normal"/>
    <w:link w:val="Heading1Char"/>
    <w:qFormat/>
    <w:rsid w:val="00123E40"/>
    <w:pPr>
      <w:jc w:val="left"/>
      <w:outlineLvl w:val="0"/>
    </w:pPr>
    <w:rPr>
      <w:color w:val="365F91" w:themeColor="accent1" w:themeShade="BF"/>
    </w:rPr>
  </w:style>
  <w:style w:type="paragraph" w:styleId="Heading2">
    <w:name w:val="heading 2"/>
    <w:basedOn w:val="Normal"/>
    <w:next w:val="Normal"/>
    <w:link w:val="Heading2Char1"/>
    <w:qFormat/>
    <w:rsid w:val="00123E40"/>
    <w:pPr>
      <w:keepNext/>
      <w:spacing w:before="430" w:after="60" w:line="240" w:lineRule="auto"/>
      <w:outlineLvl w:val="1"/>
    </w:pPr>
    <w:rPr>
      <w:rFonts w:cs="Arial"/>
      <w:bCs/>
      <w:iCs/>
      <w:color w:val="365F91" w:themeColor="accent1" w:themeShade="BF"/>
      <w:sz w:val="28"/>
      <w:szCs w:val="28"/>
    </w:rPr>
  </w:style>
  <w:style w:type="paragraph" w:styleId="Heading3">
    <w:name w:val="heading 3"/>
    <w:basedOn w:val="Normal"/>
    <w:next w:val="Normal"/>
    <w:link w:val="Heading3Char"/>
    <w:qFormat/>
    <w:rsid w:val="00123E40"/>
    <w:pPr>
      <w:keepNext/>
      <w:spacing w:before="70" w:after="80"/>
      <w:outlineLvl w:val="2"/>
    </w:pPr>
    <w:rPr>
      <w:rFonts w:cs="Arial"/>
      <w:b/>
      <w:bCs/>
      <w:color w:val="365F91" w:themeColor="accent1" w:themeShade="BF"/>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23E40"/>
    <w:rPr>
      <w:rFonts w:ascii="Arial" w:hAnsi="Arial"/>
      <w:color w:val="365F91" w:themeColor="accent1" w:themeShade="BF"/>
      <w:spacing w:val="-12"/>
      <w:sz w:val="46"/>
      <w:szCs w:val="46"/>
      <w:lang w:eastAsia="en-US"/>
    </w:rPr>
  </w:style>
  <w:style w:type="character" w:customStyle="1" w:styleId="Heading2Char1">
    <w:name w:val="Heading 2 Char1"/>
    <w:link w:val="Heading2"/>
    <w:locked/>
    <w:rsid w:val="00123E40"/>
    <w:rPr>
      <w:rFonts w:ascii="Arial" w:hAnsi="Arial" w:cs="Arial"/>
      <w:bCs/>
      <w:iCs/>
      <w:color w:val="365F91" w:themeColor="accent1" w:themeShade="BF"/>
      <w:sz w:val="28"/>
      <w:szCs w:val="28"/>
      <w:lang w:eastAsia="en-US"/>
    </w:rPr>
  </w:style>
  <w:style w:type="character" w:customStyle="1" w:styleId="Heading3Char">
    <w:name w:val="Heading 3 Char"/>
    <w:link w:val="Heading3"/>
    <w:locked/>
    <w:rsid w:val="00123E40"/>
    <w:rPr>
      <w:rFonts w:ascii="Arial" w:hAnsi="Arial" w:cs="Arial"/>
      <w:b/>
      <w:bCs/>
      <w:color w:val="365F91" w:themeColor="accent1" w:themeShade="BF"/>
      <w:sz w:val="19"/>
      <w:szCs w:val="19"/>
      <w:lang w:eastAsia="en-US"/>
    </w:rPr>
  </w:style>
  <w:style w:type="paragraph" w:styleId="BalloonText">
    <w:name w:val="Balloon Text"/>
    <w:basedOn w:val="Normal"/>
    <w:link w:val="BalloonTextChar"/>
    <w:uiPriority w:val="99"/>
    <w:rsid w:val="008736F2"/>
    <w:pPr>
      <w:spacing w:after="0" w:line="240" w:lineRule="auto"/>
    </w:pPr>
    <w:rPr>
      <w:rFonts w:ascii="Tahoma" w:hAnsi="Tahoma"/>
      <w:sz w:val="16"/>
      <w:szCs w:val="16"/>
    </w:rPr>
  </w:style>
  <w:style w:type="character" w:customStyle="1" w:styleId="BalloonTextChar">
    <w:name w:val="Balloon Text Char"/>
    <w:link w:val="BalloonText"/>
    <w:uiPriority w:val="99"/>
    <w:locked/>
    <w:rsid w:val="008736F2"/>
    <w:rPr>
      <w:rFonts w:ascii="Tahoma" w:hAnsi="Tahoma" w:cs="Times New Roman"/>
      <w:color w:val="747378"/>
      <w:sz w:val="16"/>
      <w:szCs w:val="16"/>
      <w:lang w:val="x-none" w:eastAsia="en-US"/>
    </w:rPr>
  </w:style>
  <w:style w:type="paragraph" w:styleId="Header">
    <w:name w:val="header"/>
    <w:basedOn w:val="Normal"/>
    <w:link w:val="HeaderChar"/>
    <w:rsid w:val="00385DBA"/>
    <w:pPr>
      <w:tabs>
        <w:tab w:val="center" w:pos="4320"/>
        <w:tab w:val="right" w:pos="8640"/>
      </w:tabs>
    </w:pPr>
    <w:rPr>
      <w:sz w:val="18"/>
    </w:rPr>
  </w:style>
  <w:style w:type="character" w:customStyle="1" w:styleId="HeaderChar">
    <w:name w:val="Header Char"/>
    <w:link w:val="Header"/>
    <w:locked/>
    <w:rsid w:val="002A163D"/>
    <w:rPr>
      <w:rFonts w:ascii="Arial" w:hAnsi="Arial" w:cs="Times New Roman"/>
      <w:sz w:val="24"/>
      <w:lang w:val="en-AU" w:eastAsia="en-US"/>
    </w:rPr>
  </w:style>
  <w:style w:type="paragraph" w:styleId="Footer">
    <w:name w:val="footer"/>
    <w:basedOn w:val="Normal"/>
    <w:link w:val="FooterChar"/>
    <w:uiPriority w:val="99"/>
    <w:rsid w:val="00010F3E"/>
    <w:pPr>
      <w:tabs>
        <w:tab w:val="center" w:pos="4536"/>
        <w:tab w:val="right" w:pos="9072"/>
      </w:tabs>
      <w:spacing w:after="0" w:line="240" w:lineRule="auto"/>
      <w:ind w:right="57"/>
      <w:jc w:val="right"/>
    </w:pPr>
    <w:rPr>
      <w:b/>
      <w:spacing w:val="-1"/>
      <w:sz w:val="16"/>
      <w:szCs w:val="14"/>
    </w:rPr>
  </w:style>
  <w:style w:type="character" w:customStyle="1" w:styleId="FooterChar">
    <w:name w:val="Footer Char"/>
    <w:link w:val="Footer"/>
    <w:uiPriority w:val="99"/>
    <w:locked/>
    <w:rsid w:val="00010F3E"/>
    <w:rPr>
      <w:rFonts w:ascii="Arial" w:hAnsi="Arial"/>
      <w:b/>
      <w:color w:val="747378"/>
      <w:spacing w:val="-1"/>
      <w:sz w:val="16"/>
      <w:szCs w:val="14"/>
      <w:lang w:eastAsia="en-US"/>
    </w:rPr>
  </w:style>
  <w:style w:type="paragraph" w:customStyle="1" w:styleId="ReportTitle">
    <w:name w:val="Report Title"/>
    <w:basedOn w:val="Normal"/>
    <w:rsid w:val="00BB6565"/>
    <w:pPr>
      <w:spacing w:after="35" w:line="480" w:lineRule="exact"/>
    </w:pPr>
    <w:rPr>
      <w:color w:val="286EB4"/>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286EB4"/>
      <w:sz w:val="36"/>
      <w:szCs w:val="20"/>
      <w:lang w:val="x-none"/>
    </w:rPr>
  </w:style>
  <w:style w:type="character" w:customStyle="1" w:styleId="TOCTitleChar">
    <w:name w:val="TOC Title Char"/>
    <w:link w:val="TOCTitle"/>
    <w:locked/>
    <w:rsid w:val="0002637D"/>
    <w:rPr>
      <w:rFonts w:ascii="Arial" w:hAnsi="Arial"/>
      <w:color w:val="286EB4"/>
      <w:sz w:val="36"/>
      <w:lang w:val="x-none" w:eastAsia="en-US"/>
    </w:rPr>
  </w:style>
  <w:style w:type="table" w:styleId="TableGrid">
    <w:name w:val="Table Grid"/>
    <w:basedOn w:val="TableNormal"/>
    <w:uiPriority w:val="59"/>
    <w:rsid w:val="00E72C99"/>
    <w:pPr>
      <w:spacing w:after="90" w:line="220" w:lineRule="atLeast"/>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3778A9"/>
    <w:pPr>
      <w:tabs>
        <w:tab w:val="right" w:pos="6698"/>
      </w:tabs>
      <w:spacing w:after="120" w:line="240" w:lineRule="auto"/>
      <w:jc w:val="left"/>
    </w:pPr>
    <w:rPr>
      <w:rFonts w:asciiTheme="majorHAnsi" w:hAnsiTheme="majorHAnsi" w:cs="Arial"/>
      <w:b/>
      <w:bCs/>
      <w:caps/>
      <w:noProof/>
      <w:sz w:val="24"/>
    </w:rPr>
  </w:style>
  <w:style w:type="character" w:styleId="PageNumber">
    <w:name w:val="page number"/>
    <w:rsid w:val="00BB6565"/>
    <w:rPr>
      <w:rFonts w:cs="Times New Roman"/>
    </w:rPr>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AF50E2"/>
    <w:pPr>
      <w:spacing w:after="0"/>
      <w:ind w:left="190"/>
      <w:jc w:val="left"/>
    </w:pPr>
    <w:rPr>
      <w:rFonts w:asciiTheme="minorHAnsi" w:hAnsiTheme="minorHAnsi"/>
      <w:sz w:val="20"/>
      <w:szCs w:val="20"/>
    </w:rPr>
  </w:style>
  <w:style w:type="paragraph" w:styleId="TOC2">
    <w:name w:val="toc 2"/>
    <w:basedOn w:val="Normal"/>
    <w:next w:val="Normal"/>
    <w:uiPriority w:val="39"/>
    <w:rsid w:val="009367C5"/>
    <w:pPr>
      <w:spacing w:before="240" w:after="0"/>
      <w:jc w:val="left"/>
    </w:pPr>
    <w:rPr>
      <w:rFonts w:asciiTheme="minorHAnsi" w:hAnsiTheme="minorHAnsi"/>
      <w:b/>
      <w:bCs/>
      <w:sz w:val="20"/>
      <w:szCs w:val="20"/>
    </w:rPr>
  </w:style>
  <w:style w:type="paragraph" w:styleId="Quote">
    <w:name w:val="Quote"/>
    <w:basedOn w:val="Normal"/>
    <w:link w:val="QuoteChar"/>
    <w:qFormat/>
    <w:rsid w:val="00B345E6"/>
    <w:rPr>
      <w:b/>
      <w:color w:val="286EB4"/>
      <w:szCs w:val="19"/>
    </w:rPr>
  </w:style>
  <w:style w:type="character" w:customStyle="1" w:styleId="QuoteChar">
    <w:name w:val="Quote Char"/>
    <w:link w:val="Quote"/>
    <w:locked/>
    <w:rsid w:val="008736F2"/>
    <w:rPr>
      <w:rFonts w:ascii="Arial" w:hAnsi="Arial" w:cs="Times New Roman"/>
      <w:b/>
      <w:color w:val="286EB4"/>
      <w:sz w:val="19"/>
      <w:szCs w:val="19"/>
      <w:lang w:val="x-none" w:eastAsia="en-US"/>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uiPriority w:val="35"/>
    <w:qFormat/>
    <w:rsid w:val="0025400C"/>
    <w:rPr>
      <w:b/>
      <w:bCs/>
      <w:color w:val="76923C" w:themeColor="accent3" w:themeShade="BF"/>
      <w:sz w:val="18"/>
      <w:szCs w:val="16"/>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uiPriority w:val="99"/>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tabs>
        <w:tab w:val="num" w:pos="340"/>
      </w:tabs>
      <w:spacing w:after="0"/>
      <w:ind w:left="340" w:hanging="170"/>
    </w:pPr>
  </w:style>
  <w:style w:type="paragraph" w:styleId="FootnoteText">
    <w:name w:val="footnote text"/>
    <w:basedOn w:val="Normal"/>
    <w:link w:val="FootnoteTextChar"/>
    <w:uiPriority w:val="99"/>
    <w:rsid w:val="008736F2"/>
    <w:rPr>
      <w:sz w:val="20"/>
      <w:szCs w:val="20"/>
    </w:rPr>
  </w:style>
  <w:style w:type="character" w:customStyle="1" w:styleId="FootnoteTextChar">
    <w:name w:val="Footnote Text Char"/>
    <w:link w:val="FootnoteText"/>
    <w:uiPriority w:val="99"/>
    <w:locked/>
    <w:rsid w:val="008736F2"/>
    <w:rPr>
      <w:rFonts w:ascii="Arial" w:hAnsi="Arial" w:cs="Times New Roman"/>
      <w:color w:val="747378"/>
      <w:lang w:val="x-none" w:eastAsia="en-US"/>
    </w:rPr>
  </w:style>
  <w:style w:type="character" w:styleId="FootnoteReference">
    <w:name w:val="footnote reference"/>
    <w:uiPriority w:val="99"/>
    <w:rsid w:val="008736F2"/>
    <w:rPr>
      <w:rFonts w:cs="Times New Roman"/>
      <w:vertAlign w:val="superscript"/>
    </w:rPr>
  </w:style>
  <w:style w:type="character" w:styleId="CommentReference">
    <w:name w:val="annotation reference"/>
    <w:uiPriority w:val="99"/>
    <w:rsid w:val="008736F2"/>
    <w:rPr>
      <w:rFonts w:cs="Times New Roman"/>
      <w:sz w:val="16"/>
      <w:szCs w:val="16"/>
    </w:rPr>
  </w:style>
  <w:style w:type="paragraph" w:styleId="CommentText">
    <w:name w:val="annotation text"/>
    <w:basedOn w:val="Normal"/>
    <w:link w:val="CommentTextChar"/>
    <w:uiPriority w:val="99"/>
    <w:rsid w:val="008736F2"/>
    <w:rPr>
      <w:sz w:val="20"/>
      <w:szCs w:val="20"/>
    </w:rPr>
  </w:style>
  <w:style w:type="character" w:customStyle="1" w:styleId="CommentTextChar">
    <w:name w:val="Comment Text Char"/>
    <w:link w:val="CommentText"/>
    <w:uiPriority w:val="99"/>
    <w:locked/>
    <w:rsid w:val="008736F2"/>
    <w:rPr>
      <w:rFonts w:ascii="Arial" w:hAnsi="Arial" w:cs="Times New Roman"/>
      <w:color w:val="747378"/>
      <w:lang w:val="x-none" w:eastAsia="en-US"/>
    </w:rPr>
  </w:style>
  <w:style w:type="paragraph" w:styleId="CommentSubject">
    <w:name w:val="annotation subject"/>
    <w:basedOn w:val="CommentText"/>
    <w:next w:val="CommentText"/>
    <w:link w:val="CommentSubjectChar"/>
    <w:uiPriority w:val="99"/>
    <w:rsid w:val="008736F2"/>
    <w:rPr>
      <w:b/>
      <w:bCs/>
    </w:rPr>
  </w:style>
  <w:style w:type="character" w:customStyle="1" w:styleId="CommentSubjectChar">
    <w:name w:val="Comment Subject Char"/>
    <w:link w:val="CommentSubject"/>
    <w:uiPriority w:val="99"/>
    <w:locked/>
    <w:rsid w:val="008736F2"/>
    <w:rPr>
      <w:rFonts w:ascii="Arial" w:hAnsi="Arial" w:cs="Times New Roman"/>
      <w:b/>
      <w:bCs/>
      <w:color w:val="747378"/>
      <w:lang w:val="x-none" w:eastAsia="en-US"/>
    </w:rPr>
  </w:style>
  <w:style w:type="paragraph" w:customStyle="1" w:styleId="Bulletlist">
    <w:name w:val="Bullet list"/>
    <w:basedOn w:val="Normal"/>
    <w:rsid w:val="008736F2"/>
    <w:pPr>
      <w:numPr>
        <w:numId w:val="3"/>
      </w:numPr>
      <w:autoSpaceDE w:val="0"/>
      <w:autoSpaceDN w:val="0"/>
      <w:adjustRightInd w:val="0"/>
      <w:spacing w:before="60" w:after="60" w:line="240" w:lineRule="auto"/>
    </w:pPr>
    <w:rPr>
      <w:rFonts w:cs="Arial"/>
      <w:color w:val="000000"/>
      <w:sz w:val="22"/>
      <w:szCs w:val="22"/>
      <w:lang w:eastAsia="en-AU"/>
    </w:rPr>
  </w:style>
  <w:style w:type="character" w:styleId="Hyperlink">
    <w:name w:val="Hyperlink"/>
    <w:rsid w:val="008736F2"/>
    <w:rPr>
      <w:rFonts w:cs="Times New Roman"/>
      <w:color w:val="0000FF"/>
      <w:u w:val="single"/>
    </w:rPr>
  </w:style>
  <w:style w:type="character" w:styleId="FollowedHyperlink">
    <w:name w:val="FollowedHyperlink"/>
    <w:rsid w:val="00E61FA4"/>
    <w:rPr>
      <w:rFonts w:cs="Times New Roman"/>
      <w:color w:val="800080"/>
      <w:u w:val="single"/>
    </w:rPr>
  </w:style>
  <w:style w:type="table" w:customStyle="1" w:styleId="LightShading-Accent11">
    <w:name w:val="Light Shading - Accent 11"/>
    <w:rsid w:val="00E61FA4"/>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ListParagraph">
    <w:name w:val="List Paragraph"/>
    <w:basedOn w:val="Normal"/>
    <w:uiPriority w:val="34"/>
    <w:qFormat/>
    <w:rsid w:val="00636FAF"/>
    <w:pPr>
      <w:spacing w:after="200" w:line="276" w:lineRule="auto"/>
      <w:ind w:left="720"/>
      <w:jc w:val="left"/>
    </w:pPr>
    <w:rPr>
      <w:rFonts w:ascii="Calibri" w:hAnsi="Calibri"/>
      <w:sz w:val="22"/>
      <w:szCs w:val="22"/>
    </w:rPr>
  </w:style>
  <w:style w:type="paragraph" w:styleId="TOC4">
    <w:name w:val="toc 4"/>
    <w:basedOn w:val="Normal"/>
    <w:next w:val="Normal"/>
    <w:autoRedefine/>
    <w:uiPriority w:val="39"/>
    <w:locked/>
    <w:rsid w:val="00082ACB"/>
    <w:pPr>
      <w:spacing w:after="0"/>
      <w:ind w:left="380"/>
      <w:jc w:val="left"/>
    </w:pPr>
    <w:rPr>
      <w:rFonts w:asciiTheme="minorHAnsi" w:hAnsiTheme="minorHAnsi"/>
      <w:sz w:val="20"/>
      <w:szCs w:val="20"/>
    </w:rPr>
  </w:style>
  <w:style w:type="paragraph" w:styleId="TOC5">
    <w:name w:val="toc 5"/>
    <w:basedOn w:val="Normal"/>
    <w:next w:val="Normal"/>
    <w:autoRedefine/>
    <w:uiPriority w:val="39"/>
    <w:locked/>
    <w:rsid w:val="00082ACB"/>
    <w:pPr>
      <w:spacing w:after="0"/>
      <w:ind w:left="570"/>
      <w:jc w:val="left"/>
    </w:pPr>
    <w:rPr>
      <w:rFonts w:asciiTheme="minorHAnsi" w:hAnsiTheme="minorHAnsi"/>
      <w:sz w:val="20"/>
      <w:szCs w:val="20"/>
    </w:rPr>
  </w:style>
  <w:style w:type="paragraph" w:styleId="TOC6">
    <w:name w:val="toc 6"/>
    <w:basedOn w:val="Normal"/>
    <w:next w:val="Normal"/>
    <w:autoRedefine/>
    <w:uiPriority w:val="39"/>
    <w:locked/>
    <w:rsid w:val="00082ACB"/>
    <w:pPr>
      <w:spacing w:after="0"/>
      <w:ind w:left="760"/>
      <w:jc w:val="left"/>
    </w:pPr>
    <w:rPr>
      <w:rFonts w:asciiTheme="minorHAnsi" w:hAnsiTheme="minorHAnsi"/>
      <w:sz w:val="20"/>
      <w:szCs w:val="20"/>
    </w:rPr>
  </w:style>
  <w:style w:type="paragraph" w:styleId="TOC7">
    <w:name w:val="toc 7"/>
    <w:basedOn w:val="Normal"/>
    <w:next w:val="Normal"/>
    <w:autoRedefine/>
    <w:uiPriority w:val="39"/>
    <w:locked/>
    <w:rsid w:val="00082ACB"/>
    <w:pPr>
      <w:spacing w:after="0"/>
      <w:ind w:left="950"/>
      <w:jc w:val="left"/>
    </w:pPr>
    <w:rPr>
      <w:rFonts w:asciiTheme="minorHAnsi" w:hAnsiTheme="minorHAnsi"/>
      <w:sz w:val="20"/>
      <w:szCs w:val="20"/>
    </w:rPr>
  </w:style>
  <w:style w:type="paragraph" w:styleId="TOC8">
    <w:name w:val="toc 8"/>
    <w:basedOn w:val="Normal"/>
    <w:next w:val="Normal"/>
    <w:autoRedefine/>
    <w:uiPriority w:val="39"/>
    <w:locked/>
    <w:rsid w:val="00082ACB"/>
    <w:pPr>
      <w:spacing w:after="0"/>
      <w:ind w:left="1140"/>
      <w:jc w:val="left"/>
    </w:pPr>
    <w:rPr>
      <w:rFonts w:asciiTheme="minorHAnsi" w:hAnsiTheme="minorHAnsi"/>
      <w:sz w:val="20"/>
      <w:szCs w:val="20"/>
    </w:rPr>
  </w:style>
  <w:style w:type="paragraph" w:styleId="TOC9">
    <w:name w:val="toc 9"/>
    <w:basedOn w:val="Normal"/>
    <w:next w:val="Normal"/>
    <w:autoRedefine/>
    <w:uiPriority w:val="39"/>
    <w:locked/>
    <w:rsid w:val="00082ACB"/>
    <w:pPr>
      <w:spacing w:after="0"/>
      <w:ind w:left="1330"/>
      <w:jc w:val="left"/>
    </w:pPr>
    <w:rPr>
      <w:rFonts w:asciiTheme="minorHAnsi" w:hAnsiTheme="minorHAnsi"/>
      <w:sz w:val="20"/>
      <w:szCs w:val="20"/>
    </w:rPr>
  </w:style>
  <w:style w:type="table" w:customStyle="1" w:styleId="LightShading-Accent12">
    <w:name w:val="Light Shading - Accent 12"/>
    <w:rsid w:val="00397AF4"/>
    <w:rPr>
      <w:color w:val="365F91"/>
      <w:lang w:eastAsia="ko-K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StyleBoldWhiteAfter0ptLinespacingsingle">
    <w:name w:val="Style Bold White After:  0 pt Line spacing:  single"/>
    <w:basedOn w:val="Normal"/>
    <w:rsid w:val="00397AF4"/>
    <w:pPr>
      <w:spacing w:after="0" w:line="240" w:lineRule="auto"/>
      <w:jc w:val="left"/>
    </w:pPr>
    <w:rPr>
      <w:b/>
      <w:bCs/>
      <w:color w:val="286EB4"/>
      <w:szCs w:val="20"/>
    </w:rPr>
  </w:style>
  <w:style w:type="paragraph" w:styleId="ListNumber">
    <w:name w:val="List Number"/>
    <w:basedOn w:val="Normal"/>
    <w:locked/>
    <w:rsid w:val="00CD3E5E"/>
    <w:pPr>
      <w:numPr>
        <w:numId w:val="1"/>
      </w:numPr>
      <w:spacing w:after="0" w:line="240" w:lineRule="auto"/>
      <w:jc w:val="left"/>
    </w:pPr>
    <w:rPr>
      <w:rFonts w:cs="Arial"/>
      <w:sz w:val="24"/>
      <w:lang w:eastAsia="en-AU"/>
    </w:rPr>
  </w:style>
  <w:style w:type="paragraph" w:styleId="BodyText">
    <w:name w:val="Body Text"/>
    <w:basedOn w:val="ListNumber"/>
    <w:link w:val="BodyTextChar"/>
    <w:rsid w:val="000D002C"/>
    <w:pPr>
      <w:numPr>
        <w:numId w:val="0"/>
      </w:numPr>
      <w:tabs>
        <w:tab w:val="num" w:pos="680"/>
      </w:tabs>
      <w:spacing w:after="120"/>
    </w:pPr>
    <w:rPr>
      <w:lang w:eastAsia="en-US"/>
    </w:rPr>
  </w:style>
  <w:style w:type="character" w:customStyle="1" w:styleId="BodyTextChar">
    <w:name w:val="Body Text Char"/>
    <w:link w:val="BodyText"/>
    <w:locked/>
    <w:rsid w:val="008E0FFA"/>
    <w:rPr>
      <w:rFonts w:ascii="Arial" w:hAnsi="Arial" w:cs="Times New Roman"/>
      <w:color w:val="747378"/>
      <w:sz w:val="24"/>
      <w:szCs w:val="24"/>
      <w:lang w:val="x-none" w:eastAsia="en-US"/>
    </w:rPr>
  </w:style>
  <w:style w:type="character" w:customStyle="1" w:styleId="st1">
    <w:name w:val="st1"/>
    <w:basedOn w:val="DefaultParagraphFont"/>
    <w:rsid w:val="00FF6514"/>
  </w:style>
  <w:style w:type="character" w:customStyle="1" w:styleId="Heading2Char">
    <w:name w:val="Heading 2 Char"/>
    <w:uiPriority w:val="9"/>
    <w:locked/>
    <w:rsid w:val="00441483"/>
    <w:rPr>
      <w:rFonts w:ascii="Arial" w:hAnsi="Arial" w:cs="Arial"/>
      <w:bCs/>
      <w:iCs/>
      <w:color w:val="286EB4"/>
      <w:sz w:val="28"/>
      <w:szCs w:val="28"/>
      <w:lang w:val="en-AU" w:eastAsia="en-US" w:bidi="ar-SA"/>
    </w:rPr>
  </w:style>
  <w:style w:type="paragraph" w:customStyle="1" w:styleId="BriefDocParagraph">
    <w:name w:val="BriefDoc Paragraph"/>
    <w:basedOn w:val="Normal"/>
    <w:rsid w:val="00BA4D7A"/>
    <w:pPr>
      <w:numPr>
        <w:numId w:val="4"/>
      </w:numPr>
      <w:spacing w:after="0" w:line="240" w:lineRule="auto"/>
      <w:jc w:val="left"/>
    </w:pPr>
    <w:rPr>
      <w:rFonts w:ascii="Times New Roman" w:hAnsi="Times New Roman"/>
      <w:sz w:val="24"/>
      <w:szCs w:val="20"/>
    </w:rPr>
  </w:style>
  <w:style w:type="paragraph" w:customStyle="1" w:styleId="BoxText1">
    <w:name w:val="Box Text+1"/>
    <w:basedOn w:val="Default"/>
    <w:next w:val="Default"/>
    <w:uiPriority w:val="99"/>
    <w:rsid w:val="00F46CB4"/>
    <w:pPr>
      <w:widowControl/>
    </w:pPr>
    <w:rPr>
      <w:rFonts w:ascii="Garamond" w:eastAsia="Calibri" w:hAnsi="Garamond" w:cs="Times New Roman"/>
      <w:color w:val="auto"/>
      <w:lang w:val="en-AU"/>
    </w:rPr>
  </w:style>
  <w:style w:type="character" w:styleId="Strong">
    <w:name w:val="Strong"/>
    <w:basedOn w:val="DefaultParagraphFont"/>
    <w:qFormat/>
    <w:locked/>
    <w:rsid w:val="00651032"/>
    <w:rPr>
      <w:b/>
      <w:bCs/>
    </w:rPr>
  </w:style>
  <w:style w:type="character" w:styleId="Emphasis">
    <w:name w:val="Emphasis"/>
    <w:basedOn w:val="DefaultParagraphFont"/>
    <w:qFormat/>
    <w:locked/>
    <w:rsid w:val="00903D11"/>
    <w:rPr>
      <w:i/>
      <w:iCs/>
    </w:rPr>
  </w:style>
  <w:style w:type="numbering" w:customStyle="1" w:styleId="NoList1">
    <w:name w:val="No List1"/>
    <w:next w:val="NoList"/>
    <w:uiPriority w:val="99"/>
    <w:semiHidden/>
    <w:unhideWhenUsed/>
    <w:rsid w:val="00D758F5"/>
  </w:style>
  <w:style w:type="paragraph" w:styleId="NormalWeb">
    <w:name w:val="Normal (Web)"/>
    <w:basedOn w:val="Normal"/>
    <w:uiPriority w:val="99"/>
    <w:unhideWhenUsed/>
    <w:rsid w:val="00FE2839"/>
    <w:pPr>
      <w:spacing w:before="100" w:beforeAutospacing="1" w:after="100" w:afterAutospacing="1" w:line="240" w:lineRule="auto"/>
      <w:jc w:val="left"/>
    </w:pPr>
    <w:rPr>
      <w:rFonts w:ascii="Times New Roman" w:hAnsi="Times New Roman"/>
      <w:sz w:val="24"/>
      <w:lang w:eastAsia="en-AU"/>
    </w:rPr>
  </w:style>
  <w:style w:type="paragraph" w:styleId="PlainText">
    <w:name w:val="Plain Text"/>
    <w:basedOn w:val="Normal"/>
    <w:link w:val="PlainTextChar"/>
    <w:uiPriority w:val="99"/>
    <w:unhideWhenUsed/>
    <w:rsid w:val="005B1665"/>
    <w:pPr>
      <w:spacing w:after="0" w:line="240" w:lineRule="auto"/>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B1665"/>
    <w:rPr>
      <w:rFonts w:ascii="Calibri" w:eastAsiaTheme="minorHAnsi" w:hAnsi="Calibri" w:cs="Consolas"/>
      <w:sz w:val="22"/>
      <w:szCs w:val="21"/>
      <w:lang w:eastAsia="en-US"/>
    </w:rPr>
  </w:style>
  <w:style w:type="paragraph" w:customStyle="1" w:styleId="Bullet">
    <w:name w:val="Bullet"/>
    <w:basedOn w:val="Normal"/>
    <w:rsid w:val="00F72C48"/>
    <w:pPr>
      <w:numPr>
        <w:numId w:val="23"/>
      </w:numPr>
    </w:pPr>
  </w:style>
  <w:style w:type="paragraph" w:styleId="Revision">
    <w:name w:val="Revision"/>
    <w:hidden/>
    <w:uiPriority w:val="99"/>
    <w:semiHidden/>
    <w:rsid w:val="00AB13DE"/>
    <w:rPr>
      <w:rFonts w:ascii="Arial" w:hAnsi="Arial"/>
      <w:sz w:val="19"/>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annotation text" w:uiPriority="99"/>
    <w:lsdException w:name="footer" w:uiPriority="99"/>
    <w:lsdException w:name="caption" w:locked="1"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DB"/>
    <w:pPr>
      <w:spacing w:after="90" w:line="220" w:lineRule="atLeast"/>
      <w:jc w:val="both"/>
    </w:pPr>
    <w:rPr>
      <w:rFonts w:ascii="Arial" w:hAnsi="Arial"/>
      <w:sz w:val="19"/>
      <w:szCs w:val="24"/>
      <w:lang w:eastAsia="en-US"/>
    </w:rPr>
  </w:style>
  <w:style w:type="paragraph" w:styleId="Heading1">
    <w:name w:val="heading 1"/>
    <w:basedOn w:val="ReportTitle"/>
    <w:next w:val="Normal"/>
    <w:link w:val="Heading1Char"/>
    <w:qFormat/>
    <w:rsid w:val="00123E40"/>
    <w:pPr>
      <w:jc w:val="left"/>
      <w:outlineLvl w:val="0"/>
    </w:pPr>
    <w:rPr>
      <w:color w:val="365F91" w:themeColor="accent1" w:themeShade="BF"/>
    </w:rPr>
  </w:style>
  <w:style w:type="paragraph" w:styleId="Heading2">
    <w:name w:val="heading 2"/>
    <w:basedOn w:val="Normal"/>
    <w:next w:val="Normal"/>
    <w:link w:val="Heading2Char1"/>
    <w:qFormat/>
    <w:rsid w:val="00123E40"/>
    <w:pPr>
      <w:keepNext/>
      <w:spacing w:before="430" w:after="60" w:line="240" w:lineRule="auto"/>
      <w:outlineLvl w:val="1"/>
    </w:pPr>
    <w:rPr>
      <w:rFonts w:cs="Arial"/>
      <w:bCs/>
      <w:iCs/>
      <w:color w:val="365F91" w:themeColor="accent1" w:themeShade="BF"/>
      <w:sz w:val="28"/>
      <w:szCs w:val="28"/>
    </w:rPr>
  </w:style>
  <w:style w:type="paragraph" w:styleId="Heading3">
    <w:name w:val="heading 3"/>
    <w:basedOn w:val="Normal"/>
    <w:next w:val="Normal"/>
    <w:link w:val="Heading3Char"/>
    <w:qFormat/>
    <w:rsid w:val="00123E40"/>
    <w:pPr>
      <w:keepNext/>
      <w:spacing w:before="70" w:after="80"/>
      <w:outlineLvl w:val="2"/>
    </w:pPr>
    <w:rPr>
      <w:rFonts w:cs="Arial"/>
      <w:b/>
      <w:bCs/>
      <w:color w:val="365F91" w:themeColor="accent1" w:themeShade="BF"/>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23E40"/>
    <w:rPr>
      <w:rFonts w:ascii="Arial" w:hAnsi="Arial"/>
      <w:color w:val="365F91" w:themeColor="accent1" w:themeShade="BF"/>
      <w:spacing w:val="-12"/>
      <w:sz w:val="46"/>
      <w:szCs w:val="46"/>
      <w:lang w:eastAsia="en-US"/>
    </w:rPr>
  </w:style>
  <w:style w:type="character" w:customStyle="1" w:styleId="Heading2Char1">
    <w:name w:val="Heading 2 Char1"/>
    <w:link w:val="Heading2"/>
    <w:locked/>
    <w:rsid w:val="00123E40"/>
    <w:rPr>
      <w:rFonts w:ascii="Arial" w:hAnsi="Arial" w:cs="Arial"/>
      <w:bCs/>
      <w:iCs/>
      <w:color w:val="365F91" w:themeColor="accent1" w:themeShade="BF"/>
      <w:sz w:val="28"/>
      <w:szCs w:val="28"/>
      <w:lang w:eastAsia="en-US"/>
    </w:rPr>
  </w:style>
  <w:style w:type="character" w:customStyle="1" w:styleId="Heading3Char">
    <w:name w:val="Heading 3 Char"/>
    <w:link w:val="Heading3"/>
    <w:locked/>
    <w:rsid w:val="00123E40"/>
    <w:rPr>
      <w:rFonts w:ascii="Arial" w:hAnsi="Arial" w:cs="Arial"/>
      <w:b/>
      <w:bCs/>
      <w:color w:val="365F91" w:themeColor="accent1" w:themeShade="BF"/>
      <w:sz w:val="19"/>
      <w:szCs w:val="19"/>
      <w:lang w:eastAsia="en-US"/>
    </w:rPr>
  </w:style>
  <w:style w:type="paragraph" w:styleId="BalloonText">
    <w:name w:val="Balloon Text"/>
    <w:basedOn w:val="Normal"/>
    <w:link w:val="BalloonTextChar"/>
    <w:uiPriority w:val="99"/>
    <w:rsid w:val="008736F2"/>
    <w:pPr>
      <w:spacing w:after="0" w:line="240" w:lineRule="auto"/>
    </w:pPr>
    <w:rPr>
      <w:rFonts w:ascii="Tahoma" w:hAnsi="Tahoma"/>
      <w:sz w:val="16"/>
      <w:szCs w:val="16"/>
    </w:rPr>
  </w:style>
  <w:style w:type="character" w:customStyle="1" w:styleId="BalloonTextChar">
    <w:name w:val="Balloon Text Char"/>
    <w:link w:val="BalloonText"/>
    <w:uiPriority w:val="99"/>
    <w:locked/>
    <w:rsid w:val="008736F2"/>
    <w:rPr>
      <w:rFonts w:ascii="Tahoma" w:hAnsi="Tahoma" w:cs="Times New Roman"/>
      <w:color w:val="747378"/>
      <w:sz w:val="16"/>
      <w:szCs w:val="16"/>
      <w:lang w:val="x-none" w:eastAsia="en-US"/>
    </w:rPr>
  </w:style>
  <w:style w:type="paragraph" w:styleId="Header">
    <w:name w:val="header"/>
    <w:basedOn w:val="Normal"/>
    <w:link w:val="HeaderChar"/>
    <w:rsid w:val="00385DBA"/>
    <w:pPr>
      <w:tabs>
        <w:tab w:val="center" w:pos="4320"/>
        <w:tab w:val="right" w:pos="8640"/>
      </w:tabs>
    </w:pPr>
    <w:rPr>
      <w:sz w:val="18"/>
    </w:rPr>
  </w:style>
  <w:style w:type="character" w:customStyle="1" w:styleId="HeaderChar">
    <w:name w:val="Header Char"/>
    <w:link w:val="Header"/>
    <w:locked/>
    <w:rsid w:val="002A163D"/>
    <w:rPr>
      <w:rFonts w:ascii="Arial" w:hAnsi="Arial" w:cs="Times New Roman"/>
      <w:sz w:val="24"/>
      <w:lang w:val="en-AU" w:eastAsia="en-US"/>
    </w:rPr>
  </w:style>
  <w:style w:type="paragraph" w:styleId="Footer">
    <w:name w:val="footer"/>
    <w:basedOn w:val="Normal"/>
    <w:link w:val="FooterChar"/>
    <w:uiPriority w:val="99"/>
    <w:rsid w:val="00010F3E"/>
    <w:pPr>
      <w:tabs>
        <w:tab w:val="center" w:pos="4536"/>
        <w:tab w:val="right" w:pos="9072"/>
      </w:tabs>
      <w:spacing w:after="0" w:line="240" w:lineRule="auto"/>
      <w:ind w:right="57"/>
      <w:jc w:val="right"/>
    </w:pPr>
    <w:rPr>
      <w:b/>
      <w:spacing w:val="-1"/>
      <w:sz w:val="16"/>
      <w:szCs w:val="14"/>
    </w:rPr>
  </w:style>
  <w:style w:type="character" w:customStyle="1" w:styleId="FooterChar">
    <w:name w:val="Footer Char"/>
    <w:link w:val="Footer"/>
    <w:uiPriority w:val="99"/>
    <w:locked/>
    <w:rsid w:val="00010F3E"/>
    <w:rPr>
      <w:rFonts w:ascii="Arial" w:hAnsi="Arial"/>
      <w:b/>
      <w:color w:val="747378"/>
      <w:spacing w:val="-1"/>
      <w:sz w:val="16"/>
      <w:szCs w:val="14"/>
      <w:lang w:eastAsia="en-US"/>
    </w:rPr>
  </w:style>
  <w:style w:type="paragraph" w:customStyle="1" w:styleId="ReportTitle">
    <w:name w:val="Report Title"/>
    <w:basedOn w:val="Normal"/>
    <w:rsid w:val="00BB6565"/>
    <w:pPr>
      <w:spacing w:after="35" w:line="480" w:lineRule="exact"/>
    </w:pPr>
    <w:rPr>
      <w:color w:val="286EB4"/>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rPr>
  </w:style>
  <w:style w:type="paragraph" w:customStyle="1" w:styleId="CopyrightDetails">
    <w:name w:val="Copyright Details"/>
    <w:basedOn w:val="Normal"/>
    <w:rsid w:val="00F015D8"/>
    <w:pPr>
      <w:spacing w:after="0" w:line="260" w:lineRule="exact"/>
    </w:p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286EB4"/>
      <w:sz w:val="36"/>
      <w:szCs w:val="20"/>
      <w:lang w:val="x-none"/>
    </w:rPr>
  </w:style>
  <w:style w:type="character" w:customStyle="1" w:styleId="TOCTitleChar">
    <w:name w:val="TOC Title Char"/>
    <w:link w:val="TOCTitle"/>
    <w:locked/>
    <w:rsid w:val="0002637D"/>
    <w:rPr>
      <w:rFonts w:ascii="Arial" w:hAnsi="Arial"/>
      <w:color w:val="286EB4"/>
      <w:sz w:val="36"/>
      <w:lang w:val="x-none" w:eastAsia="en-US"/>
    </w:rPr>
  </w:style>
  <w:style w:type="table" w:styleId="TableGrid">
    <w:name w:val="Table Grid"/>
    <w:basedOn w:val="TableNormal"/>
    <w:uiPriority w:val="59"/>
    <w:rsid w:val="00E72C99"/>
    <w:pPr>
      <w:spacing w:after="90" w:line="220" w:lineRule="atLeast"/>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3778A9"/>
    <w:pPr>
      <w:tabs>
        <w:tab w:val="right" w:pos="6698"/>
      </w:tabs>
      <w:spacing w:after="120" w:line="240" w:lineRule="auto"/>
      <w:jc w:val="left"/>
    </w:pPr>
    <w:rPr>
      <w:rFonts w:asciiTheme="majorHAnsi" w:hAnsiTheme="majorHAnsi" w:cs="Arial"/>
      <w:b/>
      <w:bCs/>
      <w:caps/>
      <w:noProof/>
      <w:sz w:val="24"/>
    </w:rPr>
  </w:style>
  <w:style w:type="character" w:styleId="PageNumber">
    <w:name w:val="page number"/>
    <w:rsid w:val="00BB6565"/>
    <w:rPr>
      <w:rFonts w:cs="Times New Roman"/>
    </w:rPr>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AF50E2"/>
    <w:pPr>
      <w:spacing w:after="0"/>
      <w:ind w:left="190"/>
      <w:jc w:val="left"/>
    </w:pPr>
    <w:rPr>
      <w:rFonts w:asciiTheme="minorHAnsi" w:hAnsiTheme="minorHAnsi"/>
      <w:sz w:val="20"/>
      <w:szCs w:val="20"/>
    </w:rPr>
  </w:style>
  <w:style w:type="paragraph" w:styleId="TOC2">
    <w:name w:val="toc 2"/>
    <w:basedOn w:val="Normal"/>
    <w:next w:val="Normal"/>
    <w:uiPriority w:val="39"/>
    <w:rsid w:val="009367C5"/>
    <w:pPr>
      <w:spacing w:before="240" w:after="0"/>
      <w:jc w:val="left"/>
    </w:pPr>
    <w:rPr>
      <w:rFonts w:asciiTheme="minorHAnsi" w:hAnsiTheme="minorHAnsi"/>
      <w:b/>
      <w:bCs/>
      <w:sz w:val="20"/>
      <w:szCs w:val="20"/>
    </w:rPr>
  </w:style>
  <w:style w:type="paragraph" w:styleId="Quote">
    <w:name w:val="Quote"/>
    <w:basedOn w:val="Normal"/>
    <w:link w:val="QuoteChar"/>
    <w:qFormat/>
    <w:rsid w:val="00B345E6"/>
    <w:rPr>
      <w:b/>
      <w:color w:val="286EB4"/>
      <w:szCs w:val="19"/>
    </w:rPr>
  </w:style>
  <w:style w:type="character" w:customStyle="1" w:styleId="QuoteChar">
    <w:name w:val="Quote Char"/>
    <w:link w:val="Quote"/>
    <w:locked/>
    <w:rsid w:val="008736F2"/>
    <w:rPr>
      <w:rFonts w:ascii="Arial" w:hAnsi="Arial" w:cs="Times New Roman"/>
      <w:b/>
      <w:color w:val="286EB4"/>
      <w:sz w:val="19"/>
      <w:szCs w:val="19"/>
      <w:lang w:val="x-none" w:eastAsia="en-US"/>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uiPriority w:val="35"/>
    <w:qFormat/>
    <w:rsid w:val="0025400C"/>
    <w:rPr>
      <w:b/>
      <w:bCs/>
      <w:color w:val="76923C" w:themeColor="accent3" w:themeShade="BF"/>
      <w:sz w:val="18"/>
      <w:szCs w:val="16"/>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uiPriority w:val="99"/>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ListBullet2">
    <w:name w:val="List Bullet 2"/>
    <w:basedOn w:val="Normal"/>
    <w:rsid w:val="00D27344"/>
    <w:pPr>
      <w:tabs>
        <w:tab w:val="num" w:pos="340"/>
      </w:tabs>
      <w:spacing w:after="0"/>
      <w:ind w:left="340" w:hanging="170"/>
    </w:pPr>
  </w:style>
  <w:style w:type="paragraph" w:styleId="FootnoteText">
    <w:name w:val="footnote text"/>
    <w:basedOn w:val="Normal"/>
    <w:link w:val="FootnoteTextChar"/>
    <w:uiPriority w:val="99"/>
    <w:rsid w:val="008736F2"/>
    <w:rPr>
      <w:sz w:val="20"/>
      <w:szCs w:val="20"/>
    </w:rPr>
  </w:style>
  <w:style w:type="character" w:customStyle="1" w:styleId="FootnoteTextChar">
    <w:name w:val="Footnote Text Char"/>
    <w:link w:val="FootnoteText"/>
    <w:uiPriority w:val="99"/>
    <w:locked/>
    <w:rsid w:val="008736F2"/>
    <w:rPr>
      <w:rFonts w:ascii="Arial" w:hAnsi="Arial" w:cs="Times New Roman"/>
      <w:color w:val="747378"/>
      <w:lang w:val="x-none" w:eastAsia="en-US"/>
    </w:rPr>
  </w:style>
  <w:style w:type="character" w:styleId="FootnoteReference">
    <w:name w:val="footnote reference"/>
    <w:uiPriority w:val="99"/>
    <w:rsid w:val="008736F2"/>
    <w:rPr>
      <w:rFonts w:cs="Times New Roman"/>
      <w:vertAlign w:val="superscript"/>
    </w:rPr>
  </w:style>
  <w:style w:type="character" w:styleId="CommentReference">
    <w:name w:val="annotation reference"/>
    <w:uiPriority w:val="99"/>
    <w:rsid w:val="008736F2"/>
    <w:rPr>
      <w:rFonts w:cs="Times New Roman"/>
      <w:sz w:val="16"/>
      <w:szCs w:val="16"/>
    </w:rPr>
  </w:style>
  <w:style w:type="paragraph" w:styleId="CommentText">
    <w:name w:val="annotation text"/>
    <w:basedOn w:val="Normal"/>
    <w:link w:val="CommentTextChar"/>
    <w:uiPriority w:val="99"/>
    <w:rsid w:val="008736F2"/>
    <w:rPr>
      <w:sz w:val="20"/>
      <w:szCs w:val="20"/>
    </w:rPr>
  </w:style>
  <w:style w:type="character" w:customStyle="1" w:styleId="CommentTextChar">
    <w:name w:val="Comment Text Char"/>
    <w:link w:val="CommentText"/>
    <w:uiPriority w:val="99"/>
    <w:locked/>
    <w:rsid w:val="008736F2"/>
    <w:rPr>
      <w:rFonts w:ascii="Arial" w:hAnsi="Arial" w:cs="Times New Roman"/>
      <w:color w:val="747378"/>
      <w:lang w:val="x-none" w:eastAsia="en-US"/>
    </w:rPr>
  </w:style>
  <w:style w:type="paragraph" w:styleId="CommentSubject">
    <w:name w:val="annotation subject"/>
    <w:basedOn w:val="CommentText"/>
    <w:next w:val="CommentText"/>
    <w:link w:val="CommentSubjectChar"/>
    <w:uiPriority w:val="99"/>
    <w:rsid w:val="008736F2"/>
    <w:rPr>
      <w:b/>
      <w:bCs/>
    </w:rPr>
  </w:style>
  <w:style w:type="character" w:customStyle="1" w:styleId="CommentSubjectChar">
    <w:name w:val="Comment Subject Char"/>
    <w:link w:val="CommentSubject"/>
    <w:uiPriority w:val="99"/>
    <w:locked/>
    <w:rsid w:val="008736F2"/>
    <w:rPr>
      <w:rFonts w:ascii="Arial" w:hAnsi="Arial" w:cs="Times New Roman"/>
      <w:b/>
      <w:bCs/>
      <w:color w:val="747378"/>
      <w:lang w:val="x-none" w:eastAsia="en-US"/>
    </w:rPr>
  </w:style>
  <w:style w:type="paragraph" w:customStyle="1" w:styleId="Bulletlist">
    <w:name w:val="Bullet list"/>
    <w:basedOn w:val="Normal"/>
    <w:rsid w:val="008736F2"/>
    <w:pPr>
      <w:numPr>
        <w:numId w:val="3"/>
      </w:numPr>
      <w:autoSpaceDE w:val="0"/>
      <w:autoSpaceDN w:val="0"/>
      <w:adjustRightInd w:val="0"/>
      <w:spacing w:before="60" w:after="60" w:line="240" w:lineRule="auto"/>
    </w:pPr>
    <w:rPr>
      <w:rFonts w:cs="Arial"/>
      <w:color w:val="000000"/>
      <w:sz w:val="22"/>
      <w:szCs w:val="22"/>
      <w:lang w:eastAsia="en-AU"/>
    </w:rPr>
  </w:style>
  <w:style w:type="character" w:styleId="Hyperlink">
    <w:name w:val="Hyperlink"/>
    <w:rsid w:val="008736F2"/>
    <w:rPr>
      <w:rFonts w:cs="Times New Roman"/>
      <w:color w:val="0000FF"/>
      <w:u w:val="single"/>
    </w:rPr>
  </w:style>
  <w:style w:type="character" w:styleId="FollowedHyperlink">
    <w:name w:val="FollowedHyperlink"/>
    <w:rsid w:val="00E61FA4"/>
    <w:rPr>
      <w:rFonts w:cs="Times New Roman"/>
      <w:color w:val="800080"/>
      <w:u w:val="single"/>
    </w:rPr>
  </w:style>
  <w:style w:type="table" w:customStyle="1" w:styleId="LightShading-Accent11">
    <w:name w:val="Light Shading - Accent 11"/>
    <w:rsid w:val="00E61FA4"/>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ListParagraph">
    <w:name w:val="List Paragraph"/>
    <w:basedOn w:val="Normal"/>
    <w:uiPriority w:val="34"/>
    <w:qFormat/>
    <w:rsid w:val="00636FAF"/>
    <w:pPr>
      <w:spacing w:after="200" w:line="276" w:lineRule="auto"/>
      <w:ind w:left="720"/>
      <w:jc w:val="left"/>
    </w:pPr>
    <w:rPr>
      <w:rFonts w:ascii="Calibri" w:hAnsi="Calibri"/>
      <w:sz w:val="22"/>
      <w:szCs w:val="22"/>
    </w:rPr>
  </w:style>
  <w:style w:type="paragraph" w:styleId="TOC4">
    <w:name w:val="toc 4"/>
    <w:basedOn w:val="Normal"/>
    <w:next w:val="Normal"/>
    <w:autoRedefine/>
    <w:uiPriority w:val="39"/>
    <w:locked/>
    <w:rsid w:val="00082ACB"/>
    <w:pPr>
      <w:spacing w:after="0"/>
      <w:ind w:left="380"/>
      <w:jc w:val="left"/>
    </w:pPr>
    <w:rPr>
      <w:rFonts w:asciiTheme="minorHAnsi" w:hAnsiTheme="minorHAnsi"/>
      <w:sz w:val="20"/>
      <w:szCs w:val="20"/>
    </w:rPr>
  </w:style>
  <w:style w:type="paragraph" w:styleId="TOC5">
    <w:name w:val="toc 5"/>
    <w:basedOn w:val="Normal"/>
    <w:next w:val="Normal"/>
    <w:autoRedefine/>
    <w:uiPriority w:val="39"/>
    <w:locked/>
    <w:rsid w:val="00082ACB"/>
    <w:pPr>
      <w:spacing w:after="0"/>
      <w:ind w:left="570"/>
      <w:jc w:val="left"/>
    </w:pPr>
    <w:rPr>
      <w:rFonts w:asciiTheme="minorHAnsi" w:hAnsiTheme="minorHAnsi"/>
      <w:sz w:val="20"/>
      <w:szCs w:val="20"/>
    </w:rPr>
  </w:style>
  <w:style w:type="paragraph" w:styleId="TOC6">
    <w:name w:val="toc 6"/>
    <w:basedOn w:val="Normal"/>
    <w:next w:val="Normal"/>
    <w:autoRedefine/>
    <w:uiPriority w:val="39"/>
    <w:locked/>
    <w:rsid w:val="00082ACB"/>
    <w:pPr>
      <w:spacing w:after="0"/>
      <w:ind w:left="760"/>
      <w:jc w:val="left"/>
    </w:pPr>
    <w:rPr>
      <w:rFonts w:asciiTheme="minorHAnsi" w:hAnsiTheme="minorHAnsi"/>
      <w:sz w:val="20"/>
      <w:szCs w:val="20"/>
    </w:rPr>
  </w:style>
  <w:style w:type="paragraph" w:styleId="TOC7">
    <w:name w:val="toc 7"/>
    <w:basedOn w:val="Normal"/>
    <w:next w:val="Normal"/>
    <w:autoRedefine/>
    <w:uiPriority w:val="39"/>
    <w:locked/>
    <w:rsid w:val="00082ACB"/>
    <w:pPr>
      <w:spacing w:after="0"/>
      <w:ind w:left="950"/>
      <w:jc w:val="left"/>
    </w:pPr>
    <w:rPr>
      <w:rFonts w:asciiTheme="minorHAnsi" w:hAnsiTheme="minorHAnsi"/>
      <w:sz w:val="20"/>
      <w:szCs w:val="20"/>
    </w:rPr>
  </w:style>
  <w:style w:type="paragraph" w:styleId="TOC8">
    <w:name w:val="toc 8"/>
    <w:basedOn w:val="Normal"/>
    <w:next w:val="Normal"/>
    <w:autoRedefine/>
    <w:uiPriority w:val="39"/>
    <w:locked/>
    <w:rsid w:val="00082ACB"/>
    <w:pPr>
      <w:spacing w:after="0"/>
      <w:ind w:left="1140"/>
      <w:jc w:val="left"/>
    </w:pPr>
    <w:rPr>
      <w:rFonts w:asciiTheme="minorHAnsi" w:hAnsiTheme="minorHAnsi"/>
      <w:sz w:val="20"/>
      <w:szCs w:val="20"/>
    </w:rPr>
  </w:style>
  <w:style w:type="paragraph" w:styleId="TOC9">
    <w:name w:val="toc 9"/>
    <w:basedOn w:val="Normal"/>
    <w:next w:val="Normal"/>
    <w:autoRedefine/>
    <w:uiPriority w:val="39"/>
    <w:locked/>
    <w:rsid w:val="00082ACB"/>
    <w:pPr>
      <w:spacing w:after="0"/>
      <w:ind w:left="1330"/>
      <w:jc w:val="left"/>
    </w:pPr>
    <w:rPr>
      <w:rFonts w:asciiTheme="minorHAnsi" w:hAnsiTheme="minorHAnsi"/>
      <w:sz w:val="20"/>
      <w:szCs w:val="20"/>
    </w:rPr>
  </w:style>
  <w:style w:type="table" w:customStyle="1" w:styleId="LightShading-Accent12">
    <w:name w:val="Light Shading - Accent 12"/>
    <w:rsid w:val="00397AF4"/>
    <w:rPr>
      <w:color w:val="365F91"/>
      <w:lang w:eastAsia="ko-K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StyleBoldWhiteAfter0ptLinespacingsingle">
    <w:name w:val="Style Bold White After:  0 pt Line spacing:  single"/>
    <w:basedOn w:val="Normal"/>
    <w:rsid w:val="00397AF4"/>
    <w:pPr>
      <w:spacing w:after="0" w:line="240" w:lineRule="auto"/>
      <w:jc w:val="left"/>
    </w:pPr>
    <w:rPr>
      <w:b/>
      <w:bCs/>
      <w:color w:val="286EB4"/>
      <w:szCs w:val="20"/>
    </w:rPr>
  </w:style>
  <w:style w:type="paragraph" w:styleId="ListNumber">
    <w:name w:val="List Number"/>
    <w:basedOn w:val="Normal"/>
    <w:locked/>
    <w:rsid w:val="00CD3E5E"/>
    <w:pPr>
      <w:numPr>
        <w:numId w:val="1"/>
      </w:numPr>
      <w:spacing w:after="0" w:line="240" w:lineRule="auto"/>
      <w:jc w:val="left"/>
    </w:pPr>
    <w:rPr>
      <w:rFonts w:cs="Arial"/>
      <w:sz w:val="24"/>
      <w:lang w:eastAsia="en-AU"/>
    </w:rPr>
  </w:style>
  <w:style w:type="paragraph" w:styleId="BodyText">
    <w:name w:val="Body Text"/>
    <w:basedOn w:val="ListNumber"/>
    <w:link w:val="BodyTextChar"/>
    <w:rsid w:val="000D002C"/>
    <w:pPr>
      <w:numPr>
        <w:numId w:val="0"/>
      </w:numPr>
      <w:tabs>
        <w:tab w:val="num" w:pos="680"/>
      </w:tabs>
      <w:spacing w:after="120"/>
    </w:pPr>
    <w:rPr>
      <w:lang w:eastAsia="en-US"/>
    </w:rPr>
  </w:style>
  <w:style w:type="character" w:customStyle="1" w:styleId="BodyTextChar">
    <w:name w:val="Body Text Char"/>
    <w:link w:val="BodyText"/>
    <w:locked/>
    <w:rsid w:val="008E0FFA"/>
    <w:rPr>
      <w:rFonts w:ascii="Arial" w:hAnsi="Arial" w:cs="Times New Roman"/>
      <w:color w:val="747378"/>
      <w:sz w:val="24"/>
      <w:szCs w:val="24"/>
      <w:lang w:val="x-none" w:eastAsia="en-US"/>
    </w:rPr>
  </w:style>
  <w:style w:type="character" w:customStyle="1" w:styleId="st1">
    <w:name w:val="st1"/>
    <w:basedOn w:val="DefaultParagraphFont"/>
    <w:rsid w:val="00FF6514"/>
  </w:style>
  <w:style w:type="character" w:customStyle="1" w:styleId="Heading2Char">
    <w:name w:val="Heading 2 Char"/>
    <w:uiPriority w:val="9"/>
    <w:locked/>
    <w:rsid w:val="00441483"/>
    <w:rPr>
      <w:rFonts w:ascii="Arial" w:hAnsi="Arial" w:cs="Arial"/>
      <w:bCs/>
      <w:iCs/>
      <w:color w:val="286EB4"/>
      <w:sz w:val="28"/>
      <w:szCs w:val="28"/>
      <w:lang w:val="en-AU" w:eastAsia="en-US" w:bidi="ar-SA"/>
    </w:rPr>
  </w:style>
  <w:style w:type="paragraph" w:customStyle="1" w:styleId="BriefDocParagraph">
    <w:name w:val="BriefDoc Paragraph"/>
    <w:basedOn w:val="Normal"/>
    <w:rsid w:val="00BA4D7A"/>
    <w:pPr>
      <w:numPr>
        <w:numId w:val="4"/>
      </w:numPr>
      <w:spacing w:after="0" w:line="240" w:lineRule="auto"/>
      <w:jc w:val="left"/>
    </w:pPr>
    <w:rPr>
      <w:rFonts w:ascii="Times New Roman" w:hAnsi="Times New Roman"/>
      <w:sz w:val="24"/>
      <w:szCs w:val="20"/>
    </w:rPr>
  </w:style>
  <w:style w:type="paragraph" w:customStyle="1" w:styleId="BoxText1">
    <w:name w:val="Box Text+1"/>
    <w:basedOn w:val="Default"/>
    <w:next w:val="Default"/>
    <w:uiPriority w:val="99"/>
    <w:rsid w:val="00F46CB4"/>
    <w:pPr>
      <w:widowControl/>
    </w:pPr>
    <w:rPr>
      <w:rFonts w:ascii="Garamond" w:eastAsia="Calibri" w:hAnsi="Garamond" w:cs="Times New Roman"/>
      <w:color w:val="auto"/>
      <w:lang w:val="en-AU"/>
    </w:rPr>
  </w:style>
  <w:style w:type="character" w:styleId="Strong">
    <w:name w:val="Strong"/>
    <w:basedOn w:val="DefaultParagraphFont"/>
    <w:qFormat/>
    <w:locked/>
    <w:rsid w:val="00651032"/>
    <w:rPr>
      <w:b/>
      <w:bCs/>
    </w:rPr>
  </w:style>
  <w:style w:type="character" w:styleId="Emphasis">
    <w:name w:val="Emphasis"/>
    <w:basedOn w:val="DefaultParagraphFont"/>
    <w:qFormat/>
    <w:locked/>
    <w:rsid w:val="00903D11"/>
    <w:rPr>
      <w:i/>
      <w:iCs/>
    </w:rPr>
  </w:style>
  <w:style w:type="numbering" w:customStyle="1" w:styleId="NoList1">
    <w:name w:val="No List1"/>
    <w:next w:val="NoList"/>
    <w:uiPriority w:val="99"/>
    <w:semiHidden/>
    <w:unhideWhenUsed/>
    <w:rsid w:val="00D758F5"/>
  </w:style>
  <w:style w:type="paragraph" w:styleId="NormalWeb">
    <w:name w:val="Normal (Web)"/>
    <w:basedOn w:val="Normal"/>
    <w:uiPriority w:val="99"/>
    <w:unhideWhenUsed/>
    <w:rsid w:val="00FE2839"/>
    <w:pPr>
      <w:spacing w:before="100" w:beforeAutospacing="1" w:after="100" w:afterAutospacing="1" w:line="240" w:lineRule="auto"/>
      <w:jc w:val="left"/>
    </w:pPr>
    <w:rPr>
      <w:rFonts w:ascii="Times New Roman" w:hAnsi="Times New Roman"/>
      <w:sz w:val="24"/>
      <w:lang w:eastAsia="en-AU"/>
    </w:rPr>
  </w:style>
  <w:style w:type="paragraph" w:styleId="PlainText">
    <w:name w:val="Plain Text"/>
    <w:basedOn w:val="Normal"/>
    <w:link w:val="PlainTextChar"/>
    <w:uiPriority w:val="99"/>
    <w:unhideWhenUsed/>
    <w:rsid w:val="005B1665"/>
    <w:pPr>
      <w:spacing w:after="0" w:line="240" w:lineRule="auto"/>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B1665"/>
    <w:rPr>
      <w:rFonts w:ascii="Calibri" w:eastAsiaTheme="minorHAnsi" w:hAnsi="Calibri" w:cs="Consolas"/>
      <w:sz w:val="22"/>
      <w:szCs w:val="21"/>
      <w:lang w:eastAsia="en-US"/>
    </w:rPr>
  </w:style>
  <w:style w:type="paragraph" w:customStyle="1" w:styleId="Bullet">
    <w:name w:val="Bullet"/>
    <w:basedOn w:val="Normal"/>
    <w:rsid w:val="00F72C48"/>
    <w:pPr>
      <w:numPr>
        <w:numId w:val="23"/>
      </w:numPr>
    </w:pPr>
  </w:style>
  <w:style w:type="paragraph" w:styleId="Revision">
    <w:name w:val="Revision"/>
    <w:hidden/>
    <w:uiPriority w:val="99"/>
    <w:semiHidden/>
    <w:rsid w:val="00AB13DE"/>
    <w:rPr>
      <w:rFonts w:ascii="Arial" w:hAnsi="Arial"/>
      <w:sz w:val="19"/>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21904404">
      <w:bodyDiv w:val="1"/>
      <w:marLeft w:val="0"/>
      <w:marRight w:val="0"/>
      <w:marTop w:val="0"/>
      <w:marBottom w:val="0"/>
      <w:divBdr>
        <w:top w:val="none" w:sz="0" w:space="0" w:color="auto"/>
        <w:left w:val="none" w:sz="0" w:space="0" w:color="auto"/>
        <w:bottom w:val="none" w:sz="0" w:space="0" w:color="auto"/>
        <w:right w:val="none" w:sz="0" w:space="0" w:color="auto"/>
      </w:divBdr>
    </w:div>
    <w:div w:id="26570624">
      <w:bodyDiv w:val="1"/>
      <w:marLeft w:val="0"/>
      <w:marRight w:val="0"/>
      <w:marTop w:val="0"/>
      <w:marBottom w:val="0"/>
      <w:divBdr>
        <w:top w:val="none" w:sz="0" w:space="0" w:color="auto"/>
        <w:left w:val="none" w:sz="0" w:space="0" w:color="auto"/>
        <w:bottom w:val="none" w:sz="0" w:space="0" w:color="auto"/>
        <w:right w:val="none" w:sz="0" w:space="0" w:color="auto"/>
      </w:divBdr>
    </w:div>
    <w:div w:id="27295480">
      <w:bodyDiv w:val="1"/>
      <w:marLeft w:val="0"/>
      <w:marRight w:val="0"/>
      <w:marTop w:val="0"/>
      <w:marBottom w:val="0"/>
      <w:divBdr>
        <w:top w:val="none" w:sz="0" w:space="0" w:color="auto"/>
        <w:left w:val="none" w:sz="0" w:space="0" w:color="auto"/>
        <w:bottom w:val="none" w:sz="0" w:space="0" w:color="auto"/>
        <w:right w:val="none" w:sz="0" w:space="0" w:color="auto"/>
      </w:divBdr>
    </w:div>
    <w:div w:id="27730252">
      <w:bodyDiv w:val="1"/>
      <w:marLeft w:val="0"/>
      <w:marRight w:val="0"/>
      <w:marTop w:val="0"/>
      <w:marBottom w:val="0"/>
      <w:divBdr>
        <w:top w:val="none" w:sz="0" w:space="0" w:color="auto"/>
        <w:left w:val="none" w:sz="0" w:space="0" w:color="auto"/>
        <w:bottom w:val="none" w:sz="0" w:space="0" w:color="auto"/>
        <w:right w:val="none" w:sz="0" w:space="0" w:color="auto"/>
      </w:divBdr>
    </w:div>
    <w:div w:id="36438446">
      <w:bodyDiv w:val="1"/>
      <w:marLeft w:val="0"/>
      <w:marRight w:val="0"/>
      <w:marTop w:val="0"/>
      <w:marBottom w:val="0"/>
      <w:divBdr>
        <w:top w:val="none" w:sz="0" w:space="0" w:color="auto"/>
        <w:left w:val="none" w:sz="0" w:space="0" w:color="auto"/>
        <w:bottom w:val="none" w:sz="0" w:space="0" w:color="auto"/>
        <w:right w:val="none" w:sz="0" w:space="0" w:color="auto"/>
      </w:divBdr>
    </w:div>
    <w:div w:id="42827368">
      <w:bodyDiv w:val="1"/>
      <w:marLeft w:val="0"/>
      <w:marRight w:val="0"/>
      <w:marTop w:val="0"/>
      <w:marBottom w:val="0"/>
      <w:divBdr>
        <w:top w:val="none" w:sz="0" w:space="0" w:color="auto"/>
        <w:left w:val="none" w:sz="0" w:space="0" w:color="auto"/>
        <w:bottom w:val="none" w:sz="0" w:space="0" w:color="auto"/>
        <w:right w:val="none" w:sz="0" w:space="0" w:color="auto"/>
      </w:divBdr>
    </w:div>
    <w:div w:id="49235849">
      <w:bodyDiv w:val="1"/>
      <w:marLeft w:val="0"/>
      <w:marRight w:val="0"/>
      <w:marTop w:val="0"/>
      <w:marBottom w:val="0"/>
      <w:divBdr>
        <w:top w:val="none" w:sz="0" w:space="0" w:color="auto"/>
        <w:left w:val="none" w:sz="0" w:space="0" w:color="auto"/>
        <w:bottom w:val="none" w:sz="0" w:space="0" w:color="auto"/>
        <w:right w:val="none" w:sz="0" w:space="0" w:color="auto"/>
      </w:divBdr>
    </w:div>
    <w:div w:id="50807158">
      <w:bodyDiv w:val="1"/>
      <w:marLeft w:val="0"/>
      <w:marRight w:val="0"/>
      <w:marTop w:val="0"/>
      <w:marBottom w:val="0"/>
      <w:divBdr>
        <w:top w:val="none" w:sz="0" w:space="0" w:color="auto"/>
        <w:left w:val="none" w:sz="0" w:space="0" w:color="auto"/>
        <w:bottom w:val="none" w:sz="0" w:space="0" w:color="auto"/>
        <w:right w:val="none" w:sz="0" w:space="0" w:color="auto"/>
      </w:divBdr>
    </w:div>
    <w:div w:id="55204213">
      <w:bodyDiv w:val="1"/>
      <w:marLeft w:val="0"/>
      <w:marRight w:val="0"/>
      <w:marTop w:val="0"/>
      <w:marBottom w:val="0"/>
      <w:divBdr>
        <w:top w:val="none" w:sz="0" w:space="0" w:color="auto"/>
        <w:left w:val="none" w:sz="0" w:space="0" w:color="auto"/>
        <w:bottom w:val="none" w:sz="0" w:space="0" w:color="auto"/>
        <w:right w:val="none" w:sz="0" w:space="0" w:color="auto"/>
      </w:divBdr>
    </w:div>
    <w:div w:id="56392931">
      <w:bodyDiv w:val="1"/>
      <w:marLeft w:val="0"/>
      <w:marRight w:val="0"/>
      <w:marTop w:val="0"/>
      <w:marBottom w:val="0"/>
      <w:divBdr>
        <w:top w:val="none" w:sz="0" w:space="0" w:color="auto"/>
        <w:left w:val="none" w:sz="0" w:space="0" w:color="auto"/>
        <w:bottom w:val="none" w:sz="0" w:space="0" w:color="auto"/>
        <w:right w:val="none" w:sz="0" w:space="0" w:color="auto"/>
      </w:divBdr>
    </w:div>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92627430">
      <w:bodyDiv w:val="1"/>
      <w:marLeft w:val="0"/>
      <w:marRight w:val="0"/>
      <w:marTop w:val="0"/>
      <w:marBottom w:val="0"/>
      <w:divBdr>
        <w:top w:val="none" w:sz="0" w:space="0" w:color="auto"/>
        <w:left w:val="none" w:sz="0" w:space="0" w:color="auto"/>
        <w:bottom w:val="none" w:sz="0" w:space="0" w:color="auto"/>
        <w:right w:val="none" w:sz="0" w:space="0" w:color="auto"/>
      </w:divBdr>
      <w:divsChild>
        <w:div w:id="109709226">
          <w:marLeft w:val="1267"/>
          <w:marRight w:val="0"/>
          <w:marTop w:val="0"/>
          <w:marBottom w:val="0"/>
          <w:divBdr>
            <w:top w:val="none" w:sz="0" w:space="0" w:color="auto"/>
            <w:left w:val="none" w:sz="0" w:space="0" w:color="auto"/>
            <w:bottom w:val="none" w:sz="0" w:space="0" w:color="auto"/>
            <w:right w:val="none" w:sz="0" w:space="0" w:color="auto"/>
          </w:divBdr>
        </w:div>
      </w:divsChild>
    </w:div>
    <w:div w:id="101148959">
      <w:bodyDiv w:val="1"/>
      <w:marLeft w:val="0"/>
      <w:marRight w:val="0"/>
      <w:marTop w:val="0"/>
      <w:marBottom w:val="0"/>
      <w:divBdr>
        <w:top w:val="none" w:sz="0" w:space="0" w:color="auto"/>
        <w:left w:val="none" w:sz="0" w:space="0" w:color="auto"/>
        <w:bottom w:val="none" w:sz="0" w:space="0" w:color="auto"/>
        <w:right w:val="none" w:sz="0" w:space="0" w:color="auto"/>
      </w:divBdr>
    </w:div>
    <w:div w:id="106168949">
      <w:bodyDiv w:val="1"/>
      <w:marLeft w:val="0"/>
      <w:marRight w:val="0"/>
      <w:marTop w:val="0"/>
      <w:marBottom w:val="0"/>
      <w:divBdr>
        <w:top w:val="none" w:sz="0" w:space="0" w:color="auto"/>
        <w:left w:val="none" w:sz="0" w:space="0" w:color="auto"/>
        <w:bottom w:val="none" w:sz="0" w:space="0" w:color="auto"/>
        <w:right w:val="none" w:sz="0" w:space="0" w:color="auto"/>
      </w:divBdr>
    </w:div>
    <w:div w:id="110326984">
      <w:bodyDiv w:val="1"/>
      <w:marLeft w:val="0"/>
      <w:marRight w:val="0"/>
      <w:marTop w:val="0"/>
      <w:marBottom w:val="0"/>
      <w:divBdr>
        <w:top w:val="none" w:sz="0" w:space="0" w:color="auto"/>
        <w:left w:val="none" w:sz="0" w:space="0" w:color="auto"/>
        <w:bottom w:val="none" w:sz="0" w:space="0" w:color="auto"/>
        <w:right w:val="none" w:sz="0" w:space="0" w:color="auto"/>
      </w:divBdr>
    </w:div>
    <w:div w:id="129203174">
      <w:bodyDiv w:val="1"/>
      <w:marLeft w:val="0"/>
      <w:marRight w:val="0"/>
      <w:marTop w:val="0"/>
      <w:marBottom w:val="0"/>
      <w:divBdr>
        <w:top w:val="none" w:sz="0" w:space="0" w:color="auto"/>
        <w:left w:val="none" w:sz="0" w:space="0" w:color="auto"/>
        <w:bottom w:val="none" w:sz="0" w:space="0" w:color="auto"/>
        <w:right w:val="none" w:sz="0" w:space="0" w:color="auto"/>
      </w:divBdr>
    </w:div>
    <w:div w:id="138151111">
      <w:bodyDiv w:val="1"/>
      <w:marLeft w:val="0"/>
      <w:marRight w:val="0"/>
      <w:marTop w:val="0"/>
      <w:marBottom w:val="0"/>
      <w:divBdr>
        <w:top w:val="none" w:sz="0" w:space="0" w:color="auto"/>
        <w:left w:val="none" w:sz="0" w:space="0" w:color="auto"/>
        <w:bottom w:val="none" w:sz="0" w:space="0" w:color="auto"/>
        <w:right w:val="none" w:sz="0" w:space="0" w:color="auto"/>
      </w:divBdr>
    </w:div>
    <w:div w:id="141578231">
      <w:bodyDiv w:val="1"/>
      <w:marLeft w:val="0"/>
      <w:marRight w:val="0"/>
      <w:marTop w:val="0"/>
      <w:marBottom w:val="0"/>
      <w:divBdr>
        <w:top w:val="none" w:sz="0" w:space="0" w:color="auto"/>
        <w:left w:val="none" w:sz="0" w:space="0" w:color="auto"/>
        <w:bottom w:val="none" w:sz="0" w:space="0" w:color="auto"/>
        <w:right w:val="none" w:sz="0" w:space="0" w:color="auto"/>
      </w:divBdr>
    </w:div>
    <w:div w:id="144204877">
      <w:bodyDiv w:val="1"/>
      <w:marLeft w:val="0"/>
      <w:marRight w:val="0"/>
      <w:marTop w:val="0"/>
      <w:marBottom w:val="0"/>
      <w:divBdr>
        <w:top w:val="none" w:sz="0" w:space="0" w:color="auto"/>
        <w:left w:val="none" w:sz="0" w:space="0" w:color="auto"/>
        <w:bottom w:val="none" w:sz="0" w:space="0" w:color="auto"/>
        <w:right w:val="none" w:sz="0" w:space="0" w:color="auto"/>
      </w:divBdr>
    </w:div>
    <w:div w:id="145779970">
      <w:bodyDiv w:val="1"/>
      <w:marLeft w:val="0"/>
      <w:marRight w:val="0"/>
      <w:marTop w:val="0"/>
      <w:marBottom w:val="0"/>
      <w:divBdr>
        <w:top w:val="none" w:sz="0" w:space="0" w:color="auto"/>
        <w:left w:val="none" w:sz="0" w:space="0" w:color="auto"/>
        <w:bottom w:val="none" w:sz="0" w:space="0" w:color="auto"/>
        <w:right w:val="none" w:sz="0" w:space="0" w:color="auto"/>
      </w:divBdr>
    </w:div>
    <w:div w:id="149097227">
      <w:bodyDiv w:val="1"/>
      <w:marLeft w:val="0"/>
      <w:marRight w:val="0"/>
      <w:marTop w:val="0"/>
      <w:marBottom w:val="0"/>
      <w:divBdr>
        <w:top w:val="none" w:sz="0" w:space="0" w:color="auto"/>
        <w:left w:val="none" w:sz="0" w:space="0" w:color="auto"/>
        <w:bottom w:val="none" w:sz="0" w:space="0" w:color="auto"/>
        <w:right w:val="none" w:sz="0" w:space="0" w:color="auto"/>
      </w:divBdr>
    </w:div>
    <w:div w:id="170217169">
      <w:bodyDiv w:val="1"/>
      <w:marLeft w:val="0"/>
      <w:marRight w:val="0"/>
      <w:marTop w:val="0"/>
      <w:marBottom w:val="0"/>
      <w:divBdr>
        <w:top w:val="none" w:sz="0" w:space="0" w:color="auto"/>
        <w:left w:val="none" w:sz="0" w:space="0" w:color="auto"/>
        <w:bottom w:val="none" w:sz="0" w:space="0" w:color="auto"/>
        <w:right w:val="none" w:sz="0" w:space="0" w:color="auto"/>
      </w:divBdr>
    </w:div>
    <w:div w:id="171183019">
      <w:bodyDiv w:val="1"/>
      <w:marLeft w:val="0"/>
      <w:marRight w:val="0"/>
      <w:marTop w:val="0"/>
      <w:marBottom w:val="0"/>
      <w:divBdr>
        <w:top w:val="none" w:sz="0" w:space="0" w:color="auto"/>
        <w:left w:val="none" w:sz="0" w:space="0" w:color="auto"/>
        <w:bottom w:val="none" w:sz="0" w:space="0" w:color="auto"/>
        <w:right w:val="none" w:sz="0" w:space="0" w:color="auto"/>
      </w:divBdr>
    </w:div>
    <w:div w:id="174535627">
      <w:bodyDiv w:val="1"/>
      <w:marLeft w:val="0"/>
      <w:marRight w:val="0"/>
      <w:marTop w:val="0"/>
      <w:marBottom w:val="0"/>
      <w:divBdr>
        <w:top w:val="none" w:sz="0" w:space="0" w:color="auto"/>
        <w:left w:val="none" w:sz="0" w:space="0" w:color="auto"/>
        <w:bottom w:val="none" w:sz="0" w:space="0" w:color="auto"/>
        <w:right w:val="none" w:sz="0" w:space="0" w:color="auto"/>
      </w:divBdr>
    </w:div>
    <w:div w:id="177013797">
      <w:bodyDiv w:val="1"/>
      <w:marLeft w:val="0"/>
      <w:marRight w:val="0"/>
      <w:marTop w:val="0"/>
      <w:marBottom w:val="0"/>
      <w:divBdr>
        <w:top w:val="none" w:sz="0" w:space="0" w:color="auto"/>
        <w:left w:val="none" w:sz="0" w:space="0" w:color="auto"/>
        <w:bottom w:val="none" w:sz="0" w:space="0" w:color="auto"/>
        <w:right w:val="none" w:sz="0" w:space="0" w:color="auto"/>
      </w:divBdr>
    </w:div>
    <w:div w:id="183324215">
      <w:bodyDiv w:val="1"/>
      <w:marLeft w:val="0"/>
      <w:marRight w:val="0"/>
      <w:marTop w:val="0"/>
      <w:marBottom w:val="0"/>
      <w:divBdr>
        <w:top w:val="none" w:sz="0" w:space="0" w:color="auto"/>
        <w:left w:val="none" w:sz="0" w:space="0" w:color="auto"/>
        <w:bottom w:val="none" w:sz="0" w:space="0" w:color="auto"/>
        <w:right w:val="none" w:sz="0" w:space="0" w:color="auto"/>
      </w:divBdr>
    </w:div>
    <w:div w:id="193077081">
      <w:bodyDiv w:val="1"/>
      <w:marLeft w:val="0"/>
      <w:marRight w:val="0"/>
      <w:marTop w:val="0"/>
      <w:marBottom w:val="0"/>
      <w:divBdr>
        <w:top w:val="none" w:sz="0" w:space="0" w:color="auto"/>
        <w:left w:val="none" w:sz="0" w:space="0" w:color="auto"/>
        <w:bottom w:val="none" w:sz="0" w:space="0" w:color="auto"/>
        <w:right w:val="none" w:sz="0" w:space="0" w:color="auto"/>
      </w:divBdr>
    </w:div>
    <w:div w:id="197403017">
      <w:bodyDiv w:val="1"/>
      <w:marLeft w:val="0"/>
      <w:marRight w:val="0"/>
      <w:marTop w:val="0"/>
      <w:marBottom w:val="0"/>
      <w:divBdr>
        <w:top w:val="none" w:sz="0" w:space="0" w:color="auto"/>
        <w:left w:val="none" w:sz="0" w:space="0" w:color="auto"/>
        <w:bottom w:val="none" w:sz="0" w:space="0" w:color="auto"/>
        <w:right w:val="none" w:sz="0" w:space="0" w:color="auto"/>
      </w:divBdr>
    </w:div>
    <w:div w:id="203565357">
      <w:bodyDiv w:val="1"/>
      <w:marLeft w:val="0"/>
      <w:marRight w:val="0"/>
      <w:marTop w:val="0"/>
      <w:marBottom w:val="0"/>
      <w:divBdr>
        <w:top w:val="none" w:sz="0" w:space="0" w:color="auto"/>
        <w:left w:val="none" w:sz="0" w:space="0" w:color="auto"/>
        <w:bottom w:val="none" w:sz="0" w:space="0" w:color="auto"/>
        <w:right w:val="none" w:sz="0" w:space="0" w:color="auto"/>
      </w:divBdr>
    </w:div>
    <w:div w:id="217743070">
      <w:bodyDiv w:val="1"/>
      <w:marLeft w:val="0"/>
      <w:marRight w:val="0"/>
      <w:marTop w:val="0"/>
      <w:marBottom w:val="0"/>
      <w:divBdr>
        <w:top w:val="none" w:sz="0" w:space="0" w:color="auto"/>
        <w:left w:val="none" w:sz="0" w:space="0" w:color="auto"/>
        <w:bottom w:val="none" w:sz="0" w:space="0" w:color="auto"/>
        <w:right w:val="none" w:sz="0" w:space="0" w:color="auto"/>
      </w:divBdr>
    </w:div>
    <w:div w:id="218057435">
      <w:bodyDiv w:val="1"/>
      <w:marLeft w:val="0"/>
      <w:marRight w:val="0"/>
      <w:marTop w:val="0"/>
      <w:marBottom w:val="0"/>
      <w:divBdr>
        <w:top w:val="none" w:sz="0" w:space="0" w:color="auto"/>
        <w:left w:val="none" w:sz="0" w:space="0" w:color="auto"/>
        <w:bottom w:val="none" w:sz="0" w:space="0" w:color="auto"/>
        <w:right w:val="none" w:sz="0" w:space="0" w:color="auto"/>
      </w:divBdr>
    </w:div>
    <w:div w:id="219707477">
      <w:bodyDiv w:val="1"/>
      <w:marLeft w:val="0"/>
      <w:marRight w:val="0"/>
      <w:marTop w:val="0"/>
      <w:marBottom w:val="0"/>
      <w:divBdr>
        <w:top w:val="none" w:sz="0" w:space="0" w:color="auto"/>
        <w:left w:val="none" w:sz="0" w:space="0" w:color="auto"/>
        <w:bottom w:val="none" w:sz="0" w:space="0" w:color="auto"/>
        <w:right w:val="none" w:sz="0" w:space="0" w:color="auto"/>
      </w:divBdr>
      <w:divsChild>
        <w:div w:id="1226797114">
          <w:marLeft w:val="446"/>
          <w:marRight w:val="0"/>
          <w:marTop w:val="0"/>
          <w:marBottom w:val="0"/>
          <w:divBdr>
            <w:top w:val="none" w:sz="0" w:space="0" w:color="auto"/>
            <w:left w:val="none" w:sz="0" w:space="0" w:color="auto"/>
            <w:bottom w:val="none" w:sz="0" w:space="0" w:color="auto"/>
            <w:right w:val="none" w:sz="0" w:space="0" w:color="auto"/>
          </w:divBdr>
        </w:div>
        <w:div w:id="1218584735">
          <w:marLeft w:val="446"/>
          <w:marRight w:val="0"/>
          <w:marTop w:val="0"/>
          <w:marBottom w:val="0"/>
          <w:divBdr>
            <w:top w:val="none" w:sz="0" w:space="0" w:color="auto"/>
            <w:left w:val="none" w:sz="0" w:space="0" w:color="auto"/>
            <w:bottom w:val="none" w:sz="0" w:space="0" w:color="auto"/>
            <w:right w:val="none" w:sz="0" w:space="0" w:color="auto"/>
          </w:divBdr>
        </w:div>
      </w:divsChild>
    </w:div>
    <w:div w:id="222375310">
      <w:bodyDiv w:val="1"/>
      <w:marLeft w:val="0"/>
      <w:marRight w:val="0"/>
      <w:marTop w:val="0"/>
      <w:marBottom w:val="0"/>
      <w:divBdr>
        <w:top w:val="none" w:sz="0" w:space="0" w:color="auto"/>
        <w:left w:val="none" w:sz="0" w:space="0" w:color="auto"/>
        <w:bottom w:val="none" w:sz="0" w:space="0" w:color="auto"/>
        <w:right w:val="none" w:sz="0" w:space="0" w:color="auto"/>
      </w:divBdr>
    </w:div>
    <w:div w:id="222451935">
      <w:bodyDiv w:val="1"/>
      <w:marLeft w:val="0"/>
      <w:marRight w:val="0"/>
      <w:marTop w:val="0"/>
      <w:marBottom w:val="0"/>
      <w:divBdr>
        <w:top w:val="none" w:sz="0" w:space="0" w:color="auto"/>
        <w:left w:val="none" w:sz="0" w:space="0" w:color="auto"/>
        <w:bottom w:val="none" w:sz="0" w:space="0" w:color="auto"/>
        <w:right w:val="none" w:sz="0" w:space="0" w:color="auto"/>
      </w:divBdr>
    </w:div>
    <w:div w:id="223491381">
      <w:bodyDiv w:val="1"/>
      <w:marLeft w:val="0"/>
      <w:marRight w:val="0"/>
      <w:marTop w:val="0"/>
      <w:marBottom w:val="0"/>
      <w:divBdr>
        <w:top w:val="none" w:sz="0" w:space="0" w:color="auto"/>
        <w:left w:val="none" w:sz="0" w:space="0" w:color="auto"/>
        <w:bottom w:val="none" w:sz="0" w:space="0" w:color="auto"/>
        <w:right w:val="none" w:sz="0" w:space="0" w:color="auto"/>
      </w:divBdr>
    </w:div>
    <w:div w:id="233274282">
      <w:bodyDiv w:val="1"/>
      <w:marLeft w:val="0"/>
      <w:marRight w:val="0"/>
      <w:marTop w:val="0"/>
      <w:marBottom w:val="0"/>
      <w:divBdr>
        <w:top w:val="none" w:sz="0" w:space="0" w:color="auto"/>
        <w:left w:val="none" w:sz="0" w:space="0" w:color="auto"/>
        <w:bottom w:val="none" w:sz="0" w:space="0" w:color="auto"/>
        <w:right w:val="none" w:sz="0" w:space="0" w:color="auto"/>
      </w:divBdr>
    </w:div>
    <w:div w:id="236521437">
      <w:bodyDiv w:val="1"/>
      <w:marLeft w:val="0"/>
      <w:marRight w:val="0"/>
      <w:marTop w:val="0"/>
      <w:marBottom w:val="0"/>
      <w:divBdr>
        <w:top w:val="none" w:sz="0" w:space="0" w:color="auto"/>
        <w:left w:val="none" w:sz="0" w:space="0" w:color="auto"/>
        <w:bottom w:val="none" w:sz="0" w:space="0" w:color="auto"/>
        <w:right w:val="none" w:sz="0" w:space="0" w:color="auto"/>
      </w:divBdr>
    </w:div>
    <w:div w:id="247689453">
      <w:bodyDiv w:val="1"/>
      <w:marLeft w:val="0"/>
      <w:marRight w:val="0"/>
      <w:marTop w:val="0"/>
      <w:marBottom w:val="0"/>
      <w:divBdr>
        <w:top w:val="none" w:sz="0" w:space="0" w:color="auto"/>
        <w:left w:val="none" w:sz="0" w:space="0" w:color="auto"/>
        <w:bottom w:val="none" w:sz="0" w:space="0" w:color="auto"/>
        <w:right w:val="none" w:sz="0" w:space="0" w:color="auto"/>
      </w:divBdr>
    </w:div>
    <w:div w:id="248151784">
      <w:bodyDiv w:val="1"/>
      <w:marLeft w:val="0"/>
      <w:marRight w:val="0"/>
      <w:marTop w:val="0"/>
      <w:marBottom w:val="0"/>
      <w:divBdr>
        <w:top w:val="none" w:sz="0" w:space="0" w:color="auto"/>
        <w:left w:val="none" w:sz="0" w:space="0" w:color="auto"/>
        <w:bottom w:val="none" w:sz="0" w:space="0" w:color="auto"/>
        <w:right w:val="none" w:sz="0" w:space="0" w:color="auto"/>
      </w:divBdr>
    </w:div>
    <w:div w:id="259222998">
      <w:bodyDiv w:val="1"/>
      <w:marLeft w:val="0"/>
      <w:marRight w:val="0"/>
      <w:marTop w:val="0"/>
      <w:marBottom w:val="0"/>
      <w:divBdr>
        <w:top w:val="none" w:sz="0" w:space="0" w:color="auto"/>
        <w:left w:val="none" w:sz="0" w:space="0" w:color="auto"/>
        <w:bottom w:val="none" w:sz="0" w:space="0" w:color="auto"/>
        <w:right w:val="none" w:sz="0" w:space="0" w:color="auto"/>
      </w:divBdr>
    </w:div>
    <w:div w:id="261955852">
      <w:bodyDiv w:val="1"/>
      <w:marLeft w:val="0"/>
      <w:marRight w:val="0"/>
      <w:marTop w:val="0"/>
      <w:marBottom w:val="0"/>
      <w:divBdr>
        <w:top w:val="none" w:sz="0" w:space="0" w:color="auto"/>
        <w:left w:val="none" w:sz="0" w:space="0" w:color="auto"/>
        <w:bottom w:val="none" w:sz="0" w:space="0" w:color="auto"/>
        <w:right w:val="none" w:sz="0" w:space="0" w:color="auto"/>
      </w:divBdr>
    </w:div>
    <w:div w:id="269287667">
      <w:bodyDiv w:val="1"/>
      <w:marLeft w:val="0"/>
      <w:marRight w:val="0"/>
      <w:marTop w:val="0"/>
      <w:marBottom w:val="0"/>
      <w:divBdr>
        <w:top w:val="none" w:sz="0" w:space="0" w:color="auto"/>
        <w:left w:val="none" w:sz="0" w:space="0" w:color="auto"/>
        <w:bottom w:val="none" w:sz="0" w:space="0" w:color="auto"/>
        <w:right w:val="none" w:sz="0" w:space="0" w:color="auto"/>
      </w:divBdr>
    </w:div>
    <w:div w:id="276527857">
      <w:bodyDiv w:val="1"/>
      <w:marLeft w:val="0"/>
      <w:marRight w:val="0"/>
      <w:marTop w:val="0"/>
      <w:marBottom w:val="0"/>
      <w:divBdr>
        <w:top w:val="none" w:sz="0" w:space="0" w:color="auto"/>
        <w:left w:val="none" w:sz="0" w:space="0" w:color="auto"/>
        <w:bottom w:val="none" w:sz="0" w:space="0" w:color="auto"/>
        <w:right w:val="none" w:sz="0" w:space="0" w:color="auto"/>
      </w:divBdr>
    </w:div>
    <w:div w:id="299265708">
      <w:bodyDiv w:val="1"/>
      <w:marLeft w:val="0"/>
      <w:marRight w:val="0"/>
      <w:marTop w:val="0"/>
      <w:marBottom w:val="0"/>
      <w:divBdr>
        <w:top w:val="none" w:sz="0" w:space="0" w:color="auto"/>
        <w:left w:val="none" w:sz="0" w:space="0" w:color="auto"/>
        <w:bottom w:val="none" w:sz="0" w:space="0" w:color="auto"/>
        <w:right w:val="none" w:sz="0" w:space="0" w:color="auto"/>
      </w:divBdr>
    </w:div>
    <w:div w:id="306934135">
      <w:bodyDiv w:val="1"/>
      <w:marLeft w:val="0"/>
      <w:marRight w:val="0"/>
      <w:marTop w:val="0"/>
      <w:marBottom w:val="0"/>
      <w:divBdr>
        <w:top w:val="none" w:sz="0" w:space="0" w:color="auto"/>
        <w:left w:val="none" w:sz="0" w:space="0" w:color="auto"/>
        <w:bottom w:val="none" w:sz="0" w:space="0" w:color="auto"/>
        <w:right w:val="none" w:sz="0" w:space="0" w:color="auto"/>
      </w:divBdr>
    </w:div>
    <w:div w:id="315113224">
      <w:bodyDiv w:val="1"/>
      <w:marLeft w:val="0"/>
      <w:marRight w:val="0"/>
      <w:marTop w:val="0"/>
      <w:marBottom w:val="0"/>
      <w:divBdr>
        <w:top w:val="none" w:sz="0" w:space="0" w:color="auto"/>
        <w:left w:val="none" w:sz="0" w:space="0" w:color="auto"/>
        <w:bottom w:val="none" w:sz="0" w:space="0" w:color="auto"/>
        <w:right w:val="none" w:sz="0" w:space="0" w:color="auto"/>
      </w:divBdr>
    </w:div>
    <w:div w:id="316959825">
      <w:bodyDiv w:val="1"/>
      <w:marLeft w:val="0"/>
      <w:marRight w:val="0"/>
      <w:marTop w:val="0"/>
      <w:marBottom w:val="0"/>
      <w:divBdr>
        <w:top w:val="none" w:sz="0" w:space="0" w:color="auto"/>
        <w:left w:val="none" w:sz="0" w:space="0" w:color="auto"/>
        <w:bottom w:val="none" w:sz="0" w:space="0" w:color="auto"/>
        <w:right w:val="none" w:sz="0" w:space="0" w:color="auto"/>
      </w:divBdr>
    </w:div>
    <w:div w:id="325593144">
      <w:bodyDiv w:val="1"/>
      <w:marLeft w:val="0"/>
      <w:marRight w:val="0"/>
      <w:marTop w:val="0"/>
      <w:marBottom w:val="0"/>
      <w:divBdr>
        <w:top w:val="none" w:sz="0" w:space="0" w:color="auto"/>
        <w:left w:val="none" w:sz="0" w:space="0" w:color="auto"/>
        <w:bottom w:val="none" w:sz="0" w:space="0" w:color="auto"/>
        <w:right w:val="none" w:sz="0" w:space="0" w:color="auto"/>
      </w:divBdr>
    </w:div>
    <w:div w:id="338459925">
      <w:bodyDiv w:val="1"/>
      <w:marLeft w:val="0"/>
      <w:marRight w:val="0"/>
      <w:marTop w:val="0"/>
      <w:marBottom w:val="0"/>
      <w:divBdr>
        <w:top w:val="none" w:sz="0" w:space="0" w:color="auto"/>
        <w:left w:val="none" w:sz="0" w:space="0" w:color="auto"/>
        <w:bottom w:val="none" w:sz="0" w:space="0" w:color="auto"/>
        <w:right w:val="none" w:sz="0" w:space="0" w:color="auto"/>
      </w:divBdr>
    </w:div>
    <w:div w:id="339621559">
      <w:bodyDiv w:val="1"/>
      <w:marLeft w:val="0"/>
      <w:marRight w:val="0"/>
      <w:marTop w:val="0"/>
      <w:marBottom w:val="0"/>
      <w:divBdr>
        <w:top w:val="none" w:sz="0" w:space="0" w:color="auto"/>
        <w:left w:val="none" w:sz="0" w:space="0" w:color="auto"/>
        <w:bottom w:val="none" w:sz="0" w:space="0" w:color="auto"/>
        <w:right w:val="none" w:sz="0" w:space="0" w:color="auto"/>
      </w:divBdr>
    </w:div>
    <w:div w:id="348602351">
      <w:bodyDiv w:val="1"/>
      <w:marLeft w:val="0"/>
      <w:marRight w:val="0"/>
      <w:marTop w:val="0"/>
      <w:marBottom w:val="0"/>
      <w:divBdr>
        <w:top w:val="none" w:sz="0" w:space="0" w:color="auto"/>
        <w:left w:val="none" w:sz="0" w:space="0" w:color="auto"/>
        <w:bottom w:val="none" w:sz="0" w:space="0" w:color="auto"/>
        <w:right w:val="none" w:sz="0" w:space="0" w:color="auto"/>
      </w:divBdr>
    </w:div>
    <w:div w:id="353265717">
      <w:bodyDiv w:val="1"/>
      <w:marLeft w:val="0"/>
      <w:marRight w:val="0"/>
      <w:marTop w:val="0"/>
      <w:marBottom w:val="0"/>
      <w:divBdr>
        <w:top w:val="none" w:sz="0" w:space="0" w:color="auto"/>
        <w:left w:val="none" w:sz="0" w:space="0" w:color="auto"/>
        <w:bottom w:val="none" w:sz="0" w:space="0" w:color="auto"/>
        <w:right w:val="none" w:sz="0" w:space="0" w:color="auto"/>
      </w:divBdr>
    </w:div>
    <w:div w:id="368994135">
      <w:bodyDiv w:val="1"/>
      <w:marLeft w:val="0"/>
      <w:marRight w:val="0"/>
      <w:marTop w:val="0"/>
      <w:marBottom w:val="0"/>
      <w:divBdr>
        <w:top w:val="none" w:sz="0" w:space="0" w:color="auto"/>
        <w:left w:val="none" w:sz="0" w:space="0" w:color="auto"/>
        <w:bottom w:val="none" w:sz="0" w:space="0" w:color="auto"/>
        <w:right w:val="none" w:sz="0" w:space="0" w:color="auto"/>
      </w:divBdr>
    </w:div>
    <w:div w:id="386801642">
      <w:bodyDiv w:val="1"/>
      <w:marLeft w:val="0"/>
      <w:marRight w:val="0"/>
      <w:marTop w:val="0"/>
      <w:marBottom w:val="0"/>
      <w:divBdr>
        <w:top w:val="none" w:sz="0" w:space="0" w:color="auto"/>
        <w:left w:val="none" w:sz="0" w:space="0" w:color="auto"/>
        <w:bottom w:val="none" w:sz="0" w:space="0" w:color="auto"/>
        <w:right w:val="none" w:sz="0" w:space="0" w:color="auto"/>
      </w:divBdr>
    </w:div>
    <w:div w:id="388192033">
      <w:bodyDiv w:val="1"/>
      <w:marLeft w:val="0"/>
      <w:marRight w:val="0"/>
      <w:marTop w:val="0"/>
      <w:marBottom w:val="0"/>
      <w:divBdr>
        <w:top w:val="none" w:sz="0" w:space="0" w:color="auto"/>
        <w:left w:val="none" w:sz="0" w:space="0" w:color="auto"/>
        <w:bottom w:val="none" w:sz="0" w:space="0" w:color="auto"/>
        <w:right w:val="none" w:sz="0" w:space="0" w:color="auto"/>
      </w:divBdr>
    </w:div>
    <w:div w:id="393508241">
      <w:bodyDiv w:val="1"/>
      <w:marLeft w:val="0"/>
      <w:marRight w:val="0"/>
      <w:marTop w:val="0"/>
      <w:marBottom w:val="0"/>
      <w:divBdr>
        <w:top w:val="none" w:sz="0" w:space="0" w:color="auto"/>
        <w:left w:val="none" w:sz="0" w:space="0" w:color="auto"/>
        <w:bottom w:val="none" w:sz="0" w:space="0" w:color="auto"/>
        <w:right w:val="none" w:sz="0" w:space="0" w:color="auto"/>
      </w:divBdr>
    </w:div>
    <w:div w:id="394163375">
      <w:bodyDiv w:val="1"/>
      <w:marLeft w:val="0"/>
      <w:marRight w:val="0"/>
      <w:marTop w:val="0"/>
      <w:marBottom w:val="0"/>
      <w:divBdr>
        <w:top w:val="none" w:sz="0" w:space="0" w:color="auto"/>
        <w:left w:val="none" w:sz="0" w:space="0" w:color="auto"/>
        <w:bottom w:val="none" w:sz="0" w:space="0" w:color="auto"/>
        <w:right w:val="none" w:sz="0" w:space="0" w:color="auto"/>
      </w:divBdr>
    </w:div>
    <w:div w:id="409273470">
      <w:bodyDiv w:val="1"/>
      <w:marLeft w:val="0"/>
      <w:marRight w:val="0"/>
      <w:marTop w:val="0"/>
      <w:marBottom w:val="0"/>
      <w:divBdr>
        <w:top w:val="none" w:sz="0" w:space="0" w:color="auto"/>
        <w:left w:val="none" w:sz="0" w:space="0" w:color="auto"/>
        <w:bottom w:val="none" w:sz="0" w:space="0" w:color="auto"/>
        <w:right w:val="none" w:sz="0" w:space="0" w:color="auto"/>
      </w:divBdr>
    </w:div>
    <w:div w:id="409424578">
      <w:bodyDiv w:val="1"/>
      <w:marLeft w:val="0"/>
      <w:marRight w:val="0"/>
      <w:marTop w:val="0"/>
      <w:marBottom w:val="0"/>
      <w:divBdr>
        <w:top w:val="none" w:sz="0" w:space="0" w:color="auto"/>
        <w:left w:val="none" w:sz="0" w:space="0" w:color="auto"/>
        <w:bottom w:val="none" w:sz="0" w:space="0" w:color="auto"/>
        <w:right w:val="none" w:sz="0" w:space="0" w:color="auto"/>
      </w:divBdr>
    </w:div>
    <w:div w:id="424309034">
      <w:bodyDiv w:val="1"/>
      <w:marLeft w:val="0"/>
      <w:marRight w:val="0"/>
      <w:marTop w:val="0"/>
      <w:marBottom w:val="0"/>
      <w:divBdr>
        <w:top w:val="none" w:sz="0" w:space="0" w:color="auto"/>
        <w:left w:val="none" w:sz="0" w:space="0" w:color="auto"/>
        <w:bottom w:val="none" w:sz="0" w:space="0" w:color="auto"/>
        <w:right w:val="none" w:sz="0" w:space="0" w:color="auto"/>
      </w:divBdr>
    </w:div>
    <w:div w:id="440760507">
      <w:bodyDiv w:val="1"/>
      <w:marLeft w:val="0"/>
      <w:marRight w:val="0"/>
      <w:marTop w:val="0"/>
      <w:marBottom w:val="0"/>
      <w:divBdr>
        <w:top w:val="none" w:sz="0" w:space="0" w:color="auto"/>
        <w:left w:val="none" w:sz="0" w:space="0" w:color="auto"/>
        <w:bottom w:val="none" w:sz="0" w:space="0" w:color="auto"/>
        <w:right w:val="none" w:sz="0" w:space="0" w:color="auto"/>
      </w:divBdr>
    </w:div>
    <w:div w:id="452748127">
      <w:bodyDiv w:val="1"/>
      <w:marLeft w:val="0"/>
      <w:marRight w:val="0"/>
      <w:marTop w:val="0"/>
      <w:marBottom w:val="0"/>
      <w:divBdr>
        <w:top w:val="none" w:sz="0" w:space="0" w:color="auto"/>
        <w:left w:val="none" w:sz="0" w:space="0" w:color="auto"/>
        <w:bottom w:val="none" w:sz="0" w:space="0" w:color="auto"/>
        <w:right w:val="none" w:sz="0" w:space="0" w:color="auto"/>
      </w:divBdr>
    </w:div>
    <w:div w:id="462620022">
      <w:bodyDiv w:val="1"/>
      <w:marLeft w:val="0"/>
      <w:marRight w:val="0"/>
      <w:marTop w:val="0"/>
      <w:marBottom w:val="0"/>
      <w:divBdr>
        <w:top w:val="none" w:sz="0" w:space="0" w:color="auto"/>
        <w:left w:val="none" w:sz="0" w:space="0" w:color="auto"/>
        <w:bottom w:val="none" w:sz="0" w:space="0" w:color="auto"/>
        <w:right w:val="none" w:sz="0" w:space="0" w:color="auto"/>
      </w:divBdr>
    </w:div>
    <w:div w:id="472063878">
      <w:bodyDiv w:val="1"/>
      <w:marLeft w:val="0"/>
      <w:marRight w:val="0"/>
      <w:marTop w:val="0"/>
      <w:marBottom w:val="0"/>
      <w:divBdr>
        <w:top w:val="none" w:sz="0" w:space="0" w:color="auto"/>
        <w:left w:val="none" w:sz="0" w:space="0" w:color="auto"/>
        <w:bottom w:val="none" w:sz="0" w:space="0" w:color="auto"/>
        <w:right w:val="none" w:sz="0" w:space="0" w:color="auto"/>
      </w:divBdr>
    </w:div>
    <w:div w:id="495464738">
      <w:bodyDiv w:val="1"/>
      <w:marLeft w:val="0"/>
      <w:marRight w:val="0"/>
      <w:marTop w:val="0"/>
      <w:marBottom w:val="0"/>
      <w:divBdr>
        <w:top w:val="none" w:sz="0" w:space="0" w:color="auto"/>
        <w:left w:val="none" w:sz="0" w:space="0" w:color="auto"/>
        <w:bottom w:val="none" w:sz="0" w:space="0" w:color="auto"/>
        <w:right w:val="none" w:sz="0" w:space="0" w:color="auto"/>
      </w:divBdr>
    </w:div>
    <w:div w:id="502744800">
      <w:bodyDiv w:val="1"/>
      <w:marLeft w:val="0"/>
      <w:marRight w:val="0"/>
      <w:marTop w:val="0"/>
      <w:marBottom w:val="0"/>
      <w:divBdr>
        <w:top w:val="none" w:sz="0" w:space="0" w:color="auto"/>
        <w:left w:val="none" w:sz="0" w:space="0" w:color="auto"/>
        <w:bottom w:val="none" w:sz="0" w:space="0" w:color="auto"/>
        <w:right w:val="none" w:sz="0" w:space="0" w:color="auto"/>
      </w:divBdr>
    </w:div>
    <w:div w:id="521867757">
      <w:bodyDiv w:val="1"/>
      <w:marLeft w:val="0"/>
      <w:marRight w:val="0"/>
      <w:marTop w:val="0"/>
      <w:marBottom w:val="0"/>
      <w:divBdr>
        <w:top w:val="none" w:sz="0" w:space="0" w:color="auto"/>
        <w:left w:val="none" w:sz="0" w:space="0" w:color="auto"/>
        <w:bottom w:val="none" w:sz="0" w:space="0" w:color="auto"/>
        <w:right w:val="none" w:sz="0" w:space="0" w:color="auto"/>
      </w:divBdr>
    </w:div>
    <w:div w:id="532765430">
      <w:bodyDiv w:val="1"/>
      <w:marLeft w:val="0"/>
      <w:marRight w:val="0"/>
      <w:marTop w:val="0"/>
      <w:marBottom w:val="0"/>
      <w:divBdr>
        <w:top w:val="none" w:sz="0" w:space="0" w:color="auto"/>
        <w:left w:val="none" w:sz="0" w:space="0" w:color="auto"/>
        <w:bottom w:val="none" w:sz="0" w:space="0" w:color="auto"/>
        <w:right w:val="none" w:sz="0" w:space="0" w:color="auto"/>
      </w:divBdr>
    </w:div>
    <w:div w:id="551892015">
      <w:bodyDiv w:val="1"/>
      <w:marLeft w:val="0"/>
      <w:marRight w:val="0"/>
      <w:marTop w:val="0"/>
      <w:marBottom w:val="0"/>
      <w:divBdr>
        <w:top w:val="none" w:sz="0" w:space="0" w:color="auto"/>
        <w:left w:val="none" w:sz="0" w:space="0" w:color="auto"/>
        <w:bottom w:val="none" w:sz="0" w:space="0" w:color="auto"/>
        <w:right w:val="none" w:sz="0" w:space="0" w:color="auto"/>
      </w:divBdr>
    </w:div>
    <w:div w:id="552156090">
      <w:bodyDiv w:val="1"/>
      <w:marLeft w:val="0"/>
      <w:marRight w:val="0"/>
      <w:marTop w:val="0"/>
      <w:marBottom w:val="0"/>
      <w:divBdr>
        <w:top w:val="none" w:sz="0" w:space="0" w:color="auto"/>
        <w:left w:val="none" w:sz="0" w:space="0" w:color="auto"/>
        <w:bottom w:val="none" w:sz="0" w:space="0" w:color="auto"/>
        <w:right w:val="none" w:sz="0" w:space="0" w:color="auto"/>
      </w:divBdr>
    </w:div>
    <w:div w:id="556167868">
      <w:bodyDiv w:val="1"/>
      <w:marLeft w:val="0"/>
      <w:marRight w:val="0"/>
      <w:marTop w:val="0"/>
      <w:marBottom w:val="0"/>
      <w:divBdr>
        <w:top w:val="none" w:sz="0" w:space="0" w:color="auto"/>
        <w:left w:val="none" w:sz="0" w:space="0" w:color="auto"/>
        <w:bottom w:val="none" w:sz="0" w:space="0" w:color="auto"/>
        <w:right w:val="none" w:sz="0" w:space="0" w:color="auto"/>
      </w:divBdr>
    </w:div>
    <w:div w:id="560680295">
      <w:bodyDiv w:val="1"/>
      <w:marLeft w:val="0"/>
      <w:marRight w:val="0"/>
      <w:marTop w:val="0"/>
      <w:marBottom w:val="0"/>
      <w:divBdr>
        <w:top w:val="none" w:sz="0" w:space="0" w:color="auto"/>
        <w:left w:val="none" w:sz="0" w:space="0" w:color="auto"/>
        <w:bottom w:val="none" w:sz="0" w:space="0" w:color="auto"/>
        <w:right w:val="none" w:sz="0" w:space="0" w:color="auto"/>
      </w:divBdr>
    </w:div>
    <w:div w:id="562524667">
      <w:bodyDiv w:val="1"/>
      <w:marLeft w:val="0"/>
      <w:marRight w:val="0"/>
      <w:marTop w:val="0"/>
      <w:marBottom w:val="0"/>
      <w:divBdr>
        <w:top w:val="none" w:sz="0" w:space="0" w:color="auto"/>
        <w:left w:val="none" w:sz="0" w:space="0" w:color="auto"/>
        <w:bottom w:val="none" w:sz="0" w:space="0" w:color="auto"/>
        <w:right w:val="none" w:sz="0" w:space="0" w:color="auto"/>
      </w:divBdr>
    </w:div>
    <w:div w:id="570698668">
      <w:bodyDiv w:val="1"/>
      <w:marLeft w:val="0"/>
      <w:marRight w:val="0"/>
      <w:marTop w:val="0"/>
      <w:marBottom w:val="0"/>
      <w:divBdr>
        <w:top w:val="none" w:sz="0" w:space="0" w:color="auto"/>
        <w:left w:val="none" w:sz="0" w:space="0" w:color="auto"/>
        <w:bottom w:val="none" w:sz="0" w:space="0" w:color="auto"/>
        <w:right w:val="none" w:sz="0" w:space="0" w:color="auto"/>
      </w:divBdr>
    </w:div>
    <w:div w:id="580019016">
      <w:bodyDiv w:val="1"/>
      <w:marLeft w:val="0"/>
      <w:marRight w:val="0"/>
      <w:marTop w:val="0"/>
      <w:marBottom w:val="0"/>
      <w:divBdr>
        <w:top w:val="none" w:sz="0" w:space="0" w:color="auto"/>
        <w:left w:val="none" w:sz="0" w:space="0" w:color="auto"/>
        <w:bottom w:val="none" w:sz="0" w:space="0" w:color="auto"/>
        <w:right w:val="none" w:sz="0" w:space="0" w:color="auto"/>
      </w:divBdr>
    </w:div>
    <w:div w:id="595985880">
      <w:bodyDiv w:val="1"/>
      <w:marLeft w:val="0"/>
      <w:marRight w:val="0"/>
      <w:marTop w:val="0"/>
      <w:marBottom w:val="0"/>
      <w:divBdr>
        <w:top w:val="none" w:sz="0" w:space="0" w:color="auto"/>
        <w:left w:val="none" w:sz="0" w:space="0" w:color="auto"/>
        <w:bottom w:val="none" w:sz="0" w:space="0" w:color="auto"/>
        <w:right w:val="none" w:sz="0" w:space="0" w:color="auto"/>
      </w:divBdr>
    </w:div>
    <w:div w:id="599140166">
      <w:bodyDiv w:val="1"/>
      <w:marLeft w:val="0"/>
      <w:marRight w:val="0"/>
      <w:marTop w:val="0"/>
      <w:marBottom w:val="0"/>
      <w:divBdr>
        <w:top w:val="none" w:sz="0" w:space="0" w:color="auto"/>
        <w:left w:val="none" w:sz="0" w:space="0" w:color="auto"/>
        <w:bottom w:val="none" w:sz="0" w:space="0" w:color="auto"/>
        <w:right w:val="none" w:sz="0" w:space="0" w:color="auto"/>
      </w:divBdr>
    </w:div>
    <w:div w:id="602231731">
      <w:bodyDiv w:val="1"/>
      <w:marLeft w:val="0"/>
      <w:marRight w:val="0"/>
      <w:marTop w:val="0"/>
      <w:marBottom w:val="0"/>
      <w:divBdr>
        <w:top w:val="none" w:sz="0" w:space="0" w:color="auto"/>
        <w:left w:val="none" w:sz="0" w:space="0" w:color="auto"/>
        <w:bottom w:val="none" w:sz="0" w:space="0" w:color="auto"/>
        <w:right w:val="none" w:sz="0" w:space="0" w:color="auto"/>
      </w:divBdr>
    </w:div>
    <w:div w:id="604191723">
      <w:bodyDiv w:val="1"/>
      <w:marLeft w:val="0"/>
      <w:marRight w:val="0"/>
      <w:marTop w:val="0"/>
      <w:marBottom w:val="0"/>
      <w:divBdr>
        <w:top w:val="none" w:sz="0" w:space="0" w:color="auto"/>
        <w:left w:val="none" w:sz="0" w:space="0" w:color="auto"/>
        <w:bottom w:val="none" w:sz="0" w:space="0" w:color="auto"/>
        <w:right w:val="none" w:sz="0" w:space="0" w:color="auto"/>
      </w:divBdr>
    </w:div>
    <w:div w:id="606499992">
      <w:bodyDiv w:val="1"/>
      <w:marLeft w:val="0"/>
      <w:marRight w:val="0"/>
      <w:marTop w:val="0"/>
      <w:marBottom w:val="0"/>
      <w:divBdr>
        <w:top w:val="none" w:sz="0" w:space="0" w:color="auto"/>
        <w:left w:val="none" w:sz="0" w:space="0" w:color="auto"/>
        <w:bottom w:val="none" w:sz="0" w:space="0" w:color="auto"/>
        <w:right w:val="none" w:sz="0" w:space="0" w:color="auto"/>
      </w:divBdr>
      <w:divsChild>
        <w:div w:id="515123521">
          <w:marLeft w:val="446"/>
          <w:marRight w:val="0"/>
          <w:marTop w:val="0"/>
          <w:marBottom w:val="0"/>
          <w:divBdr>
            <w:top w:val="none" w:sz="0" w:space="0" w:color="auto"/>
            <w:left w:val="none" w:sz="0" w:space="0" w:color="auto"/>
            <w:bottom w:val="none" w:sz="0" w:space="0" w:color="auto"/>
            <w:right w:val="none" w:sz="0" w:space="0" w:color="auto"/>
          </w:divBdr>
        </w:div>
        <w:div w:id="1236936774">
          <w:marLeft w:val="446"/>
          <w:marRight w:val="0"/>
          <w:marTop w:val="0"/>
          <w:marBottom w:val="0"/>
          <w:divBdr>
            <w:top w:val="none" w:sz="0" w:space="0" w:color="auto"/>
            <w:left w:val="none" w:sz="0" w:space="0" w:color="auto"/>
            <w:bottom w:val="none" w:sz="0" w:space="0" w:color="auto"/>
            <w:right w:val="none" w:sz="0" w:space="0" w:color="auto"/>
          </w:divBdr>
        </w:div>
      </w:divsChild>
    </w:div>
    <w:div w:id="621112314">
      <w:bodyDiv w:val="1"/>
      <w:marLeft w:val="0"/>
      <w:marRight w:val="0"/>
      <w:marTop w:val="0"/>
      <w:marBottom w:val="0"/>
      <w:divBdr>
        <w:top w:val="none" w:sz="0" w:space="0" w:color="auto"/>
        <w:left w:val="none" w:sz="0" w:space="0" w:color="auto"/>
        <w:bottom w:val="none" w:sz="0" w:space="0" w:color="auto"/>
        <w:right w:val="none" w:sz="0" w:space="0" w:color="auto"/>
      </w:divBdr>
    </w:div>
    <w:div w:id="631324417">
      <w:bodyDiv w:val="1"/>
      <w:marLeft w:val="0"/>
      <w:marRight w:val="0"/>
      <w:marTop w:val="0"/>
      <w:marBottom w:val="0"/>
      <w:divBdr>
        <w:top w:val="none" w:sz="0" w:space="0" w:color="auto"/>
        <w:left w:val="none" w:sz="0" w:space="0" w:color="auto"/>
        <w:bottom w:val="none" w:sz="0" w:space="0" w:color="auto"/>
        <w:right w:val="none" w:sz="0" w:space="0" w:color="auto"/>
      </w:divBdr>
    </w:div>
    <w:div w:id="637954967">
      <w:bodyDiv w:val="1"/>
      <w:marLeft w:val="0"/>
      <w:marRight w:val="0"/>
      <w:marTop w:val="0"/>
      <w:marBottom w:val="0"/>
      <w:divBdr>
        <w:top w:val="none" w:sz="0" w:space="0" w:color="auto"/>
        <w:left w:val="none" w:sz="0" w:space="0" w:color="auto"/>
        <w:bottom w:val="none" w:sz="0" w:space="0" w:color="auto"/>
        <w:right w:val="none" w:sz="0" w:space="0" w:color="auto"/>
      </w:divBdr>
    </w:div>
    <w:div w:id="640577684">
      <w:bodyDiv w:val="1"/>
      <w:marLeft w:val="0"/>
      <w:marRight w:val="0"/>
      <w:marTop w:val="0"/>
      <w:marBottom w:val="0"/>
      <w:divBdr>
        <w:top w:val="none" w:sz="0" w:space="0" w:color="auto"/>
        <w:left w:val="none" w:sz="0" w:space="0" w:color="auto"/>
        <w:bottom w:val="none" w:sz="0" w:space="0" w:color="auto"/>
        <w:right w:val="none" w:sz="0" w:space="0" w:color="auto"/>
      </w:divBdr>
    </w:div>
    <w:div w:id="644504840">
      <w:bodyDiv w:val="1"/>
      <w:marLeft w:val="0"/>
      <w:marRight w:val="0"/>
      <w:marTop w:val="0"/>
      <w:marBottom w:val="0"/>
      <w:divBdr>
        <w:top w:val="none" w:sz="0" w:space="0" w:color="auto"/>
        <w:left w:val="none" w:sz="0" w:space="0" w:color="auto"/>
        <w:bottom w:val="none" w:sz="0" w:space="0" w:color="auto"/>
        <w:right w:val="none" w:sz="0" w:space="0" w:color="auto"/>
      </w:divBdr>
    </w:div>
    <w:div w:id="645471501">
      <w:bodyDiv w:val="1"/>
      <w:marLeft w:val="0"/>
      <w:marRight w:val="0"/>
      <w:marTop w:val="0"/>
      <w:marBottom w:val="0"/>
      <w:divBdr>
        <w:top w:val="none" w:sz="0" w:space="0" w:color="auto"/>
        <w:left w:val="none" w:sz="0" w:space="0" w:color="auto"/>
        <w:bottom w:val="none" w:sz="0" w:space="0" w:color="auto"/>
        <w:right w:val="none" w:sz="0" w:space="0" w:color="auto"/>
      </w:divBdr>
    </w:div>
    <w:div w:id="649017042">
      <w:bodyDiv w:val="1"/>
      <w:marLeft w:val="0"/>
      <w:marRight w:val="0"/>
      <w:marTop w:val="0"/>
      <w:marBottom w:val="0"/>
      <w:divBdr>
        <w:top w:val="none" w:sz="0" w:space="0" w:color="auto"/>
        <w:left w:val="none" w:sz="0" w:space="0" w:color="auto"/>
        <w:bottom w:val="none" w:sz="0" w:space="0" w:color="auto"/>
        <w:right w:val="none" w:sz="0" w:space="0" w:color="auto"/>
      </w:divBdr>
    </w:div>
    <w:div w:id="651831700">
      <w:bodyDiv w:val="1"/>
      <w:marLeft w:val="0"/>
      <w:marRight w:val="0"/>
      <w:marTop w:val="0"/>
      <w:marBottom w:val="0"/>
      <w:divBdr>
        <w:top w:val="none" w:sz="0" w:space="0" w:color="auto"/>
        <w:left w:val="none" w:sz="0" w:space="0" w:color="auto"/>
        <w:bottom w:val="none" w:sz="0" w:space="0" w:color="auto"/>
        <w:right w:val="none" w:sz="0" w:space="0" w:color="auto"/>
      </w:divBdr>
    </w:div>
    <w:div w:id="653874746">
      <w:bodyDiv w:val="1"/>
      <w:marLeft w:val="0"/>
      <w:marRight w:val="0"/>
      <w:marTop w:val="0"/>
      <w:marBottom w:val="0"/>
      <w:divBdr>
        <w:top w:val="none" w:sz="0" w:space="0" w:color="auto"/>
        <w:left w:val="none" w:sz="0" w:space="0" w:color="auto"/>
        <w:bottom w:val="none" w:sz="0" w:space="0" w:color="auto"/>
        <w:right w:val="none" w:sz="0" w:space="0" w:color="auto"/>
      </w:divBdr>
    </w:div>
    <w:div w:id="659038782">
      <w:bodyDiv w:val="1"/>
      <w:marLeft w:val="0"/>
      <w:marRight w:val="0"/>
      <w:marTop w:val="0"/>
      <w:marBottom w:val="0"/>
      <w:divBdr>
        <w:top w:val="none" w:sz="0" w:space="0" w:color="auto"/>
        <w:left w:val="none" w:sz="0" w:space="0" w:color="auto"/>
        <w:bottom w:val="none" w:sz="0" w:space="0" w:color="auto"/>
        <w:right w:val="none" w:sz="0" w:space="0" w:color="auto"/>
      </w:divBdr>
    </w:div>
    <w:div w:id="661734857">
      <w:bodyDiv w:val="1"/>
      <w:marLeft w:val="0"/>
      <w:marRight w:val="0"/>
      <w:marTop w:val="0"/>
      <w:marBottom w:val="0"/>
      <w:divBdr>
        <w:top w:val="none" w:sz="0" w:space="0" w:color="auto"/>
        <w:left w:val="none" w:sz="0" w:space="0" w:color="auto"/>
        <w:bottom w:val="none" w:sz="0" w:space="0" w:color="auto"/>
        <w:right w:val="none" w:sz="0" w:space="0" w:color="auto"/>
      </w:divBdr>
    </w:div>
    <w:div w:id="662246970">
      <w:bodyDiv w:val="1"/>
      <w:marLeft w:val="0"/>
      <w:marRight w:val="0"/>
      <w:marTop w:val="0"/>
      <w:marBottom w:val="0"/>
      <w:divBdr>
        <w:top w:val="none" w:sz="0" w:space="0" w:color="auto"/>
        <w:left w:val="none" w:sz="0" w:space="0" w:color="auto"/>
        <w:bottom w:val="none" w:sz="0" w:space="0" w:color="auto"/>
        <w:right w:val="none" w:sz="0" w:space="0" w:color="auto"/>
      </w:divBdr>
    </w:div>
    <w:div w:id="673610285">
      <w:bodyDiv w:val="1"/>
      <w:marLeft w:val="0"/>
      <w:marRight w:val="0"/>
      <w:marTop w:val="0"/>
      <w:marBottom w:val="0"/>
      <w:divBdr>
        <w:top w:val="none" w:sz="0" w:space="0" w:color="auto"/>
        <w:left w:val="none" w:sz="0" w:space="0" w:color="auto"/>
        <w:bottom w:val="none" w:sz="0" w:space="0" w:color="auto"/>
        <w:right w:val="none" w:sz="0" w:space="0" w:color="auto"/>
      </w:divBdr>
    </w:div>
    <w:div w:id="676155423">
      <w:bodyDiv w:val="1"/>
      <w:marLeft w:val="0"/>
      <w:marRight w:val="0"/>
      <w:marTop w:val="0"/>
      <w:marBottom w:val="0"/>
      <w:divBdr>
        <w:top w:val="none" w:sz="0" w:space="0" w:color="auto"/>
        <w:left w:val="none" w:sz="0" w:space="0" w:color="auto"/>
        <w:bottom w:val="none" w:sz="0" w:space="0" w:color="auto"/>
        <w:right w:val="none" w:sz="0" w:space="0" w:color="auto"/>
      </w:divBdr>
    </w:div>
    <w:div w:id="676271076">
      <w:bodyDiv w:val="1"/>
      <w:marLeft w:val="0"/>
      <w:marRight w:val="0"/>
      <w:marTop w:val="0"/>
      <w:marBottom w:val="0"/>
      <w:divBdr>
        <w:top w:val="none" w:sz="0" w:space="0" w:color="auto"/>
        <w:left w:val="none" w:sz="0" w:space="0" w:color="auto"/>
        <w:bottom w:val="none" w:sz="0" w:space="0" w:color="auto"/>
        <w:right w:val="none" w:sz="0" w:space="0" w:color="auto"/>
      </w:divBdr>
    </w:div>
    <w:div w:id="690375284">
      <w:bodyDiv w:val="1"/>
      <w:marLeft w:val="0"/>
      <w:marRight w:val="0"/>
      <w:marTop w:val="0"/>
      <w:marBottom w:val="0"/>
      <w:divBdr>
        <w:top w:val="none" w:sz="0" w:space="0" w:color="auto"/>
        <w:left w:val="none" w:sz="0" w:space="0" w:color="auto"/>
        <w:bottom w:val="none" w:sz="0" w:space="0" w:color="auto"/>
        <w:right w:val="none" w:sz="0" w:space="0" w:color="auto"/>
      </w:divBdr>
    </w:div>
    <w:div w:id="692077260">
      <w:bodyDiv w:val="1"/>
      <w:marLeft w:val="0"/>
      <w:marRight w:val="0"/>
      <w:marTop w:val="0"/>
      <w:marBottom w:val="0"/>
      <w:divBdr>
        <w:top w:val="none" w:sz="0" w:space="0" w:color="auto"/>
        <w:left w:val="none" w:sz="0" w:space="0" w:color="auto"/>
        <w:bottom w:val="none" w:sz="0" w:space="0" w:color="auto"/>
        <w:right w:val="none" w:sz="0" w:space="0" w:color="auto"/>
      </w:divBdr>
    </w:div>
    <w:div w:id="705907802">
      <w:bodyDiv w:val="1"/>
      <w:marLeft w:val="0"/>
      <w:marRight w:val="0"/>
      <w:marTop w:val="0"/>
      <w:marBottom w:val="0"/>
      <w:divBdr>
        <w:top w:val="none" w:sz="0" w:space="0" w:color="auto"/>
        <w:left w:val="none" w:sz="0" w:space="0" w:color="auto"/>
        <w:bottom w:val="none" w:sz="0" w:space="0" w:color="auto"/>
        <w:right w:val="none" w:sz="0" w:space="0" w:color="auto"/>
      </w:divBdr>
    </w:div>
    <w:div w:id="711928850">
      <w:bodyDiv w:val="1"/>
      <w:marLeft w:val="0"/>
      <w:marRight w:val="0"/>
      <w:marTop w:val="0"/>
      <w:marBottom w:val="0"/>
      <w:divBdr>
        <w:top w:val="none" w:sz="0" w:space="0" w:color="auto"/>
        <w:left w:val="none" w:sz="0" w:space="0" w:color="auto"/>
        <w:bottom w:val="none" w:sz="0" w:space="0" w:color="auto"/>
        <w:right w:val="none" w:sz="0" w:space="0" w:color="auto"/>
      </w:divBdr>
    </w:div>
    <w:div w:id="722212742">
      <w:bodyDiv w:val="1"/>
      <w:marLeft w:val="0"/>
      <w:marRight w:val="0"/>
      <w:marTop w:val="0"/>
      <w:marBottom w:val="0"/>
      <w:divBdr>
        <w:top w:val="none" w:sz="0" w:space="0" w:color="auto"/>
        <w:left w:val="none" w:sz="0" w:space="0" w:color="auto"/>
        <w:bottom w:val="none" w:sz="0" w:space="0" w:color="auto"/>
        <w:right w:val="none" w:sz="0" w:space="0" w:color="auto"/>
      </w:divBdr>
    </w:div>
    <w:div w:id="727220100">
      <w:bodyDiv w:val="1"/>
      <w:marLeft w:val="0"/>
      <w:marRight w:val="0"/>
      <w:marTop w:val="0"/>
      <w:marBottom w:val="0"/>
      <w:divBdr>
        <w:top w:val="none" w:sz="0" w:space="0" w:color="auto"/>
        <w:left w:val="none" w:sz="0" w:space="0" w:color="auto"/>
        <w:bottom w:val="none" w:sz="0" w:space="0" w:color="auto"/>
        <w:right w:val="none" w:sz="0" w:space="0" w:color="auto"/>
      </w:divBdr>
    </w:div>
    <w:div w:id="727344217">
      <w:bodyDiv w:val="1"/>
      <w:marLeft w:val="0"/>
      <w:marRight w:val="0"/>
      <w:marTop w:val="0"/>
      <w:marBottom w:val="0"/>
      <w:divBdr>
        <w:top w:val="none" w:sz="0" w:space="0" w:color="auto"/>
        <w:left w:val="none" w:sz="0" w:space="0" w:color="auto"/>
        <w:bottom w:val="none" w:sz="0" w:space="0" w:color="auto"/>
        <w:right w:val="none" w:sz="0" w:space="0" w:color="auto"/>
      </w:divBdr>
    </w:div>
    <w:div w:id="739644716">
      <w:bodyDiv w:val="1"/>
      <w:marLeft w:val="0"/>
      <w:marRight w:val="0"/>
      <w:marTop w:val="0"/>
      <w:marBottom w:val="0"/>
      <w:divBdr>
        <w:top w:val="none" w:sz="0" w:space="0" w:color="auto"/>
        <w:left w:val="none" w:sz="0" w:space="0" w:color="auto"/>
        <w:bottom w:val="none" w:sz="0" w:space="0" w:color="auto"/>
        <w:right w:val="none" w:sz="0" w:space="0" w:color="auto"/>
      </w:divBdr>
    </w:div>
    <w:div w:id="750392587">
      <w:bodyDiv w:val="1"/>
      <w:marLeft w:val="0"/>
      <w:marRight w:val="0"/>
      <w:marTop w:val="0"/>
      <w:marBottom w:val="0"/>
      <w:divBdr>
        <w:top w:val="none" w:sz="0" w:space="0" w:color="auto"/>
        <w:left w:val="none" w:sz="0" w:space="0" w:color="auto"/>
        <w:bottom w:val="none" w:sz="0" w:space="0" w:color="auto"/>
        <w:right w:val="none" w:sz="0" w:space="0" w:color="auto"/>
      </w:divBdr>
    </w:div>
    <w:div w:id="753824108">
      <w:bodyDiv w:val="1"/>
      <w:marLeft w:val="0"/>
      <w:marRight w:val="0"/>
      <w:marTop w:val="0"/>
      <w:marBottom w:val="0"/>
      <w:divBdr>
        <w:top w:val="none" w:sz="0" w:space="0" w:color="auto"/>
        <w:left w:val="none" w:sz="0" w:space="0" w:color="auto"/>
        <w:bottom w:val="none" w:sz="0" w:space="0" w:color="auto"/>
        <w:right w:val="none" w:sz="0" w:space="0" w:color="auto"/>
      </w:divBdr>
    </w:div>
    <w:div w:id="756632768">
      <w:bodyDiv w:val="1"/>
      <w:marLeft w:val="0"/>
      <w:marRight w:val="0"/>
      <w:marTop w:val="0"/>
      <w:marBottom w:val="0"/>
      <w:divBdr>
        <w:top w:val="none" w:sz="0" w:space="0" w:color="auto"/>
        <w:left w:val="none" w:sz="0" w:space="0" w:color="auto"/>
        <w:bottom w:val="none" w:sz="0" w:space="0" w:color="auto"/>
        <w:right w:val="none" w:sz="0" w:space="0" w:color="auto"/>
      </w:divBdr>
    </w:div>
    <w:div w:id="756708944">
      <w:bodyDiv w:val="1"/>
      <w:marLeft w:val="0"/>
      <w:marRight w:val="0"/>
      <w:marTop w:val="0"/>
      <w:marBottom w:val="0"/>
      <w:divBdr>
        <w:top w:val="none" w:sz="0" w:space="0" w:color="auto"/>
        <w:left w:val="none" w:sz="0" w:space="0" w:color="auto"/>
        <w:bottom w:val="none" w:sz="0" w:space="0" w:color="auto"/>
        <w:right w:val="none" w:sz="0" w:space="0" w:color="auto"/>
      </w:divBdr>
    </w:div>
    <w:div w:id="766192232">
      <w:bodyDiv w:val="1"/>
      <w:marLeft w:val="0"/>
      <w:marRight w:val="0"/>
      <w:marTop w:val="0"/>
      <w:marBottom w:val="0"/>
      <w:divBdr>
        <w:top w:val="none" w:sz="0" w:space="0" w:color="auto"/>
        <w:left w:val="none" w:sz="0" w:space="0" w:color="auto"/>
        <w:bottom w:val="none" w:sz="0" w:space="0" w:color="auto"/>
        <w:right w:val="none" w:sz="0" w:space="0" w:color="auto"/>
      </w:divBdr>
    </w:div>
    <w:div w:id="787311020">
      <w:bodyDiv w:val="1"/>
      <w:marLeft w:val="0"/>
      <w:marRight w:val="0"/>
      <w:marTop w:val="0"/>
      <w:marBottom w:val="0"/>
      <w:divBdr>
        <w:top w:val="none" w:sz="0" w:space="0" w:color="auto"/>
        <w:left w:val="none" w:sz="0" w:space="0" w:color="auto"/>
        <w:bottom w:val="none" w:sz="0" w:space="0" w:color="auto"/>
        <w:right w:val="none" w:sz="0" w:space="0" w:color="auto"/>
      </w:divBdr>
    </w:div>
    <w:div w:id="791704269">
      <w:bodyDiv w:val="1"/>
      <w:marLeft w:val="0"/>
      <w:marRight w:val="0"/>
      <w:marTop w:val="0"/>
      <w:marBottom w:val="0"/>
      <w:divBdr>
        <w:top w:val="none" w:sz="0" w:space="0" w:color="auto"/>
        <w:left w:val="none" w:sz="0" w:space="0" w:color="auto"/>
        <w:bottom w:val="none" w:sz="0" w:space="0" w:color="auto"/>
        <w:right w:val="none" w:sz="0" w:space="0" w:color="auto"/>
      </w:divBdr>
    </w:div>
    <w:div w:id="801772528">
      <w:bodyDiv w:val="1"/>
      <w:marLeft w:val="0"/>
      <w:marRight w:val="0"/>
      <w:marTop w:val="0"/>
      <w:marBottom w:val="0"/>
      <w:divBdr>
        <w:top w:val="none" w:sz="0" w:space="0" w:color="auto"/>
        <w:left w:val="none" w:sz="0" w:space="0" w:color="auto"/>
        <w:bottom w:val="none" w:sz="0" w:space="0" w:color="auto"/>
        <w:right w:val="none" w:sz="0" w:space="0" w:color="auto"/>
      </w:divBdr>
    </w:div>
    <w:div w:id="805512122">
      <w:bodyDiv w:val="1"/>
      <w:marLeft w:val="0"/>
      <w:marRight w:val="0"/>
      <w:marTop w:val="0"/>
      <w:marBottom w:val="0"/>
      <w:divBdr>
        <w:top w:val="none" w:sz="0" w:space="0" w:color="auto"/>
        <w:left w:val="none" w:sz="0" w:space="0" w:color="auto"/>
        <w:bottom w:val="none" w:sz="0" w:space="0" w:color="auto"/>
        <w:right w:val="none" w:sz="0" w:space="0" w:color="auto"/>
      </w:divBdr>
    </w:div>
    <w:div w:id="813719112">
      <w:bodyDiv w:val="1"/>
      <w:marLeft w:val="0"/>
      <w:marRight w:val="0"/>
      <w:marTop w:val="0"/>
      <w:marBottom w:val="0"/>
      <w:divBdr>
        <w:top w:val="none" w:sz="0" w:space="0" w:color="auto"/>
        <w:left w:val="none" w:sz="0" w:space="0" w:color="auto"/>
        <w:bottom w:val="none" w:sz="0" w:space="0" w:color="auto"/>
        <w:right w:val="none" w:sz="0" w:space="0" w:color="auto"/>
      </w:divBdr>
    </w:div>
    <w:div w:id="826819559">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3494912">
      <w:bodyDiv w:val="1"/>
      <w:marLeft w:val="0"/>
      <w:marRight w:val="0"/>
      <w:marTop w:val="0"/>
      <w:marBottom w:val="0"/>
      <w:divBdr>
        <w:top w:val="none" w:sz="0" w:space="0" w:color="auto"/>
        <w:left w:val="none" w:sz="0" w:space="0" w:color="auto"/>
        <w:bottom w:val="none" w:sz="0" w:space="0" w:color="auto"/>
        <w:right w:val="none" w:sz="0" w:space="0" w:color="auto"/>
      </w:divBdr>
    </w:div>
    <w:div w:id="868103619">
      <w:bodyDiv w:val="1"/>
      <w:marLeft w:val="0"/>
      <w:marRight w:val="0"/>
      <w:marTop w:val="0"/>
      <w:marBottom w:val="0"/>
      <w:divBdr>
        <w:top w:val="none" w:sz="0" w:space="0" w:color="auto"/>
        <w:left w:val="none" w:sz="0" w:space="0" w:color="auto"/>
        <w:bottom w:val="none" w:sz="0" w:space="0" w:color="auto"/>
        <w:right w:val="none" w:sz="0" w:space="0" w:color="auto"/>
      </w:divBdr>
    </w:div>
    <w:div w:id="874385238">
      <w:bodyDiv w:val="1"/>
      <w:marLeft w:val="0"/>
      <w:marRight w:val="0"/>
      <w:marTop w:val="0"/>
      <w:marBottom w:val="0"/>
      <w:divBdr>
        <w:top w:val="none" w:sz="0" w:space="0" w:color="auto"/>
        <w:left w:val="none" w:sz="0" w:space="0" w:color="auto"/>
        <w:bottom w:val="none" w:sz="0" w:space="0" w:color="auto"/>
        <w:right w:val="none" w:sz="0" w:space="0" w:color="auto"/>
      </w:divBdr>
    </w:div>
    <w:div w:id="878131765">
      <w:bodyDiv w:val="1"/>
      <w:marLeft w:val="0"/>
      <w:marRight w:val="0"/>
      <w:marTop w:val="0"/>
      <w:marBottom w:val="0"/>
      <w:divBdr>
        <w:top w:val="none" w:sz="0" w:space="0" w:color="auto"/>
        <w:left w:val="none" w:sz="0" w:space="0" w:color="auto"/>
        <w:bottom w:val="none" w:sz="0" w:space="0" w:color="auto"/>
        <w:right w:val="none" w:sz="0" w:space="0" w:color="auto"/>
      </w:divBdr>
    </w:div>
    <w:div w:id="880482552">
      <w:bodyDiv w:val="1"/>
      <w:marLeft w:val="0"/>
      <w:marRight w:val="0"/>
      <w:marTop w:val="0"/>
      <w:marBottom w:val="0"/>
      <w:divBdr>
        <w:top w:val="none" w:sz="0" w:space="0" w:color="auto"/>
        <w:left w:val="none" w:sz="0" w:space="0" w:color="auto"/>
        <w:bottom w:val="none" w:sz="0" w:space="0" w:color="auto"/>
        <w:right w:val="none" w:sz="0" w:space="0" w:color="auto"/>
      </w:divBdr>
    </w:div>
    <w:div w:id="885292793">
      <w:bodyDiv w:val="1"/>
      <w:marLeft w:val="0"/>
      <w:marRight w:val="0"/>
      <w:marTop w:val="0"/>
      <w:marBottom w:val="0"/>
      <w:divBdr>
        <w:top w:val="none" w:sz="0" w:space="0" w:color="auto"/>
        <w:left w:val="none" w:sz="0" w:space="0" w:color="auto"/>
        <w:bottom w:val="none" w:sz="0" w:space="0" w:color="auto"/>
        <w:right w:val="none" w:sz="0" w:space="0" w:color="auto"/>
      </w:divBdr>
    </w:div>
    <w:div w:id="894199350">
      <w:bodyDiv w:val="1"/>
      <w:marLeft w:val="0"/>
      <w:marRight w:val="0"/>
      <w:marTop w:val="0"/>
      <w:marBottom w:val="0"/>
      <w:divBdr>
        <w:top w:val="none" w:sz="0" w:space="0" w:color="auto"/>
        <w:left w:val="none" w:sz="0" w:space="0" w:color="auto"/>
        <w:bottom w:val="none" w:sz="0" w:space="0" w:color="auto"/>
        <w:right w:val="none" w:sz="0" w:space="0" w:color="auto"/>
      </w:divBdr>
    </w:div>
    <w:div w:id="900486687">
      <w:bodyDiv w:val="1"/>
      <w:marLeft w:val="0"/>
      <w:marRight w:val="0"/>
      <w:marTop w:val="0"/>
      <w:marBottom w:val="0"/>
      <w:divBdr>
        <w:top w:val="none" w:sz="0" w:space="0" w:color="auto"/>
        <w:left w:val="none" w:sz="0" w:space="0" w:color="auto"/>
        <w:bottom w:val="none" w:sz="0" w:space="0" w:color="auto"/>
        <w:right w:val="none" w:sz="0" w:space="0" w:color="auto"/>
      </w:divBdr>
    </w:div>
    <w:div w:id="903491482">
      <w:bodyDiv w:val="1"/>
      <w:marLeft w:val="0"/>
      <w:marRight w:val="0"/>
      <w:marTop w:val="0"/>
      <w:marBottom w:val="0"/>
      <w:divBdr>
        <w:top w:val="none" w:sz="0" w:space="0" w:color="auto"/>
        <w:left w:val="none" w:sz="0" w:space="0" w:color="auto"/>
        <w:bottom w:val="none" w:sz="0" w:space="0" w:color="auto"/>
        <w:right w:val="none" w:sz="0" w:space="0" w:color="auto"/>
      </w:divBdr>
    </w:div>
    <w:div w:id="907227551">
      <w:bodyDiv w:val="1"/>
      <w:marLeft w:val="0"/>
      <w:marRight w:val="0"/>
      <w:marTop w:val="0"/>
      <w:marBottom w:val="0"/>
      <w:divBdr>
        <w:top w:val="none" w:sz="0" w:space="0" w:color="auto"/>
        <w:left w:val="none" w:sz="0" w:space="0" w:color="auto"/>
        <w:bottom w:val="none" w:sz="0" w:space="0" w:color="auto"/>
        <w:right w:val="none" w:sz="0" w:space="0" w:color="auto"/>
      </w:divBdr>
    </w:div>
    <w:div w:id="920137548">
      <w:bodyDiv w:val="1"/>
      <w:marLeft w:val="0"/>
      <w:marRight w:val="0"/>
      <w:marTop w:val="0"/>
      <w:marBottom w:val="0"/>
      <w:divBdr>
        <w:top w:val="none" w:sz="0" w:space="0" w:color="auto"/>
        <w:left w:val="none" w:sz="0" w:space="0" w:color="auto"/>
        <w:bottom w:val="none" w:sz="0" w:space="0" w:color="auto"/>
        <w:right w:val="none" w:sz="0" w:space="0" w:color="auto"/>
      </w:divBdr>
    </w:div>
    <w:div w:id="924999717">
      <w:bodyDiv w:val="1"/>
      <w:marLeft w:val="0"/>
      <w:marRight w:val="0"/>
      <w:marTop w:val="0"/>
      <w:marBottom w:val="0"/>
      <w:divBdr>
        <w:top w:val="none" w:sz="0" w:space="0" w:color="auto"/>
        <w:left w:val="none" w:sz="0" w:space="0" w:color="auto"/>
        <w:bottom w:val="none" w:sz="0" w:space="0" w:color="auto"/>
        <w:right w:val="none" w:sz="0" w:space="0" w:color="auto"/>
      </w:divBdr>
    </w:div>
    <w:div w:id="932396997">
      <w:bodyDiv w:val="1"/>
      <w:marLeft w:val="0"/>
      <w:marRight w:val="0"/>
      <w:marTop w:val="0"/>
      <w:marBottom w:val="0"/>
      <w:divBdr>
        <w:top w:val="none" w:sz="0" w:space="0" w:color="auto"/>
        <w:left w:val="none" w:sz="0" w:space="0" w:color="auto"/>
        <w:bottom w:val="none" w:sz="0" w:space="0" w:color="auto"/>
        <w:right w:val="none" w:sz="0" w:space="0" w:color="auto"/>
      </w:divBdr>
    </w:div>
    <w:div w:id="939072476">
      <w:bodyDiv w:val="1"/>
      <w:marLeft w:val="0"/>
      <w:marRight w:val="0"/>
      <w:marTop w:val="0"/>
      <w:marBottom w:val="0"/>
      <w:divBdr>
        <w:top w:val="none" w:sz="0" w:space="0" w:color="auto"/>
        <w:left w:val="none" w:sz="0" w:space="0" w:color="auto"/>
        <w:bottom w:val="none" w:sz="0" w:space="0" w:color="auto"/>
        <w:right w:val="none" w:sz="0" w:space="0" w:color="auto"/>
      </w:divBdr>
    </w:div>
    <w:div w:id="961620341">
      <w:bodyDiv w:val="1"/>
      <w:marLeft w:val="0"/>
      <w:marRight w:val="0"/>
      <w:marTop w:val="0"/>
      <w:marBottom w:val="0"/>
      <w:divBdr>
        <w:top w:val="none" w:sz="0" w:space="0" w:color="auto"/>
        <w:left w:val="none" w:sz="0" w:space="0" w:color="auto"/>
        <w:bottom w:val="none" w:sz="0" w:space="0" w:color="auto"/>
        <w:right w:val="none" w:sz="0" w:space="0" w:color="auto"/>
      </w:divBdr>
    </w:div>
    <w:div w:id="995185521">
      <w:bodyDiv w:val="1"/>
      <w:marLeft w:val="0"/>
      <w:marRight w:val="0"/>
      <w:marTop w:val="0"/>
      <w:marBottom w:val="0"/>
      <w:divBdr>
        <w:top w:val="none" w:sz="0" w:space="0" w:color="auto"/>
        <w:left w:val="none" w:sz="0" w:space="0" w:color="auto"/>
        <w:bottom w:val="none" w:sz="0" w:space="0" w:color="auto"/>
        <w:right w:val="none" w:sz="0" w:space="0" w:color="auto"/>
      </w:divBdr>
    </w:div>
    <w:div w:id="998120356">
      <w:bodyDiv w:val="1"/>
      <w:marLeft w:val="0"/>
      <w:marRight w:val="0"/>
      <w:marTop w:val="0"/>
      <w:marBottom w:val="0"/>
      <w:divBdr>
        <w:top w:val="none" w:sz="0" w:space="0" w:color="auto"/>
        <w:left w:val="none" w:sz="0" w:space="0" w:color="auto"/>
        <w:bottom w:val="none" w:sz="0" w:space="0" w:color="auto"/>
        <w:right w:val="none" w:sz="0" w:space="0" w:color="auto"/>
      </w:divBdr>
    </w:div>
    <w:div w:id="1002701468">
      <w:bodyDiv w:val="1"/>
      <w:marLeft w:val="0"/>
      <w:marRight w:val="0"/>
      <w:marTop w:val="0"/>
      <w:marBottom w:val="0"/>
      <w:divBdr>
        <w:top w:val="none" w:sz="0" w:space="0" w:color="auto"/>
        <w:left w:val="none" w:sz="0" w:space="0" w:color="auto"/>
        <w:bottom w:val="none" w:sz="0" w:space="0" w:color="auto"/>
        <w:right w:val="none" w:sz="0" w:space="0" w:color="auto"/>
      </w:divBdr>
    </w:div>
    <w:div w:id="1009256202">
      <w:bodyDiv w:val="1"/>
      <w:marLeft w:val="0"/>
      <w:marRight w:val="0"/>
      <w:marTop w:val="0"/>
      <w:marBottom w:val="0"/>
      <w:divBdr>
        <w:top w:val="none" w:sz="0" w:space="0" w:color="auto"/>
        <w:left w:val="none" w:sz="0" w:space="0" w:color="auto"/>
        <w:bottom w:val="none" w:sz="0" w:space="0" w:color="auto"/>
        <w:right w:val="none" w:sz="0" w:space="0" w:color="auto"/>
      </w:divBdr>
    </w:div>
    <w:div w:id="1020160554">
      <w:bodyDiv w:val="1"/>
      <w:marLeft w:val="0"/>
      <w:marRight w:val="0"/>
      <w:marTop w:val="0"/>
      <w:marBottom w:val="0"/>
      <w:divBdr>
        <w:top w:val="none" w:sz="0" w:space="0" w:color="auto"/>
        <w:left w:val="none" w:sz="0" w:space="0" w:color="auto"/>
        <w:bottom w:val="none" w:sz="0" w:space="0" w:color="auto"/>
        <w:right w:val="none" w:sz="0" w:space="0" w:color="auto"/>
      </w:divBdr>
    </w:div>
    <w:div w:id="1029338716">
      <w:bodyDiv w:val="1"/>
      <w:marLeft w:val="0"/>
      <w:marRight w:val="0"/>
      <w:marTop w:val="0"/>
      <w:marBottom w:val="0"/>
      <w:divBdr>
        <w:top w:val="none" w:sz="0" w:space="0" w:color="auto"/>
        <w:left w:val="none" w:sz="0" w:space="0" w:color="auto"/>
        <w:bottom w:val="none" w:sz="0" w:space="0" w:color="auto"/>
        <w:right w:val="none" w:sz="0" w:space="0" w:color="auto"/>
      </w:divBdr>
    </w:div>
    <w:div w:id="1031225651">
      <w:bodyDiv w:val="1"/>
      <w:marLeft w:val="0"/>
      <w:marRight w:val="0"/>
      <w:marTop w:val="0"/>
      <w:marBottom w:val="0"/>
      <w:divBdr>
        <w:top w:val="none" w:sz="0" w:space="0" w:color="auto"/>
        <w:left w:val="none" w:sz="0" w:space="0" w:color="auto"/>
        <w:bottom w:val="none" w:sz="0" w:space="0" w:color="auto"/>
        <w:right w:val="none" w:sz="0" w:space="0" w:color="auto"/>
      </w:divBdr>
    </w:div>
    <w:div w:id="1032653327">
      <w:bodyDiv w:val="1"/>
      <w:marLeft w:val="0"/>
      <w:marRight w:val="0"/>
      <w:marTop w:val="0"/>
      <w:marBottom w:val="0"/>
      <w:divBdr>
        <w:top w:val="none" w:sz="0" w:space="0" w:color="auto"/>
        <w:left w:val="none" w:sz="0" w:space="0" w:color="auto"/>
        <w:bottom w:val="none" w:sz="0" w:space="0" w:color="auto"/>
        <w:right w:val="none" w:sz="0" w:space="0" w:color="auto"/>
      </w:divBdr>
    </w:div>
    <w:div w:id="1042436277">
      <w:bodyDiv w:val="1"/>
      <w:marLeft w:val="0"/>
      <w:marRight w:val="0"/>
      <w:marTop w:val="0"/>
      <w:marBottom w:val="0"/>
      <w:divBdr>
        <w:top w:val="none" w:sz="0" w:space="0" w:color="auto"/>
        <w:left w:val="none" w:sz="0" w:space="0" w:color="auto"/>
        <w:bottom w:val="none" w:sz="0" w:space="0" w:color="auto"/>
        <w:right w:val="none" w:sz="0" w:space="0" w:color="auto"/>
      </w:divBdr>
    </w:div>
    <w:div w:id="1045593858">
      <w:bodyDiv w:val="1"/>
      <w:marLeft w:val="0"/>
      <w:marRight w:val="0"/>
      <w:marTop w:val="0"/>
      <w:marBottom w:val="0"/>
      <w:divBdr>
        <w:top w:val="none" w:sz="0" w:space="0" w:color="auto"/>
        <w:left w:val="none" w:sz="0" w:space="0" w:color="auto"/>
        <w:bottom w:val="none" w:sz="0" w:space="0" w:color="auto"/>
        <w:right w:val="none" w:sz="0" w:space="0" w:color="auto"/>
      </w:divBdr>
    </w:div>
    <w:div w:id="1070805694">
      <w:bodyDiv w:val="1"/>
      <w:marLeft w:val="0"/>
      <w:marRight w:val="0"/>
      <w:marTop w:val="0"/>
      <w:marBottom w:val="0"/>
      <w:divBdr>
        <w:top w:val="none" w:sz="0" w:space="0" w:color="auto"/>
        <w:left w:val="none" w:sz="0" w:space="0" w:color="auto"/>
        <w:bottom w:val="none" w:sz="0" w:space="0" w:color="auto"/>
        <w:right w:val="none" w:sz="0" w:space="0" w:color="auto"/>
      </w:divBdr>
    </w:div>
    <w:div w:id="1072003114">
      <w:bodyDiv w:val="1"/>
      <w:marLeft w:val="0"/>
      <w:marRight w:val="0"/>
      <w:marTop w:val="0"/>
      <w:marBottom w:val="0"/>
      <w:divBdr>
        <w:top w:val="none" w:sz="0" w:space="0" w:color="auto"/>
        <w:left w:val="none" w:sz="0" w:space="0" w:color="auto"/>
        <w:bottom w:val="none" w:sz="0" w:space="0" w:color="auto"/>
        <w:right w:val="none" w:sz="0" w:space="0" w:color="auto"/>
      </w:divBdr>
    </w:div>
    <w:div w:id="1076055241">
      <w:bodyDiv w:val="1"/>
      <w:marLeft w:val="0"/>
      <w:marRight w:val="0"/>
      <w:marTop w:val="0"/>
      <w:marBottom w:val="0"/>
      <w:divBdr>
        <w:top w:val="none" w:sz="0" w:space="0" w:color="auto"/>
        <w:left w:val="none" w:sz="0" w:space="0" w:color="auto"/>
        <w:bottom w:val="none" w:sz="0" w:space="0" w:color="auto"/>
        <w:right w:val="none" w:sz="0" w:space="0" w:color="auto"/>
      </w:divBdr>
    </w:div>
    <w:div w:id="1076131018">
      <w:bodyDiv w:val="1"/>
      <w:marLeft w:val="0"/>
      <w:marRight w:val="0"/>
      <w:marTop w:val="0"/>
      <w:marBottom w:val="0"/>
      <w:divBdr>
        <w:top w:val="none" w:sz="0" w:space="0" w:color="auto"/>
        <w:left w:val="none" w:sz="0" w:space="0" w:color="auto"/>
        <w:bottom w:val="none" w:sz="0" w:space="0" w:color="auto"/>
        <w:right w:val="none" w:sz="0" w:space="0" w:color="auto"/>
      </w:divBdr>
    </w:div>
    <w:div w:id="1087733749">
      <w:bodyDiv w:val="1"/>
      <w:marLeft w:val="0"/>
      <w:marRight w:val="0"/>
      <w:marTop w:val="0"/>
      <w:marBottom w:val="0"/>
      <w:divBdr>
        <w:top w:val="none" w:sz="0" w:space="0" w:color="auto"/>
        <w:left w:val="none" w:sz="0" w:space="0" w:color="auto"/>
        <w:bottom w:val="none" w:sz="0" w:space="0" w:color="auto"/>
        <w:right w:val="none" w:sz="0" w:space="0" w:color="auto"/>
      </w:divBdr>
    </w:div>
    <w:div w:id="1094740375">
      <w:bodyDiv w:val="1"/>
      <w:marLeft w:val="0"/>
      <w:marRight w:val="0"/>
      <w:marTop w:val="0"/>
      <w:marBottom w:val="0"/>
      <w:divBdr>
        <w:top w:val="none" w:sz="0" w:space="0" w:color="auto"/>
        <w:left w:val="none" w:sz="0" w:space="0" w:color="auto"/>
        <w:bottom w:val="none" w:sz="0" w:space="0" w:color="auto"/>
        <w:right w:val="none" w:sz="0" w:space="0" w:color="auto"/>
      </w:divBdr>
      <w:divsChild>
        <w:div w:id="890076274">
          <w:marLeft w:val="446"/>
          <w:marRight w:val="0"/>
          <w:marTop w:val="0"/>
          <w:marBottom w:val="0"/>
          <w:divBdr>
            <w:top w:val="none" w:sz="0" w:space="0" w:color="auto"/>
            <w:left w:val="none" w:sz="0" w:space="0" w:color="auto"/>
            <w:bottom w:val="none" w:sz="0" w:space="0" w:color="auto"/>
            <w:right w:val="none" w:sz="0" w:space="0" w:color="auto"/>
          </w:divBdr>
        </w:div>
      </w:divsChild>
    </w:div>
    <w:div w:id="1110277891">
      <w:bodyDiv w:val="1"/>
      <w:marLeft w:val="0"/>
      <w:marRight w:val="0"/>
      <w:marTop w:val="0"/>
      <w:marBottom w:val="0"/>
      <w:divBdr>
        <w:top w:val="none" w:sz="0" w:space="0" w:color="auto"/>
        <w:left w:val="none" w:sz="0" w:space="0" w:color="auto"/>
        <w:bottom w:val="none" w:sz="0" w:space="0" w:color="auto"/>
        <w:right w:val="none" w:sz="0" w:space="0" w:color="auto"/>
      </w:divBdr>
    </w:div>
    <w:div w:id="1115250072">
      <w:bodyDiv w:val="1"/>
      <w:marLeft w:val="0"/>
      <w:marRight w:val="0"/>
      <w:marTop w:val="0"/>
      <w:marBottom w:val="0"/>
      <w:divBdr>
        <w:top w:val="none" w:sz="0" w:space="0" w:color="auto"/>
        <w:left w:val="none" w:sz="0" w:space="0" w:color="auto"/>
        <w:bottom w:val="none" w:sz="0" w:space="0" w:color="auto"/>
        <w:right w:val="none" w:sz="0" w:space="0" w:color="auto"/>
      </w:divBdr>
    </w:div>
    <w:div w:id="1126124166">
      <w:bodyDiv w:val="1"/>
      <w:marLeft w:val="0"/>
      <w:marRight w:val="0"/>
      <w:marTop w:val="0"/>
      <w:marBottom w:val="0"/>
      <w:divBdr>
        <w:top w:val="none" w:sz="0" w:space="0" w:color="auto"/>
        <w:left w:val="none" w:sz="0" w:space="0" w:color="auto"/>
        <w:bottom w:val="none" w:sz="0" w:space="0" w:color="auto"/>
        <w:right w:val="none" w:sz="0" w:space="0" w:color="auto"/>
      </w:divBdr>
    </w:div>
    <w:div w:id="1143699625">
      <w:bodyDiv w:val="1"/>
      <w:marLeft w:val="0"/>
      <w:marRight w:val="0"/>
      <w:marTop w:val="0"/>
      <w:marBottom w:val="0"/>
      <w:divBdr>
        <w:top w:val="none" w:sz="0" w:space="0" w:color="auto"/>
        <w:left w:val="none" w:sz="0" w:space="0" w:color="auto"/>
        <w:bottom w:val="none" w:sz="0" w:space="0" w:color="auto"/>
        <w:right w:val="none" w:sz="0" w:space="0" w:color="auto"/>
      </w:divBdr>
    </w:div>
    <w:div w:id="1144540656">
      <w:bodyDiv w:val="1"/>
      <w:marLeft w:val="0"/>
      <w:marRight w:val="0"/>
      <w:marTop w:val="0"/>
      <w:marBottom w:val="0"/>
      <w:divBdr>
        <w:top w:val="none" w:sz="0" w:space="0" w:color="auto"/>
        <w:left w:val="none" w:sz="0" w:space="0" w:color="auto"/>
        <w:bottom w:val="none" w:sz="0" w:space="0" w:color="auto"/>
        <w:right w:val="none" w:sz="0" w:space="0" w:color="auto"/>
      </w:divBdr>
    </w:div>
    <w:div w:id="1162550648">
      <w:bodyDiv w:val="1"/>
      <w:marLeft w:val="0"/>
      <w:marRight w:val="0"/>
      <w:marTop w:val="0"/>
      <w:marBottom w:val="0"/>
      <w:divBdr>
        <w:top w:val="none" w:sz="0" w:space="0" w:color="auto"/>
        <w:left w:val="none" w:sz="0" w:space="0" w:color="auto"/>
        <w:bottom w:val="none" w:sz="0" w:space="0" w:color="auto"/>
        <w:right w:val="none" w:sz="0" w:space="0" w:color="auto"/>
      </w:divBdr>
    </w:div>
    <w:div w:id="1166095474">
      <w:bodyDiv w:val="1"/>
      <w:marLeft w:val="0"/>
      <w:marRight w:val="0"/>
      <w:marTop w:val="0"/>
      <w:marBottom w:val="0"/>
      <w:divBdr>
        <w:top w:val="none" w:sz="0" w:space="0" w:color="auto"/>
        <w:left w:val="none" w:sz="0" w:space="0" w:color="auto"/>
        <w:bottom w:val="none" w:sz="0" w:space="0" w:color="auto"/>
        <w:right w:val="none" w:sz="0" w:space="0" w:color="auto"/>
      </w:divBdr>
    </w:div>
    <w:div w:id="1170757009">
      <w:bodyDiv w:val="1"/>
      <w:marLeft w:val="0"/>
      <w:marRight w:val="0"/>
      <w:marTop w:val="0"/>
      <w:marBottom w:val="0"/>
      <w:divBdr>
        <w:top w:val="none" w:sz="0" w:space="0" w:color="auto"/>
        <w:left w:val="none" w:sz="0" w:space="0" w:color="auto"/>
        <w:bottom w:val="none" w:sz="0" w:space="0" w:color="auto"/>
        <w:right w:val="none" w:sz="0" w:space="0" w:color="auto"/>
      </w:divBdr>
    </w:div>
    <w:div w:id="1172792957">
      <w:bodyDiv w:val="1"/>
      <w:marLeft w:val="0"/>
      <w:marRight w:val="0"/>
      <w:marTop w:val="0"/>
      <w:marBottom w:val="0"/>
      <w:divBdr>
        <w:top w:val="none" w:sz="0" w:space="0" w:color="auto"/>
        <w:left w:val="none" w:sz="0" w:space="0" w:color="auto"/>
        <w:bottom w:val="none" w:sz="0" w:space="0" w:color="auto"/>
        <w:right w:val="none" w:sz="0" w:space="0" w:color="auto"/>
      </w:divBdr>
    </w:div>
    <w:div w:id="1174958540">
      <w:bodyDiv w:val="1"/>
      <w:marLeft w:val="0"/>
      <w:marRight w:val="0"/>
      <w:marTop w:val="0"/>
      <w:marBottom w:val="0"/>
      <w:divBdr>
        <w:top w:val="none" w:sz="0" w:space="0" w:color="auto"/>
        <w:left w:val="none" w:sz="0" w:space="0" w:color="auto"/>
        <w:bottom w:val="none" w:sz="0" w:space="0" w:color="auto"/>
        <w:right w:val="none" w:sz="0" w:space="0" w:color="auto"/>
      </w:divBdr>
    </w:div>
    <w:div w:id="1178349048">
      <w:bodyDiv w:val="1"/>
      <w:marLeft w:val="0"/>
      <w:marRight w:val="0"/>
      <w:marTop w:val="0"/>
      <w:marBottom w:val="0"/>
      <w:divBdr>
        <w:top w:val="none" w:sz="0" w:space="0" w:color="auto"/>
        <w:left w:val="none" w:sz="0" w:space="0" w:color="auto"/>
        <w:bottom w:val="none" w:sz="0" w:space="0" w:color="auto"/>
        <w:right w:val="none" w:sz="0" w:space="0" w:color="auto"/>
      </w:divBdr>
    </w:div>
    <w:div w:id="1181165302">
      <w:bodyDiv w:val="1"/>
      <w:marLeft w:val="0"/>
      <w:marRight w:val="0"/>
      <w:marTop w:val="0"/>
      <w:marBottom w:val="0"/>
      <w:divBdr>
        <w:top w:val="none" w:sz="0" w:space="0" w:color="auto"/>
        <w:left w:val="none" w:sz="0" w:space="0" w:color="auto"/>
        <w:bottom w:val="none" w:sz="0" w:space="0" w:color="auto"/>
        <w:right w:val="none" w:sz="0" w:space="0" w:color="auto"/>
      </w:divBdr>
    </w:div>
    <w:div w:id="1202589987">
      <w:bodyDiv w:val="1"/>
      <w:marLeft w:val="0"/>
      <w:marRight w:val="0"/>
      <w:marTop w:val="0"/>
      <w:marBottom w:val="0"/>
      <w:divBdr>
        <w:top w:val="none" w:sz="0" w:space="0" w:color="auto"/>
        <w:left w:val="none" w:sz="0" w:space="0" w:color="auto"/>
        <w:bottom w:val="none" w:sz="0" w:space="0" w:color="auto"/>
        <w:right w:val="none" w:sz="0" w:space="0" w:color="auto"/>
      </w:divBdr>
    </w:div>
    <w:div w:id="1204951459">
      <w:bodyDiv w:val="1"/>
      <w:marLeft w:val="0"/>
      <w:marRight w:val="0"/>
      <w:marTop w:val="0"/>
      <w:marBottom w:val="0"/>
      <w:divBdr>
        <w:top w:val="none" w:sz="0" w:space="0" w:color="auto"/>
        <w:left w:val="none" w:sz="0" w:space="0" w:color="auto"/>
        <w:bottom w:val="none" w:sz="0" w:space="0" w:color="auto"/>
        <w:right w:val="none" w:sz="0" w:space="0" w:color="auto"/>
      </w:divBdr>
    </w:div>
    <w:div w:id="1214344389">
      <w:bodyDiv w:val="1"/>
      <w:marLeft w:val="0"/>
      <w:marRight w:val="0"/>
      <w:marTop w:val="0"/>
      <w:marBottom w:val="0"/>
      <w:divBdr>
        <w:top w:val="none" w:sz="0" w:space="0" w:color="auto"/>
        <w:left w:val="none" w:sz="0" w:space="0" w:color="auto"/>
        <w:bottom w:val="none" w:sz="0" w:space="0" w:color="auto"/>
        <w:right w:val="none" w:sz="0" w:space="0" w:color="auto"/>
      </w:divBdr>
    </w:div>
    <w:div w:id="1224635251">
      <w:bodyDiv w:val="1"/>
      <w:marLeft w:val="0"/>
      <w:marRight w:val="0"/>
      <w:marTop w:val="0"/>
      <w:marBottom w:val="0"/>
      <w:divBdr>
        <w:top w:val="none" w:sz="0" w:space="0" w:color="auto"/>
        <w:left w:val="none" w:sz="0" w:space="0" w:color="auto"/>
        <w:bottom w:val="none" w:sz="0" w:space="0" w:color="auto"/>
        <w:right w:val="none" w:sz="0" w:space="0" w:color="auto"/>
      </w:divBdr>
    </w:div>
    <w:div w:id="1225529033">
      <w:bodyDiv w:val="1"/>
      <w:marLeft w:val="0"/>
      <w:marRight w:val="0"/>
      <w:marTop w:val="0"/>
      <w:marBottom w:val="0"/>
      <w:divBdr>
        <w:top w:val="none" w:sz="0" w:space="0" w:color="auto"/>
        <w:left w:val="none" w:sz="0" w:space="0" w:color="auto"/>
        <w:bottom w:val="none" w:sz="0" w:space="0" w:color="auto"/>
        <w:right w:val="none" w:sz="0" w:space="0" w:color="auto"/>
      </w:divBdr>
    </w:div>
    <w:div w:id="1230918737">
      <w:bodyDiv w:val="1"/>
      <w:marLeft w:val="0"/>
      <w:marRight w:val="0"/>
      <w:marTop w:val="0"/>
      <w:marBottom w:val="0"/>
      <w:divBdr>
        <w:top w:val="none" w:sz="0" w:space="0" w:color="auto"/>
        <w:left w:val="none" w:sz="0" w:space="0" w:color="auto"/>
        <w:bottom w:val="none" w:sz="0" w:space="0" w:color="auto"/>
        <w:right w:val="none" w:sz="0" w:space="0" w:color="auto"/>
      </w:divBdr>
    </w:div>
    <w:div w:id="1235358467">
      <w:bodyDiv w:val="1"/>
      <w:marLeft w:val="0"/>
      <w:marRight w:val="0"/>
      <w:marTop w:val="0"/>
      <w:marBottom w:val="0"/>
      <w:divBdr>
        <w:top w:val="none" w:sz="0" w:space="0" w:color="auto"/>
        <w:left w:val="none" w:sz="0" w:space="0" w:color="auto"/>
        <w:bottom w:val="none" w:sz="0" w:space="0" w:color="auto"/>
        <w:right w:val="none" w:sz="0" w:space="0" w:color="auto"/>
      </w:divBdr>
    </w:div>
    <w:div w:id="1236940534">
      <w:bodyDiv w:val="1"/>
      <w:marLeft w:val="0"/>
      <w:marRight w:val="0"/>
      <w:marTop w:val="0"/>
      <w:marBottom w:val="0"/>
      <w:divBdr>
        <w:top w:val="none" w:sz="0" w:space="0" w:color="auto"/>
        <w:left w:val="none" w:sz="0" w:space="0" w:color="auto"/>
        <w:bottom w:val="none" w:sz="0" w:space="0" w:color="auto"/>
        <w:right w:val="none" w:sz="0" w:space="0" w:color="auto"/>
      </w:divBdr>
    </w:div>
    <w:div w:id="1241021869">
      <w:bodyDiv w:val="1"/>
      <w:marLeft w:val="0"/>
      <w:marRight w:val="0"/>
      <w:marTop w:val="0"/>
      <w:marBottom w:val="0"/>
      <w:divBdr>
        <w:top w:val="none" w:sz="0" w:space="0" w:color="auto"/>
        <w:left w:val="none" w:sz="0" w:space="0" w:color="auto"/>
        <w:bottom w:val="none" w:sz="0" w:space="0" w:color="auto"/>
        <w:right w:val="none" w:sz="0" w:space="0" w:color="auto"/>
      </w:divBdr>
    </w:div>
    <w:div w:id="1245535503">
      <w:bodyDiv w:val="1"/>
      <w:marLeft w:val="0"/>
      <w:marRight w:val="0"/>
      <w:marTop w:val="0"/>
      <w:marBottom w:val="0"/>
      <w:divBdr>
        <w:top w:val="none" w:sz="0" w:space="0" w:color="auto"/>
        <w:left w:val="none" w:sz="0" w:space="0" w:color="auto"/>
        <w:bottom w:val="none" w:sz="0" w:space="0" w:color="auto"/>
        <w:right w:val="none" w:sz="0" w:space="0" w:color="auto"/>
      </w:divBdr>
    </w:div>
    <w:div w:id="1264534448">
      <w:bodyDiv w:val="1"/>
      <w:marLeft w:val="0"/>
      <w:marRight w:val="0"/>
      <w:marTop w:val="0"/>
      <w:marBottom w:val="0"/>
      <w:divBdr>
        <w:top w:val="none" w:sz="0" w:space="0" w:color="auto"/>
        <w:left w:val="none" w:sz="0" w:space="0" w:color="auto"/>
        <w:bottom w:val="none" w:sz="0" w:space="0" w:color="auto"/>
        <w:right w:val="none" w:sz="0" w:space="0" w:color="auto"/>
      </w:divBdr>
    </w:div>
    <w:div w:id="1284310513">
      <w:bodyDiv w:val="1"/>
      <w:marLeft w:val="0"/>
      <w:marRight w:val="0"/>
      <w:marTop w:val="0"/>
      <w:marBottom w:val="0"/>
      <w:divBdr>
        <w:top w:val="none" w:sz="0" w:space="0" w:color="auto"/>
        <w:left w:val="none" w:sz="0" w:space="0" w:color="auto"/>
        <w:bottom w:val="none" w:sz="0" w:space="0" w:color="auto"/>
        <w:right w:val="none" w:sz="0" w:space="0" w:color="auto"/>
      </w:divBdr>
    </w:div>
    <w:div w:id="1287933489">
      <w:bodyDiv w:val="1"/>
      <w:marLeft w:val="0"/>
      <w:marRight w:val="0"/>
      <w:marTop w:val="0"/>
      <w:marBottom w:val="0"/>
      <w:divBdr>
        <w:top w:val="none" w:sz="0" w:space="0" w:color="auto"/>
        <w:left w:val="none" w:sz="0" w:space="0" w:color="auto"/>
        <w:bottom w:val="none" w:sz="0" w:space="0" w:color="auto"/>
        <w:right w:val="none" w:sz="0" w:space="0" w:color="auto"/>
      </w:divBdr>
    </w:div>
    <w:div w:id="1302153045">
      <w:bodyDiv w:val="1"/>
      <w:marLeft w:val="0"/>
      <w:marRight w:val="0"/>
      <w:marTop w:val="0"/>
      <w:marBottom w:val="0"/>
      <w:divBdr>
        <w:top w:val="none" w:sz="0" w:space="0" w:color="auto"/>
        <w:left w:val="none" w:sz="0" w:space="0" w:color="auto"/>
        <w:bottom w:val="none" w:sz="0" w:space="0" w:color="auto"/>
        <w:right w:val="none" w:sz="0" w:space="0" w:color="auto"/>
      </w:divBdr>
    </w:div>
    <w:div w:id="1321156344">
      <w:bodyDiv w:val="1"/>
      <w:marLeft w:val="0"/>
      <w:marRight w:val="0"/>
      <w:marTop w:val="0"/>
      <w:marBottom w:val="0"/>
      <w:divBdr>
        <w:top w:val="none" w:sz="0" w:space="0" w:color="auto"/>
        <w:left w:val="none" w:sz="0" w:space="0" w:color="auto"/>
        <w:bottom w:val="none" w:sz="0" w:space="0" w:color="auto"/>
        <w:right w:val="none" w:sz="0" w:space="0" w:color="auto"/>
      </w:divBdr>
    </w:div>
    <w:div w:id="1322198415">
      <w:bodyDiv w:val="1"/>
      <w:marLeft w:val="0"/>
      <w:marRight w:val="0"/>
      <w:marTop w:val="0"/>
      <w:marBottom w:val="0"/>
      <w:divBdr>
        <w:top w:val="none" w:sz="0" w:space="0" w:color="auto"/>
        <w:left w:val="none" w:sz="0" w:space="0" w:color="auto"/>
        <w:bottom w:val="none" w:sz="0" w:space="0" w:color="auto"/>
        <w:right w:val="none" w:sz="0" w:space="0" w:color="auto"/>
      </w:divBdr>
    </w:div>
    <w:div w:id="1323046280">
      <w:bodyDiv w:val="1"/>
      <w:marLeft w:val="0"/>
      <w:marRight w:val="0"/>
      <w:marTop w:val="0"/>
      <w:marBottom w:val="0"/>
      <w:divBdr>
        <w:top w:val="none" w:sz="0" w:space="0" w:color="auto"/>
        <w:left w:val="none" w:sz="0" w:space="0" w:color="auto"/>
        <w:bottom w:val="none" w:sz="0" w:space="0" w:color="auto"/>
        <w:right w:val="none" w:sz="0" w:space="0" w:color="auto"/>
      </w:divBdr>
    </w:div>
    <w:div w:id="1329863327">
      <w:bodyDiv w:val="1"/>
      <w:marLeft w:val="0"/>
      <w:marRight w:val="0"/>
      <w:marTop w:val="0"/>
      <w:marBottom w:val="0"/>
      <w:divBdr>
        <w:top w:val="none" w:sz="0" w:space="0" w:color="auto"/>
        <w:left w:val="none" w:sz="0" w:space="0" w:color="auto"/>
        <w:bottom w:val="none" w:sz="0" w:space="0" w:color="auto"/>
        <w:right w:val="none" w:sz="0" w:space="0" w:color="auto"/>
      </w:divBdr>
    </w:div>
    <w:div w:id="1332561304">
      <w:bodyDiv w:val="1"/>
      <w:marLeft w:val="0"/>
      <w:marRight w:val="0"/>
      <w:marTop w:val="0"/>
      <w:marBottom w:val="0"/>
      <w:divBdr>
        <w:top w:val="none" w:sz="0" w:space="0" w:color="auto"/>
        <w:left w:val="none" w:sz="0" w:space="0" w:color="auto"/>
        <w:bottom w:val="none" w:sz="0" w:space="0" w:color="auto"/>
        <w:right w:val="none" w:sz="0" w:space="0" w:color="auto"/>
      </w:divBdr>
    </w:div>
    <w:div w:id="1334408463">
      <w:bodyDiv w:val="1"/>
      <w:marLeft w:val="0"/>
      <w:marRight w:val="0"/>
      <w:marTop w:val="0"/>
      <w:marBottom w:val="0"/>
      <w:divBdr>
        <w:top w:val="none" w:sz="0" w:space="0" w:color="auto"/>
        <w:left w:val="none" w:sz="0" w:space="0" w:color="auto"/>
        <w:bottom w:val="none" w:sz="0" w:space="0" w:color="auto"/>
        <w:right w:val="none" w:sz="0" w:space="0" w:color="auto"/>
      </w:divBdr>
    </w:div>
    <w:div w:id="1335768918">
      <w:bodyDiv w:val="1"/>
      <w:marLeft w:val="0"/>
      <w:marRight w:val="0"/>
      <w:marTop w:val="0"/>
      <w:marBottom w:val="0"/>
      <w:divBdr>
        <w:top w:val="none" w:sz="0" w:space="0" w:color="auto"/>
        <w:left w:val="none" w:sz="0" w:space="0" w:color="auto"/>
        <w:bottom w:val="none" w:sz="0" w:space="0" w:color="auto"/>
        <w:right w:val="none" w:sz="0" w:space="0" w:color="auto"/>
      </w:divBdr>
    </w:div>
    <w:div w:id="1345014674">
      <w:bodyDiv w:val="1"/>
      <w:marLeft w:val="0"/>
      <w:marRight w:val="0"/>
      <w:marTop w:val="0"/>
      <w:marBottom w:val="0"/>
      <w:divBdr>
        <w:top w:val="none" w:sz="0" w:space="0" w:color="auto"/>
        <w:left w:val="none" w:sz="0" w:space="0" w:color="auto"/>
        <w:bottom w:val="none" w:sz="0" w:space="0" w:color="auto"/>
        <w:right w:val="none" w:sz="0" w:space="0" w:color="auto"/>
      </w:divBdr>
    </w:div>
    <w:div w:id="1345404641">
      <w:bodyDiv w:val="1"/>
      <w:marLeft w:val="0"/>
      <w:marRight w:val="0"/>
      <w:marTop w:val="0"/>
      <w:marBottom w:val="0"/>
      <w:divBdr>
        <w:top w:val="none" w:sz="0" w:space="0" w:color="auto"/>
        <w:left w:val="none" w:sz="0" w:space="0" w:color="auto"/>
        <w:bottom w:val="none" w:sz="0" w:space="0" w:color="auto"/>
        <w:right w:val="none" w:sz="0" w:space="0" w:color="auto"/>
      </w:divBdr>
    </w:div>
    <w:div w:id="1363745897">
      <w:bodyDiv w:val="1"/>
      <w:marLeft w:val="0"/>
      <w:marRight w:val="0"/>
      <w:marTop w:val="0"/>
      <w:marBottom w:val="0"/>
      <w:divBdr>
        <w:top w:val="none" w:sz="0" w:space="0" w:color="auto"/>
        <w:left w:val="none" w:sz="0" w:space="0" w:color="auto"/>
        <w:bottom w:val="none" w:sz="0" w:space="0" w:color="auto"/>
        <w:right w:val="none" w:sz="0" w:space="0" w:color="auto"/>
      </w:divBdr>
    </w:div>
    <w:div w:id="1363937202">
      <w:bodyDiv w:val="1"/>
      <w:marLeft w:val="0"/>
      <w:marRight w:val="0"/>
      <w:marTop w:val="0"/>
      <w:marBottom w:val="0"/>
      <w:divBdr>
        <w:top w:val="none" w:sz="0" w:space="0" w:color="auto"/>
        <w:left w:val="none" w:sz="0" w:space="0" w:color="auto"/>
        <w:bottom w:val="none" w:sz="0" w:space="0" w:color="auto"/>
        <w:right w:val="none" w:sz="0" w:space="0" w:color="auto"/>
      </w:divBdr>
    </w:div>
    <w:div w:id="1366322124">
      <w:bodyDiv w:val="1"/>
      <w:marLeft w:val="0"/>
      <w:marRight w:val="0"/>
      <w:marTop w:val="0"/>
      <w:marBottom w:val="0"/>
      <w:divBdr>
        <w:top w:val="none" w:sz="0" w:space="0" w:color="auto"/>
        <w:left w:val="none" w:sz="0" w:space="0" w:color="auto"/>
        <w:bottom w:val="none" w:sz="0" w:space="0" w:color="auto"/>
        <w:right w:val="none" w:sz="0" w:space="0" w:color="auto"/>
      </w:divBdr>
    </w:div>
    <w:div w:id="1371563809">
      <w:bodyDiv w:val="1"/>
      <w:marLeft w:val="0"/>
      <w:marRight w:val="0"/>
      <w:marTop w:val="0"/>
      <w:marBottom w:val="0"/>
      <w:divBdr>
        <w:top w:val="none" w:sz="0" w:space="0" w:color="auto"/>
        <w:left w:val="none" w:sz="0" w:space="0" w:color="auto"/>
        <w:bottom w:val="none" w:sz="0" w:space="0" w:color="auto"/>
        <w:right w:val="none" w:sz="0" w:space="0" w:color="auto"/>
      </w:divBdr>
    </w:div>
    <w:div w:id="1373769670">
      <w:bodyDiv w:val="1"/>
      <w:marLeft w:val="0"/>
      <w:marRight w:val="0"/>
      <w:marTop w:val="0"/>
      <w:marBottom w:val="0"/>
      <w:divBdr>
        <w:top w:val="none" w:sz="0" w:space="0" w:color="auto"/>
        <w:left w:val="none" w:sz="0" w:space="0" w:color="auto"/>
        <w:bottom w:val="none" w:sz="0" w:space="0" w:color="auto"/>
        <w:right w:val="none" w:sz="0" w:space="0" w:color="auto"/>
      </w:divBdr>
    </w:div>
    <w:div w:id="1384524644">
      <w:bodyDiv w:val="1"/>
      <w:marLeft w:val="0"/>
      <w:marRight w:val="0"/>
      <w:marTop w:val="0"/>
      <w:marBottom w:val="0"/>
      <w:divBdr>
        <w:top w:val="none" w:sz="0" w:space="0" w:color="auto"/>
        <w:left w:val="none" w:sz="0" w:space="0" w:color="auto"/>
        <w:bottom w:val="none" w:sz="0" w:space="0" w:color="auto"/>
        <w:right w:val="none" w:sz="0" w:space="0" w:color="auto"/>
      </w:divBdr>
    </w:div>
    <w:div w:id="1387027669">
      <w:bodyDiv w:val="1"/>
      <w:marLeft w:val="0"/>
      <w:marRight w:val="0"/>
      <w:marTop w:val="0"/>
      <w:marBottom w:val="0"/>
      <w:divBdr>
        <w:top w:val="none" w:sz="0" w:space="0" w:color="auto"/>
        <w:left w:val="none" w:sz="0" w:space="0" w:color="auto"/>
        <w:bottom w:val="none" w:sz="0" w:space="0" w:color="auto"/>
        <w:right w:val="none" w:sz="0" w:space="0" w:color="auto"/>
      </w:divBdr>
    </w:div>
    <w:div w:id="1391416762">
      <w:bodyDiv w:val="1"/>
      <w:marLeft w:val="0"/>
      <w:marRight w:val="0"/>
      <w:marTop w:val="0"/>
      <w:marBottom w:val="0"/>
      <w:divBdr>
        <w:top w:val="none" w:sz="0" w:space="0" w:color="auto"/>
        <w:left w:val="none" w:sz="0" w:space="0" w:color="auto"/>
        <w:bottom w:val="none" w:sz="0" w:space="0" w:color="auto"/>
        <w:right w:val="none" w:sz="0" w:space="0" w:color="auto"/>
      </w:divBdr>
    </w:div>
    <w:div w:id="1406151928">
      <w:bodyDiv w:val="1"/>
      <w:marLeft w:val="0"/>
      <w:marRight w:val="0"/>
      <w:marTop w:val="0"/>
      <w:marBottom w:val="0"/>
      <w:divBdr>
        <w:top w:val="none" w:sz="0" w:space="0" w:color="auto"/>
        <w:left w:val="none" w:sz="0" w:space="0" w:color="auto"/>
        <w:bottom w:val="none" w:sz="0" w:space="0" w:color="auto"/>
        <w:right w:val="none" w:sz="0" w:space="0" w:color="auto"/>
      </w:divBdr>
    </w:div>
    <w:div w:id="1413509484">
      <w:bodyDiv w:val="1"/>
      <w:marLeft w:val="0"/>
      <w:marRight w:val="0"/>
      <w:marTop w:val="0"/>
      <w:marBottom w:val="0"/>
      <w:divBdr>
        <w:top w:val="none" w:sz="0" w:space="0" w:color="auto"/>
        <w:left w:val="none" w:sz="0" w:space="0" w:color="auto"/>
        <w:bottom w:val="none" w:sz="0" w:space="0" w:color="auto"/>
        <w:right w:val="none" w:sz="0" w:space="0" w:color="auto"/>
      </w:divBdr>
    </w:div>
    <w:div w:id="1416973984">
      <w:bodyDiv w:val="1"/>
      <w:marLeft w:val="0"/>
      <w:marRight w:val="0"/>
      <w:marTop w:val="0"/>
      <w:marBottom w:val="0"/>
      <w:divBdr>
        <w:top w:val="none" w:sz="0" w:space="0" w:color="auto"/>
        <w:left w:val="none" w:sz="0" w:space="0" w:color="auto"/>
        <w:bottom w:val="none" w:sz="0" w:space="0" w:color="auto"/>
        <w:right w:val="none" w:sz="0" w:space="0" w:color="auto"/>
      </w:divBdr>
    </w:div>
    <w:div w:id="1417364504">
      <w:bodyDiv w:val="1"/>
      <w:marLeft w:val="0"/>
      <w:marRight w:val="0"/>
      <w:marTop w:val="0"/>
      <w:marBottom w:val="0"/>
      <w:divBdr>
        <w:top w:val="none" w:sz="0" w:space="0" w:color="auto"/>
        <w:left w:val="none" w:sz="0" w:space="0" w:color="auto"/>
        <w:bottom w:val="none" w:sz="0" w:space="0" w:color="auto"/>
        <w:right w:val="none" w:sz="0" w:space="0" w:color="auto"/>
      </w:divBdr>
    </w:div>
    <w:div w:id="1421372913">
      <w:bodyDiv w:val="1"/>
      <w:marLeft w:val="0"/>
      <w:marRight w:val="0"/>
      <w:marTop w:val="0"/>
      <w:marBottom w:val="0"/>
      <w:divBdr>
        <w:top w:val="none" w:sz="0" w:space="0" w:color="auto"/>
        <w:left w:val="none" w:sz="0" w:space="0" w:color="auto"/>
        <w:bottom w:val="none" w:sz="0" w:space="0" w:color="auto"/>
        <w:right w:val="none" w:sz="0" w:space="0" w:color="auto"/>
      </w:divBdr>
    </w:div>
    <w:div w:id="1425490806">
      <w:bodyDiv w:val="1"/>
      <w:marLeft w:val="0"/>
      <w:marRight w:val="0"/>
      <w:marTop w:val="0"/>
      <w:marBottom w:val="0"/>
      <w:divBdr>
        <w:top w:val="none" w:sz="0" w:space="0" w:color="auto"/>
        <w:left w:val="none" w:sz="0" w:space="0" w:color="auto"/>
        <w:bottom w:val="none" w:sz="0" w:space="0" w:color="auto"/>
        <w:right w:val="none" w:sz="0" w:space="0" w:color="auto"/>
      </w:divBdr>
      <w:divsChild>
        <w:div w:id="1472359931">
          <w:marLeft w:val="0"/>
          <w:marRight w:val="0"/>
          <w:marTop w:val="0"/>
          <w:marBottom w:val="0"/>
          <w:divBdr>
            <w:top w:val="none" w:sz="0" w:space="0" w:color="auto"/>
            <w:left w:val="none" w:sz="0" w:space="0" w:color="auto"/>
            <w:bottom w:val="none" w:sz="0" w:space="0" w:color="auto"/>
            <w:right w:val="none" w:sz="0" w:space="0" w:color="auto"/>
          </w:divBdr>
          <w:divsChild>
            <w:div w:id="604532022">
              <w:marLeft w:val="0"/>
              <w:marRight w:val="0"/>
              <w:marTop w:val="0"/>
              <w:marBottom w:val="0"/>
              <w:divBdr>
                <w:top w:val="none" w:sz="0" w:space="0" w:color="auto"/>
                <w:left w:val="none" w:sz="0" w:space="0" w:color="auto"/>
                <w:bottom w:val="none" w:sz="0" w:space="0" w:color="auto"/>
                <w:right w:val="none" w:sz="0" w:space="0" w:color="auto"/>
              </w:divBdr>
              <w:divsChild>
                <w:div w:id="566263648">
                  <w:marLeft w:val="0"/>
                  <w:marRight w:val="0"/>
                  <w:marTop w:val="0"/>
                  <w:marBottom w:val="0"/>
                  <w:divBdr>
                    <w:top w:val="none" w:sz="0" w:space="0" w:color="auto"/>
                    <w:left w:val="none" w:sz="0" w:space="0" w:color="auto"/>
                    <w:bottom w:val="none" w:sz="0" w:space="0" w:color="auto"/>
                    <w:right w:val="none" w:sz="0" w:space="0" w:color="auto"/>
                  </w:divBdr>
                  <w:divsChild>
                    <w:div w:id="630134239">
                      <w:marLeft w:val="0"/>
                      <w:marRight w:val="0"/>
                      <w:marTop w:val="0"/>
                      <w:marBottom w:val="0"/>
                      <w:divBdr>
                        <w:top w:val="none" w:sz="0" w:space="0" w:color="auto"/>
                        <w:left w:val="none" w:sz="0" w:space="0" w:color="auto"/>
                        <w:bottom w:val="none" w:sz="0" w:space="0" w:color="auto"/>
                        <w:right w:val="none" w:sz="0" w:space="0" w:color="auto"/>
                      </w:divBdr>
                      <w:divsChild>
                        <w:div w:id="13263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3327">
      <w:bodyDiv w:val="1"/>
      <w:marLeft w:val="0"/>
      <w:marRight w:val="0"/>
      <w:marTop w:val="0"/>
      <w:marBottom w:val="0"/>
      <w:divBdr>
        <w:top w:val="none" w:sz="0" w:space="0" w:color="auto"/>
        <w:left w:val="none" w:sz="0" w:space="0" w:color="auto"/>
        <w:bottom w:val="none" w:sz="0" w:space="0" w:color="auto"/>
        <w:right w:val="none" w:sz="0" w:space="0" w:color="auto"/>
      </w:divBdr>
    </w:div>
    <w:div w:id="1443963935">
      <w:bodyDiv w:val="1"/>
      <w:marLeft w:val="0"/>
      <w:marRight w:val="0"/>
      <w:marTop w:val="0"/>
      <w:marBottom w:val="0"/>
      <w:divBdr>
        <w:top w:val="none" w:sz="0" w:space="0" w:color="auto"/>
        <w:left w:val="none" w:sz="0" w:space="0" w:color="auto"/>
        <w:bottom w:val="none" w:sz="0" w:space="0" w:color="auto"/>
        <w:right w:val="none" w:sz="0" w:space="0" w:color="auto"/>
      </w:divBdr>
    </w:div>
    <w:div w:id="1454207027">
      <w:bodyDiv w:val="1"/>
      <w:marLeft w:val="0"/>
      <w:marRight w:val="0"/>
      <w:marTop w:val="0"/>
      <w:marBottom w:val="0"/>
      <w:divBdr>
        <w:top w:val="none" w:sz="0" w:space="0" w:color="auto"/>
        <w:left w:val="none" w:sz="0" w:space="0" w:color="auto"/>
        <w:bottom w:val="none" w:sz="0" w:space="0" w:color="auto"/>
        <w:right w:val="none" w:sz="0" w:space="0" w:color="auto"/>
      </w:divBdr>
    </w:div>
    <w:div w:id="1455828419">
      <w:bodyDiv w:val="1"/>
      <w:marLeft w:val="0"/>
      <w:marRight w:val="0"/>
      <w:marTop w:val="0"/>
      <w:marBottom w:val="0"/>
      <w:divBdr>
        <w:top w:val="none" w:sz="0" w:space="0" w:color="auto"/>
        <w:left w:val="none" w:sz="0" w:space="0" w:color="auto"/>
        <w:bottom w:val="none" w:sz="0" w:space="0" w:color="auto"/>
        <w:right w:val="none" w:sz="0" w:space="0" w:color="auto"/>
      </w:divBdr>
    </w:div>
    <w:div w:id="1465349613">
      <w:bodyDiv w:val="1"/>
      <w:marLeft w:val="0"/>
      <w:marRight w:val="0"/>
      <w:marTop w:val="0"/>
      <w:marBottom w:val="0"/>
      <w:divBdr>
        <w:top w:val="none" w:sz="0" w:space="0" w:color="auto"/>
        <w:left w:val="none" w:sz="0" w:space="0" w:color="auto"/>
        <w:bottom w:val="none" w:sz="0" w:space="0" w:color="auto"/>
        <w:right w:val="none" w:sz="0" w:space="0" w:color="auto"/>
      </w:divBdr>
    </w:div>
    <w:div w:id="1470317051">
      <w:bodyDiv w:val="1"/>
      <w:marLeft w:val="0"/>
      <w:marRight w:val="0"/>
      <w:marTop w:val="0"/>
      <w:marBottom w:val="0"/>
      <w:divBdr>
        <w:top w:val="none" w:sz="0" w:space="0" w:color="auto"/>
        <w:left w:val="none" w:sz="0" w:space="0" w:color="auto"/>
        <w:bottom w:val="none" w:sz="0" w:space="0" w:color="auto"/>
        <w:right w:val="none" w:sz="0" w:space="0" w:color="auto"/>
      </w:divBdr>
    </w:div>
    <w:div w:id="1477145293">
      <w:bodyDiv w:val="1"/>
      <w:marLeft w:val="0"/>
      <w:marRight w:val="0"/>
      <w:marTop w:val="0"/>
      <w:marBottom w:val="0"/>
      <w:divBdr>
        <w:top w:val="none" w:sz="0" w:space="0" w:color="auto"/>
        <w:left w:val="none" w:sz="0" w:space="0" w:color="auto"/>
        <w:bottom w:val="none" w:sz="0" w:space="0" w:color="auto"/>
        <w:right w:val="none" w:sz="0" w:space="0" w:color="auto"/>
      </w:divBdr>
    </w:div>
    <w:div w:id="1477647801">
      <w:bodyDiv w:val="1"/>
      <w:marLeft w:val="0"/>
      <w:marRight w:val="0"/>
      <w:marTop w:val="0"/>
      <w:marBottom w:val="0"/>
      <w:divBdr>
        <w:top w:val="none" w:sz="0" w:space="0" w:color="auto"/>
        <w:left w:val="none" w:sz="0" w:space="0" w:color="auto"/>
        <w:bottom w:val="none" w:sz="0" w:space="0" w:color="auto"/>
        <w:right w:val="none" w:sz="0" w:space="0" w:color="auto"/>
      </w:divBdr>
    </w:div>
    <w:div w:id="1480726324">
      <w:bodyDiv w:val="1"/>
      <w:marLeft w:val="0"/>
      <w:marRight w:val="0"/>
      <w:marTop w:val="0"/>
      <w:marBottom w:val="0"/>
      <w:divBdr>
        <w:top w:val="none" w:sz="0" w:space="0" w:color="auto"/>
        <w:left w:val="none" w:sz="0" w:space="0" w:color="auto"/>
        <w:bottom w:val="none" w:sz="0" w:space="0" w:color="auto"/>
        <w:right w:val="none" w:sz="0" w:space="0" w:color="auto"/>
      </w:divBdr>
    </w:div>
    <w:div w:id="1480999231">
      <w:bodyDiv w:val="1"/>
      <w:marLeft w:val="0"/>
      <w:marRight w:val="0"/>
      <w:marTop w:val="0"/>
      <w:marBottom w:val="0"/>
      <w:divBdr>
        <w:top w:val="none" w:sz="0" w:space="0" w:color="auto"/>
        <w:left w:val="none" w:sz="0" w:space="0" w:color="auto"/>
        <w:bottom w:val="none" w:sz="0" w:space="0" w:color="auto"/>
        <w:right w:val="none" w:sz="0" w:space="0" w:color="auto"/>
      </w:divBdr>
    </w:div>
    <w:div w:id="1488593921">
      <w:bodyDiv w:val="1"/>
      <w:marLeft w:val="0"/>
      <w:marRight w:val="0"/>
      <w:marTop w:val="0"/>
      <w:marBottom w:val="0"/>
      <w:divBdr>
        <w:top w:val="none" w:sz="0" w:space="0" w:color="auto"/>
        <w:left w:val="none" w:sz="0" w:space="0" w:color="auto"/>
        <w:bottom w:val="none" w:sz="0" w:space="0" w:color="auto"/>
        <w:right w:val="none" w:sz="0" w:space="0" w:color="auto"/>
      </w:divBdr>
    </w:div>
    <w:div w:id="1506356716">
      <w:bodyDiv w:val="1"/>
      <w:marLeft w:val="0"/>
      <w:marRight w:val="0"/>
      <w:marTop w:val="0"/>
      <w:marBottom w:val="0"/>
      <w:divBdr>
        <w:top w:val="none" w:sz="0" w:space="0" w:color="auto"/>
        <w:left w:val="none" w:sz="0" w:space="0" w:color="auto"/>
        <w:bottom w:val="none" w:sz="0" w:space="0" w:color="auto"/>
        <w:right w:val="none" w:sz="0" w:space="0" w:color="auto"/>
      </w:divBdr>
    </w:div>
    <w:div w:id="1508209218">
      <w:bodyDiv w:val="1"/>
      <w:marLeft w:val="0"/>
      <w:marRight w:val="0"/>
      <w:marTop w:val="0"/>
      <w:marBottom w:val="0"/>
      <w:divBdr>
        <w:top w:val="none" w:sz="0" w:space="0" w:color="auto"/>
        <w:left w:val="none" w:sz="0" w:space="0" w:color="auto"/>
        <w:bottom w:val="none" w:sz="0" w:space="0" w:color="auto"/>
        <w:right w:val="none" w:sz="0" w:space="0" w:color="auto"/>
      </w:divBdr>
    </w:div>
    <w:div w:id="1509056509">
      <w:bodyDiv w:val="1"/>
      <w:marLeft w:val="0"/>
      <w:marRight w:val="0"/>
      <w:marTop w:val="0"/>
      <w:marBottom w:val="0"/>
      <w:divBdr>
        <w:top w:val="none" w:sz="0" w:space="0" w:color="auto"/>
        <w:left w:val="none" w:sz="0" w:space="0" w:color="auto"/>
        <w:bottom w:val="none" w:sz="0" w:space="0" w:color="auto"/>
        <w:right w:val="none" w:sz="0" w:space="0" w:color="auto"/>
      </w:divBdr>
    </w:div>
    <w:div w:id="1531457252">
      <w:bodyDiv w:val="1"/>
      <w:marLeft w:val="0"/>
      <w:marRight w:val="0"/>
      <w:marTop w:val="0"/>
      <w:marBottom w:val="0"/>
      <w:divBdr>
        <w:top w:val="none" w:sz="0" w:space="0" w:color="auto"/>
        <w:left w:val="none" w:sz="0" w:space="0" w:color="auto"/>
        <w:bottom w:val="none" w:sz="0" w:space="0" w:color="auto"/>
        <w:right w:val="none" w:sz="0" w:space="0" w:color="auto"/>
      </w:divBdr>
    </w:div>
    <w:div w:id="1544100927">
      <w:bodyDiv w:val="1"/>
      <w:marLeft w:val="0"/>
      <w:marRight w:val="0"/>
      <w:marTop w:val="0"/>
      <w:marBottom w:val="0"/>
      <w:divBdr>
        <w:top w:val="none" w:sz="0" w:space="0" w:color="auto"/>
        <w:left w:val="none" w:sz="0" w:space="0" w:color="auto"/>
        <w:bottom w:val="none" w:sz="0" w:space="0" w:color="auto"/>
        <w:right w:val="none" w:sz="0" w:space="0" w:color="auto"/>
      </w:divBdr>
    </w:div>
    <w:div w:id="1555003383">
      <w:bodyDiv w:val="1"/>
      <w:marLeft w:val="0"/>
      <w:marRight w:val="0"/>
      <w:marTop w:val="0"/>
      <w:marBottom w:val="0"/>
      <w:divBdr>
        <w:top w:val="none" w:sz="0" w:space="0" w:color="auto"/>
        <w:left w:val="none" w:sz="0" w:space="0" w:color="auto"/>
        <w:bottom w:val="none" w:sz="0" w:space="0" w:color="auto"/>
        <w:right w:val="none" w:sz="0" w:space="0" w:color="auto"/>
      </w:divBdr>
    </w:div>
    <w:div w:id="1562014858">
      <w:bodyDiv w:val="1"/>
      <w:marLeft w:val="0"/>
      <w:marRight w:val="0"/>
      <w:marTop w:val="0"/>
      <w:marBottom w:val="0"/>
      <w:divBdr>
        <w:top w:val="none" w:sz="0" w:space="0" w:color="auto"/>
        <w:left w:val="none" w:sz="0" w:space="0" w:color="auto"/>
        <w:bottom w:val="none" w:sz="0" w:space="0" w:color="auto"/>
        <w:right w:val="none" w:sz="0" w:space="0" w:color="auto"/>
      </w:divBdr>
    </w:div>
    <w:div w:id="1570115054">
      <w:bodyDiv w:val="1"/>
      <w:marLeft w:val="0"/>
      <w:marRight w:val="0"/>
      <w:marTop w:val="0"/>
      <w:marBottom w:val="0"/>
      <w:divBdr>
        <w:top w:val="none" w:sz="0" w:space="0" w:color="auto"/>
        <w:left w:val="none" w:sz="0" w:space="0" w:color="auto"/>
        <w:bottom w:val="none" w:sz="0" w:space="0" w:color="auto"/>
        <w:right w:val="none" w:sz="0" w:space="0" w:color="auto"/>
      </w:divBdr>
    </w:div>
    <w:div w:id="1574118518">
      <w:bodyDiv w:val="1"/>
      <w:marLeft w:val="0"/>
      <w:marRight w:val="0"/>
      <w:marTop w:val="0"/>
      <w:marBottom w:val="0"/>
      <w:divBdr>
        <w:top w:val="none" w:sz="0" w:space="0" w:color="auto"/>
        <w:left w:val="none" w:sz="0" w:space="0" w:color="auto"/>
        <w:bottom w:val="none" w:sz="0" w:space="0" w:color="auto"/>
        <w:right w:val="none" w:sz="0" w:space="0" w:color="auto"/>
      </w:divBdr>
    </w:div>
    <w:div w:id="1578634862">
      <w:bodyDiv w:val="1"/>
      <w:marLeft w:val="0"/>
      <w:marRight w:val="0"/>
      <w:marTop w:val="0"/>
      <w:marBottom w:val="0"/>
      <w:divBdr>
        <w:top w:val="none" w:sz="0" w:space="0" w:color="auto"/>
        <w:left w:val="none" w:sz="0" w:space="0" w:color="auto"/>
        <w:bottom w:val="none" w:sz="0" w:space="0" w:color="auto"/>
        <w:right w:val="none" w:sz="0" w:space="0" w:color="auto"/>
      </w:divBdr>
    </w:div>
    <w:div w:id="1598636696">
      <w:bodyDiv w:val="1"/>
      <w:marLeft w:val="0"/>
      <w:marRight w:val="0"/>
      <w:marTop w:val="0"/>
      <w:marBottom w:val="0"/>
      <w:divBdr>
        <w:top w:val="none" w:sz="0" w:space="0" w:color="auto"/>
        <w:left w:val="none" w:sz="0" w:space="0" w:color="auto"/>
        <w:bottom w:val="none" w:sz="0" w:space="0" w:color="auto"/>
        <w:right w:val="none" w:sz="0" w:space="0" w:color="auto"/>
      </w:divBdr>
    </w:div>
    <w:div w:id="1639531775">
      <w:bodyDiv w:val="1"/>
      <w:marLeft w:val="0"/>
      <w:marRight w:val="0"/>
      <w:marTop w:val="0"/>
      <w:marBottom w:val="0"/>
      <w:divBdr>
        <w:top w:val="none" w:sz="0" w:space="0" w:color="auto"/>
        <w:left w:val="none" w:sz="0" w:space="0" w:color="auto"/>
        <w:bottom w:val="none" w:sz="0" w:space="0" w:color="auto"/>
        <w:right w:val="none" w:sz="0" w:space="0" w:color="auto"/>
      </w:divBdr>
    </w:div>
    <w:div w:id="1653943552">
      <w:bodyDiv w:val="1"/>
      <w:marLeft w:val="0"/>
      <w:marRight w:val="0"/>
      <w:marTop w:val="0"/>
      <w:marBottom w:val="0"/>
      <w:divBdr>
        <w:top w:val="none" w:sz="0" w:space="0" w:color="auto"/>
        <w:left w:val="none" w:sz="0" w:space="0" w:color="auto"/>
        <w:bottom w:val="none" w:sz="0" w:space="0" w:color="auto"/>
        <w:right w:val="none" w:sz="0" w:space="0" w:color="auto"/>
      </w:divBdr>
    </w:div>
    <w:div w:id="1654529787">
      <w:bodyDiv w:val="1"/>
      <w:marLeft w:val="0"/>
      <w:marRight w:val="0"/>
      <w:marTop w:val="0"/>
      <w:marBottom w:val="0"/>
      <w:divBdr>
        <w:top w:val="none" w:sz="0" w:space="0" w:color="auto"/>
        <w:left w:val="none" w:sz="0" w:space="0" w:color="auto"/>
        <w:bottom w:val="none" w:sz="0" w:space="0" w:color="auto"/>
        <w:right w:val="none" w:sz="0" w:space="0" w:color="auto"/>
      </w:divBdr>
    </w:div>
    <w:div w:id="1658806079">
      <w:bodyDiv w:val="1"/>
      <w:marLeft w:val="0"/>
      <w:marRight w:val="0"/>
      <w:marTop w:val="0"/>
      <w:marBottom w:val="0"/>
      <w:divBdr>
        <w:top w:val="none" w:sz="0" w:space="0" w:color="auto"/>
        <w:left w:val="none" w:sz="0" w:space="0" w:color="auto"/>
        <w:bottom w:val="none" w:sz="0" w:space="0" w:color="auto"/>
        <w:right w:val="none" w:sz="0" w:space="0" w:color="auto"/>
      </w:divBdr>
    </w:div>
    <w:div w:id="1660307197">
      <w:bodyDiv w:val="1"/>
      <w:marLeft w:val="0"/>
      <w:marRight w:val="0"/>
      <w:marTop w:val="0"/>
      <w:marBottom w:val="0"/>
      <w:divBdr>
        <w:top w:val="none" w:sz="0" w:space="0" w:color="auto"/>
        <w:left w:val="none" w:sz="0" w:space="0" w:color="auto"/>
        <w:bottom w:val="none" w:sz="0" w:space="0" w:color="auto"/>
        <w:right w:val="none" w:sz="0" w:space="0" w:color="auto"/>
      </w:divBdr>
    </w:div>
    <w:div w:id="1666007092">
      <w:bodyDiv w:val="1"/>
      <w:marLeft w:val="0"/>
      <w:marRight w:val="0"/>
      <w:marTop w:val="0"/>
      <w:marBottom w:val="0"/>
      <w:divBdr>
        <w:top w:val="none" w:sz="0" w:space="0" w:color="auto"/>
        <w:left w:val="none" w:sz="0" w:space="0" w:color="auto"/>
        <w:bottom w:val="none" w:sz="0" w:space="0" w:color="auto"/>
        <w:right w:val="none" w:sz="0" w:space="0" w:color="auto"/>
      </w:divBdr>
    </w:div>
    <w:div w:id="1672639601">
      <w:bodyDiv w:val="1"/>
      <w:marLeft w:val="0"/>
      <w:marRight w:val="0"/>
      <w:marTop w:val="0"/>
      <w:marBottom w:val="0"/>
      <w:divBdr>
        <w:top w:val="none" w:sz="0" w:space="0" w:color="auto"/>
        <w:left w:val="none" w:sz="0" w:space="0" w:color="auto"/>
        <w:bottom w:val="none" w:sz="0" w:space="0" w:color="auto"/>
        <w:right w:val="none" w:sz="0" w:space="0" w:color="auto"/>
      </w:divBdr>
    </w:div>
    <w:div w:id="1676877725">
      <w:bodyDiv w:val="1"/>
      <w:marLeft w:val="0"/>
      <w:marRight w:val="0"/>
      <w:marTop w:val="0"/>
      <w:marBottom w:val="0"/>
      <w:divBdr>
        <w:top w:val="none" w:sz="0" w:space="0" w:color="auto"/>
        <w:left w:val="none" w:sz="0" w:space="0" w:color="auto"/>
        <w:bottom w:val="none" w:sz="0" w:space="0" w:color="auto"/>
        <w:right w:val="none" w:sz="0" w:space="0" w:color="auto"/>
      </w:divBdr>
    </w:div>
    <w:div w:id="1682780702">
      <w:bodyDiv w:val="1"/>
      <w:marLeft w:val="0"/>
      <w:marRight w:val="0"/>
      <w:marTop w:val="0"/>
      <w:marBottom w:val="0"/>
      <w:divBdr>
        <w:top w:val="none" w:sz="0" w:space="0" w:color="auto"/>
        <w:left w:val="none" w:sz="0" w:space="0" w:color="auto"/>
        <w:bottom w:val="none" w:sz="0" w:space="0" w:color="auto"/>
        <w:right w:val="none" w:sz="0" w:space="0" w:color="auto"/>
      </w:divBdr>
    </w:div>
    <w:div w:id="1684933771">
      <w:bodyDiv w:val="1"/>
      <w:marLeft w:val="0"/>
      <w:marRight w:val="0"/>
      <w:marTop w:val="0"/>
      <w:marBottom w:val="0"/>
      <w:divBdr>
        <w:top w:val="none" w:sz="0" w:space="0" w:color="auto"/>
        <w:left w:val="none" w:sz="0" w:space="0" w:color="auto"/>
        <w:bottom w:val="none" w:sz="0" w:space="0" w:color="auto"/>
        <w:right w:val="none" w:sz="0" w:space="0" w:color="auto"/>
      </w:divBdr>
    </w:div>
    <w:div w:id="1686515779">
      <w:bodyDiv w:val="1"/>
      <w:marLeft w:val="0"/>
      <w:marRight w:val="0"/>
      <w:marTop w:val="0"/>
      <w:marBottom w:val="0"/>
      <w:divBdr>
        <w:top w:val="none" w:sz="0" w:space="0" w:color="auto"/>
        <w:left w:val="none" w:sz="0" w:space="0" w:color="auto"/>
        <w:bottom w:val="none" w:sz="0" w:space="0" w:color="auto"/>
        <w:right w:val="none" w:sz="0" w:space="0" w:color="auto"/>
      </w:divBdr>
    </w:div>
    <w:div w:id="1696271946">
      <w:bodyDiv w:val="1"/>
      <w:marLeft w:val="0"/>
      <w:marRight w:val="0"/>
      <w:marTop w:val="0"/>
      <w:marBottom w:val="0"/>
      <w:divBdr>
        <w:top w:val="none" w:sz="0" w:space="0" w:color="auto"/>
        <w:left w:val="none" w:sz="0" w:space="0" w:color="auto"/>
        <w:bottom w:val="none" w:sz="0" w:space="0" w:color="auto"/>
        <w:right w:val="none" w:sz="0" w:space="0" w:color="auto"/>
      </w:divBdr>
    </w:div>
    <w:div w:id="1701274399">
      <w:bodyDiv w:val="1"/>
      <w:marLeft w:val="0"/>
      <w:marRight w:val="0"/>
      <w:marTop w:val="0"/>
      <w:marBottom w:val="0"/>
      <w:divBdr>
        <w:top w:val="none" w:sz="0" w:space="0" w:color="auto"/>
        <w:left w:val="none" w:sz="0" w:space="0" w:color="auto"/>
        <w:bottom w:val="none" w:sz="0" w:space="0" w:color="auto"/>
        <w:right w:val="none" w:sz="0" w:space="0" w:color="auto"/>
      </w:divBdr>
    </w:div>
    <w:div w:id="1721319494">
      <w:bodyDiv w:val="1"/>
      <w:marLeft w:val="0"/>
      <w:marRight w:val="0"/>
      <w:marTop w:val="0"/>
      <w:marBottom w:val="0"/>
      <w:divBdr>
        <w:top w:val="none" w:sz="0" w:space="0" w:color="auto"/>
        <w:left w:val="none" w:sz="0" w:space="0" w:color="auto"/>
        <w:bottom w:val="none" w:sz="0" w:space="0" w:color="auto"/>
        <w:right w:val="none" w:sz="0" w:space="0" w:color="auto"/>
      </w:divBdr>
    </w:div>
    <w:div w:id="1726098101">
      <w:bodyDiv w:val="1"/>
      <w:marLeft w:val="0"/>
      <w:marRight w:val="0"/>
      <w:marTop w:val="0"/>
      <w:marBottom w:val="0"/>
      <w:divBdr>
        <w:top w:val="none" w:sz="0" w:space="0" w:color="auto"/>
        <w:left w:val="none" w:sz="0" w:space="0" w:color="auto"/>
        <w:bottom w:val="none" w:sz="0" w:space="0" w:color="auto"/>
        <w:right w:val="none" w:sz="0" w:space="0" w:color="auto"/>
      </w:divBdr>
    </w:div>
    <w:div w:id="1728651055">
      <w:bodyDiv w:val="1"/>
      <w:marLeft w:val="0"/>
      <w:marRight w:val="0"/>
      <w:marTop w:val="0"/>
      <w:marBottom w:val="0"/>
      <w:divBdr>
        <w:top w:val="none" w:sz="0" w:space="0" w:color="auto"/>
        <w:left w:val="none" w:sz="0" w:space="0" w:color="auto"/>
        <w:bottom w:val="none" w:sz="0" w:space="0" w:color="auto"/>
        <w:right w:val="none" w:sz="0" w:space="0" w:color="auto"/>
      </w:divBdr>
    </w:div>
    <w:div w:id="1730031274">
      <w:bodyDiv w:val="1"/>
      <w:marLeft w:val="0"/>
      <w:marRight w:val="0"/>
      <w:marTop w:val="0"/>
      <w:marBottom w:val="0"/>
      <w:divBdr>
        <w:top w:val="none" w:sz="0" w:space="0" w:color="auto"/>
        <w:left w:val="none" w:sz="0" w:space="0" w:color="auto"/>
        <w:bottom w:val="none" w:sz="0" w:space="0" w:color="auto"/>
        <w:right w:val="none" w:sz="0" w:space="0" w:color="auto"/>
      </w:divBdr>
    </w:div>
    <w:div w:id="1733112151">
      <w:bodyDiv w:val="1"/>
      <w:marLeft w:val="0"/>
      <w:marRight w:val="0"/>
      <w:marTop w:val="0"/>
      <w:marBottom w:val="0"/>
      <w:divBdr>
        <w:top w:val="none" w:sz="0" w:space="0" w:color="auto"/>
        <w:left w:val="none" w:sz="0" w:space="0" w:color="auto"/>
        <w:bottom w:val="none" w:sz="0" w:space="0" w:color="auto"/>
        <w:right w:val="none" w:sz="0" w:space="0" w:color="auto"/>
      </w:divBdr>
    </w:div>
    <w:div w:id="1738436401">
      <w:bodyDiv w:val="1"/>
      <w:marLeft w:val="0"/>
      <w:marRight w:val="0"/>
      <w:marTop w:val="0"/>
      <w:marBottom w:val="0"/>
      <w:divBdr>
        <w:top w:val="none" w:sz="0" w:space="0" w:color="auto"/>
        <w:left w:val="none" w:sz="0" w:space="0" w:color="auto"/>
        <w:bottom w:val="none" w:sz="0" w:space="0" w:color="auto"/>
        <w:right w:val="none" w:sz="0" w:space="0" w:color="auto"/>
      </w:divBdr>
    </w:div>
    <w:div w:id="1740209223">
      <w:bodyDiv w:val="1"/>
      <w:marLeft w:val="0"/>
      <w:marRight w:val="0"/>
      <w:marTop w:val="0"/>
      <w:marBottom w:val="0"/>
      <w:divBdr>
        <w:top w:val="none" w:sz="0" w:space="0" w:color="auto"/>
        <w:left w:val="none" w:sz="0" w:space="0" w:color="auto"/>
        <w:bottom w:val="none" w:sz="0" w:space="0" w:color="auto"/>
        <w:right w:val="none" w:sz="0" w:space="0" w:color="auto"/>
      </w:divBdr>
    </w:div>
    <w:div w:id="1747415523">
      <w:bodyDiv w:val="1"/>
      <w:marLeft w:val="0"/>
      <w:marRight w:val="0"/>
      <w:marTop w:val="0"/>
      <w:marBottom w:val="0"/>
      <w:divBdr>
        <w:top w:val="none" w:sz="0" w:space="0" w:color="auto"/>
        <w:left w:val="none" w:sz="0" w:space="0" w:color="auto"/>
        <w:bottom w:val="none" w:sz="0" w:space="0" w:color="auto"/>
        <w:right w:val="none" w:sz="0" w:space="0" w:color="auto"/>
      </w:divBdr>
    </w:div>
    <w:div w:id="1753350698">
      <w:bodyDiv w:val="1"/>
      <w:marLeft w:val="0"/>
      <w:marRight w:val="0"/>
      <w:marTop w:val="0"/>
      <w:marBottom w:val="0"/>
      <w:divBdr>
        <w:top w:val="none" w:sz="0" w:space="0" w:color="auto"/>
        <w:left w:val="none" w:sz="0" w:space="0" w:color="auto"/>
        <w:bottom w:val="none" w:sz="0" w:space="0" w:color="auto"/>
        <w:right w:val="none" w:sz="0" w:space="0" w:color="auto"/>
      </w:divBdr>
    </w:div>
    <w:div w:id="1754234798">
      <w:bodyDiv w:val="1"/>
      <w:marLeft w:val="0"/>
      <w:marRight w:val="0"/>
      <w:marTop w:val="0"/>
      <w:marBottom w:val="0"/>
      <w:divBdr>
        <w:top w:val="none" w:sz="0" w:space="0" w:color="auto"/>
        <w:left w:val="none" w:sz="0" w:space="0" w:color="auto"/>
        <w:bottom w:val="none" w:sz="0" w:space="0" w:color="auto"/>
        <w:right w:val="none" w:sz="0" w:space="0" w:color="auto"/>
      </w:divBdr>
    </w:div>
    <w:div w:id="1771654700">
      <w:bodyDiv w:val="1"/>
      <w:marLeft w:val="0"/>
      <w:marRight w:val="0"/>
      <w:marTop w:val="0"/>
      <w:marBottom w:val="0"/>
      <w:divBdr>
        <w:top w:val="none" w:sz="0" w:space="0" w:color="auto"/>
        <w:left w:val="none" w:sz="0" w:space="0" w:color="auto"/>
        <w:bottom w:val="none" w:sz="0" w:space="0" w:color="auto"/>
        <w:right w:val="none" w:sz="0" w:space="0" w:color="auto"/>
      </w:divBdr>
    </w:div>
    <w:div w:id="1792892975">
      <w:bodyDiv w:val="1"/>
      <w:marLeft w:val="0"/>
      <w:marRight w:val="0"/>
      <w:marTop w:val="0"/>
      <w:marBottom w:val="0"/>
      <w:divBdr>
        <w:top w:val="none" w:sz="0" w:space="0" w:color="auto"/>
        <w:left w:val="none" w:sz="0" w:space="0" w:color="auto"/>
        <w:bottom w:val="none" w:sz="0" w:space="0" w:color="auto"/>
        <w:right w:val="none" w:sz="0" w:space="0" w:color="auto"/>
      </w:divBdr>
    </w:div>
    <w:div w:id="1797599497">
      <w:bodyDiv w:val="1"/>
      <w:marLeft w:val="0"/>
      <w:marRight w:val="0"/>
      <w:marTop w:val="0"/>
      <w:marBottom w:val="0"/>
      <w:divBdr>
        <w:top w:val="none" w:sz="0" w:space="0" w:color="auto"/>
        <w:left w:val="none" w:sz="0" w:space="0" w:color="auto"/>
        <w:bottom w:val="none" w:sz="0" w:space="0" w:color="auto"/>
        <w:right w:val="none" w:sz="0" w:space="0" w:color="auto"/>
      </w:divBdr>
    </w:div>
    <w:div w:id="1802266774">
      <w:bodyDiv w:val="1"/>
      <w:marLeft w:val="0"/>
      <w:marRight w:val="0"/>
      <w:marTop w:val="0"/>
      <w:marBottom w:val="0"/>
      <w:divBdr>
        <w:top w:val="none" w:sz="0" w:space="0" w:color="auto"/>
        <w:left w:val="none" w:sz="0" w:space="0" w:color="auto"/>
        <w:bottom w:val="none" w:sz="0" w:space="0" w:color="auto"/>
        <w:right w:val="none" w:sz="0" w:space="0" w:color="auto"/>
      </w:divBdr>
    </w:div>
    <w:div w:id="1802337794">
      <w:bodyDiv w:val="1"/>
      <w:marLeft w:val="0"/>
      <w:marRight w:val="0"/>
      <w:marTop w:val="0"/>
      <w:marBottom w:val="0"/>
      <w:divBdr>
        <w:top w:val="none" w:sz="0" w:space="0" w:color="auto"/>
        <w:left w:val="none" w:sz="0" w:space="0" w:color="auto"/>
        <w:bottom w:val="none" w:sz="0" w:space="0" w:color="auto"/>
        <w:right w:val="none" w:sz="0" w:space="0" w:color="auto"/>
      </w:divBdr>
    </w:div>
    <w:div w:id="1808432616">
      <w:bodyDiv w:val="1"/>
      <w:marLeft w:val="0"/>
      <w:marRight w:val="0"/>
      <w:marTop w:val="0"/>
      <w:marBottom w:val="0"/>
      <w:divBdr>
        <w:top w:val="none" w:sz="0" w:space="0" w:color="auto"/>
        <w:left w:val="none" w:sz="0" w:space="0" w:color="auto"/>
        <w:bottom w:val="none" w:sz="0" w:space="0" w:color="auto"/>
        <w:right w:val="none" w:sz="0" w:space="0" w:color="auto"/>
      </w:divBdr>
    </w:div>
    <w:div w:id="1811708260">
      <w:bodyDiv w:val="1"/>
      <w:marLeft w:val="0"/>
      <w:marRight w:val="0"/>
      <w:marTop w:val="0"/>
      <w:marBottom w:val="0"/>
      <w:divBdr>
        <w:top w:val="none" w:sz="0" w:space="0" w:color="auto"/>
        <w:left w:val="none" w:sz="0" w:space="0" w:color="auto"/>
        <w:bottom w:val="none" w:sz="0" w:space="0" w:color="auto"/>
        <w:right w:val="none" w:sz="0" w:space="0" w:color="auto"/>
      </w:divBdr>
    </w:div>
    <w:div w:id="1821265788">
      <w:bodyDiv w:val="1"/>
      <w:marLeft w:val="0"/>
      <w:marRight w:val="0"/>
      <w:marTop w:val="0"/>
      <w:marBottom w:val="0"/>
      <w:divBdr>
        <w:top w:val="none" w:sz="0" w:space="0" w:color="auto"/>
        <w:left w:val="none" w:sz="0" w:space="0" w:color="auto"/>
        <w:bottom w:val="none" w:sz="0" w:space="0" w:color="auto"/>
        <w:right w:val="none" w:sz="0" w:space="0" w:color="auto"/>
      </w:divBdr>
    </w:div>
    <w:div w:id="1825272053">
      <w:bodyDiv w:val="1"/>
      <w:marLeft w:val="0"/>
      <w:marRight w:val="0"/>
      <w:marTop w:val="0"/>
      <w:marBottom w:val="0"/>
      <w:divBdr>
        <w:top w:val="none" w:sz="0" w:space="0" w:color="auto"/>
        <w:left w:val="none" w:sz="0" w:space="0" w:color="auto"/>
        <w:bottom w:val="none" w:sz="0" w:space="0" w:color="auto"/>
        <w:right w:val="none" w:sz="0" w:space="0" w:color="auto"/>
      </w:divBdr>
    </w:div>
    <w:div w:id="1835607492">
      <w:bodyDiv w:val="1"/>
      <w:marLeft w:val="0"/>
      <w:marRight w:val="0"/>
      <w:marTop w:val="0"/>
      <w:marBottom w:val="0"/>
      <w:divBdr>
        <w:top w:val="none" w:sz="0" w:space="0" w:color="auto"/>
        <w:left w:val="none" w:sz="0" w:space="0" w:color="auto"/>
        <w:bottom w:val="none" w:sz="0" w:space="0" w:color="auto"/>
        <w:right w:val="none" w:sz="0" w:space="0" w:color="auto"/>
      </w:divBdr>
    </w:div>
    <w:div w:id="1842045350">
      <w:bodyDiv w:val="1"/>
      <w:marLeft w:val="0"/>
      <w:marRight w:val="0"/>
      <w:marTop w:val="0"/>
      <w:marBottom w:val="0"/>
      <w:divBdr>
        <w:top w:val="none" w:sz="0" w:space="0" w:color="auto"/>
        <w:left w:val="none" w:sz="0" w:space="0" w:color="auto"/>
        <w:bottom w:val="none" w:sz="0" w:space="0" w:color="auto"/>
        <w:right w:val="none" w:sz="0" w:space="0" w:color="auto"/>
      </w:divBdr>
    </w:div>
    <w:div w:id="1853106015">
      <w:bodyDiv w:val="1"/>
      <w:marLeft w:val="0"/>
      <w:marRight w:val="0"/>
      <w:marTop w:val="0"/>
      <w:marBottom w:val="0"/>
      <w:divBdr>
        <w:top w:val="none" w:sz="0" w:space="0" w:color="auto"/>
        <w:left w:val="none" w:sz="0" w:space="0" w:color="auto"/>
        <w:bottom w:val="none" w:sz="0" w:space="0" w:color="auto"/>
        <w:right w:val="none" w:sz="0" w:space="0" w:color="auto"/>
      </w:divBdr>
    </w:div>
    <w:div w:id="1858810856">
      <w:bodyDiv w:val="1"/>
      <w:marLeft w:val="0"/>
      <w:marRight w:val="0"/>
      <w:marTop w:val="0"/>
      <w:marBottom w:val="0"/>
      <w:divBdr>
        <w:top w:val="none" w:sz="0" w:space="0" w:color="auto"/>
        <w:left w:val="none" w:sz="0" w:space="0" w:color="auto"/>
        <w:bottom w:val="none" w:sz="0" w:space="0" w:color="auto"/>
        <w:right w:val="none" w:sz="0" w:space="0" w:color="auto"/>
      </w:divBdr>
    </w:div>
    <w:div w:id="1859074197">
      <w:bodyDiv w:val="1"/>
      <w:marLeft w:val="0"/>
      <w:marRight w:val="0"/>
      <w:marTop w:val="0"/>
      <w:marBottom w:val="0"/>
      <w:divBdr>
        <w:top w:val="none" w:sz="0" w:space="0" w:color="auto"/>
        <w:left w:val="none" w:sz="0" w:space="0" w:color="auto"/>
        <w:bottom w:val="none" w:sz="0" w:space="0" w:color="auto"/>
        <w:right w:val="none" w:sz="0" w:space="0" w:color="auto"/>
      </w:divBdr>
    </w:div>
    <w:div w:id="1860268081">
      <w:bodyDiv w:val="1"/>
      <w:marLeft w:val="0"/>
      <w:marRight w:val="0"/>
      <w:marTop w:val="0"/>
      <w:marBottom w:val="0"/>
      <w:divBdr>
        <w:top w:val="none" w:sz="0" w:space="0" w:color="auto"/>
        <w:left w:val="none" w:sz="0" w:space="0" w:color="auto"/>
        <w:bottom w:val="none" w:sz="0" w:space="0" w:color="auto"/>
        <w:right w:val="none" w:sz="0" w:space="0" w:color="auto"/>
      </w:divBdr>
    </w:div>
    <w:div w:id="1860852313">
      <w:bodyDiv w:val="1"/>
      <w:marLeft w:val="0"/>
      <w:marRight w:val="0"/>
      <w:marTop w:val="0"/>
      <w:marBottom w:val="0"/>
      <w:divBdr>
        <w:top w:val="none" w:sz="0" w:space="0" w:color="auto"/>
        <w:left w:val="none" w:sz="0" w:space="0" w:color="auto"/>
        <w:bottom w:val="none" w:sz="0" w:space="0" w:color="auto"/>
        <w:right w:val="none" w:sz="0" w:space="0" w:color="auto"/>
      </w:divBdr>
    </w:div>
    <w:div w:id="1863349841">
      <w:bodyDiv w:val="1"/>
      <w:marLeft w:val="0"/>
      <w:marRight w:val="0"/>
      <w:marTop w:val="0"/>
      <w:marBottom w:val="0"/>
      <w:divBdr>
        <w:top w:val="none" w:sz="0" w:space="0" w:color="auto"/>
        <w:left w:val="none" w:sz="0" w:space="0" w:color="auto"/>
        <w:bottom w:val="none" w:sz="0" w:space="0" w:color="auto"/>
        <w:right w:val="none" w:sz="0" w:space="0" w:color="auto"/>
      </w:divBdr>
    </w:div>
    <w:div w:id="1863397981">
      <w:bodyDiv w:val="1"/>
      <w:marLeft w:val="0"/>
      <w:marRight w:val="0"/>
      <w:marTop w:val="0"/>
      <w:marBottom w:val="0"/>
      <w:divBdr>
        <w:top w:val="none" w:sz="0" w:space="0" w:color="auto"/>
        <w:left w:val="none" w:sz="0" w:space="0" w:color="auto"/>
        <w:bottom w:val="none" w:sz="0" w:space="0" w:color="auto"/>
        <w:right w:val="none" w:sz="0" w:space="0" w:color="auto"/>
      </w:divBdr>
    </w:div>
    <w:div w:id="1863740561">
      <w:bodyDiv w:val="1"/>
      <w:marLeft w:val="0"/>
      <w:marRight w:val="0"/>
      <w:marTop w:val="0"/>
      <w:marBottom w:val="0"/>
      <w:divBdr>
        <w:top w:val="none" w:sz="0" w:space="0" w:color="auto"/>
        <w:left w:val="none" w:sz="0" w:space="0" w:color="auto"/>
        <w:bottom w:val="none" w:sz="0" w:space="0" w:color="auto"/>
        <w:right w:val="none" w:sz="0" w:space="0" w:color="auto"/>
      </w:divBdr>
    </w:div>
    <w:div w:id="1867670773">
      <w:bodyDiv w:val="1"/>
      <w:marLeft w:val="0"/>
      <w:marRight w:val="0"/>
      <w:marTop w:val="0"/>
      <w:marBottom w:val="0"/>
      <w:divBdr>
        <w:top w:val="none" w:sz="0" w:space="0" w:color="auto"/>
        <w:left w:val="none" w:sz="0" w:space="0" w:color="auto"/>
        <w:bottom w:val="none" w:sz="0" w:space="0" w:color="auto"/>
        <w:right w:val="none" w:sz="0" w:space="0" w:color="auto"/>
      </w:divBdr>
    </w:div>
    <w:div w:id="1876232625">
      <w:bodyDiv w:val="1"/>
      <w:marLeft w:val="0"/>
      <w:marRight w:val="0"/>
      <w:marTop w:val="0"/>
      <w:marBottom w:val="0"/>
      <w:divBdr>
        <w:top w:val="none" w:sz="0" w:space="0" w:color="auto"/>
        <w:left w:val="none" w:sz="0" w:space="0" w:color="auto"/>
        <w:bottom w:val="none" w:sz="0" w:space="0" w:color="auto"/>
        <w:right w:val="none" w:sz="0" w:space="0" w:color="auto"/>
      </w:divBdr>
    </w:div>
    <w:div w:id="1877505507">
      <w:bodyDiv w:val="1"/>
      <w:marLeft w:val="0"/>
      <w:marRight w:val="0"/>
      <w:marTop w:val="0"/>
      <w:marBottom w:val="0"/>
      <w:divBdr>
        <w:top w:val="none" w:sz="0" w:space="0" w:color="auto"/>
        <w:left w:val="none" w:sz="0" w:space="0" w:color="auto"/>
        <w:bottom w:val="none" w:sz="0" w:space="0" w:color="auto"/>
        <w:right w:val="none" w:sz="0" w:space="0" w:color="auto"/>
      </w:divBdr>
    </w:div>
    <w:div w:id="1880556703">
      <w:bodyDiv w:val="1"/>
      <w:marLeft w:val="0"/>
      <w:marRight w:val="0"/>
      <w:marTop w:val="0"/>
      <w:marBottom w:val="0"/>
      <w:divBdr>
        <w:top w:val="none" w:sz="0" w:space="0" w:color="auto"/>
        <w:left w:val="none" w:sz="0" w:space="0" w:color="auto"/>
        <w:bottom w:val="none" w:sz="0" w:space="0" w:color="auto"/>
        <w:right w:val="none" w:sz="0" w:space="0" w:color="auto"/>
      </w:divBdr>
    </w:div>
    <w:div w:id="1889877521">
      <w:bodyDiv w:val="1"/>
      <w:marLeft w:val="0"/>
      <w:marRight w:val="0"/>
      <w:marTop w:val="0"/>
      <w:marBottom w:val="0"/>
      <w:divBdr>
        <w:top w:val="none" w:sz="0" w:space="0" w:color="auto"/>
        <w:left w:val="none" w:sz="0" w:space="0" w:color="auto"/>
        <w:bottom w:val="none" w:sz="0" w:space="0" w:color="auto"/>
        <w:right w:val="none" w:sz="0" w:space="0" w:color="auto"/>
      </w:divBdr>
    </w:div>
    <w:div w:id="1901362025">
      <w:bodyDiv w:val="1"/>
      <w:marLeft w:val="0"/>
      <w:marRight w:val="0"/>
      <w:marTop w:val="0"/>
      <w:marBottom w:val="0"/>
      <w:divBdr>
        <w:top w:val="none" w:sz="0" w:space="0" w:color="auto"/>
        <w:left w:val="none" w:sz="0" w:space="0" w:color="auto"/>
        <w:bottom w:val="none" w:sz="0" w:space="0" w:color="auto"/>
        <w:right w:val="none" w:sz="0" w:space="0" w:color="auto"/>
      </w:divBdr>
    </w:div>
    <w:div w:id="1914314302">
      <w:bodyDiv w:val="1"/>
      <w:marLeft w:val="0"/>
      <w:marRight w:val="0"/>
      <w:marTop w:val="0"/>
      <w:marBottom w:val="0"/>
      <w:divBdr>
        <w:top w:val="none" w:sz="0" w:space="0" w:color="auto"/>
        <w:left w:val="none" w:sz="0" w:space="0" w:color="auto"/>
        <w:bottom w:val="none" w:sz="0" w:space="0" w:color="auto"/>
        <w:right w:val="none" w:sz="0" w:space="0" w:color="auto"/>
      </w:divBdr>
    </w:div>
    <w:div w:id="1921596395">
      <w:bodyDiv w:val="1"/>
      <w:marLeft w:val="0"/>
      <w:marRight w:val="0"/>
      <w:marTop w:val="0"/>
      <w:marBottom w:val="0"/>
      <w:divBdr>
        <w:top w:val="none" w:sz="0" w:space="0" w:color="auto"/>
        <w:left w:val="none" w:sz="0" w:space="0" w:color="auto"/>
        <w:bottom w:val="none" w:sz="0" w:space="0" w:color="auto"/>
        <w:right w:val="none" w:sz="0" w:space="0" w:color="auto"/>
      </w:divBdr>
    </w:div>
    <w:div w:id="1923951290">
      <w:bodyDiv w:val="1"/>
      <w:marLeft w:val="0"/>
      <w:marRight w:val="0"/>
      <w:marTop w:val="0"/>
      <w:marBottom w:val="0"/>
      <w:divBdr>
        <w:top w:val="none" w:sz="0" w:space="0" w:color="auto"/>
        <w:left w:val="none" w:sz="0" w:space="0" w:color="auto"/>
        <w:bottom w:val="none" w:sz="0" w:space="0" w:color="auto"/>
        <w:right w:val="none" w:sz="0" w:space="0" w:color="auto"/>
      </w:divBdr>
    </w:div>
    <w:div w:id="1930121128">
      <w:bodyDiv w:val="1"/>
      <w:marLeft w:val="0"/>
      <w:marRight w:val="0"/>
      <w:marTop w:val="0"/>
      <w:marBottom w:val="0"/>
      <w:divBdr>
        <w:top w:val="none" w:sz="0" w:space="0" w:color="auto"/>
        <w:left w:val="none" w:sz="0" w:space="0" w:color="auto"/>
        <w:bottom w:val="none" w:sz="0" w:space="0" w:color="auto"/>
        <w:right w:val="none" w:sz="0" w:space="0" w:color="auto"/>
      </w:divBdr>
    </w:div>
    <w:div w:id="1931306885">
      <w:bodyDiv w:val="1"/>
      <w:marLeft w:val="0"/>
      <w:marRight w:val="0"/>
      <w:marTop w:val="0"/>
      <w:marBottom w:val="0"/>
      <w:divBdr>
        <w:top w:val="none" w:sz="0" w:space="0" w:color="auto"/>
        <w:left w:val="none" w:sz="0" w:space="0" w:color="auto"/>
        <w:bottom w:val="none" w:sz="0" w:space="0" w:color="auto"/>
        <w:right w:val="none" w:sz="0" w:space="0" w:color="auto"/>
      </w:divBdr>
    </w:div>
    <w:div w:id="1939409237">
      <w:bodyDiv w:val="1"/>
      <w:marLeft w:val="0"/>
      <w:marRight w:val="0"/>
      <w:marTop w:val="0"/>
      <w:marBottom w:val="0"/>
      <w:divBdr>
        <w:top w:val="none" w:sz="0" w:space="0" w:color="auto"/>
        <w:left w:val="none" w:sz="0" w:space="0" w:color="auto"/>
        <w:bottom w:val="none" w:sz="0" w:space="0" w:color="auto"/>
        <w:right w:val="none" w:sz="0" w:space="0" w:color="auto"/>
      </w:divBdr>
    </w:div>
    <w:div w:id="1943876135">
      <w:bodyDiv w:val="1"/>
      <w:marLeft w:val="0"/>
      <w:marRight w:val="0"/>
      <w:marTop w:val="0"/>
      <w:marBottom w:val="0"/>
      <w:divBdr>
        <w:top w:val="none" w:sz="0" w:space="0" w:color="auto"/>
        <w:left w:val="none" w:sz="0" w:space="0" w:color="auto"/>
        <w:bottom w:val="none" w:sz="0" w:space="0" w:color="auto"/>
        <w:right w:val="none" w:sz="0" w:space="0" w:color="auto"/>
      </w:divBdr>
    </w:div>
    <w:div w:id="1977681954">
      <w:bodyDiv w:val="1"/>
      <w:marLeft w:val="0"/>
      <w:marRight w:val="0"/>
      <w:marTop w:val="0"/>
      <w:marBottom w:val="0"/>
      <w:divBdr>
        <w:top w:val="none" w:sz="0" w:space="0" w:color="auto"/>
        <w:left w:val="none" w:sz="0" w:space="0" w:color="auto"/>
        <w:bottom w:val="none" w:sz="0" w:space="0" w:color="auto"/>
        <w:right w:val="none" w:sz="0" w:space="0" w:color="auto"/>
      </w:divBdr>
    </w:div>
    <w:div w:id="1978875781">
      <w:bodyDiv w:val="1"/>
      <w:marLeft w:val="0"/>
      <w:marRight w:val="0"/>
      <w:marTop w:val="0"/>
      <w:marBottom w:val="0"/>
      <w:divBdr>
        <w:top w:val="none" w:sz="0" w:space="0" w:color="auto"/>
        <w:left w:val="none" w:sz="0" w:space="0" w:color="auto"/>
        <w:bottom w:val="none" w:sz="0" w:space="0" w:color="auto"/>
        <w:right w:val="none" w:sz="0" w:space="0" w:color="auto"/>
      </w:divBdr>
    </w:div>
    <w:div w:id="1984037772">
      <w:bodyDiv w:val="1"/>
      <w:marLeft w:val="0"/>
      <w:marRight w:val="0"/>
      <w:marTop w:val="0"/>
      <w:marBottom w:val="0"/>
      <w:divBdr>
        <w:top w:val="none" w:sz="0" w:space="0" w:color="auto"/>
        <w:left w:val="none" w:sz="0" w:space="0" w:color="auto"/>
        <w:bottom w:val="none" w:sz="0" w:space="0" w:color="auto"/>
        <w:right w:val="none" w:sz="0" w:space="0" w:color="auto"/>
      </w:divBdr>
    </w:div>
    <w:div w:id="1988775788">
      <w:bodyDiv w:val="1"/>
      <w:marLeft w:val="0"/>
      <w:marRight w:val="0"/>
      <w:marTop w:val="0"/>
      <w:marBottom w:val="0"/>
      <w:divBdr>
        <w:top w:val="none" w:sz="0" w:space="0" w:color="auto"/>
        <w:left w:val="none" w:sz="0" w:space="0" w:color="auto"/>
        <w:bottom w:val="none" w:sz="0" w:space="0" w:color="auto"/>
        <w:right w:val="none" w:sz="0" w:space="0" w:color="auto"/>
      </w:divBdr>
    </w:div>
    <w:div w:id="1991127271">
      <w:bodyDiv w:val="1"/>
      <w:marLeft w:val="0"/>
      <w:marRight w:val="0"/>
      <w:marTop w:val="0"/>
      <w:marBottom w:val="0"/>
      <w:divBdr>
        <w:top w:val="none" w:sz="0" w:space="0" w:color="auto"/>
        <w:left w:val="none" w:sz="0" w:space="0" w:color="auto"/>
        <w:bottom w:val="none" w:sz="0" w:space="0" w:color="auto"/>
        <w:right w:val="none" w:sz="0" w:space="0" w:color="auto"/>
      </w:divBdr>
    </w:div>
    <w:div w:id="1992827532">
      <w:bodyDiv w:val="1"/>
      <w:marLeft w:val="0"/>
      <w:marRight w:val="0"/>
      <w:marTop w:val="0"/>
      <w:marBottom w:val="0"/>
      <w:divBdr>
        <w:top w:val="none" w:sz="0" w:space="0" w:color="auto"/>
        <w:left w:val="none" w:sz="0" w:space="0" w:color="auto"/>
        <w:bottom w:val="none" w:sz="0" w:space="0" w:color="auto"/>
        <w:right w:val="none" w:sz="0" w:space="0" w:color="auto"/>
      </w:divBdr>
    </w:div>
    <w:div w:id="2004968216">
      <w:bodyDiv w:val="1"/>
      <w:marLeft w:val="0"/>
      <w:marRight w:val="0"/>
      <w:marTop w:val="0"/>
      <w:marBottom w:val="0"/>
      <w:divBdr>
        <w:top w:val="none" w:sz="0" w:space="0" w:color="auto"/>
        <w:left w:val="none" w:sz="0" w:space="0" w:color="auto"/>
        <w:bottom w:val="none" w:sz="0" w:space="0" w:color="auto"/>
        <w:right w:val="none" w:sz="0" w:space="0" w:color="auto"/>
      </w:divBdr>
    </w:div>
    <w:div w:id="2005237710">
      <w:bodyDiv w:val="1"/>
      <w:marLeft w:val="0"/>
      <w:marRight w:val="0"/>
      <w:marTop w:val="0"/>
      <w:marBottom w:val="0"/>
      <w:divBdr>
        <w:top w:val="none" w:sz="0" w:space="0" w:color="auto"/>
        <w:left w:val="none" w:sz="0" w:space="0" w:color="auto"/>
        <w:bottom w:val="none" w:sz="0" w:space="0" w:color="auto"/>
        <w:right w:val="none" w:sz="0" w:space="0" w:color="auto"/>
      </w:divBdr>
    </w:div>
    <w:div w:id="2006664651">
      <w:bodyDiv w:val="1"/>
      <w:marLeft w:val="0"/>
      <w:marRight w:val="0"/>
      <w:marTop w:val="0"/>
      <w:marBottom w:val="0"/>
      <w:divBdr>
        <w:top w:val="none" w:sz="0" w:space="0" w:color="auto"/>
        <w:left w:val="none" w:sz="0" w:space="0" w:color="auto"/>
        <w:bottom w:val="none" w:sz="0" w:space="0" w:color="auto"/>
        <w:right w:val="none" w:sz="0" w:space="0" w:color="auto"/>
      </w:divBdr>
    </w:div>
    <w:div w:id="2011253436">
      <w:bodyDiv w:val="1"/>
      <w:marLeft w:val="0"/>
      <w:marRight w:val="0"/>
      <w:marTop w:val="0"/>
      <w:marBottom w:val="0"/>
      <w:divBdr>
        <w:top w:val="none" w:sz="0" w:space="0" w:color="auto"/>
        <w:left w:val="none" w:sz="0" w:space="0" w:color="auto"/>
        <w:bottom w:val="none" w:sz="0" w:space="0" w:color="auto"/>
        <w:right w:val="none" w:sz="0" w:space="0" w:color="auto"/>
      </w:divBdr>
    </w:div>
    <w:div w:id="2022470374">
      <w:bodyDiv w:val="1"/>
      <w:marLeft w:val="0"/>
      <w:marRight w:val="0"/>
      <w:marTop w:val="0"/>
      <w:marBottom w:val="0"/>
      <w:divBdr>
        <w:top w:val="none" w:sz="0" w:space="0" w:color="auto"/>
        <w:left w:val="none" w:sz="0" w:space="0" w:color="auto"/>
        <w:bottom w:val="none" w:sz="0" w:space="0" w:color="auto"/>
        <w:right w:val="none" w:sz="0" w:space="0" w:color="auto"/>
      </w:divBdr>
    </w:div>
    <w:div w:id="2029788340">
      <w:bodyDiv w:val="1"/>
      <w:marLeft w:val="0"/>
      <w:marRight w:val="0"/>
      <w:marTop w:val="0"/>
      <w:marBottom w:val="0"/>
      <w:divBdr>
        <w:top w:val="none" w:sz="0" w:space="0" w:color="auto"/>
        <w:left w:val="none" w:sz="0" w:space="0" w:color="auto"/>
        <w:bottom w:val="none" w:sz="0" w:space="0" w:color="auto"/>
        <w:right w:val="none" w:sz="0" w:space="0" w:color="auto"/>
      </w:divBdr>
    </w:div>
    <w:div w:id="2030522079">
      <w:bodyDiv w:val="1"/>
      <w:marLeft w:val="0"/>
      <w:marRight w:val="0"/>
      <w:marTop w:val="0"/>
      <w:marBottom w:val="0"/>
      <w:divBdr>
        <w:top w:val="none" w:sz="0" w:space="0" w:color="auto"/>
        <w:left w:val="none" w:sz="0" w:space="0" w:color="auto"/>
        <w:bottom w:val="none" w:sz="0" w:space="0" w:color="auto"/>
        <w:right w:val="none" w:sz="0" w:space="0" w:color="auto"/>
      </w:divBdr>
    </w:div>
    <w:div w:id="2035381541">
      <w:bodyDiv w:val="1"/>
      <w:marLeft w:val="0"/>
      <w:marRight w:val="0"/>
      <w:marTop w:val="0"/>
      <w:marBottom w:val="0"/>
      <w:divBdr>
        <w:top w:val="none" w:sz="0" w:space="0" w:color="auto"/>
        <w:left w:val="none" w:sz="0" w:space="0" w:color="auto"/>
        <w:bottom w:val="none" w:sz="0" w:space="0" w:color="auto"/>
        <w:right w:val="none" w:sz="0" w:space="0" w:color="auto"/>
      </w:divBdr>
    </w:div>
    <w:div w:id="2043625307">
      <w:bodyDiv w:val="1"/>
      <w:marLeft w:val="0"/>
      <w:marRight w:val="0"/>
      <w:marTop w:val="0"/>
      <w:marBottom w:val="0"/>
      <w:divBdr>
        <w:top w:val="none" w:sz="0" w:space="0" w:color="auto"/>
        <w:left w:val="none" w:sz="0" w:space="0" w:color="auto"/>
        <w:bottom w:val="none" w:sz="0" w:space="0" w:color="auto"/>
        <w:right w:val="none" w:sz="0" w:space="0" w:color="auto"/>
      </w:divBdr>
    </w:div>
    <w:div w:id="2054887814">
      <w:bodyDiv w:val="1"/>
      <w:marLeft w:val="0"/>
      <w:marRight w:val="0"/>
      <w:marTop w:val="0"/>
      <w:marBottom w:val="0"/>
      <w:divBdr>
        <w:top w:val="none" w:sz="0" w:space="0" w:color="auto"/>
        <w:left w:val="none" w:sz="0" w:space="0" w:color="auto"/>
        <w:bottom w:val="none" w:sz="0" w:space="0" w:color="auto"/>
        <w:right w:val="none" w:sz="0" w:space="0" w:color="auto"/>
      </w:divBdr>
    </w:div>
    <w:div w:id="2055344419">
      <w:bodyDiv w:val="1"/>
      <w:marLeft w:val="0"/>
      <w:marRight w:val="0"/>
      <w:marTop w:val="0"/>
      <w:marBottom w:val="0"/>
      <w:divBdr>
        <w:top w:val="none" w:sz="0" w:space="0" w:color="auto"/>
        <w:left w:val="none" w:sz="0" w:space="0" w:color="auto"/>
        <w:bottom w:val="none" w:sz="0" w:space="0" w:color="auto"/>
        <w:right w:val="none" w:sz="0" w:space="0" w:color="auto"/>
      </w:divBdr>
    </w:div>
    <w:div w:id="2060980989">
      <w:bodyDiv w:val="1"/>
      <w:marLeft w:val="0"/>
      <w:marRight w:val="0"/>
      <w:marTop w:val="0"/>
      <w:marBottom w:val="0"/>
      <w:divBdr>
        <w:top w:val="none" w:sz="0" w:space="0" w:color="auto"/>
        <w:left w:val="none" w:sz="0" w:space="0" w:color="auto"/>
        <w:bottom w:val="none" w:sz="0" w:space="0" w:color="auto"/>
        <w:right w:val="none" w:sz="0" w:space="0" w:color="auto"/>
      </w:divBdr>
    </w:div>
    <w:div w:id="2071421848">
      <w:bodyDiv w:val="1"/>
      <w:marLeft w:val="0"/>
      <w:marRight w:val="0"/>
      <w:marTop w:val="0"/>
      <w:marBottom w:val="0"/>
      <w:divBdr>
        <w:top w:val="none" w:sz="0" w:space="0" w:color="auto"/>
        <w:left w:val="none" w:sz="0" w:space="0" w:color="auto"/>
        <w:bottom w:val="none" w:sz="0" w:space="0" w:color="auto"/>
        <w:right w:val="none" w:sz="0" w:space="0" w:color="auto"/>
      </w:divBdr>
    </w:div>
    <w:div w:id="2071927452">
      <w:bodyDiv w:val="1"/>
      <w:marLeft w:val="0"/>
      <w:marRight w:val="0"/>
      <w:marTop w:val="0"/>
      <w:marBottom w:val="0"/>
      <w:divBdr>
        <w:top w:val="none" w:sz="0" w:space="0" w:color="auto"/>
        <w:left w:val="none" w:sz="0" w:space="0" w:color="auto"/>
        <w:bottom w:val="none" w:sz="0" w:space="0" w:color="auto"/>
        <w:right w:val="none" w:sz="0" w:space="0" w:color="auto"/>
      </w:divBdr>
    </w:div>
    <w:div w:id="2092893514">
      <w:bodyDiv w:val="1"/>
      <w:marLeft w:val="0"/>
      <w:marRight w:val="0"/>
      <w:marTop w:val="0"/>
      <w:marBottom w:val="0"/>
      <w:divBdr>
        <w:top w:val="none" w:sz="0" w:space="0" w:color="auto"/>
        <w:left w:val="none" w:sz="0" w:space="0" w:color="auto"/>
        <w:bottom w:val="none" w:sz="0" w:space="0" w:color="auto"/>
        <w:right w:val="none" w:sz="0" w:space="0" w:color="auto"/>
      </w:divBdr>
    </w:div>
    <w:div w:id="2113547437">
      <w:bodyDiv w:val="1"/>
      <w:marLeft w:val="0"/>
      <w:marRight w:val="0"/>
      <w:marTop w:val="0"/>
      <w:marBottom w:val="0"/>
      <w:divBdr>
        <w:top w:val="none" w:sz="0" w:space="0" w:color="auto"/>
        <w:left w:val="none" w:sz="0" w:space="0" w:color="auto"/>
        <w:bottom w:val="none" w:sz="0" w:space="0" w:color="auto"/>
        <w:right w:val="none" w:sz="0" w:space="0" w:color="auto"/>
      </w:divBdr>
    </w:div>
    <w:div w:id="2121416807">
      <w:bodyDiv w:val="1"/>
      <w:marLeft w:val="0"/>
      <w:marRight w:val="0"/>
      <w:marTop w:val="0"/>
      <w:marBottom w:val="0"/>
      <w:divBdr>
        <w:top w:val="none" w:sz="0" w:space="0" w:color="auto"/>
        <w:left w:val="none" w:sz="0" w:space="0" w:color="auto"/>
        <w:bottom w:val="none" w:sz="0" w:space="0" w:color="auto"/>
        <w:right w:val="none" w:sz="0" w:space="0" w:color="auto"/>
      </w:divBdr>
    </w:div>
    <w:div w:id="2129740544">
      <w:bodyDiv w:val="1"/>
      <w:marLeft w:val="0"/>
      <w:marRight w:val="0"/>
      <w:marTop w:val="0"/>
      <w:marBottom w:val="0"/>
      <w:divBdr>
        <w:top w:val="none" w:sz="0" w:space="0" w:color="auto"/>
        <w:left w:val="none" w:sz="0" w:space="0" w:color="auto"/>
        <w:bottom w:val="none" w:sz="0" w:space="0" w:color="auto"/>
        <w:right w:val="none" w:sz="0" w:space="0" w:color="auto"/>
      </w:divBdr>
    </w:div>
    <w:div w:id="2133472207">
      <w:bodyDiv w:val="1"/>
      <w:marLeft w:val="0"/>
      <w:marRight w:val="0"/>
      <w:marTop w:val="0"/>
      <w:marBottom w:val="0"/>
      <w:divBdr>
        <w:top w:val="none" w:sz="0" w:space="0" w:color="auto"/>
        <w:left w:val="none" w:sz="0" w:space="0" w:color="auto"/>
        <w:bottom w:val="none" w:sz="0" w:space="0" w:color="auto"/>
        <w:right w:val="none" w:sz="0" w:space="0" w:color="auto"/>
      </w:divBdr>
    </w:div>
    <w:div w:id="21425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image" Target="media/image13.png"/><Relationship Id="rId21" Type="http://schemas.openxmlformats.org/officeDocument/2006/relationships/header" Target="header4.xml"/><Relationship Id="rId34" Type="http://schemas.openxmlformats.org/officeDocument/2006/relationships/chart" Target="charts/chart2.xml"/><Relationship Id="rId42" Type="http://schemas.openxmlformats.org/officeDocument/2006/relationships/image" Target="media/image14.png"/><Relationship Id="rId47" Type="http://schemas.openxmlformats.org/officeDocument/2006/relationships/image" Target="media/image17.png"/><Relationship Id="rId50" Type="http://schemas.openxmlformats.org/officeDocument/2006/relationships/image" Target="media/image20.emf"/><Relationship Id="rId55"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8.png"/><Relationship Id="rId11" Type="http://schemas.openxmlformats.org/officeDocument/2006/relationships/image" Target="media/image3.png"/><Relationship Id="rId24" Type="http://schemas.openxmlformats.org/officeDocument/2006/relationships/footer" Target="footer5.xml"/><Relationship Id="rId32" Type="http://schemas.openxmlformats.org/officeDocument/2006/relationships/image" Target="media/image10.png"/><Relationship Id="rId37" Type="http://schemas.openxmlformats.org/officeDocument/2006/relationships/hyperlink" Target="http://www.cae.edu.au/" TargetMode="External"/><Relationship Id="rId40" Type="http://schemas.openxmlformats.org/officeDocument/2006/relationships/hyperlink" Target="http://www.education.vic.gov.au/Documents/about/research/acfepublications/hardtoreachlearn.pdf" TargetMode="External"/><Relationship Id="rId45" Type="http://schemas.openxmlformats.org/officeDocument/2006/relationships/image" Target="media/image15.png"/><Relationship Id="rId53" Type="http://schemas.openxmlformats.org/officeDocument/2006/relationships/image" Target="media/image23.png"/><Relationship Id="rId58" Type="http://schemas.openxmlformats.org/officeDocument/2006/relationships/customXml" Target="../customXml/item2.xml"/><Relationship Id="rId5" Type="http://schemas.openxmlformats.org/officeDocument/2006/relationships/settings" Target="settings.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5.xml"/><Relationship Id="rId27" Type="http://schemas.openxmlformats.org/officeDocument/2006/relationships/hyperlink" Target="http://www.education.vic.gov.au" TargetMode="External"/><Relationship Id="rId30" Type="http://schemas.openxmlformats.org/officeDocument/2006/relationships/image" Target="media/image9.png"/><Relationship Id="rId35" Type="http://schemas.openxmlformats.org/officeDocument/2006/relationships/image" Target="media/image12.emf"/><Relationship Id="rId43" Type="http://schemas.openxmlformats.org/officeDocument/2006/relationships/hyperlink" Target="http://www.education.vic.gov.au/Documents/about/research/acfepublications/hardtoreachlearn.pdf" TargetMode="External"/><Relationship Id="rId48" Type="http://schemas.openxmlformats.org/officeDocument/2006/relationships/image" Target="media/image18.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11.png"/><Relationship Id="rId38" Type="http://schemas.openxmlformats.org/officeDocument/2006/relationships/hyperlink" Target="http://www.ames.net.au/" TargetMode="External"/><Relationship Id="rId46" Type="http://schemas.openxmlformats.org/officeDocument/2006/relationships/image" Target="media/image16.png"/><Relationship Id="rId59" Type="http://schemas.openxmlformats.org/officeDocument/2006/relationships/customXml" Target="../customXml/item3.xml"/><Relationship Id="rId20" Type="http://schemas.openxmlformats.org/officeDocument/2006/relationships/footer" Target="footer3.xml"/><Relationship Id="rId41" Type="http://schemas.openxmlformats.org/officeDocument/2006/relationships/hyperlink" Target="http://www.education.vic.gov.au/Documents/about/research/acfepublications/hardtoreachlearn.pdf" TargetMode="External"/><Relationship Id="rId54"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7.png"/><Relationship Id="rId36" Type="http://schemas.openxmlformats.org/officeDocument/2006/relationships/hyperlink" Target="http://www.education.vic.gov.au/training/learners/learnlocal/pages/default.aspx" TargetMode="External"/><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chart" Target="charts/chart1.xml"/><Relationship Id="rId44" Type="http://schemas.openxmlformats.org/officeDocument/2006/relationships/hyperlink" Target="http://www.education.vic.gov.au/Documents/about/research/acfepublications/hardtoreachlearn.pdf" TargetMode="External"/><Relationship Id="rId52" Type="http://schemas.openxmlformats.org/officeDocument/2006/relationships/image" Target="media/image22.png"/><Relationship Id="rId6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vic.gov.au/Documents/about/research/acfepublications/hardtoreachlear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Reporting\Training%20Market%20Quarterly%20Reports\J2038%20-%20Training%20Market%20Quarterly%20Report%20Q4%202013\Main%20report%20excel%20template\J2038%20Q42013%20template%20(Q4%20data)%20extract%20date%20220114%20sb%20changes%20additional%20pct%20changes%20v1.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Reporting\Training%20Market%20Quarterly%20Reports\J2038%20-%20Training%20Market%20Quarterly%20Report%20Q4%202013\Main%20report\Q42013Report\J2038%20Q42013%20template%20(Q4%20data)%20extract%20date%20220114%20sb%20changes%20additional%20pct%20changes%20v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3.1656562777094062E-2"/>
          <c:y val="4.5233116242421892E-2"/>
          <c:w val="0.93668687444581189"/>
          <c:h val="0.86519058917054625"/>
        </c:manualLayout>
      </c:layout>
      <c:barChart>
        <c:barDir val="col"/>
        <c:grouping val="stacked"/>
        <c:varyColors val="0"/>
        <c:ser>
          <c:idx val="0"/>
          <c:order val="0"/>
          <c:tx>
            <c:strRef>
              <c:f>Completions!$B$5</c:f>
              <c:strCache>
                <c:ptCount val="1"/>
                <c:pt idx="0">
                  <c:v>VET completions</c:v>
                </c:pt>
              </c:strCache>
            </c:strRef>
          </c:tx>
          <c:spPr>
            <a:solidFill>
              <a:schemeClr val="accent1">
                <a:lumMod val="75000"/>
              </a:schemeClr>
            </a:solidFill>
          </c:spPr>
          <c:invertIfNegative val="0"/>
          <c:dLbls>
            <c:spPr>
              <a:noFill/>
              <a:ln>
                <a:noFill/>
              </a:ln>
              <a:effectLst/>
            </c:spPr>
            <c:txPr>
              <a:bodyPr/>
              <a:lstStyle/>
              <a:p>
                <a:pPr>
                  <a:defRPr sz="900" b="1">
                    <a:solidFill>
                      <a:schemeClr val="bg1"/>
                    </a:solidFill>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(Completions!$C$4:$H$4,Completions!$J$4:$L$4)</c:f>
              <c:strCache>
                <c:ptCount val="6"/>
                <c:pt idx="0">
                  <c:v>2008</c:v>
                </c:pt>
                <c:pt idx="1">
                  <c:v>2009</c:v>
                </c:pt>
                <c:pt idx="2">
                  <c:v>2010</c:v>
                </c:pt>
                <c:pt idx="3">
                  <c:v>2011</c:v>
                </c:pt>
                <c:pt idx="4">
                  <c:v>2012</c:v>
                </c:pt>
                <c:pt idx="5">
                  <c:v>2013</c:v>
                </c:pt>
              </c:strCache>
            </c:strRef>
          </c:cat>
          <c:val>
            <c:numRef>
              <c:f>(Completions!$C$5:$H$5,Completions!$J$5:$L$5)</c:f>
              <c:numCache>
                <c:formatCode>_(* #,##0_);_(* \(#,##0\);_(* "-"_);_(@_)</c:formatCode>
                <c:ptCount val="6"/>
                <c:pt idx="0">
                  <c:v>133300</c:v>
                </c:pt>
                <c:pt idx="1">
                  <c:v>133400</c:v>
                </c:pt>
                <c:pt idx="2">
                  <c:v>152600</c:v>
                </c:pt>
                <c:pt idx="3">
                  <c:v>187500</c:v>
                </c:pt>
                <c:pt idx="4">
                  <c:v>238500</c:v>
                </c:pt>
                <c:pt idx="5">
                  <c:v>220200</c:v>
                </c:pt>
              </c:numCache>
            </c:numRef>
          </c:val>
        </c:ser>
        <c:dLbls>
          <c:showLegendKey val="0"/>
          <c:showVal val="1"/>
          <c:showCatName val="0"/>
          <c:showSerName val="0"/>
          <c:showPercent val="0"/>
          <c:showBubbleSize val="0"/>
        </c:dLbls>
        <c:gapWidth val="43"/>
        <c:overlap val="100"/>
        <c:axId val="104590720"/>
        <c:axId val="227596544"/>
      </c:barChart>
      <c:catAx>
        <c:axId val="104590720"/>
        <c:scaling>
          <c:orientation val="minMax"/>
        </c:scaling>
        <c:delete val="0"/>
        <c:axPos val="b"/>
        <c:numFmt formatCode="General" sourceLinked="1"/>
        <c:majorTickMark val="none"/>
        <c:minorTickMark val="none"/>
        <c:tickLblPos val="nextTo"/>
        <c:crossAx val="227596544"/>
        <c:crosses val="autoZero"/>
        <c:auto val="1"/>
        <c:lblAlgn val="ctr"/>
        <c:lblOffset val="100"/>
        <c:noMultiLvlLbl val="0"/>
      </c:catAx>
      <c:valAx>
        <c:axId val="227596544"/>
        <c:scaling>
          <c:orientation val="minMax"/>
          <c:max val="250000"/>
        </c:scaling>
        <c:delete val="1"/>
        <c:axPos val="l"/>
        <c:numFmt formatCode="_(* #,##0_);_(* \(#,##0\);_(* &quot;-&quot;_);_(@_)" sourceLinked="1"/>
        <c:majorTickMark val="out"/>
        <c:minorTickMark val="none"/>
        <c:tickLblPos val="nextTo"/>
        <c:crossAx val="104590720"/>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
          <c:y val="2.0115923009623799E-2"/>
          <c:w val="0.7358214525509893"/>
          <c:h val="0.87010753864100321"/>
        </c:manualLayout>
      </c:layout>
      <c:barChart>
        <c:barDir val="col"/>
        <c:grouping val="percentStacked"/>
        <c:varyColors val="0"/>
        <c:ser>
          <c:idx val="0"/>
          <c:order val="0"/>
          <c:tx>
            <c:strRef>
              <c:f>'Provider type'!$AW$43</c:f>
              <c:strCache>
                <c:ptCount val="1"/>
                <c:pt idx="0">
                  <c:v>Learn Local</c:v>
                </c:pt>
              </c:strCache>
            </c:strRef>
          </c:tx>
          <c:spPr>
            <a:solidFill>
              <a:schemeClr val="accent1">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'Provider type'!$AX$42:$BC$42</c:f>
              <c:numCache>
                <c:formatCode>General</c:formatCode>
                <c:ptCount val="6"/>
                <c:pt idx="0">
                  <c:v>2008</c:v>
                </c:pt>
                <c:pt idx="1">
                  <c:v>2009</c:v>
                </c:pt>
                <c:pt idx="2">
                  <c:v>2010</c:v>
                </c:pt>
                <c:pt idx="3">
                  <c:v>2011</c:v>
                </c:pt>
                <c:pt idx="4">
                  <c:v>2012</c:v>
                </c:pt>
                <c:pt idx="5">
                  <c:v>2013</c:v>
                </c:pt>
              </c:numCache>
            </c:numRef>
          </c:cat>
          <c:val>
            <c:numRef>
              <c:f>'Provider type'!$AX$43:$BC$43</c:f>
              <c:numCache>
                <c:formatCode>0%</c:formatCode>
                <c:ptCount val="6"/>
                <c:pt idx="0">
                  <c:v>0.19</c:v>
                </c:pt>
                <c:pt idx="1">
                  <c:v>0.18</c:v>
                </c:pt>
                <c:pt idx="2">
                  <c:v>0.15</c:v>
                </c:pt>
                <c:pt idx="3">
                  <c:v>0.12</c:v>
                </c:pt>
                <c:pt idx="4">
                  <c:v>0.12</c:v>
                </c:pt>
                <c:pt idx="5">
                  <c:v>0.11</c:v>
                </c:pt>
              </c:numCache>
            </c:numRef>
          </c:val>
        </c:ser>
        <c:ser>
          <c:idx val="1"/>
          <c:order val="1"/>
          <c:tx>
            <c:strRef>
              <c:f>'Provider type'!$AW$44</c:f>
              <c:strCache>
                <c:ptCount val="1"/>
                <c:pt idx="0">
                  <c:v>Private RTOs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'Provider type'!$AX$42:$BC$42</c:f>
              <c:numCache>
                <c:formatCode>General</c:formatCode>
                <c:ptCount val="6"/>
                <c:pt idx="0">
                  <c:v>2008</c:v>
                </c:pt>
                <c:pt idx="1">
                  <c:v>2009</c:v>
                </c:pt>
                <c:pt idx="2">
                  <c:v>2010</c:v>
                </c:pt>
                <c:pt idx="3">
                  <c:v>2011</c:v>
                </c:pt>
                <c:pt idx="4">
                  <c:v>2012</c:v>
                </c:pt>
                <c:pt idx="5">
                  <c:v>2013</c:v>
                </c:pt>
              </c:numCache>
            </c:numRef>
          </c:cat>
          <c:val>
            <c:numRef>
              <c:f>'Provider type'!$AX$44:$BC$44</c:f>
              <c:numCache>
                <c:formatCode>0%</c:formatCode>
                <c:ptCount val="6"/>
                <c:pt idx="0">
                  <c:v>0.14000000000000001</c:v>
                </c:pt>
                <c:pt idx="1">
                  <c:v>0.15</c:v>
                </c:pt>
                <c:pt idx="2">
                  <c:v>0.23</c:v>
                </c:pt>
                <c:pt idx="3">
                  <c:v>0.4</c:v>
                </c:pt>
                <c:pt idx="4">
                  <c:v>0.46</c:v>
                </c:pt>
                <c:pt idx="5">
                  <c:v>0.48</c:v>
                </c:pt>
              </c:numCache>
            </c:numRef>
          </c:val>
        </c:ser>
        <c:ser>
          <c:idx val="2"/>
          <c:order val="2"/>
          <c:tx>
            <c:strRef>
              <c:f>'Provider type'!$AW$45</c:f>
              <c:strCache>
                <c:ptCount val="1"/>
                <c:pt idx="0">
                  <c:v>Universities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'Provider type'!$AX$42:$BC$42</c:f>
              <c:numCache>
                <c:formatCode>General</c:formatCode>
                <c:ptCount val="6"/>
                <c:pt idx="0">
                  <c:v>2008</c:v>
                </c:pt>
                <c:pt idx="1">
                  <c:v>2009</c:v>
                </c:pt>
                <c:pt idx="2">
                  <c:v>2010</c:v>
                </c:pt>
                <c:pt idx="3">
                  <c:v>2011</c:v>
                </c:pt>
                <c:pt idx="4">
                  <c:v>2012</c:v>
                </c:pt>
                <c:pt idx="5">
                  <c:v>2013</c:v>
                </c:pt>
              </c:numCache>
            </c:numRef>
          </c:cat>
          <c:val>
            <c:numRef>
              <c:f>'Provider type'!$AX$45:$BC$45</c:f>
              <c:numCache>
                <c:formatCode>0%</c:formatCode>
                <c:ptCount val="6"/>
                <c:pt idx="0">
                  <c:v>0.19</c:v>
                </c:pt>
                <c:pt idx="1">
                  <c:v>0.18</c:v>
                </c:pt>
                <c:pt idx="2">
                  <c:v>0.18</c:v>
                </c:pt>
                <c:pt idx="3">
                  <c:v>0.13</c:v>
                </c:pt>
                <c:pt idx="4">
                  <c:v>0.1</c:v>
                </c:pt>
                <c:pt idx="5">
                  <c:v>0.08</c:v>
                </c:pt>
              </c:numCache>
            </c:numRef>
          </c:val>
        </c:ser>
        <c:ser>
          <c:idx val="3"/>
          <c:order val="3"/>
          <c:tx>
            <c:strRef>
              <c:f>'Provider type'!$AW$46</c:f>
              <c:strCache>
                <c:ptCount val="1"/>
                <c:pt idx="0">
                  <c:v>TAFE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'Provider type'!$AX$42:$BC$42</c:f>
              <c:numCache>
                <c:formatCode>General</c:formatCode>
                <c:ptCount val="6"/>
                <c:pt idx="0">
                  <c:v>2008</c:v>
                </c:pt>
                <c:pt idx="1">
                  <c:v>2009</c:v>
                </c:pt>
                <c:pt idx="2">
                  <c:v>2010</c:v>
                </c:pt>
                <c:pt idx="3">
                  <c:v>2011</c:v>
                </c:pt>
                <c:pt idx="4">
                  <c:v>2012</c:v>
                </c:pt>
                <c:pt idx="5">
                  <c:v>2013</c:v>
                </c:pt>
              </c:numCache>
            </c:numRef>
          </c:cat>
          <c:val>
            <c:numRef>
              <c:f>'Provider type'!$AX$46:$BC$46</c:f>
              <c:numCache>
                <c:formatCode>0%</c:formatCode>
                <c:ptCount val="6"/>
                <c:pt idx="0">
                  <c:v>0.47</c:v>
                </c:pt>
                <c:pt idx="1">
                  <c:v>0.48</c:v>
                </c:pt>
                <c:pt idx="2">
                  <c:v>0.44</c:v>
                </c:pt>
                <c:pt idx="3">
                  <c:v>0.35</c:v>
                </c:pt>
                <c:pt idx="4">
                  <c:v>0.32</c:v>
                </c:pt>
                <c:pt idx="5">
                  <c:v>0.32</c:v>
                </c:pt>
              </c:numCache>
            </c:numRef>
          </c:val>
        </c:ser>
        <c:dLbls>
          <c:showLegendKey val="0"/>
          <c:showVal val="0"/>
          <c:showCatName val="0"/>
          <c:showSerName val="0"/>
          <c:showPercent val="0"/>
          <c:showBubbleSize val="0"/>
        </c:dLbls>
        <c:gapWidth val="44"/>
        <c:overlap val="100"/>
        <c:axId val="175347200"/>
        <c:axId val="175348736"/>
      </c:barChart>
      <c:catAx>
        <c:axId val="175347200"/>
        <c:scaling>
          <c:orientation val="minMax"/>
        </c:scaling>
        <c:delete val="0"/>
        <c:axPos val="b"/>
        <c:numFmt formatCode="General" sourceLinked="1"/>
        <c:majorTickMark val="none"/>
        <c:minorTickMark val="none"/>
        <c:tickLblPos val="nextTo"/>
        <c:crossAx val="175348736"/>
        <c:crosses val="autoZero"/>
        <c:auto val="1"/>
        <c:lblAlgn val="ctr"/>
        <c:lblOffset val="100"/>
        <c:noMultiLvlLbl val="0"/>
      </c:catAx>
      <c:valAx>
        <c:axId val="175348736"/>
        <c:scaling>
          <c:orientation val="minMax"/>
          <c:max val="1"/>
        </c:scaling>
        <c:delete val="1"/>
        <c:axPos val="l"/>
        <c:numFmt formatCode="0%" sourceLinked="1"/>
        <c:majorTickMark val="out"/>
        <c:minorTickMark val="none"/>
        <c:tickLblPos val="nextTo"/>
        <c:crossAx val="175347200"/>
        <c:crosses val="autoZero"/>
        <c:crossBetween val="between"/>
      </c:valAx>
      <c:spPr>
        <a:noFill/>
      </c:spPr>
    </c:plotArea>
    <c:legend>
      <c:legendPos val="r"/>
      <c:layout>
        <c:manualLayout>
          <c:xMode val="edge"/>
          <c:yMode val="edge"/>
          <c:x val="0.74184738535590034"/>
          <c:y val="0.20780457822519022"/>
          <c:w val="0.25815261464409972"/>
          <c:h val="0.26919033854945346"/>
        </c:manualLayout>
      </c:layout>
      <c:overlay val="0"/>
    </c:legend>
    <c:plotVisOnly val="1"/>
    <c:dispBlanksAs val="gap"/>
    <c:showDLblsOverMax val="0"/>
  </c:chart>
  <c:spPr>
    <a:noFill/>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TaxCatchAll xmlns="cb9114c1-daad-44dd-acad-30f4246641f2">
      <Value>94</Value>
      <Value>107</Value>
      <Value>128</Value>
    </TaxCatchAll>
    <DEECD_Expired xmlns="http://schemas.microsoft.com/sharepoint/v3">false</DEECD_Expired>
    <DEECD_Keywords xmlns="http://schemas.microsoft.com/sharepoint/v3">Training Market, industry skills needs, industry participation</DEECD_Keywords>
    <DEECD_Description xmlns="http://schemas.microsoft.com/sharepoint/v3">The Quarter 4 Victorian Training Market Report is the latest in an on-going series of reports aimed at providing a summary of Victorian training market performance following the introduction of the student entitlement system.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11045-A518-4737-A80A-F53727501211}"/>
</file>

<file path=customXml/itemProps2.xml><?xml version="1.0" encoding="utf-8"?>
<ds:datastoreItem xmlns:ds="http://schemas.openxmlformats.org/officeDocument/2006/customXml" ds:itemID="{79318A98-6E3D-42D4-9EFA-7D9AE5F74016}"/>
</file>

<file path=customXml/itemProps3.xml><?xml version="1.0" encoding="utf-8"?>
<ds:datastoreItem xmlns:ds="http://schemas.openxmlformats.org/officeDocument/2006/customXml" ds:itemID="{9EC24F3C-CE84-42C6-A881-B9E9E2AFD552}"/>
</file>

<file path=customXml/itemProps4.xml><?xml version="1.0" encoding="utf-8"?>
<ds:datastoreItem xmlns:ds="http://schemas.openxmlformats.org/officeDocument/2006/customXml" ds:itemID="{82E7DB00-7AAB-402B-8F82-362F5FC26E16}"/>
</file>

<file path=docProps/app.xml><?xml version="1.0" encoding="utf-8"?>
<Properties xmlns="http://schemas.openxmlformats.org/officeDocument/2006/extended-properties" xmlns:vt="http://schemas.openxmlformats.org/officeDocument/2006/docPropsVTypes">
  <Template>Normal</Template>
  <TotalTime>324</TotalTime>
  <Pages>1</Pages>
  <Words>15678</Words>
  <Characters>89366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Report</vt:lpstr>
    </vt:vector>
  </TitlesOfParts>
  <Company>DEECD</Company>
  <LinksUpToDate>false</LinksUpToDate>
  <CharactersWithSpaces>104835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Training Market Quarterly Report Full Year 2013</dc:title>
  <dc:creator>Home</dc:creator>
  <cp:lastModifiedBy>Briant, Scott G</cp:lastModifiedBy>
  <cp:revision>15</cp:revision>
  <cp:lastPrinted>2014-06-10T23:50:00Z</cp:lastPrinted>
  <dcterms:created xsi:type="dcterms:W3CDTF">2014-06-05T00:21:00Z</dcterms:created>
  <dcterms:modified xsi:type="dcterms:W3CDTF">2014-06-05T06:06:00Z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PublishingExpirationDate">
    <vt:lpwstr/>
  </property>
  <property fmtid="{D5CDD505-2E9C-101B-9397-08002B2CF9AE}" pid="6" name="PublishingStartDate">
    <vt:lpwstr/>
  </property>
  <property fmtid="{D5CDD505-2E9C-101B-9397-08002B2CF9AE}" pid="7" name="Visible">
    <vt:lpwstr>1</vt:lpwstr>
  </property>
  <property fmtid="{D5CDD505-2E9C-101B-9397-08002B2CF9AE}" pid="8" name="FooterText_Name">
    <vt:lpwstr>Victorian Training Market Quarterly Report</vt:lpwstr>
  </property>
  <property fmtid="{D5CDD505-2E9C-101B-9397-08002B2CF9AE}" pid="9" name="FooterText_Period">
    <vt:lpwstr>Q3 2012</vt:lpwstr>
  </property>
  <property fmtid="{D5CDD505-2E9C-101B-9397-08002B2CF9AE}" pid="10" name="DEECD_Author">
    <vt:lpwstr>94;#Education|5232e41c-5101-41fe-b638-7d41d1371531</vt:lpwstr>
  </property>
  <property fmtid="{D5CDD505-2E9C-101B-9397-08002B2CF9AE}" pid="11" name="DEECD_ItemType">
    <vt:lpwstr>107;#Report|f1e22bdf-3d18-4ee3-a232-8974cf02f396</vt:lpwstr>
  </property>
  <property fmtid="{D5CDD505-2E9C-101B-9397-08002B2CF9AE}" pid="12" name="DEECD_SubjectCategory">
    <vt:lpwstr/>
  </property>
  <property fmtid="{D5CDD505-2E9C-101B-9397-08002B2CF9AE}" pid="13" name="DEECD_Audience">
    <vt:lpwstr>128;#Training Providers|4678ec9c-7948-40c9-b14d-b0149fe9985e</vt:lpwstr>
  </property>
</Properties>
</file>