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E7" w:rsidRDefault="00AD4AE7" w:rsidP="008603E7">
      <w:pPr>
        <w:jc w:val="left"/>
        <w:rPr>
          <w:color w:val="76923C" w:themeColor="accent3" w:themeShade="BF"/>
          <w:sz w:val="46"/>
        </w:rPr>
      </w:pPr>
      <w:bookmarkStart w:id="0" w:name="Start"/>
      <w:r w:rsidRPr="00512EAB">
        <w:rPr>
          <w:color w:val="76923C" w:themeColor="accent3" w:themeShade="BF"/>
          <w:sz w:val="46"/>
        </w:rPr>
        <w:t xml:space="preserve">Victorian Training Market Quarterly Report </w:t>
      </w:r>
      <w:bookmarkEnd w:id="0"/>
      <w:r w:rsidR="00692C68" w:rsidRPr="00512EAB">
        <w:rPr>
          <w:color w:val="76923C" w:themeColor="accent3" w:themeShade="BF"/>
          <w:sz w:val="46"/>
        </w:rPr>
        <w:br/>
        <w:t>Q</w:t>
      </w:r>
      <w:r w:rsidR="008D6D73">
        <w:rPr>
          <w:color w:val="76923C" w:themeColor="accent3" w:themeShade="BF"/>
          <w:sz w:val="46"/>
        </w:rPr>
        <w:t>2</w:t>
      </w:r>
      <w:r w:rsidR="00692C68" w:rsidRPr="00512EAB">
        <w:rPr>
          <w:color w:val="76923C" w:themeColor="accent3" w:themeShade="BF"/>
          <w:sz w:val="46"/>
        </w:rPr>
        <w:t xml:space="preserve"> 2013</w:t>
      </w:r>
    </w:p>
    <w:p w:rsidR="008603E7" w:rsidRDefault="008603E7" w:rsidP="008603E7">
      <w:pPr>
        <w:jc w:val="left"/>
        <w:rPr>
          <w:color w:val="76923C" w:themeColor="accent3" w:themeShade="BF"/>
          <w:sz w:val="46"/>
        </w:rPr>
      </w:pPr>
    </w:p>
    <w:p w:rsidR="008603E7" w:rsidRPr="001F29E3" w:rsidRDefault="008603E7" w:rsidP="008603E7">
      <w:pPr>
        <w:jc w:val="left"/>
        <w:rPr>
          <w:rFonts w:cs="Arial"/>
        </w:rPr>
      </w:pPr>
    </w:p>
    <w:p w:rsidR="00F87392" w:rsidRPr="001F29E3" w:rsidRDefault="00861BA9" w:rsidP="00F87392">
      <w:pPr>
        <w:pStyle w:val="Header"/>
        <w:rPr>
          <w:rFonts w:cs="Arial"/>
        </w:rPr>
      </w:pPr>
      <w:r w:rsidRPr="001F29E3">
        <w:rPr>
          <w:rFonts w:cs="Arial"/>
          <w:noProof/>
          <w:lang w:eastAsia="en-AU"/>
        </w:rPr>
        <mc:AlternateContent>
          <mc:Choice Requires="wpg">
            <w:drawing>
              <wp:inline distT="0" distB="0" distL="0" distR="0">
                <wp:extent cx="2329180" cy="422275"/>
                <wp:effectExtent l="0" t="0" r="0" b="0"/>
                <wp:docPr id="3098"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3099" name="Freeform 1961"/>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0" name="Freeform 1962"/>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Logo Vic" o:spid="_x0000_s1026" style="width:183.4pt;height:33.25pt;mso-position-horizontal-relative:char;mso-position-vertical-relative:lin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">
                <o:lock v:ext="edit" aspectratio="t"/>
                <v:shape id="Freeform 1961"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Y5cMA&#10;AADdAAAADwAAAGRycy9kb3ducmV2LnhtbESPQYvCMBSE78L+h/AW9qaprohWoyyCoF7E6rLXR/Ns&#10;yzYvpUk1/nsjCB6HmfmGWayCqcWVWldZVjAcJCCIc6srLhScT5v+FITzyBpry6TgTg5Wy4/eAlNt&#10;b3yka+YLESHsUlRQet+kUrq8JINuYBvi6F1sa9BH2RZSt3iLcFPLUZJMpMGK40KJDa1Lyv+zzijo&#10;DsM93cfh0IQs3/12xMep+1Pq6zP8zEF4Cv4dfrW3WsF3MpvB80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VY5cMAAADdAAAADwAAAAAAAAAAAAAAAACYAgAAZHJzL2Rv&#10;d25yZXYueG1sUEsFBgAAAAAEAAQA9QAAAIg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1962"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5XccMA&#10;AADdAAAADwAAAGRycy9kb3ducmV2LnhtbERPz2vCMBS+D/wfwhO8DJtqYZTOKCJsCDvI2jE8vjVv&#10;bVnzEpKo3X9vDoMdP77fm91kRnElHwbLClZZDoK4tXrgTsFH87IsQYSIrHG0TAp+KcBuO3vYYKXt&#10;jd/pWsdOpBAOFSroY3SVlKHtyWDIrCNO3Lf1BmOCvpPa4y2Fm1Gu8/xJGhw4NfTo6NBT+1NfjALd&#10;FF+vrTuX2h3828l80t7yo1KL+bR/BhFpiv/iP/dRKyhWedqf3qQn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5XccMAAADdAAAADwAAAAAAAAAAAAAAAACYAgAAZHJzL2Rv&#10;d25yZXYueG1sUEsFBgAAAAAEAAQA9QAAAIgD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anchorlock/>
              </v:group>
            </w:pict>
          </mc:Fallback>
        </mc:AlternateContent>
      </w:r>
    </w:p>
    <w:p w:rsidR="0097609C" w:rsidRPr="001F29E3" w:rsidRDefault="0097609C" w:rsidP="00DA3526">
      <w:pPr>
        <w:rPr>
          <w:rFonts w:cs="Arial"/>
        </w:rPr>
        <w:sectPr w:rsidR="0097609C" w:rsidRPr="001F29E3" w:rsidSect="002D6A3A">
          <w:headerReference w:type="first" r:id="rId9"/>
          <w:pgSz w:w="11907" w:h="16840" w:code="9"/>
          <w:pgMar w:top="471" w:right="346" w:bottom="12106" w:left="7938" w:header="136" w:footer="709" w:gutter="0"/>
          <w:cols w:space="708"/>
          <w:titlePg/>
          <w:docGrid w:linePitch="360"/>
        </w:sectPr>
      </w:pPr>
    </w:p>
    <w:p w:rsidR="00AD4AE7" w:rsidRPr="001F29E3" w:rsidRDefault="00AD4AE7" w:rsidP="00DA3526">
      <w:pPr>
        <w:pStyle w:val="CopyrightDetailsBold"/>
        <w:jc w:val="left"/>
        <w:rPr>
          <w:rFonts w:cs="Arial"/>
        </w:rPr>
      </w:pPr>
      <w:r w:rsidRPr="001F29E3">
        <w:rPr>
          <w:rFonts w:cs="Arial"/>
        </w:rPr>
        <w:lastRenderedPageBreak/>
        <w:t>Prepared by Department of Education and</w:t>
      </w:r>
      <w:r w:rsidRPr="001F29E3">
        <w:rPr>
          <w:rFonts w:cs="Arial"/>
        </w:rPr>
        <w:br/>
        <w:t>Early Childhood Development</w:t>
      </w:r>
    </w:p>
    <w:p w:rsidR="00AD4AE7" w:rsidRPr="001F29E3" w:rsidRDefault="00AD4AE7" w:rsidP="00DA3526">
      <w:pPr>
        <w:pStyle w:val="CopyrightDetails"/>
        <w:jc w:val="left"/>
        <w:rPr>
          <w:rFonts w:cs="Arial"/>
        </w:rPr>
      </w:pPr>
      <w:r w:rsidRPr="001F29E3">
        <w:rPr>
          <w:rFonts w:cs="Arial"/>
        </w:rPr>
        <w:t>Melbourne</w:t>
      </w:r>
      <w:r w:rsidRPr="001F29E3">
        <w:rPr>
          <w:rFonts w:cs="Arial"/>
        </w:rPr>
        <w:br/>
      </w:r>
      <w:r w:rsidR="00B14DB7" w:rsidRPr="00B14DB7">
        <w:rPr>
          <w:rFonts w:cs="Arial"/>
        </w:rPr>
        <w:t>September</w:t>
      </w:r>
      <w:r w:rsidRPr="00B14DB7">
        <w:rPr>
          <w:rFonts w:cs="Arial"/>
        </w:rPr>
        <w:t xml:space="preserve"> 201</w:t>
      </w:r>
      <w:r w:rsidR="00DA3526" w:rsidRPr="00B14DB7">
        <w:rPr>
          <w:rFonts w:cs="Arial"/>
        </w:rPr>
        <w:t>3</w:t>
      </w:r>
    </w:p>
    <w:p w:rsidR="00AD4AE7" w:rsidRPr="001F29E3" w:rsidRDefault="00AD4AE7" w:rsidP="00DA3526">
      <w:pPr>
        <w:pStyle w:val="CopyrightDetails"/>
        <w:jc w:val="left"/>
        <w:rPr>
          <w:rFonts w:cs="Arial"/>
        </w:rPr>
      </w:pPr>
    </w:p>
    <w:p w:rsidR="00AD4AE7" w:rsidRPr="001F29E3" w:rsidRDefault="00AD4AE7" w:rsidP="00DA3526">
      <w:pPr>
        <w:pStyle w:val="CopyrightDetails"/>
        <w:jc w:val="left"/>
        <w:rPr>
          <w:rFonts w:cs="Arial"/>
        </w:rPr>
      </w:pPr>
      <w:r w:rsidRPr="001F29E3">
        <w:rPr>
          <w:rFonts w:cs="Arial"/>
        </w:rPr>
        <w:t>©State of Victoria (Department of Education</w:t>
      </w:r>
      <w:r w:rsidRPr="001F29E3">
        <w:rPr>
          <w:rFonts w:cs="Arial"/>
        </w:rPr>
        <w:br/>
        <w:t>and Early Childhood Development) 201</w:t>
      </w:r>
      <w:r w:rsidR="00DA3526" w:rsidRPr="001F29E3">
        <w:rPr>
          <w:rFonts w:cs="Arial"/>
        </w:rPr>
        <w:t>3</w:t>
      </w:r>
    </w:p>
    <w:p w:rsidR="00AD4AE7" w:rsidRPr="001F29E3" w:rsidRDefault="00AD4AE7" w:rsidP="00DA3526">
      <w:pPr>
        <w:pStyle w:val="CopyrightDetails"/>
        <w:jc w:val="left"/>
        <w:rPr>
          <w:rFonts w:cs="Arial"/>
        </w:rPr>
      </w:pPr>
    </w:p>
    <w:p w:rsidR="008603E7" w:rsidRDefault="00AD4AE7" w:rsidP="00DA3526">
      <w:pPr>
        <w:pStyle w:val="CopyrightDetails"/>
        <w:jc w:val="left"/>
        <w:rPr>
          <w:rFonts w:cs="Arial"/>
        </w:rPr>
      </w:pPr>
      <w:r w:rsidRPr="001F29E3">
        <w:rPr>
          <w:rFonts w:cs="Arial"/>
        </w:rPr>
        <w:t>The copyright in this document is owned by the State of Victoria (Department of Education and Early Childhood Development), or in the case of some materials, by third parties (third party materials). No part may be reproduced by any process except in accordance with the provisions of the Copyright Act 1968, the National Education Access Licence for Schools (NEALS) (see below) or with permission.</w:t>
      </w:r>
    </w:p>
    <w:p w:rsidR="008603E7" w:rsidRDefault="008603E7" w:rsidP="00DA3526">
      <w:pPr>
        <w:pStyle w:val="CopyrightDetails"/>
        <w:jc w:val="left"/>
        <w:rPr>
          <w:rFonts w:cs="Arial"/>
        </w:rPr>
      </w:pPr>
    </w:p>
    <w:p w:rsidR="00AD4AE7" w:rsidRPr="001F29E3" w:rsidRDefault="00AD4AE7" w:rsidP="00DA3526">
      <w:pPr>
        <w:pStyle w:val="CopyrightDetails"/>
        <w:jc w:val="left"/>
        <w:rPr>
          <w:rFonts w:cs="Arial"/>
        </w:rPr>
      </w:pPr>
      <w:r w:rsidRPr="001F29E3">
        <w:rPr>
          <w:rFonts w:cs="Arial"/>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rsidR="00AD4AE7" w:rsidRPr="001F29E3" w:rsidRDefault="00AD4AE7" w:rsidP="00DA3526">
      <w:pPr>
        <w:pStyle w:val="CopyrightDetails"/>
        <w:jc w:val="left"/>
        <w:rPr>
          <w:rFonts w:cs="Arial"/>
        </w:rPr>
      </w:pPr>
    </w:p>
    <w:p w:rsidR="00F87392" w:rsidRPr="001F29E3" w:rsidRDefault="00AD4AE7" w:rsidP="00DA3526">
      <w:pPr>
        <w:pStyle w:val="CopyrightDetails"/>
        <w:jc w:val="left"/>
        <w:rPr>
          <w:rFonts w:cs="Arial"/>
        </w:rPr>
      </w:pPr>
      <w:r w:rsidRPr="001F29E3">
        <w:rPr>
          <w:rFonts w:cs="Arial"/>
        </w:rPr>
        <w:t>Authorised by the Department of Education</w:t>
      </w:r>
      <w:r w:rsidRPr="001F29E3">
        <w:rPr>
          <w:rFonts w:cs="Arial"/>
        </w:rPr>
        <w:br/>
        <w:t>and Early Childhood Development</w:t>
      </w:r>
      <w:r w:rsidR="001A1AD1" w:rsidRPr="001F29E3">
        <w:rPr>
          <w:rFonts w:cs="Arial"/>
        </w:rPr>
        <w:t xml:space="preserve">, </w:t>
      </w:r>
      <w:r w:rsidRPr="001F29E3">
        <w:rPr>
          <w:rFonts w:cs="Arial"/>
        </w:rPr>
        <w:br/>
        <w:t>2 Treasury Place, East Melbourne, Victoria, 300</w:t>
      </w:r>
      <w:r w:rsidR="00CA03C0" w:rsidRPr="001F29E3">
        <w:rPr>
          <w:rFonts w:cs="Arial"/>
        </w:rPr>
        <w:t>2</w:t>
      </w:r>
    </w:p>
    <w:p w:rsidR="00AD4AE7" w:rsidRPr="001F29E3" w:rsidRDefault="00AD4AE7" w:rsidP="00DA3526">
      <w:pPr>
        <w:rPr>
          <w:rFonts w:cs="Arial"/>
        </w:rPr>
        <w:sectPr w:rsidR="00AD4AE7" w:rsidRPr="001F29E3" w:rsidSect="002D6A3A">
          <w:headerReference w:type="even" r:id="rId10"/>
          <w:headerReference w:type="default" r:id="rId11"/>
          <w:footerReference w:type="even" r:id="rId12"/>
          <w:footerReference w:type="default" r:id="rId13"/>
          <w:headerReference w:type="first" r:id="rId14"/>
          <w:footerReference w:type="first" r:id="rId15"/>
          <w:pgSz w:w="11907" w:h="16840" w:code="9"/>
          <w:pgMar w:top="907" w:right="4536" w:bottom="1009" w:left="1707" w:header="420" w:footer="216" w:gutter="0"/>
          <w:cols w:space="708"/>
          <w:docGrid w:linePitch="360"/>
        </w:sectPr>
      </w:pPr>
    </w:p>
    <w:p w:rsidR="004E0101" w:rsidRDefault="00B4686E" w:rsidP="008603E7">
      <w:pPr>
        <w:pStyle w:val="TOC1"/>
        <w:rPr>
          <w:rFonts w:ascii="Arial" w:hAnsi="Arial"/>
          <w:b w:val="0"/>
          <w:bCs w:val="0"/>
          <w:caps w:val="0"/>
          <w:noProof w:val="0"/>
          <w:color w:val="76923C" w:themeColor="accent3" w:themeShade="BF"/>
          <w:spacing w:val="-12"/>
          <w:sz w:val="46"/>
          <w:szCs w:val="46"/>
        </w:rPr>
      </w:pPr>
      <w:r w:rsidRPr="00C15A15">
        <w:rPr>
          <w:rFonts w:ascii="Arial" w:hAnsi="Arial"/>
          <w:b w:val="0"/>
          <w:bCs w:val="0"/>
          <w:caps w:val="0"/>
          <w:noProof w:val="0"/>
          <w:color w:val="76923C" w:themeColor="accent3" w:themeShade="BF"/>
          <w:spacing w:val="-12"/>
          <w:sz w:val="46"/>
          <w:szCs w:val="46"/>
        </w:rPr>
        <w:lastRenderedPageBreak/>
        <w:t>Contents</w:t>
      </w:r>
    </w:p>
    <w:p w:rsidR="008603E7" w:rsidRDefault="008603E7" w:rsidP="008603E7"/>
    <w:p w:rsidR="008603E7" w:rsidRPr="008603E7" w:rsidRDefault="008603E7" w:rsidP="008603E7"/>
    <w:p w:rsidR="005A42A6" w:rsidRDefault="0020796B" w:rsidP="005A42A6">
      <w:pPr>
        <w:pStyle w:val="TOC1"/>
        <w:tabs>
          <w:tab w:val="clear" w:pos="6698"/>
          <w:tab w:val="right" w:pos="8364"/>
        </w:tabs>
        <w:spacing w:afterLines="60" w:after="144"/>
        <w:rPr>
          <w:rFonts w:asciiTheme="minorHAnsi" w:eastAsiaTheme="minorEastAsia" w:hAnsiTheme="minorHAnsi" w:cstheme="minorBidi"/>
          <w:b w:val="0"/>
          <w:bCs w:val="0"/>
          <w:caps w:val="0"/>
          <w:sz w:val="22"/>
          <w:szCs w:val="22"/>
          <w:lang w:eastAsia="en-AU"/>
        </w:rPr>
      </w:pPr>
      <w:r w:rsidRPr="001F29E3">
        <w:rPr>
          <w:rFonts w:ascii="Arial" w:hAnsi="Arial"/>
          <w:sz w:val="16"/>
          <w:szCs w:val="16"/>
        </w:rPr>
        <w:fldChar w:fldCharType="begin"/>
      </w:r>
      <w:r w:rsidRPr="001F29E3">
        <w:rPr>
          <w:rFonts w:ascii="Arial" w:hAnsi="Arial"/>
          <w:sz w:val="16"/>
          <w:szCs w:val="16"/>
        </w:rPr>
        <w:instrText xml:space="preserve"> TOC \o "1-2" </w:instrText>
      </w:r>
      <w:r w:rsidRPr="001F29E3">
        <w:rPr>
          <w:rFonts w:ascii="Arial" w:hAnsi="Arial"/>
          <w:sz w:val="16"/>
          <w:szCs w:val="16"/>
        </w:rPr>
        <w:fldChar w:fldCharType="separate"/>
      </w:r>
      <w:r w:rsidR="005A42A6" w:rsidRPr="002A40F8">
        <w:t>Executive Summary</w:t>
      </w:r>
      <w:r w:rsidR="005A42A6">
        <w:tab/>
      </w:r>
      <w:r w:rsidR="005A42A6">
        <w:fldChar w:fldCharType="begin"/>
      </w:r>
      <w:r w:rsidR="005A42A6">
        <w:instrText xml:space="preserve"> PAGEREF _Toc366588107 \h </w:instrText>
      </w:r>
      <w:r w:rsidR="005A42A6">
        <w:fldChar w:fldCharType="separate"/>
      </w:r>
      <w:r w:rsidR="008176F8">
        <w:t>5</w:t>
      </w:r>
      <w:r w:rsidR="005A42A6">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The Policy Context of Vocational Training in Victoria</w:t>
      </w:r>
      <w:r>
        <w:rPr>
          <w:noProof/>
        </w:rPr>
        <w:tab/>
      </w:r>
      <w:r>
        <w:rPr>
          <w:noProof/>
        </w:rPr>
        <w:fldChar w:fldCharType="begin"/>
      </w:r>
      <w:r>
        <w:rPr>
          <w:noProof/>
        </w:rPr>
        <w:instrText xml:space="preserve"> PAGEREF _Toc366588108 \h </w:instrText>
      </w:r>
      <w:r>
        <w:rPr>
          <w:noProof/>
        </w:rPr>
      </w:r>
      <w:r>
        <w:rPr>
          <w:noProof/>
        </w:rPr>
        <w:fldChar w:fldCharType="separate"/>
      </w:r>
      <w:r w:rsidR="008176F8">
        <w:rPr>
          <w:noProof/>
        </w:rPr>
        <w:t>9</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Reporting scope</w:t>
      </w:r>
      <w:r>
        <w:rPr>
          <w:noProof/>
        </w:rPr>
        <w:tab/>
      </w:r>
      <w:r>
        <w:rPr>
          <w:noProof/>
        </w:rPr>
        <w:fldChar w:fldCharType="begin"/>
      </w:r>
      <w:r>
        <w:rPr>
          <w:noProof/>
        </w:rPr>
        <w:instrText xml:space="preserve"> PAGEREF _Toc366588109 \h </w:instrText>
      </w:r>
      <w:r>
        <w:rPr>
          <w:noProof/>
        </w:rPr>
      </w:r>
      <w:r>
        <w:rPr>
          <w:noProof/>
        </w:rPr>
        <w:fldChar w:fldCharType="separate"/>
      </w:r>
      <w:r w:rsidR="008176F8">
        <w:rPr>
          <w:noProof/>
        </w:rPr>
        <w:t>11</w:t>
      </w:r>
      <w:r>
        <w:rPr>
          <w:noProof/>
        </w:rPr>
        <w:fldChar w:fldCharType="end"/>
      </w:r>
    </w:p>
    <w:p w:rsidR="005A42A6" w:rsidRDefault="005A42A6" w:rsidP="005A42A6">
      <w:pPr>
        <w:pStyle w:val="TOC1"/>
        <w:tabs>
          <w:tab w:val="clear" w:pos="6698"/>
          <w:tab w:val="right" w:pos="8364"/>
        </w:tabs>
        <w:spacing w:afterLines="60" w:after="144"/>
        <w:rPr>
          <w:rFonts w:asciiTheme="minorHAnsi" w:eastAsiaTheme="minorEastAsia" w:hAnsiTheme="minorHAnsi" w:cstheme="minorBidi"/>
          <w:b w:val="0"/>
          <w:bCs w:val="0"/>
          <w:caps w:val="0"/>
          <w:sz w:val="22"/>
          <w:szCs w:val="22"/>
          <w:lang w:eastAsia="en-AU"/>
        </w:rPr>
      </w:pPr>
      <w:r>
        <w:t>Vocational Training Summary</w:t>
      </w:r>
      <w:r>
        <w:tab/>
      </w:r>
      <w:r>
        <w:fldChar w:fldCharType="begin"/>
      </w:r>
      <w:r>
        <w:instrText xml:space="preserve"> PAGEREF _Toc366588110 \h </w:instrText>
      </w:r>
      <w:r>
        <w:fldChar w:fldCharType="separate"/>
      </w:r>
      <w:r w:rsidR="008176F8">
        <w:t>13</w:t>
      </w:r>
      <w: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Vocational Training by Funding Type</w:t>
      </w:r>
      <w:r>
        <w:rPr>
          <w:noProof/>
        </w:rPr>
        <w:tab/>
      </w:r>
      <w:r>
        <w:rPr>
          <w:noProof/>
        </w:rPr>
        <w:fldChar w:fldCharType="begin"/>
      </w:r>
      <w:r>
        <w:rPr>
          <w:noProof/>
        </w:rPr>
        <w:instrText xml:space="preserve"> PAGEREF _Toc366588111 \h </w:instrText>
      </w:r>
      <w:r>
        <w:rPr>
          <w:noProof/>
        </w:rPr>
      </w:r>
      <w:r>
        <w:rPr>
          <w:noProof/>
        </w:rPr>
        <w:fldChar w:fldCharType="separate"/>
      </w:r>
      <w:r w:rsidR="008176F8">
        <w:rPr>
          <w:noProof/>
        </w:rPr>
        <w:t>13</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Qualification Levels</w:t>
      </w:r>
      <w:r>
        <w:rPr>
          <w:noProof/>
        </w:rPr>
        <w:tab/>
      </w:r>
      <w:r>
        <w:rPr>
          <w:noProof/>
        </w:rPr>
        <w:fldChar w:fldCharType="begin"/>
      </w:r>
      <w:r>
        <w:rPr>
          <w:noProof/>
        </w:rPr>
        <w:instrText xml:space="preserve"> PAGEREF _Toc366588112 \h </w:instrText>
      </w:r>
      <w:r>
        <w:rPr>
          <w:noProof/>
        </w:rPr>
      </w:r>
      <w:r>
        <w:rPr>
          <w:noProof/>
        </w:rPr>
        <w:fldChar w:fldCharType="separate"/>
      </w:r>
      <w:r w:rsidR="008176F8">
        <w:rPr>
          <w:noProof/>
        </w:rPr>
        <w:t>17</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Age Profile</w:t>
      </w:r>
      <w:r>
        <w:rPr>
          <w:noProof/>
        </w:rPr>
        <w:tab/>
      </w:r>
      <w:r>
        <w:rPr>
          <w:noProof/>
        </w:rPr>
        <w:fldChar w:fldCharType="begin"/>
      </w:r>
      <w:r>
        <w:rPr>
          <w:noProof/>
        </w:rPr>
        <w:instrText xml:space="preserve"> PAGEREF _Toc366588113 \h </w:instrText>
      </w:r>
      <w:r>
        <w:rPr>
          <w:noProof/>
        </w:rPr>
      </w:r>
      <w:r>
        <w:rPr>
          <w:noProof/>
        </w:rPr>
        <w:fldChar w:fldCharType="separate"/>
      </w:r>
      <w:r w:rsidR="008176F8">
        <w:rPr>
          <w:noProof/>
        </w:rPr>
        <w:t>21</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Government Subsidised Regional Activity</w:t>
      </w:r>
      <w:r>
        <w:rPr>
          <w:noProof/>
        </w:rPr>
        <w:tab/>
      </w:r>
      <w:r>
        <w:rPr>
          <w:noProof/>
        </w:rPr>
        <w:fldChar w:fldCharType="begin"/>
      </w:r>
      <w:r>
        <w:rPr>
          <w:noProof/>
        </w:rPr>
        <w:instrText xml:space="preserve"> PAGEREF _Toc366588114 \h </w:instrText>
      </w:r>
      <w:r>
        <w:rPr>
          <w:noProof/>
        </w:rPr>
      </w:r>
      <w:r>
        <w:rPr>
          <w:noProof/>
        </w:rPr>
        <w:fldChar w:fldCharType="separate"/>
      </w:r>
      <w:r w:rsidR="008176F8">
        <w:rPr>
          <w:noProof/>
        </w:rPr>
        <w:t>23</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Government Subsidised Delivery by Provider Type</w:t>
      </w:r>
      <w:r>
        <w:rPr>
          <w:noProof/>
        </w:rPr>
        <w:tab/>
      </w:r>
      <w:r>
        <w:rPr>
          <w:noProof/>
        </w:rPr>
        <w:fldChar w:fldCharType="begin"/>
      </w:r>
      <w:r>
        <w:rPr>
          <w:noProof/>
        </w:rPr>
        <w:instrText xml:space="preserve"> PAGEREF _Toc366588115 \h </w:instrText>
      </w:r>
      <w:r>
        <w:rPr>
          <w:noProof/>
        </w:rPr>
      </w:r>
      <w:r>
        <w:rPr>
          <w:noProof/>
        </w:rPr>
        <w:fldChar w:fldCharType="separate"/>
      </w:r>
      <w:r w:rsidR="008176F8">
        <w:rPr>
          <w:noProof/>
        </w:rPr>
        <w:t>26</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Adult, Community and Further Education (ACFE) Performance</w:t>
      </w:r>
      <w:r>
        <w:rPr>
          <w:noProof/>
        </w:rPr>
        <w:tab/>
      </w:r>
      <w:r>
        <w:rPr>
          <w:noProof/>
        </w:rPr>
        <w:fldChar w:fldCharType="begin"/>
      </w:r>
      <w:r>
        <w:rPr>
          <w:noProof/>
        </w:rPr>
        <w:instrText xml:space="preserve"> PAGEREF _Toc366588116 \h </w:instrText>
      </w:r>
      <w:r>
        <w:rPr>
          <w:noProof/>
        </w:rPr>
      </w:r>
      <w:r>
        <w:rPr>
          <w:noProof/>
        </w:rPr>
        <w:fldChar w:fldCharType="separate"/>
      </w:r>
      <w:r w:rsidR="008176F8">
        <w:rPr>
          <w:noProof/>
        </w:rPr>
        <w:t>29</w:t>
      </w:r>
      <w:r>
        <w:rPr>
          <w:noProof/>
        </w:rPr>
        <w:fldChar w:fldCharType="end"/>
      </w:r>
    </w:p>
    <w:p w:rsidR="005A42A6" w:rsidRDefault="005A42A6" w:rsidP="005A42A6">
      <w:pPr>
        <w:pStyle w:val="TOC1"/>
        <w:tabs>
          <w:tab w:val="clear" w:pos="6698"/>
          <w:tab w:val="right" w:pos="8364"/>
        </w:tabs>
        <w:spacing w:afterLines="60" w:after="144"/>
        <w:rPr>
          <w:rFonts w:asciiTheme="minorHAnsi" w:eastAsiaTheme="minorEastAsia" w:hAnsiTheme="minorHAnsi" w:cstheme="minorBidi"/>
          <w:b w:val="0"/>
          <w:bCs w:val="0"/>
          <w:caps w:val="0"/>
          <w:sz w:val="22"/>
          <w:szCs w:val="22"/>
          <w:lang w:eastAsia="en-AU"/>
        </w:rPr>
      </w:pPr>
      <w:r>
        <w:t>Learners Facing Barriers to Participation</w:t>
      </w:r>
      <w:r>
        <w:tab/>
      </w:r>
      <w:r>
        <w:fldChar w:fldCharType="begin"/>
      </w:r>
      <w:r>
        <w:instrText xml:space="preserve"> PAGEREF _Toc366588117 \h </w:instrText>
      </w:r>
      <w:r>
        <w:fldChar w:fldCharType="separate"/>
      </w:r>
      <w:r w:rsidR="008176F8">
        <w:t>33</w:t>
      </w:r>
      <w: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Vocational Training Delivery to Learner Cohorts Facing Barriers</w:t>
      </w:r>
      <w:r>
        <w:rPr>
          <w:noProof/>
        </w:rPr>
        <w:tab/>
      </w:r>
      <w:r>
        <w:rPr>
          <w:noProof/>
        </w:rPr>
        <w:fldChar w:fldCharType="begin"/>
      </w:r>
      <w:r>
        <w:rPr>
          <w:noProof/>
        </w:rPr>
        <w:instrText xml:space="preserve"> PAGEREF _Toc366588118 \h </w:instrText>
      </w:r>
      <w:r>
        <w:rPr>
          <w:noProof/>
        </w:rPr>
      </w:r>
      <w:r>
        <w:rPr>
          <w:noProof/>
        </w:rPr>
        <w:fldChar w:fldCharType="separate"/>
      </w:r>
      <w:r w:rsidR="008176F8">
        <w:rPr>
          <w:noProof/>
        </w:rPr>
        <w:t>33</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Indigenous Students</w:t>
      </w:r>
      <w:r>
        <w:rPr>
          <w:noProof/>
        </w:rPr>
        <w:tab/>
      </w:r>
      <w:r>
        <w:rPr>
          <w:noProof/>
        </w:rPr>
        <w:fldChar w:fldCharType="begin"/>
      </w:r>
      <w:r>
        <w:rPr>
          <w:noProof/>
        </w:rPr>
        <w:instrText xml:space="preserve"> PAGEREF _Toc366588119 \h </w:instrText>
      </w:r>
      <w:r>
        <w:rPr>
          <w:noProof/>
        </w:rPr>
      </w:r>
      <w:r>
        <w:rPr>
          <w:noProof/>
        </w:rPr>
        <w:fldChar w:fldCharType="separate"/>
      </w:r>
      <w:r w:rsidR="008176F8">
        <w:rPr>
          <w:noProof/>
        </w:rPr>
        <w:t>34</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Students with a Disability</w:t>
      </w:r>
      <w:r>
        <w:rPr>
          <w:noProof/>
        </w:rPr>
        <w:tab/>
      </w:r>
      <w:r>
        <w:rPr>
          <w:noProof/>
        </w:rPr>
        <w:fldChar w:fldCharType="begin"/>
      </w:r>
      <w:r>
        <w:rPr>
          <w:noProof/>
        </w:rPr>
        <w:instrText xml:space="preserve"> PAGEREF _Toc366588120 \h </w:instrText>
      </w:r>
      <w:r>
        <w:rPr>
          <w:noProof/>
        </w:rPr>
      </w:r>
      <w:r>
        <w:rPr>
          <w:noProof/>
        </w:rPr>
        <w:fldChar w:fldCharType="separate"/>
      </w:r>
      <w:r w:rsidR="008176F8">
        <w:rPr>
          <w:noProof/>
        </w:rPr>
        <w:t>35</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Students with a Culturally and Linguistically Diverse (CALD) Background</w:t>
      </w:r>
      <w:r>
        <w:rPr>
          <w:noProof/>
        </w:rPr>
        <w:tab/>
      </w:r>
      <w:r>
        <w:rPr>
          <w:noProof/>
        </w:rPr>
        <w:fldChar w:fldCharType="begin"/>
      </w:r>
      <w:r>
        <w:rPr>
          <w:noProof/>
        </w:rPr>
        <w:instrText xml:space="preserve"> PAGEREF _Toc366588121 \h </w:instrText>
      </w:r>
      <w:r>
        <w:rPr>
          <w:noProof/>
        </w:rPr>
      </w:r>
      <w:r>
        <w:rPr>
          <w:noProof/>
        </w:rPr>
        <w:fldChar w:fldCharType="separate"/>
      </w:r>
      <w:r w:rsidR="008176F8">
        <w:rPr>
          <w:noProof/>
        </w:rPr>
        <w:t>36</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Unemployed Students</w:t>
      </w:r>
      <w:r>
        <w:rPr>
          <w:noProof/>
        </w:rPr>
        <w:tab/>
      </w:r>
      <w:r>
        <w:rPr>
          <w:noProof/>
        </w:rPr>
        <w:fldChar w:fldCharType="begin"/>
      </w:r>
      <w:r>
        <w:rPr>
          <w:noProof/>
        </w:rPr>
        <w:instrText xml:space="preserve"> PAGEREF _Toc366588122 \h </w:instrText>
      </w:r>
      <w:r>
        <w:rPr>
          <w:noProof/>
        </w:rPr>
      </w:r>
      <w:r>
        <w:rPr>
          <w:noProof/>
        </w:rPr>
        <w:fldChar w:fldCharType="separate"/>
      </w:r>
      <w:r w:rsidR="008176F8">
        <w:rPr>
          <w:noProof/>
        </w:rPr>
        <w:t>37</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Young People (Aged 15 to 19) Without Year 12 or Equivalent and Not at School</w:t>
      </w:r>
      <w:r>
        <w:rPr>
          <w:noProof/>
        </w:rPr>
        <w:tab/>
      </w:r>
      <w:r>
        <w:rPr>
          <w:noProof/>
        </w:rPr>
        <w:fldChar w:fldCharType="begin"/>
      </w:r>
      <w:r>
        <w:rPr>
          <w:noProof/>
        </w:rPr>
        <w:instrText xml:space="preserve"> PAGEREF _Toc366588123 \h </w:instrText>
      </w:r>
      <w:r>
        <w:rPr>
          <w:noProof/>
        </w:rPr>
      </w:r>
      <w:r>
        <w:rPr>
          <w:noProof/>
        </w:rPr>
        <w:fldChar w:fldCharType="separate"/>
      </w:r>
      <w:r w:rsidR="008176F8">
        <w:rPr>
          <w:noProof/>
        </w:rPr>
        <w:t>38</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Older Students with Low Prior Qualifications</w:t>
      </w:r>
      <w:r>
        <w:rPr>
          <w:noProof/>
        </w:rPr>
        <w:tab/>
      </w:r>
      <w:r>
        <w:rPr>
          <w:noProof/>
        </w:rPr>
        <w:fldChar w:fldCharType="begin"/>
      </w:r>
      <w:r>
        <w:rPr>
          <w:noProof/>
        </w:rPr>
        <w:instrText xml:space="preserve"> PAGEREF _Toc366588124 \h </w:instrText>
      </w:r>
      <w:r>
        <w:rPr>
          <w:noProof/>
        </w:rPr>
      </w:r>
      <w:r>
        <w:rPr>
          <w:noProof/>
        </w:rPr>
        <w:fldChar w:fldCharType="separate"/>
      </w:r>
      <w:r w:rsidR="008176F8">
        <w:rPr>
          <w:noProof/>
        </w:rPr>
        <w:t>39</w:t>
      </w:r>
      <w:r>
        <w:rPr>
          <w:noProof/>
        </w:rP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Foundation Level Training</w:t>
      </w:r>
      <w:r>
        <w:rPr>
          <w:noProof/>
        </w:rPr>
        <w:tab/>
      </w:r>
      <w:r>
        <w:rPr>
          <w:noProof/>
        </w:rPr>
        <w:fldChar w:fldCharType="begin"/>
      </w:r>
      <w:r>
        <w:rPr>
          <w:noProof/>
        </w:rPr>
        <w:instrText xml:space="preserve"> PAGEREF _Toc366588125 \h </w:instrText>
      </w:r>
      <w:r>
        <w:rPr>
          <w:noProof/>
        </w:rPr>
      </w:r>
      <w:r>
        <w:rPr>
          <w:noProof/>
        </w:rPr>
        <w:fldChar w:fldCharType="separate"/>
      </w:r>
      <w:r w:rsidR="008176F8">
        <w:rPr>
          <w:noProof/>
        </w:rPr>
        <w:t>40</w:t>
      </w:r>
      <w:r>
        <w:rPr>
          <w:noProof/>
        </w:rPr>
        <w:fldChar w:fldCharType="end"/>
      </w:r>
    </w:p>
    <w:p w:rsidR="005A42A6" w:rsidRDefault="005A42A6" w:rsidP="005A42A6">
      <w:pPr>
        <w:pStyle w:val="TOC1"/>
        <w:tabs>
          <w:tab w:val="clear" w:pos="6698"/>
          <w:tab w:val="right" w:pos="8364"/>
        </w:tabs>
        <w:spacing w:afterLines="60" w:after="144"/>
        <w:rPr>
          <w:rFonts w:asciiTheme="minorHAnsi" w:eastAsiaTheme="minorEastAsia" w:hAnsiTheme="minorHAnsi" w:cstheme="minorBidi"/>
          <w:b w:val="0"/>
          <w:bCs w:val="0"/>
          <w:caps w:val="0"/>
          <w:sz w:val="22"/>
          <w:szCs w:val="22"/>
          <w:lang w:eastAsia="en-AU"/>
        </w:rPr>
      </w:pPr>
      <w:r>
        <w:t>Alignment of Training to Industry Skills Needs</w:t>
      </w:r>
      <w:r>
        <w:tab/>
      </w:r>
      <w:r>
        <w:fldChar w:fldCharType="begin"/>
      </w:r>
      <w:r>
        <w:instrText xml:space="preserve"> PAGEREF _Toc366588126 \h </w:instrText>
      </w:r>
      <w:r>
        <w:fldChar w:fldCharType="separate"/>
      </w:r>
      <w:r w:rsidR="008176F8">
        <w:t>43</w:t>
      </w:r>
      <w:r>
        <w:fldChar w:fldCharType="end"/>
      </w:r>
    </w:p>
    <w:p w:rsidR="005A42A6" w:rsidRDefault="005A42A6" w:rsidP="005A42A6">
      <w:pPr>
        <w:pStyle w:val="TOC1"/>
        <w:tabs>
          <w:tab w:val="clear" w:pos="6698"/>
          <w:tab w:val="right" w:pos="8364"/>
        </w:tabs>
        <w:spacing w:afterLines="60" w:after="144"/>
        <w:rPr>
          <w:rFonts w:asciiTheme="minorHAnsi" w:eastAsiaTheme="minorEastAsia" w:hAnsiTheme="minorHAnsi" w:cstheme="minorBidi"/>
          <w:b w:val="0"/>
          <w:bCs w:val="0"/>
          <w:caps w:val="0"/>
          <w:sz w:val="22"/>
          <w:szCs w:val="22"/>
          <w:lang w:eastAsia="en-AU"/>
        </w:rPr>
      </w:pPr>
      <w:r>
        <w:t>Appendix</w:t>
      </w:r>
      <w:r>
        <w:tab/>
      </w:r>
      <w:r>
        <w:fldChar w:fldCharType="begin"/>
      </w:r>
      <w:r>
        <w:instrText xml:space="preserve"> PAGEREF _Toc366588127 \h </w:instrText>
      </w:r>
      <w:r>
        <w:fldChar w:fldCharType="separate"/>
      </w:r>
      <w:r w:rsidR="008176F8">
        <w:t>59</w:t>
      </w:r>
      <w:r>
        <w:fldChar w:fldCharType="end"/>
      </w:r>
    </w:p>
    <w:p w:rsidR="005A42A6" w:rsidRDefault="005A42A6" w:rsidP="005A42A6">
      <w:pPr>
        <w:pStyle w:val="TOC2"/>
        <w:tabs>
          <w:tab w:val="right" w:pos="8364"/>
          <w:tab w:val="right" w:pos="9062"/>
        </w:tabs>
        <w:spacing w:before="0" w:afterLines="60" w:after="144" w:line="240" w:lineRule="auto"/>
        <w:rPr>
          <w:rFonts w:eastAsiaTheme="minorEastAsia" w:cstheme="minorBidi"/>
          <w:b w:val="0"/>
          <w:bCs w:val="0"/>
          <w:noProof/>
          <w:sz w:val="22"/>
          <w:szCs w:val="22"/>
          <w:lang w:eastAsia="en-AU"/>
        </w:rPr>
      </w:pPr>
      <w:r>
        <w:rPr>
          <w:noProof/>
        </w:rPr>
        <w:t>Recognition of Prior Learning</w:t>
      </w:r>
      <w:r>
        <w:rPr>
          <w:noProof/>
        </w:rPr>
        <w:tab/>
      </w:r>
      <w:r>
        <w:rPr>
          <w:noProof/>
        </w:rPr>
        <w:fldChar w:fldCharType="begin"/>
      </w:r>
      <w:r>
        <w:rPr>
          <w:noProof/>
        </w:rPr>
        <w:instrText xml:space="preserve"> PAGEREF _Toc366588128 \h </w:instrText>
      </w:r>
      <w:r>
        <w:rPr>
          <w:noProof/>
        </w:rPr>
      </w:r>
      <w:r>
        <w:rPr>
          <w:noProof/>
        </w:rPr>
        <w:fldChar w:fldCharType="separate"/>
      </w:r>
      <w:r w:rsidR="008176F8">
        <w:rPr>
          <w:noProof/>
        </w:rPr>
        <w:t>59</w:t>
      </w:r>
      <w:r>
        <w:rPr>
          <w:noProof/>
        </w:rPr>
        <w:fldChar w:fldCharType="end"/>
      </w:r>
    </w:p>
    <w:p w:rsidR="00D15283" w:rsidRDefault="0020796B" w:rsidP="008603E7">
      <w:pPr>
        <w:tabs>
          <w:tab w:val="right" w:pos="6663"/>
          <w:tab w:val="right" w:pos="8080"/>
          <w:tab w:val="right" w:pos="8222"/>
          <w:tab w:val="right" w:pos="8364"/>
          <w:tab w:val="right" w:pos="8505"/>
          <w:tab w:val="right" w:pos="8647"/>
        </w:tabs>
        <w:spacing w:afterLines="60" w:after="144" w:line="240" w:lineRule="auto"/>
      </w:pPr>
      <w:r w:rsidRPr="001F29E3">
        <w:rPr>
          <w:rFonts w:cs="Arial"/>
          <w:b/>
          <w:bCs/>
          <w:caps/>
          <w:sz w:val="16"/>
          <w:szCs w:val="16"/>
        </w:rPr>
        <w:fldChar w:fldCharType="end"/>
      </w:r>
      <w:r w:rsidR="000C300D">
        <w:rPr>
          <w:rFonts w:cs="Arial"/>
          <w:b/>
          <w:bCs/>
          <w:caps/>
          <w:sz w:val="16"/>
          <w:szCs w:val="16"/>
        </w:rPr>
        <w:br w:type="page"/>
      </w:r>
      <w:bookmarkStart w:id="1" w:name="_Toc319069085"/>
      <w:bookmarkStart w:id="2" w:name="_Ref350270560"/>
      <w:bookmarkStart w:id="3" w:name="_Ref350270581"/>
      <w:bookmarkStart w:id="4" w:name="_Ref350271358"/>
      <w:bookmarkStart w:id="5" w:name="_Ref350271377"/>
      <w:bookmarkStart w:id="6" w:name="_Toc313801732"/>
      <w:bookmarkStart w:id="7" w:name="_Toc314810780"/>
      <w:bookmarkStart w:id="8" w:name="_Toc315061190"/>
      <w:bookmarkStart w:id="9" w:name="_Toc315064345"/>
      <w:bookmarkStart w:id="10" w:name="_Toc315064952"/>
      <w:bookmarkStart w:id="11" w:name="_Toc315424662"/>
      <w:bookmarkStart w:id="12" w:name="_Toc315680736"/>
      <w:bookmarkStart w:id="13" w:name="_Toc315683686"/>
      <w:bookmarkStart w:id="14" w:name="_Toc316050550"/>
      <w:bookmarkStart w:id="15" w:name="_Toc316050840"/>
      <w:bookmarkStart w:id="16" w:name="_Toc316051380"/>
      <w:bookmarkStart w:id="17" w:name="_Toc316054622"/>
      <w:bookmarkStart w:id="18" w:name="_Toc316054743"/>
      <w:bookmarkStart w:id="19" w:name="_Toc316534692"/>
      <w:bookmarkStart w:id="20" w:name="_Toc316629494"/>
      <w:bookmarkStart w:id="21" w:name="_Toc316629584"/>
      <w:bookmarkStart w:id="22" w:name="_Toc317173938"/>
      <w:bookmarkStart w:id="23" w:name="_Toc317174087"/>
    </w:p>
    <w:p w:rsidR="000C300D" w:rsidRPr="004302D8" w:rsidRDefault="000C300D" w:rsidP="00D15283">
      <w:pPr>
        <w:pStyle w:val="Heading3"/>
        <w:pBdr>
          <w:top w:val="single" w:sz="4" w:space="1" w:color="auto"/>
          <w:left w:val="single" w:sz="4" w:space="1" w:color="auto"/>
          <w:bottom w:val="single" w:sz="4" w:space="1" w:color="auto"/>
          <w:right w:val="single" w:sz="4" w:space="1" w:color="auto"/>
        </w:pBdr>
        <w:rPr>
          <w:sz w:val="28"/>
          <w:szCs w:val="28"/>
        </w:rPr>
      </w:pPr>
      <w:r w:rsidRPr="004302D8">
        <w:rPr>
          <w:sz w:val="28"/>
          <w:szCs w:val="28"/>
        </w:rPr>
        <w:lastRenderedPageBreak/>
        <w:t>Notes on data</w:t>
      </w:r>
      <w:r w:rsidR="00D15283" w:rsidRPr="004302D8">
        <w:rPr>
          <w:sz w:val="28"/>
          <w:szCs w:val="28"/>
        </w:rPr>
        <w:t xml:space="preserve"> included in this report</w:t>
      </w:r>
    </w:p>
    <w:p w:rsidR="005D5595" w:rsidRDefault="005D5595" w:rsidP="00141132">
      <w:pPr>
        <w:pStyle w:val="BodyText"/>
        <w:pBdr>
          <w:top w:val="single" w:sz="4" w:space="1" w:color="auto"/>
          <w:left w:val="single" w:sz="4" w:space="1" w:color="auto"/>
          <w:bottom w:val="single" w:sz="4" w:space="1" w:color="auto"/>
          <w:right w:val="single" w:sz="4" w:space="1" w:color="auto"/>
        </w:pBdr>
        <w:jc w:val="both"/>
        <w:rPr>
          <w:sz w:val="19"/>
        </w:rPr>
      </w:pPr>
    </w:p>
    <w:p w:rsidR="00141132" w:rsidRDefault="000C300D" w:rsidP="00141132">
      <w:pPr>
        <w:pStyle w:val="BodyText"/>
        <w:pBdr>
          <w:top w:val="single" w:sz="4" w:space="1" w:color="auto"/>
          <w:left w:val="single" w:sz="4" w:space="1" w:color="auto"/>
          <w:bottom w:val="single" w:sz="4" w:space="1" w:color="auto"/>
          <w:right w:val="single" w:sz="4" w:space="1" w:color="auto"/>
        </w:pBdr>
        <w:jc w:val="both"/>
        <w:rPr>
          <w:sz w:val="19"/>
        </w:rPr>
      </w:pPr>
      <w:r>
        <w:rPr>
          <w:sz w:val="19"/>
        </w:rPr>
        <w:t xml:space="preserve">The Victorian Training Market Report is compiled </w:t>
      </w:r>
      <w:r w:rsidR="008A70A1">
        <w:rPr>
          <w:sz w:val="19"/>
        </w:rPr>
        <w:t>using</w:t>
      </w:r>
      <w:r>
        <w:rPr>
          <w:sz w:val="19"/>
        </w:rPr>
        <w:t xml:space="preserve"> training activity data submitted to the Department of Education and Early Child Development by funded training providers. Data included in the Report is based on </w:t>
      </w:r>
      <w:r w:rsidR="009B40E0">
        <w:rPr>
          <w:sz w:val="19"/>
        </w:rPr>
        <w:t xml:space="preserve">the </w:t>
      </w:r>
      <w:r>
        <w:rPr>
          <w:sz w:val="19"/>
        </w:rPr>
        <w:t>reported date, i.e. the date training activity data is submitted to the Department.</w:t>
      </w:r>
      <w:r w:rsidR="00141132">
        <w:rPr>
          <w:sz w:val="19"/>
        </w:rPr>
        <w:t xml:space="preserve"> </w:t>
      </w:r>
      <w:r w:rsidR="00141132">
        <w:rPr>
          <w:sz w:val="19"/>
        </w:rPr>
        <w:br/>
      </w:r>
      <w:r w:rsidR="00141132" w:rsidRPr="00A07718">
        <w:rPr>
          <w:sz w:val="19"/>
        </w:rPr>
        <w:t>Quarter 2 2013 includes training activity data that were submitted to the Department by end of second quarter which reflects training activity during the first six months of 2013</w:t>
      </w:r>
      <w:r w:rsidR="008A70A1">
        <w:rPr>
          <w:sz w:val="19"/>
        </w:rPr>
        <w:t>.</w:t>
      </w:r>
    </w:p>
    <w:p w:rsidR="00D15283" w:rsidRDefault="00D15283" w:rsidP="00D15283">
      <w:pPr>
        <w:pStyle w:val="BodyText"/>
        <w:pBdr>
          <w:top w:val="single" w:sz="4" w:space="1" w:color="auto"/>
          <w:left w:val="single" w:sz="4" w:space="1" w:color="auto"/>
          <w:bottom w:val="single" w:sz="4" w:space="1" w:color="auto"/>
          <w:right w:val="single" w:sz="4" w:space="1" w:color="auto"/>
        </w:pBdr>
        <w:jc w:val="both"/>
        <w:rPr>
          <w:sz w:val="19"/>
        </w:rPr>
      </w:pPr>
    </w:p>
    <w:p w:rsidR="00D15283" w:rsidRDefault="00D15283" w:rsidP="00D15283">
      <w:pPr>
        <w:pStyle w:val="Heading3"/>
        <w:pBdr>
          <w:top w:val="single" w:sz="4" w:space="1" w:color="auto"/>
          <w:left w:val="single" w:sz="4" w:space="1" w:color="auto"/>
          <w:bottom w:val="single" w:sz="4" w:space="1" w:color="auto"/>
          <w:right w:val="single" w:sz="4" w:space="1" w:color="auto"/>
        </w:pBdr>
      </w:pPr>
      <w:r>
        <w:t xml:space="preserve">Data collection </w:t>
      </w:r>
    </w:p>
    <w:p w:rsidR="000C300D" w:rsidRDefault="00A903CB" w:rsidP="00D15283">
      <w:pPr>
        <w:pStyle w:val="BodyText"/>
        <w:pBdr>
          <w:top w:val="single" w:sz="4" w:space="1" w:color="auto"/>
          <w:left w:val="single" w:sz="4" w:space="1" w:color="auto"/>
          <w:bottom w:val="single" w:sz="4" w:space="1" w:color="auto"/>
          <w:right w:val="single" w:sz="4" w:space="1" w:color="auto"/>
        </w:pBdr>
        <w:jc w:val="both"/>
        <w:rPr>
          <w:sz w:val="19"/>
        </w:rPr>
      </w:pPr>
      <w:r>
        <w:rPr>
          <w:sz w:val="19"/>
        </w:rPr>
        <w:t xml:space="preserve">Data included in this report are </w:t>
      </w:r>
      <w:r w:rsidR="00144180">
        <w:rPr>
          <w:sz w:val="19"/>
        </w:rPr>
        <w:t>a snapshot in time</w:t>
      </w:r>
      <w:r>
        <w:rPr>
          <w:sz w:val="19"/>
        </w:rPr>
        <w:t xml:space="preserve">. Quarterly figures for the current year are preliminary </w:t>
      </w:r>
      <w:r w:rsidR="0058065A">
        <w:rPr>
          <w:sz w:val="19"/>
        </w:rPr>
        <w:t>as the training activity is still in progress for the year. Therefore</w:t>
      </w:r>
      <w:r w:rsidR="00144180">
        <w:rPr>
          <w:sz w:val="19"/>
        </w:rPr>
        <w:t xml:space="preserve">, </w:t>
      </w:r>
      <w:r w:rsidR="0058065A">
        <w:rPr>
          <w:sz w:val="19"/>
        </w:rPr>
        <w:t xml:space="preserve">these figures </w:t>
      </w:r>
      <w:r w:rsidR="000C300D" w:rsidRPr="000C300D">
        <w:rPr>
          <w:sz w:val="19"/>
        </w:rPr>
        <w:t>should be treated as indicative only</w:t>
      </w:r>
      <w:r w:rsidR="0058065A">
        <w:rPr>
          <w:sz w:val="19"/>
        </w:rPr>
        <w:t>.</w:t>
      </w:r>
      <w:r w:rsidR="00AF4DCF">
        <w:rPr>
          <w:sz w:val="19"/>
        </w:rPr>
        <w:t xml:space="preserve"> All data is subject to change until the end of the calendar year.</w:t>
      </w:r>
    </w:p>
    <w:p w:rsidR="008A70A1" w:rsidRDefault="008A70A1" w:rsidP="008A70A1">
      <w:pPr>
        <w:pStyle w:val="BodyText"/>
        <w:pBdr>
          <w:top w:val="single" w:sz="4" w:space="1" w:color="auto"/>
          <w:left w:val="single" w:sz="4" w:space="1" w:color="auto"/>
          <w:bottom w:val="single" w:sz="4" w:space="1" w:color="auto"/>
          <w:right w:val="single" w:sz="4" w:space="1" w:color="auto"/>
        </w:pBdr>
        <w:jc w:val="both"/>
        <w:rPr>
          <w:sz w:val="19"/>
        </w:rPr>
      </w:pPr>
      <w:r w:rsidRPr="008A70A1">
        <w:rPr>
          <w:sz w:val="19"/>
        </w:rPr>
        <w:t xml:space="preserve">In some limited cases training activity data can be impacted by system issues, for example some TAFE institutes have informed the Department that they have been unable to report all their enrolments for the previous reporting period due to a backlog arising from the implementation of a new student management system. These enrolments are likely to </w:t>
      </w:r>
      <w:r>
        <w:rPr>
          <w:sz w:val="19"/>
        </w:rPr>
        <w:t>be reported in the next quarter and will be included in the report to be compiled from full 2013 activity data.</w:t>
      </w:r>
    </w:p>
    <w:p w:rsidR="004302D8" w:rsidRDefault="004302D8" w:rsidP="00D15283">
      <w:pPr>
        <w:pStyle w:val="BodyText"/>
        <w:pBdr>
          <w:top w:val="single" w:sz="4" w:space="1" w:color="auto"/>
          <w:left w:val="single" w:sz="4" w:space="1" w:color="auto"/>
          <w:bottom w:val="single" w:sz="4" w:space="1" w:color="auto"/>
          <w:right w:val="single" w:sz="4" w:space="1" w:color="auto"/>
        </w:pBdr>
        <w:jc w:val="both"/>
        <w:rPr>
          <w:sz w:val="19"/>
        </w:rPr>
      </w:pPr>
    </w:p>
    <w:p w:rsidR="004302D8" w:rsidRPr="004302D8" w:rsidRDefault="004302D8" w:rsidP="00D15283">
      <w:pPr>
        <w:pStyle w:val="BodyText"/>
        <w:pBdr>
          <w:top w:val="single" w:sz="4" w:space="1" w:color="auto"/>
          <w:left w:val="single" w:sz="4" w:space="1" w:color="auto"/>
          <w:bottom w:val="single" w:sz="4" w:space="1" w:color="auto"/>
          <w:right w:val="single" w:sz="4" w:space="1" w:color="auto"/>
        </w:pBdr>
        <w:jc w:val="both"/>
        <w:rPr>
          <w:b/>
          <w:bCs/>
          <w:color w:val="76923C" w:themeColor="accent3" w:themeShade="BF"/>
          <w:sz w:val="19"/>
          <w:szCs w:val="19"/>
        </w:rPr>
      </w:pPr>
      <w:r>
        <w:rPr>
          <w:b/>
          <w:bCs/>
          <w:color w:val="76923C" w:themeColor="accent3" w:themeShade="BF"/>
          <w:sz w:val="19"/>
          <w:szCs w:val="19"/>
        </w:rPr>
        <w:t>Data presentation</w:t>
      </w:r>
    </w:p>
    <w:p w:rsidR="000C300D" w:rsidRDefault="000C300D" w:rsidP="00D15283">
      <w:pPr>
        <w:pStyle w:val="BodyText"/>
        <w:pBdr>
          <w:top w:val="single" w:sz="4" w:space="1" w:color="auto"/>
          <w:left w:val="single" w:sz="4" w:space="1" w:color="auto"/>
          <w:bottom w:val="single" w:sz="4" w:space="1" w:color="auto"/>
          <w:right w:val="single" w:sz="4" w:space="1" w:color="auto"/>
        </w:pBdr>
        <w:jc w:val="both"/>
        <w:rPr>
          <w:sz w:val="19"/>
        </w:rPr>
      </w:pPr>
      <w:r w:rsidRPr="000C300D">
        <w:rPr>
          <w:sz w:val="19"/>
        </w:rPr>
        <w:t xml:space="preserve">Owing to the preliminary nature of this data, </w:t>
      </w:r>
      <w:r w:rsidR="008D6D73">
        <w:rPr>
          <w:sz w:val="19"/>
        </w:rPr>
        <w:t xml:space="preserve">the </w:t>
      </w:r>
      <w:r w:rsidR="0052721E">
        <w:rPr>
          <w:sz w:val="19"/>
        </w:rPr>
        <w:t>Q</w:t>
      </w:r>
      <w:r w:rsidR="0058065A">
        <w:rPr>
          <w:sz w:val="19"/>
        </w:rPr>
        <w:t xml:space="preserve">uarter 2 </w:t>
      </w:r>
      <w:r w:rsidR="008D6D73">
        <w:rPr>
          <w:sz w:val="19"/>
        </w:rPr>
        <w:t xml:space="preserve">2013 </w:t>
      </w:r>
      <w:r w:rsidRPr="000C300D">
        <w:rPr>
          <w:sz w:val="19"/>
        </w:rPr>
        <w:t>figures should be treated as being indicative only. Figures are generally rounded to the nearest 100.</w:t>
      </w:r>
      <w:r w:rsidR="004302D8">
        <w:rPr>
          <w:sz w:val="19"/>
        </w:rPr>
        <w:t xml:space="preserve"> </w:t>
      </w:r>
    </w:p>
    <w:p w:rsidR="00370B87" w:rsidRPr="000C300D" w:rsidRDefault="00370B87" w:rsidP="00D15283">
      <w:pPr>
        <w:pStyle w:val="BodyText"/>
        <w:pBdr>
          <w:top w:val="single" w:sz="4" w:space="1" w:color="auto"/>
          <w:left w:val="single" w:sz="4" w:space="1" w:color="auto"/>
          <w:bottom w:val="single" w:sz="4" w:space="1" w:color="auto"/>
          <w:right w:val="single" w:sz="4" w:space="1" w:color="auto"/>
        </w:pBdr>
        <w:jc w:val="both"/>
        <w:rPr>
          <w:sz w:val="19"/>
        </w:rPr>
      </w:pPr>
    </w:p>
    <w:p w:rsidR="00AE063E" w:rsidRDefault="000C300D">
      <w:pPr>
        <w:spacing w:after="0" w:line="240" w:lineRule="auto"/>
        <w:jc w:val="left"/>
        <w:rPr>
          <w:rFonts w:cs="Arial"/>
          <w:color w:val="76923C" w:themeColor="accent3" w:themeShade="BF"/>
          <w:spacing w:val="-12"/>
          <w:sz w:val="46"/>
          <w:szCs w:val="46"/>
        </w:rPr>
      </w:pPr>
      <w:r>
        <w:rPr>
          <w:rFonts w:cs="Arial"/>
        </w:rPr>
        <w:br w:type="page"/>
      </w:r>
    </w:p>
    <w:p w:rsidR="00351166" w:rsidRPr="001F29E3" w:rsidRDefault="00351166" w:rsidP="00A9260A">
      <w:pPr>
        <w:pStyle w:val="Heading1"/>
        <w:rPr>
          <w:rFonts w:cs="Arial"/>
        </w:rPr>
      </w:pPr>
      <w:bookmarkStart w:id="24" w:name="_Toc366588107"/>
      <w:r w:rsidRPr="001F29E3">
        <w:rPr>
          <w:rFonts w:cs="Arial"/>
        </w:rPr>
        <w:lastRenderedPageBreak/>
        <w:t>Executive Summary</w:t>
      </w:r>
      <w:bookmarkEnd w:id="1"/>
      <w:bookmarkEnd w:id="2"/>
      <w:bookmarkEnd w:id="3"/>
      <w:bookmarkEnd w:id="4"/>
      <w:bookmarkEnd w:id="5"/>
      <w:bookmarkEnd w:id="24"/>
    </w:p>
    <w:p w:rsidR="00351166" w:rsidRPr="001F29E3" w:rsidRDefault="00351166" w:rsidP="00351166">
      <w:pPr>
        <w:pStyle w:val="BodyText"/>
      </w:pPr>
    </w:p>
    <w:p w:rsidR="009F59E5" w:rsidRPr="00A37E72" w:rsidRDefault="00351166" w:rsidP="00351166">
      <w:pPr>
        <w:pStyle w:val="BodyText"/>
        <w:jc w:val="both"/>
        <w:rPr>
          <w:sz w:val="19"/>
        </w:rPr>
      </w:pPr>
      <w:r w:rsidRPr="00A37E72">
        <w:rPr>
          <w:sz w:val="19"/>
        </w:rPr>
        <w:t xml:space="preserve">This Victorian Training Market </w:t>
      </w:r>
      <w:r w:rsidR="00B21070">
        <w:rPr>
          <w:sz w:val="19"/>
        </w:rPr>
        <w:t>Quarterly Report for Quarter 2 2013</w:t>
      </w:r>
      <w:r w:rsidR="000D5B80" w:rsidRPr="00A37E72">
        <w:rPr>
          <w:sz w:val="19"/>
        </w:rPr>
        <w:t xml:space="preserve"> </w:t>
      </w:r>
      <w:r w:rsidRPr="00A37E72">
        <w:rPr>
          <w:sz w:val="19"/>
        </w:rPr>
        <w:t xml:space="preserve">is the latest in an on-going series of reports produced by the Department of Education and Early Childhood Development (DEECD). The aim of the report is to provide a summary of Victorian </w:t>
      </w:r>
      <w:r w:rsidR="0058065A" w:rsidRPr="00A37E72">
        <w:rPr>
          <w:sz w:val="19"/>
        </w:rPr>
        <w:t xml:space="preserve">vocational education and </w:t>
      </w:r>
      <w:r w:rsidRPr="00A37E72">
        <w:rPr>
          <w:sz w:val="19"/>
        </w:rPr>
        <w:t xml:space="preserve">training </w:t>
      </w:r>
      <w:r w:rsidR="003F6393" w:rsidRPr="00A37E72">
        <w:rPr>
          <w:sz w:val="19"/>
        </w:rPr>
        <w:t xml:space="preserve">(VET) </w:t>
      </w:r>
      <w:r w:rsidRPr="00A37E72">
        <w:rPr>
          <w:sz w:val="19"/>
        </w:rPr>
        <w:t xml:space="preserve">market performance and responsiveness to industry. </w:t>
      </w:r>
      <w:r w:rsidR="00013468" w:rsidRPr="00A37E72">
        <w:rPr>
          <w:sz w:val="19"/>
        </w:rPr>
        <w:t xml:space="preserve">The </w:t>
      </w:r>
      <w:r w:rsidR="00253FE6">
        <w:rPr>
          <w:sz w:val="19"/>
        </w:rPr>
        <w:t xml:space="preserve">second </w:t>
      </w:r>
      <w:r w:rsidR="00013468" w:rsidRPr="00A37E72">
        <w:rPr>
          <w:sz w:val="19"/>
        </w:rPr>
        <w:t xml:space="preserve">quarter </w:t>
      </w:r>
      <w:r w:rsidR="00050691" w:rsidRPr="00A37E72">
        <w:rPr>
          <w:sz w:val="19"/>
        </w:rPr>
        <w:t>(Q</w:t>
      </w:r>
      <w:r w:rsidR="0058065A" w:rsidRPr="00A37E72">
        <w:rPr>
          <w:sz w:val="19"/>
        </w:rPr>
        <w:t>2</w:t>
      </w:r>
      <w:r w:rsidR="00050691" w:rsidRPr="00A37E72">
        <w:rPr>
          <w:sz w:val="19"/>
        </w:rPr>
        <w:t xml:space="preserve">) </w:t>
      </w:r>
      <w:r w:rsidR="00013468" w:rsidRPr="00A37E72">
        <w:rPr>
          <w:sz w:val="19"/>
        </w:rPr>
        <w:t xml:space="preserve">report provides an overview based on a snapshot of </w:t>
      </w:r>
      <w:r w:rsidR="0058065A" w:rsidRPr="00A37E72">
        <w:rPr>
          <w:sz w:val="19"/>
        </w:rPr>
        <w:t>training activity</w:t>
      </w:r>
      <w:r w:rsidR="00013468" w:rsidRPr="00A37E72">
        <w:rPr>
          <w:sz w:val="19"/>
        </w:rPr>
        <w:t xml:space="preserve"> data </w:t>
      </w:r>
      <w:r w:rsidR="00AB2D09">
        <w:rPr>
          <w:sz w:val="19"/>
        </w:rPr>
        <w:t>as reported</w:t>
      </w:r>
      <w:r w:rsidR="0058065A" w:rsidRPr="00A37E72">
        <w:rPr>
          <w:sz w:val="19"/>
        </w:rPr>
        <w:t xml:space="preserve"> at the end of June 2013</w:t>
      </w:r>
      <w:r w:rsidR="00013468" w:rsidRPr="00A37E72">
        <w:rPr>
          <w:sz w:val="19"/>
        </w:rPr>
        <w:t xml:space="preserve">. </w:t>
      </w:r>
    </w:p>
    <w:p w:rsidR="00013468" w:rsidRPr="00A37E72" w:rsidRDefault="00013468" w:rsidP="00351166">
      <w:pPr>
        <w:pStyle w:val="BodyText"/>
        <w:jc w:val="both"/>
        <w:rPr>
          <w:sz w:val="19"/>
        </w:rPr>
      </w:pPr>
    </w:p>
    <w:p w:rsidR="00351166" w:rsidRPr="00A37E72" w:rsidRDefault="00351166" w:rsidP="00A9260A">
      <w:pPr>
        <w:pStyle w:val="Heading3"/>
      </w:pPr>
      <w:r w:rsidRPr="00A37E72">
        <w:t>Context</w:t>
      </w:r>
    </w:p>
    <w:p w:rsidR="00351166" w:rsidRPr="00A37E72" w:rsidRDefault="00351166" w:rsidP="00D12AD8">
      <w:pPr>
        <w:rPr>
          <w:rFonts w:cs="Arial"/>
          <w:bCs/>
          <w:iCs/>
        </w:rPr>
      </w:pPr>
      <w:r w:rsidRPr="00A37E72">
        <w:rPr>
          <w:rFonts w:cs="Arial"/>
        </w:rPr>
        <w:t>With expenditure of $2.</w:t>
      </w:r>
      <w:r w:rsidR="00141912" w:rsidRPr="00A37E72">
        <w:rPr>
          <w:rFonts w:cs="Arial"/>
        </w:rPr>
        <w:t>5</w:t>
      </w:r>
      <w:r w:rsidRPr="00A37E72">
        <w:rPr>
          <w:rFonts w:cs="Arial"/>
        </w:rPr>
        <w:t xml:space="preserve"> billion in 201</w:t>
      </w:r>
      <w:r w:rsidR="00141912" w:rsidRPr="00A37E72">
        <w:rPr>
          <w:rFonts w:cs="Arial"/>
        </w:rPr>
        <w:t>2</w:t>
      </w:r>
      <w:r w:rsidR="00617C62">
        <w:rPr>
          <w:rFonts w:cs="Arial"/>
        </w:rPr>
        <w:t>/</w:t>
      </w:r>
      <w:r w:rsidRPr="00A37E72">
        <w:rPr>
          <w:rFonts w:cs="Arial"/>
        </w:rPr>
        <w:t>1</w:t>
      </w:r>
      <w:r w:rsidR="00141912" w:rsidRPr="00A37E72">
        <w:rPr>
          <w:rFonts w:cs="Arial"/>
        </w:rPr>
        <w:t>3</w:t>
      </w:r>
      <w:r w:rsidRPr="00A37E72">
        <w:rPr>
          <w:rFonts w:cs="Arial"/>
        </w:rPr>
        <w:t xml:space="preserve">, the DEECD has specific responsibility for the government-subsidised </w:t>
      </w:r>
      <w:r w:rsidR="00B03850" w:rsidRPr="00A37E72">
        <w:rPr>
          <w:rFonts w:cs="Arial"/>
        </w:rPr>
        <w:t xml:space="preserve">Vocational </w:t>
      </w:r>
      <w:r w:rsidR="00416B67" w:rsidRPr="00A37E72">
        <w:rPr>
          <w:rFonts w:cs="Arial"/>
        </w:rPr>
        <w:t>T</w:t>
      </w:r>
      <w:r w:rsidR="00B03850" w:rsidRPr="00A37E72">
        <w:rPr>
          <w:rFonts w:cs="Arial"/>
        </w:rPr>
        <w:t>raining</w:t>
      </w:r>
      <w:r w:rsidRPr="00A37E72">
        <w:rPr>
          <w:rFonts w:cs="Arial"/>
        </w:rPr>
        <w:t xml:space="preserve"> market in Victoria to support industry in the provision of a highly skilled and capable workforce. </w:t>
      </w:r>
      <w:r w:rsidRPr="00A37E72">
        <w:rPr>
          <w:rFonts w:cs="Arial"/>
          <w:bCs/>
          <w:iCs/>
        </w:rPr>
        <w:t xml:space="preserve">The Victorian system does this through the </w:t>
      </w:r>
      <w:r w:rsidRPr="00A37E72">
        <w:rPr>
          <w:rFonts w:cs="Arial"/>
          <w:bCs/>
          <w:iCs/>
          <w:u w:val="single"/>
        </w:rPr>
        <w:t>Victorian Training Guarantee</w:t>
      </w:r>
      <w:r w:rsidRPr="00A37E72">
        <w:rPr>
          <w:rFonts w:cs="Arial"/>
          <w:lang w:val="en-US"/>
        </w:rPr>
        <w:t xml:space="preserve">, which provides an </w:t>
      </w:r>
      <w:r w:rsidRPr="00A37E72">
        <w:rPr>
          <w:rFonts w:cs="Arial"/>
          <w:bCs/>
          <w:iCs/>
          <w:lang w:val="en-US"/>
        </w:rPr>
        <w:t xml:space="preserve">unlimited number of government </w:t>
      </w:r>
      <w:proofErr w:type="spellStart"/>
      <w:r w:rsidR="00F952B3" w:rsidRPr="00A37E72">
        <w:rPr>
          <w:rFonts w:cs="Arial"/>
          <w:bCs/>
          <w:iCs/>
          <w:lang w:val="en-US"/>
        </w:rPr>
        <w:t>subsidised</w:t>
      </w:r>
      <w:proofErr w:type="spellEnd"/>
      <w:r w:rsidRPr="00A37E72">
        <w:rPr>
          <w:rFonts w:cs="Arial"/>
          <w:bCs/>
          <w:iCs/>
          <w:lang w:val="en-US"/>
        </w:rPr>
        <w:t xml:space="preserve"> training places to people who meet the eligibility criteria. </w:t>
      </w:r>
      <w:r w:rsidRPr="00A37E72">
        <w:rPr>
          <w:rFonts w:cs="Arial"/>
          <w:bCs/>
          <w:iCs/>
        </w:rPr>
        <w:t xml:space="preserve">In July 2012, further reforms to the system refocused training subsidies away from over-supplied courses or those with little connection to job prospects </w:t>
      </w:r>
      <w:r w:rsidR="004C30A8">
        <w:rPr>
          <w:rFonts w:cs="Arial"/>
          <w:bCs/>
          <w:iCs/>
        </w:rPr>
        <w:t xml:space="preserve">and productivity </w:t>
      </w:r>
      <w:r w:rsidRPr="00A37E72">
        <w:rPr>
          <w:rFonts w:cs="Arial"/>
          <w:bCs/>
          <w:iCs/>
        </w:rPr>
        <w:t xml:space="preserve">towards courses of greatest </w:t>
      </w:r>
      <w:r w:rsidR="004C30A8">
        <w:rPr>
          <w:rFonts w:cs="Arial"/>
          <w:bCs/>
          <w:iCs/>
        </w:rPr>
        <w:t>economic</w:t>
      </w:r>
      <w:r w:rsidRPr="00A37E72">
        <w:rPr>
          <w:rFonts w:cs="Arial"/>
          <w:bCs/>
          <w:iCs/>
        </w:rPr>
        <w:t xml:space="preserve"> benefit and future jobs growth. </w:t>
      </w:r>
    </w:p>
    <w:p w:rsidR="006738FB" w:rsidRPr="00A37E72" w:rsidRDefault="006738FB" w:rsidP="00A9260A">
      <w:pPr>
        <w:pStyle w:val="Heading3"/>
      </w:pPr>
      <w:bookmarkStart w:id="25" w:name="_GoBack"/>
      <w:bookmarkEnd w:id="25"/>
    </w:p>
    <w:p w:rsidR="00131DDA" w:rsidRPr="00A37E72" w:rsidRDefault="00131DDA" w:rsidP="00131DDA">
      <w:pPr>
        <w:pStyle w:val="Heading3"/>
      </w:pPr>
      <w:r w:rsidRPr="00A37E72">
        <w:t>2012 Outcomes (full year)</w:t>
      </w:r>
    </w:p>
    <w:p w:rsidR="008A70A1" w:rsidRDefault="008A70A1" w:rsidP="008A70A1">
      <w:r>
        <w:t xml:space="preserve">Victoria’s </w:t>
      </w:r>
      <w:r w:rsidR="00652D1F">
        <w:t xml:space="preserve">vocational education and training </w:t>
      </w:r>
      <w:r>
        <w:t xml:space="preserve">system performs well compared to other Australian jurisdictions. According to data published by the </w:t>
      </w:r>
      <w:r w:rsidRPr="00B67A95">
        <w:t>National Centre for Vocational Education Research (NCVER)</w:t>
      </w:r>
      <w:r>
        <w:t xml:space="preserve">, in 2012 Victoria had the highest overall participation rate in VET of 15 to 64 year olds, higher than the national average and all other states and territories. </w:t>
      </w:r>
      <w:r w:rsidR="0051046D">
        <w:t xml:space="preserve">In addition the numbers of students in the Victorian vocational system was higher than New South Wales (NSW), a state with a larger population, by about 53,000 students. In </w:t>
      </w:r>
      <w:r w:rsidR="004C5A1D">
        <w:t>Australian Qualification Framework (</w:t>
      </w:r>
      <w:r w:rsidR="0051046D">
        <w:t>AQF</w:t>
      </w:r>
      <w:r w:rsidR="004C5A1D">
        <w:t>) Level 1 and above</w:t>
      </w:r>
      <w:r w:rsidR="0051046D">
        <w:t xml:space="preserve"> courses of study Victoria had about 100,000 more students than in NSW.</w:t>
      </w:r>
    </w:p>
    <w:p w:rsidR="002936E7" w:rsidRDefault="002936E7" w:rsidP="008A70A1">
      <w:pPr>
        <w:pStyle w:val="Caption"/>
      </w:pPr>
    </w:p>
    <w:p w:rsidR="008A70A1" w:rsidRPr="00A37E72" w:rsidRDefault="008A70A1" w:rsidP="008A70A1">
      <w:pPr>
        <w:pStyle w:val="Caption"/>
      </w:pPr>
      <w:r w:rsidRPr="00B67A95">
        <w:t>Participation in VET by 15 to 64 y</w:t>
      </w:r>
      <w:r>
        <w:t>ear olds in 2012, Government funded and public provider fee for service based on 2012 NCVER data and ABS population estimates</w:t>
      </w:r>
    </w:p>
    <w:p w:rsidR="008A70A1" w:rsidRPr="00A37E72" w:rsidRDefault="008A70A1" w:rsidP="00DB4B43">
      <w:pPr>
        <w:jc w:val="center"/>
      </w:pPr>
      <w:r w:rsidRPr="00DB4B43">
        <w:rPr>
          <w:rFonts w:asciiTheme="minorHAnsi" w:hAnsiTheme="minorHAnsi"/>
          <w:noProof/>
          <w:color w:val="4F6228" w:themeColor="accent3" w:themeShade="80"/>
          <w:sz w:val="16"/>
          <w:szCs w:val="16"/>
          <w:lang w:eastAsia="en-AU"/>
        </w:rPr>
        <w:drawing>
          <wp:inline distT="0" distB="0" distL="0" distR="0" wp14:anchorId="5E262BB7" wp14:editId="7967F979">
            <wp:extent cx="5758961" cy="30861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70A1" w:rsidRDefault="008A70A1" w:rsidP="00131DDA"/>
    <w:p w:rsidR="004C5A1D" w:rsidRDefault="004C5A1D">
      <w:pPr>
        <w:spacing w:after="0" w:line="240" w:lineRule="auto"/>
        <w:jc w:val="left"/>
      </w:pPr>
      <w:r>
        <w:br w:type="page"/>
      </w:r>
    </w:p>
    <w:p w:rsidR="00F034AF" w:rsidRDefault="00131DDA" w:rsidP="00F034AF">
      <w:r w:rsidRPr="00A37E72">
        <w:lastRenderedPageBreak/>
        <w:t>The Victorian training market has seen significant growth over the last five years. Between 2008 and 2012 there was a 7</w:t>
      </w:r>
      <w:r w:rsidR="00517D0F" w:rsidRPr="00A37E72">
        <w:t>6</w:t>
      </w:r>
      <w:r w:rsidRPr="00A37E72">
        <w:t xml:space="preserve"> per cent increase in government funded enrolments. </w:t>
      </w:r>
      <w:r w:rsidR="00F034AF">
        <w:t xml:space="preserve">Since the introduction of </w:t>
      </w:r>
      <w:r w:rsidR="00F034AF" w:rsidRPr="00E90DC6">
        <w:rPr>
          <w:rFonts w:cs="Arial"/>
          <w:bCs/>
          <w:i/>
          <w:iCs/>
        </w:rPr>
        <w:t>Refocusing Vocational Training</w:t>
      </w:r>
      <w:r w:rsidR="00F034AF">
        <w:rPr>
          <w:rFonts w:cs="Arial"/>
          <w:bCs/>
          <w:i/>
          <w:iCs/>
        </w:rPr>
        <w:t xml:space="preserve"> </w:t>
      </w:r>
      <w:r w:rsidR="00C91269">
        <w:rPr>
          <w:rFonts w:cs="Arial"/>
          <w:bCs/>
          <w:i/>
          <w:iCs/>
        </w:rPr>
        <w:t xml:space="preserve">in Victoria </w:t>
      </w:r>
      <w:r w:rsidR="004D7D6F">
        <w:rPr>
          <w:rFonts w:cs="Arial"/>
          <w:bCs/>
          <w:i/>
          <w:iCs/>
        </w:rPr>
        <w:t xml:space="preserve">(RVT) </w:t>
      </w:r>
      <w:r w:rsidR="00F034AF" w:rsidRPr="00C91269">
        <w:rPr>
          <w:rFonts w:cs="Arial"/>
          <w:bCs/>
          <w:iCs/>
        </w:rPr>
        <w:t>reforms</w:t>
      </w:r>
      <w:r w:rsidR="00D06F82">
        <w:rPr>
          <w:rFonts w:cs="Arial"/>
          <w:bCs/>
          <w:i/>
          <w:iCs/>
        </w:rPr>
        <w:t xml:space="preserve"> </w:t>
      </w:r>
      <w:r w:rsidR="00F034AF">
        <w:t xml:space="preserve">there has been a shift to a greater number of enrolments in courses in “in shortage” skill areas. </w:t>
      </w:r>
    </w:p>
    <w:p w:rsidR="00F034AF" w:rsidRPr="00A37E72" w:rsidRDefault="00F034AF" w:rsidP="00F034AF">
      <w:r w:rsidRPr="00A37E72">
        <w:t xml:space="preserve">In 2012, enrolments for ‘in shortage’ </w:t>
      </w:r>
      <w:r>
        <w:t>occupations</w:t>
      </w:r>
      <w:r w:rsidRPr="00A37E72">
        <w:t xml:space="preserve"> increased by 18 per cent to over 150,000 enrolments</w:t>
      </w:r>
      <w:r w:rsidR="002248DA">
        <w:t xml:space="preserve"> and t</w:t>
      </w:r>
      <w:r w:rsidRPr="00A37E72">
        <w:t xml:space="preserve">raining in specialised qualifications increased by 11 per cent to over 80,000 enrolments. </w:t>
      </w:r>
    </w:p>
    <w:p w:rsidR="00F034AF" w:rsidRDefault="00F034AF" w:rsidP="00F034AF">
      <w:r w:rsidRPr="00A37E72">
        <w:t>In 2012 there were 134,300 apprentices and trainees in government subsidised training. This was a 6 per cent increase compared to 2011</w:t>
      </w:r>
      <w:r>
        <w:t>.</w:t>
      </w:r>
      <w:r w:rsidRPr="00A37E72">
        <w:t xml:space="preserve"> </w:t>
      </w:r>
    </w:p>
    <w:p w:rsidR="002936E7" w:rsidRDefault="008D7D5A" w:rsidP="00131DDA">
      <w:r>
        <w:t>The 2012 year experience</w:t>
      </w:r>
      <w:r w:rsidR="009B5895">
        <w:t>d</w:t>
      </w:r>
      <w:r>
        <w:t xml:space="preserve"> </w:t>
      </w:r>
      <w:r w:rsidR="002248DA">
        <w:t>unprecedented</w:t>
      </w:r>
      <w:r>
        <w:t xml:space="preserve"> </w:t>
      </w:r>
      <w:r w:rsidR="0014079C">
        <w:t>growth</w:t>
      </w:r>
      <w:r w:rsidR="007A2223">
        <w:t xml:space="preserve"> in government subsidised training</w:t>
      </w:r>
      <w:r w:rsidR="0014079C">
        <w:t>;</w:t>
      </w:r>
      <w:r w:rsidR="00A54E5D">
        <w:t xml:space="preserve"> this growth was influenced by changes to G</w:t>
      </w:r>
      <w:r>
        <w:t xml:space="preserve">overnment subsidy </w:t>
      </w:r>
      <w:r w:rsidR="00A54E5D">
        <w:t xml:space="preserve">arrangements </w:t>
      </w:r>
      <w:r>
        <w:t xml:space="preserve">in July </w:t>
      </w:r>
      <w:r w:rsidR="00A54E5D">
        <w:t xml:space="preserve">of </w:t>
      </w:r>
      <w:r>
        <w:t xml:space="preserve">that year. </w:t>
      </w:r>
      <w:r w:rsidR="00227F04">
        <w:t>Quarter 2 w</w:t>
      </w:r>
      <w:r w:rsidR="0051046D">
        <w:t>ould normally repres</w:t>
      </w:r>
      <w:r w:rsidR="00A54E5D">
        <w:t>ent about 60</w:t>
      </w:r>
      <w:r w:rsidR="000609C4">
        <w:t xml:space="preserve"> per cent</w:t>
      </w:r>
      <w:r w:rsidR="00227F04">
        <w:t xml:space="preserve"> of reported</w:t>
      </w:r>
      <w:r w:rsidR="00A54E5D">
        <w:t xml:space="preserve"> </w:t>
      </w:r>
      <w:r w:rsidR="00F034AF">
        <w:t xml:space="preserve">year to date </w:t>
      </w:r>
      <w:r w:rsidR="002248DA">
        <w:t>activity</w:t>
      </w:r>
      <w:r w:rsidR="00A54E5D">
        <w:t>; the</w:t>
      </w:r>
      <w:r w:rsidR="00227F04">
        <w:t xml:space="preserve"> 2012 Q2 results represented </w:t>
      </w:r>
      <w:r w:rsidR="0051046D">
        <w:t>68</w:t>
      </w:r>
      <w:r w:rsidR="00227F04">
        <w:t xml:space="preserve"> per cent of reported enrolments in that year. </w:t>
      </w:r>
    </w:p>
    <w:p w:rsidR="008D7D5A" w:rsidRPr="00A37E72" w:rsidRDefault="007A2223" w:rsidP="00131DDA">
      <w:r>
        <w:t>As t</w:t>
      </w:r>
      <w:r w:rsidR="009B5895">
        <w:t>he</w:t>
      </w:r>
      <w:r w:rsidR="0014079C">
        <w:t xml:space="preserve"> </w:t>
      </w:r>
      <w:r w:rsidR="00F034AF">
        <w:t xml:space="preserve">market response to new approach to Government </w:t>
      </w:r>
      <w:r w:rsidR="0014079C">
        <w:t xml:space="preserve"> arrangements</w:t>
      </w:r>
      <w:r w:rsidR="009B5895">
        <w:t xml:space="preserve"> in 2012  </w:t>
      </w:r>
      <w:r w:rsidR="0051046D">
        <w:t xml:space="preserve">somewhat </w:t>
      </w:r>
      <w:r w:rsidR="009B5895">
        <w:t xml:space="preserve">distort year on year comparisons some caution should be used in making </w:t>
      </w:r>
      <w:r w:rsidR="0051046D">
        <w:t xml:space="preserve">comparisons between quarters, for </w:t>
      </w:r>
      <w:r w:rsidR="00253FE6">
        <w:t>this reason the</w:t>
      </w:r>
      <w:r w:rsidR="0051046D">
        <w:t xml:space="preserve"> report includes comparisons of Q2 2013 with both Q2 2012 and Q2 2011.</w:t>
      </w:r>
    </w:p>
    <w:p w:rsidR="00652D1F" w:rsidRDefault="00652D1F" w:rsidP="004B558C">
      <w:pPr>
        <w:pStyle w:val="Heading3"/>
      </w:pPr>
    </w:p>
    <w:p w:rsidR="00131DDA" w:rsidRPr="00A37E72" w:rsidRDefault="00131DDA" w:rsidP="004B558C">
      <w:pPr>
        <w:pStyle w:val="Heading3"/>
      </w:pPr>
      <w:r w:rsidRPr="00A37E72">
        <w:t>Q</w:t>
      </w:r>
      <w:r w:rsidR="003F6393" w:rsidRPr="00A37E72">
        <w:t>2</w:t>
      </w:r>
      <w:r w:rsidRPr="00A37E72">
        <w:t xml:space="preserve"> 2013 Overview </w:t>
      </w:r>
    </w:p>
    <w:p w:rsidR="000609C4" w:rsidRDefault="000609C4" w:rsidP="00131DDA">
      <w:r>
        <w:t xml:space="preserve">Noting the issues associated with the unusually high level of reported delivery in 2012, there were </w:t>
      </w:r>
      <w:r w:rsidR="00D06F82">
        <w:t>approximately 399,000</w:t>
      </w:r>
      <w:r>
        <w:t xml:space="preserve"> government subsidised enrolments in Q2 2013</w:t>
      </w:r>
      <w:r w:rsidR="00D06F82">
        <w:t xml:space="preserve">, </w:t>
      </w:r>
      <w:r>
        <w:t xml:space="preserve">down </w:t>
      </w:r>
      <w:r w:rsidR="00AF59CF">
        <w:t xml:space="preserve">13 per cent </w:t>
      </w:r>
      <w:r>
        <w:t xml:space="preserve">when compared to Q2 2012, but still </w:t>
      </w:r>
      <w:r w:rsidR="00AF59CF">
        <w:t xml:space="preserve">25 per cent </w:t>
      </w:r>
      <w:r w:rsidR="00D06F82">
        <w:t>higher than</w:t>
      </w:r>
      <w:r>
        <w:t xml:space="preserve"> Q2 2011</w:t>
      </w:r>
      <w:r w:rsidR="00AF59CF">
        <w:t>.</w:t>
      </w:r>
    </w:p>
    <w:p w:rsidR="004111E3" w:rsidRDefault="00F53E4A" w:rsidP="00DE784E">
      <w:r>
        <w:t>T</w:t>
      </w:r>
      <w:r w:rsidR="00131DDA" w:rsidRPr="00A37E72">
        <w:t xml:space="preserve">here were </w:t>
      </w:r>
      <w:r w:rsidR="00045F0C">
        <w:t>64,600</w:t>
      </w:r>
      <w:r w:rsidR="00131DDA" w:rsidRPr="00A37E72">
        <w:t xml:space="preserve"> TAFE domestic </w:t>
      </w:r>
      <w:proofErr w:type="gramStart"/>
      <w:r w:rsidR="00131DDA" w:rsidRPr="00A37E72">
        <w:t>fee</w:t>
      </w:r>
      <w:proofErr w:type="gramEnd"/>
      <w:r w:rsidR="00131DDA" w:rsidRPr="00A37E72">
        <w:t xml:space="preserve"> for service</w:t>
      </w:r>
      <w:r w:rsidR="000E296F" w:rsidRPr="00A37E72">
        <w:rPr>
          <w:rStyle w:val="FootnoteReference"/>
        </w:rPr>
        <w:footnoteReference w:id="1"/>
      </w:r>
      <w:r w:rsidR="00131DDA" w:rsidRPr="00A37E72">
        <w:t xml:space="preserve"> enrolments in Q</w:t>
      </w:r>
      <w:r w:rsidR="001B796C">
        <w:t>2</w:t>
      </w:r>
      <w:r w:rsidR="00131DDA" w:rsidRPr="00A37E72">
        <w:t xml:space="preserve"> 2013. This is down by </w:t>
      </w:r>
      <w:r w:rsidR="00045F0C">
        <w:t>8</w:t>
      </w:r>
      <w:r w:rsidR="00385F2D" w:rsidRPr="00A37E72">
        <w:t xml:space="preserve"> per cent (</w:t>
      </w:r>
      <w:r w:rsidR="00045F0C">
        <w:t>5,900</w:t>
      </w:r>
      <w:r w:rsidR="00131DDA" w:rsidRPr="00A37E72">
        <w:t>) compared to Q</w:t>
      </w:r>
      <w:r w:rsidR="001B796C">
        <w:t>2</w:t>
      </w:r>
      <w:r w:rsidR="00131DDA" w:rsidRPr="00A37E72">
        <w:t xml:space="preserve"> 2012, but up by 1</w:t>
      </w:r>
      <w:r w:rsidR="00045F0C">
        <w:t>1</w:t>
      </w:r>
      <w:r w:rsidR="00131DDA" w:rsidRPr="00A37E72">
        <w:t xml:space="preserve"> per cent (</w:t>
      </w:r>
      <w:r w:rsidR="00045F0C">
        <w:t>6,400</w:t>
      </w:r>
      <w:r w:rsidR="00131DDA" w:rsidRPr="00A37E72">
        <w:t xml:space="preserve"> </w:t>
      </w:r>
      <w:r w:rsidR="00045F0C">
        <w:t>additional</w:t>
      </w:r>
      <w:r w:rsidR="00131DDA" w:rsidRPr="00A37E72">
        <w:t xml:space="preserve"> enrolments) compared to the same </w:t>
      </w:r>
      <w:r w:rsidR="001B796C">
        <w:t>period</w:t>
      </w:r>
      <w:r w:rsidR="00131DDA" w:rsidRPr="00A37E72">
        <w:t xml:space="preserve"> in 2011.</w:t>
      </w:r>
    </w:p>
    <w:p w:rsidR="007936E9" w:rsidRDefault="007936E9">
      <w:pPr>
        <w:spacing w:after="0" w:line="240" w:lineRule="auto"/>
        <w:jc w:val="left"/>
        <w:rPr>
          <w:b/>
          <w:bCs/>
          <w:color w:val="76923C" w:themeColor="accent3" w:themeShade="BF"/>
          <w:sz w:val="18"/>
          <w:szCs w:val="16"/>
        </w:rPr>
      </w:pPr>
    </w:p>
    <w:p w:rsidR="00AD2D2A" w:rsidRPr="00A37E72" w:rsidRDefault="00AD2D2A" w:rsidP="00AD2D2A">
      <w:pPr>
        <w:pStyle w:val="Caption"/>
      </w:pPr>
      <w:r w:rsidRPr="00A37E72">
        <w:t>Government subsidised and TAFE Fee for service course enrolments, 2008-2012</w:t>
      </w:r>
      <w:r w:rsidR="002318E7" w:rsidRPr="00A37E72">
        <w:t xml:space="preserve"> and</w:t>
      </w:r>
      <w:r w:rsidRPr="00A37E72">
        <w:t xml:space="preserve"> Q</w:t>
      </w:r>
      <w:r w:rsidR="002318E7" w:rsidRPr="00A37E72">
        <w:t>2</w:t>
      </w:r>
      <w:r w:rsidRPr="00A37E72">
        <w:t xml:space="preserve"> 2011</w:t>
      </w:r>
      <w:r w:rsidR="002318E7" w:rsidRPr="00A37E72">
        <w:t>-2013</w:t>
      </w:r>
    </w:p>
    <w:p w:rsidR="00AD2D2A" w:rsidRPr="00A37E72" w:rsidRDefault="002318E7" w:rsidP="00512EAB">
      <w:pPr>
        <w:pStyle w:val="Heading3"/>
      </w:pPr>
      <w:r w:rsidRPr="00A37E72">
        <w:rPr>
          <w:noProof/>
          <w:lang w:eastAsia="en-AU"/>
        </w:rPr>
        <w:drawing>
          <wp:inline distT="0" distB="0" distL="0" distR="0" wp14:anchorId="24DA89AD" wp14:editId="6EE068EB">
            <wp:extent cx="4962525" cy="2743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2525" cy="2743200"/>
                    </a:xfrm>
                    <a:prstGeom prst="rect">
                      <a:avLst/>
                    </a:prstGeom>
                    <a:noFill/>
                  </pic:spPr>
                </pic:pic>
              </a:graphicData>
            </a:graphic>
          </wp:inline>
        </w:drawing>
      </w:r>
    </w:p>
    <w:p w:rsidR="001A4590" w:rsidRDefault="001A4590">
      <w:pPr>
        <w:spacing w:after="0" w:line="240" w:lineRule="auto"/>
        <w:jc w:val="left"/>
      </w:pPr>
    </w:p>
    <w:p w:rsidR="000609C4" w:rsidRDefault="000609C4">
      <w:pPr>
        <w:spacing w:after="0" w:line="240" w:lineRule="auto"/>
        <w:jc w:val="left"/>
        <w:rPr>
          <w:rFonts w:cs="Arial"/>
          <w:b/>
          <w:bCs/>
          <w:color w:val="76923C" w:themeColor="accent3" w:themeShade="BF"/>
          <w:szCs w:val="19"/>
        </w:rPr>
      </w:pPr>
    </w:p>
    <w:p w:rsidR="007436A4" w:rsidRPr="000F39CF" w:rsidRDefault="007436A4" w:rsidP="007436A4">
      <w:pPr>
        <w:pStyle w:val="Heading3"/>
      </w:pPr>
      <w:r>
        <w:t xml:space="preserve">Learners facing barriers to participation </w:t>
      </w:r>
    </w:p>
    <w:p w:rsidR="009C7247" w:rsidRDefault="009C7247" w:rsidP="00B574F2">
      <w:pPr>
        <w:rPr>
          <w:rFonts w:cs="Arial"/>
          <w:szCs w:val="19"/>
        </w:rPr>
      </w:pPr>
      <w:r>
        <w:rPr>
          <w:rFonts w:cs="Arial"/>
        </w:rPr>
        <w:t>Certain groups in the community face barriers to participat</w:t>
      </w:r>
      <w:r w:rsidR="0022400D">
        <w:rPr>
          <w:rFonts w:cs="Arial"/>
        </w:rPr>
        <w:t>ion</w:t>
      </w:r>
      <w:r>
        <w:rPr>
          <w:rFonts w:cs="Arial"/>
        </w:rPr>
        <w:t xml:space="preserve"> in </w:t>
      </w:r>
      <w:r w:rsidR="00AF59CF">
        <w:rPr>
          <w:rFonts w:cs="Arial"/>
        </w:rPr>
        <w:t>education, training and the workforce.</w:t>
      </w:r>
      <w:r>
        <w:rPr>
          <w:rFonts w:cs="Arial"/>
        </w:rPr>
        <w:t xml:space="preserve"> </w:t>
      </w:r>
      <w:r w:rsidR="001A4590">
        <w:rPr>
          <w:rFonts w:cs="Arial"/>
        </w:rPr>
        <w:t>Education and training</w:t>
      </w:r>
      <w:r>
        <w:rPr>
          <w:rFonts w:cs="Arial"/>
        </w:rPr>
        <w:t xml:space="preserve"> can be a key mechanism to lift their employment and life opportunities. </w:t>
      </w:r>
      <w:r w:rsidR="007436A4" w:rsidRPr="009C7247">
        <w:rPr>
          <w:rFonts w:cs="Arial"/>
          <w:szCs w:val="19"/>
        </w:rPr>
        <w:t xml:space="preserve">There were approximately 78,600 unemployed students in government subsidised enrolments in Q2 2013, this was up by 2 per cent on the same period in 2012. </w:t>
      </w:r>
    </w:p>
    <w:p w:rsidR="009C7247" w:rsidRDefault="009C7247" w:rsidP="00892373">
      <w:pPr>
        <w:pStyle w:val="Heading3"/>
      </w:pPr>
    </w:p>
    <w:p w:rsidR="001A4590" w:rsidRDefault="001A4590">
      <w:pPr>
        <w:spacing w:after="0" w:line="240" w:lineRule="auto"/>
        <w:jc w:val="left"/>
        <w:rPr>
          <w:rFonts w:cs="Arial"/>
          <w:b/>
          <w:bCs/>
          <w:color w:val="76923C" w:themeColor="accent3" w:themeShade="BF"/>
          <w:szCs w:val="19"/>
        </w:rPr>
      </w:pPr>
      <w:r>
        <w:br w:type="page"/>
      </w:r>
    </w:p>
    <w:p w:rsidR="00892373" w:rsidRPr="00A37E72" w:rsidRDefault="00892373" w:rsidP="00892373">
      <w:pPr>
        <w:pStyle w:val="Heading3"/>
      </w:pPr>
      <w:r w:rsidRPr="00A37E72">
        <w:lastRenderedPageBreak/>
        <w:t>Government Subsidised Training Delivery by Regional Area</w:t>
      </w:r>
    </w:p>
    <w:p w:rsidR="00892373" w:rsidRPr="00A37E72" w:rsidRDefault="00892373" w:rsidP="00892373">
      <w:pPr>
        <w:rPr>
          <w:rFonts w:cs="Arial"/>
        </w:rPr>
      </w:pPr>
      <w:r w:rsidRPr="00A37E72">
        <w:rPr>
          <w:rFonts w:cs="Arial"/>
        </w:rPr>
        <w:t>Government</w:t>
      </w:r>
      <w:r w:rsidR="001C5D5A">
        <w:rPr>
          <w:rFonts w:cs="Arial"/>
        </w:rPr>
        <w:t xml:space="preserve"> subsidised training delivery in</w:t>
      </w:r>
      <w:r w:rsidRPr="00A37E72">
        <w:rPr>
          <w:rFonts w:cs="Arial"/>
        </w:rPr>
        <w:t xml:space="preserve"> each </w:t>
      </w:r>
      <w:r w:rsidR="001C5D5A">
        <w:rPr>
          <w:rFonts w:cs="Arial"/>
        </w:rPr>
        <w:t xml:space="preserve">of the department’s four </w:t>
      </w:r>
      <w:r w:rsidRPr="00A37E72">
        <w:rPr>
          <w:rFonts w:cs="Arial"/>
        </w:rPr>
        <w:t>region</w:t>
      </w:r>
      <w:r w:rsidR="001C5D5A">
        <w:rPr>
          <w:rFonts w:cs="Arial"/>
        </w:rPr>
        <w:t>s</w:t>
      </w:r>
      <w:r w:rsidRPr="00A37E72">
        <w:rPr>
          <w:rFonts w:cs="Arial"/>
        </w:rPr>
        <w:t xml:space="preserve"> follows the state-wide trend that enrolments were lower in Q2 2013 compared to Q2 2012, but higher than Q2 2011. When enrolment data further disaggregated into nine regional areas, the results show </w:t>
      </w:r>
      <w:r w:rsidR="00A650B5">
        <w:rPr>
          <w:rFonts w:cs="Arial"/>
        </w:rPr>
        <w:t xml:space="preserve">a </w:t>
      </w:r>
      <w:r w:rsidRPr="00A37E72">
        <w:rPr>
          <w:rFonts w:cs="Arial"/>
        </w:rPr>
        <w:t>slightly different picture:</w:t>
      </w:r>
    </w:p>
    <w:p w:rsidR="00892373" w:rsidRPr="000F39CF" w:rsidRDefault="00892373" w:rsidP="00AB2D09">
      <w:pPr>
        <w:pStyle w:val="ListParagraph"/>
        <w:numPr>
          <w:ilvl w:val="0"/>
          <w:numId w:val="26"/>
        </w:numPr>
        <w:spacing w:after="120"/>
        <w:ind w:left="714" w:hanging="357"/>
        <w:rPr>
          <w:rFonts w:ascii="Arial" w:hAnsi="Arial" w:cs="Arial"/>
          <w:sz w:val="19"/>
          <w:szCs w:val="19"/>
        </w:rPr>
      </w:pPr>
      <w:r w:rsidRPr="000F39CF">
        <w:rPr>
          <w:rFonts w:ascii="Arial" w:hAnsi="Arial" w:cs="Arial"/>
          <w:sz w:val="19"/>
          <w:szCs w:val="19"/>
        </w:rPr>
        <w:t xml:space="preserve">Hume regional area: government subsidised enrolments in Q2 2013 were higher than the corresponding figures over the same period in 2011 and 2012. </w:t>
      </w:r>
    </w:p>
    <w:p w:rsidR="00892373" w:rsidRPr="000F39CF" w:rsidRDefault="00892373" w:rsidP="00AB2D09">
      <w:pPr>
        <w:pStyle w:val="ListParagraph"/>
        <w:numPr>
          <w:ilvl w:val="0"/>
          <w:numId w:val="26"/>
        </w:numPr>
        <w:spacing w:after="120"/>
        <w:ind w:left="714" w:hanging="357"/>
        <w:rPr>
          <w:rFonts w:ascii="Arial" w:hAnsi="Arial" w:cs="Arial"/>
          <w:sz w:val="19"/>
          <w:szCs w:val="19"/>
        </w:rPr>
      </w:pPr>
      <w:r w:rsidRPr="000F39CF">
        <w:rPr>
          <w:rFonts w:ascii="Arial" w:hAnsi="Arial" w:cs="Arial"/>
          <w:sz w:val="19"/>
          <w:szCs w:val="19"/>
        </w:rPr>
        <w:t>Eastern metropolitan and Gippsland regional area</w:t>
      </w:r>
      <w:r>
        <w:rPr>
          <w:rFonts w:ascii="Arial" w:hAnsi="Arial" w:cs="Arial"/>
          <w:sz w:val="19"/>
          <w:szCs w:val="19"/>
        </w:rPr>
        <w:t>s</w:t>
      </w:r>
      <w:r w:rsidRPr="000F39CF">
        <w:rPr>
          <w:rFonts w:ascii="Arial" w:hAnsi="Arial" w:cs="Arial"/>
          <w:sz w:val="19"/>
          <w:szCs w:val="19"/>
        </w:rPr>
        <w:t>: government subsidised enrolments in Q2 2013 were lower than the corresponding figures in Q2 2011 and Q2 2012.</w:t>
      </w:r>
    </w:p>
    <w:p w:rsidR="00892373" w:rsidRDefault="00892373" w:rsidP="00892373">
      <w:pPr>
        <w:pStyle w:val="Caption"/>
      </w:pPr>
      <w:r w:rsidRPr="00A83459">
        <w:t>Government subsidised enrolments by regional area, Q</w:t>
      </w:r>
      <w:r>
        <w:t>2 2011-</w:t>
      </w:r>
      <w:r w:rsidRPr="00A83459">
        <w:t xml:space="preserve"> 2013</w:t>
      </w:r>
    </w:p>
    <w:p w:rsidR="00892373" w:rsidRPr="00892373" w:rsidRDefault="00892373" w:rsidP="00892373">
      <w:pPr>
        <w:rPr>
          <w:rFonts w:cs="Arial"/>
          <w:b/>
          <w:color w:val="76923C" w:themeColor="accent3" w:themeShade="BF"/>
          <w:sz w:val="16"/>
        </w:rPr>
      </w:pPr>
      <w:r w:rsidRPr="00D64F9A">
        <w:rPr>
          <w:noProof/>
          <w:lang w:eastAsia="en-AU"/>
        </w:rPr>
        <w:drawing>
          <wp:inline distT="0" distB="0" distL="0" distR="0" wp14:anchorId="3225EC9E" wp14:editId="73F33CCA">
            <wp:extent cx="5802010" cy="3138853"/>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06523" cy="3141294"/>
                    </a:xfrm>
                    <a:prstGeom prst="rect">
                      <a:avLst/>
                    </a:prstGeom>
                    <a:noFill/>
                    <a:ln>
                      <a:noFill/>
                    </a:ln>
                  </pic:spPr>
                </pic:pic>
              </a:graphicData>
            </a:graphic>
          </wp:inline>
        </w:drawing>
      </w:r>
    </w:p>
    <w:p w:rsidR="00991481" w:rsidRDefault="00991481" w:rsidP="00F90D71">
      <w:pPr>
        <w:rPr>
          <w:rFonts w:cs="Arial"/>
          <w:b/>
          <w:bCs/>
          <w:color w:val="76923C" w:themeColor="accent3" w:themeShade="BF"/>
          <w:szCs w:val="19"/>
        </w:rPr>
      </w:pPr>
    </w:p>
    <w:p w:rsidR="00EC0DB9" w:rsidRPr="00EC0DB9" w:rsidRDefault="004C7A16" w:rsidP="00F90D71">
      <w:pPr>
        <w:rPr>
          <w:rFonts w:cs="Arial"/>
          <w:b/>
          <w:bCs/>
          <w:color w:val="76923C" w:themeColor="accent3" w:themeShade="BF"/>
          <w:szCs w:val="19"/>
        </w:rPr>
      </w:pPr>
      <w:r>
        <w:rPr>
          <w:rFonts w:cs="Arial"/>
          <w:b/>
          <w:bCs/>
          <w:color w:val="76923C" w:themeColor="accent3" w:themeShade="BF"/>
          <w:szCs w:val="19"/>
        </w:rPr>
        <w:t xml:space="preserve">Alignment of </w:t>
      </w:r>
      <w:r w:rsidR="0033099B">
        <w:rPr>
          <w:rFonts w:cs="Arial"/>
          <w:b/>
          <w:bCs/>
          <w:color w:val="76923C" w:themeColor="accent3" w:themeShade="BF"/>
          <w:szCs w:val="19"/>
        </w:rPr>
        <w:t xml:space="preserve">Government investment </w:t>
      </w:r>
      <w:r w:rsidR="00AF59CF">
        <w:rPr>
          <w:rFonts w:cs="Arial"/>
          <w:b/>
          <w:bCs/>
          <w:color w:val="76923C" w:themeColor="accent3" w:themeShade="BF"/>
          <w:szCs w:val="19"/>
        </w:rPr>
        <w:t>in</w:t>
      </w:r>
      <w:r w:rsidR="00892373" w:rsidRPr="00892373">
        <w:rPr>
          <w:rFonts w:cs="Arial"/>
          <w:b/>
          <w:bCs/>
          <w:color w:val="76923C" w:themeColor="accent3" w:themeShade="BF"/>
          <w:szCs w:val="19"/>
        </w:rPr>
        <w:t xml:space="preserve"> Training to</w:t>
      </w:r>
      <w:r w:rsidR="00783017">
        <w:rPr>
          <w:rFonts w:cs="Arial"/>
          <w:b/>
          <w:bCs/>
          <w:color w:val="76923C" w:themeColor="accent3" w:themeShade="BF"/>
          <w:szCs w:val="19"/>
        </w:rPr>
        <w:t xml:space="preserve"> </w:t>
      </w:r>
      <w:r w:rsidR="00892373" w:rsidRPr="00892373">
        <w:rPr>
          <w:rFonts w:cs="Arial"/>
          <w:b/>
          <w:bCs/>
          <w:color w:val="76923C" w:themeColor="accent3" w:themeShade="BF"/>
          <w:szCs w:val="19"/>
        </w:rPr>
        <w:t xml:space="preserve">Industry Skills Needs </w:t>
      </w:r>
    </w:p>
    <w:p w:rsidR="009B51C6" w:rsidRDefault="009B51C6" w:rsidP="009B51C6">
      <w:pPr>
        <w:rPr>
          <w:rFonts w:cs="Arial"/>
        </w:rPr>
      </w:pPr>
      <w:r w:rsidRPr="009554C8">
        <w:rPr>
          <w:rFonts w:cs="Arial"/>
        </w:rPr>
        <w:t xml:space="preserve">Under </w:t>
      </w:r>
      <w:r w:rsidRPr="00D06F82">
        <w:rPr>
          <w:rFonts w:cs="Arial"/>
          <w:i/>
        </w:rPr>
        <w:t>RVT</w:t>
      </w:r>
      <w:r>
        <w:rPr>
          <w:rFonts w:cs="Arial"/>
        </w:rPr>
        <w:t xml:space="preserve"> </w:t>
      </w:r>
      <w:r w:rsidR="00D06F82">
        <w:rPr>
          <w:rFonts w:cs="Arial"/>
        </w:rPr>
        <w:t xml:space="preserve">in Victoria </w:t>
      </w:r>
      <w:r>
        <w:rPr>
          <w:rFonts w:cs="Arial"/>
        </w:rPr>
        <w:t>subsidises for training have been set to strengthen Government investment in training in specialised skills, training to address skills in shortage and training related to areas of employment opportunity</w:t>
      </w:r>
      <w:r w:rsidRPr="009554C8">
        <w:rPr>
          <w:rFonts w:cs="Arial"/>
        </w:rPr>
        <w:t xml:space="preserve">. </w:t>
      </w:r>
      <w:r>
        <w:rPr>
          <w:rFonts w:cs="Arial"/>
        </w:rPr>
        <w:t xml:space="preserve">The reforms also assessed </w:t>
      </w:r>
      <w:r w:rsidRPr="009554C8">
        <w:rPr>
          <w:rFonts w:cs="Arial"/>
        </w:rPr>
        <w:t>the extent to which government investment is required to stimulate delivery of, and participation in, this training to meet industry needs</w:t>
      </w:r>
      <w:r>
        <w:rPr>
          <w:rFonts w:cs="Arial"/>
        </w:rPr>
        <w:t xml:space="preserve">. </w:t>
      </w:r>
      <w:r w:rsidRPr="009554C8">
        <w:rPr>
          <w:rFonts w:cs="Arial"/>
        </w:rPr>
        <w:t>Overall, the highest subsidy levels have been provided to courses where contribution to the economy is assessed as high, and where government subsidy is seen as essential in enabling delivery and participation in training.</w:t>
      </w:r>
    </w:p>
    <w:p w:rsidR="00C73DBE" w:rsidRPr="00D940E1" w:rsidRDefault="00C73DBE" w:rsidP="00C73DBE">
      <w:pPr>
        <w:rPr>
          <w:rFonts w:cs="Arial"/>
        </w:rPr>
      </w:pPr>
      <w:r>
        <w:rPr>
          <w:rFonts w:cs="Arial"/>
        </w:rPr>
        <w:t>There has been a marked shift in course commencement patterns since the reforms were introduced in July 2012. Data fr</w:t>
      </w:r>
      <w:r w:rsidRPr="00D940E1">
        <w:rPr>
          <w:rFonts w:cs="Arial"/>
        </w:rPr>
        <w:t xml:space="preserve">om Q2 2013 show </w:t>
      </w:r>
      <w:r>
        <w:rPr>
          <w:rFonts w:cs="Arial"/>
        </w:rPr>
        <w:t xml:space="preserve">that </w:t>
      </w:r>
      <w:r w:rsidRPr="00D940E1">
        <w:rPr>
          <w:rFonts w:cs="Arial"/>
        </w:rPr>
        <w:t xml:space="preserve">69 per cent of all government subsidised </w:t>
      </w:r>
      <w:r>
        <w:rPr>
          <w:rFonts w:cs="Arial"/>
        </w:rPr>
        <w:t xml:space="preserve">course </w:t>
      </w:r>
      <w:r w:rsidRPr="00D940E1">
        <w:rPr>
          <w:rFonts w:cs="Arial"/>
        </w:rPr>
        <w:t>commencing enrolments were within subsidy bands A and B. This compared with 49 per cent of commencements in subsidy bands A and B over the same period in 2012</w:t>
      </w:r>
      <w:r>
        <w:rPr>
          <w:rFonts w:cs="Arial"/>
        </w:rPr>
        <w:t xml:space="preserve"> (Pre-July 2012, i.e. January-June 2012)</w:t>
      </w:r>
      <w:r w:rsidRPr="00D940E1">
        <w:rPr>
          <w:rFonts w:cs="Arial"/>
        </w:rPr>
        <w:t>.</w:t>
      </w:r>
      <w:r>
        <w:rPr>
          <w:rFonts w:cs="Arial"/>
        </w:rPr>
        <w:t xml:space="preserve"> Course commencements within subsidy bands D</w:t>
      </w:r>
      <w:r w:rsidRPr="00D940E1">
        <w:rPr>
          <w:rFonts w:cs="Arial"/>
        </w:rPr>
        <w:t xml:space="preserve"> </w:t>
      </w:r>
      <w:r>
        <w:rPr>
          <w:rFonts w:cs="Arial"/>
        </w:rPr>
        <w:t xml:space="preserve">and E were 9 per cent in Q2 2013, reduced from 31 per cent over the same period in 2012. </w:t>
      </w:r>
    </w:p>
    <w:p w:rsidR="00C73DBE" w:rsidRDefault="00C73DBE">
      <w:pPr>
        <w:spacing w:after="0" w:line="240" w:lineRule="auto"/>
        <w:jc w:val="left"/>
        <w:rPr>
          <w:rFonts w:cs="Arial"/>
          <w:b/>
          <w:bCs/>
          <w:color w:val="76923C" w:themeColor="accent3" w:themeShade="BF"/>
          <w:sz w:val="18"/>
          <w:szCs w:val="16"/>
        </w:rPr>
      </w:pPr>
    </w:p>
    <w:p w:rsidR="004D7D6F" w:rsidRPr="007D276C" w:rsidRDefault="004D7D6F" w:rsidP="00C73DBE">
      <w:pPr>
        <w:pStyle w:val="Caption"/>
        <w:jc w:val="left"/>
        <w:rPr>
          <w:rFonts w:cs="Arial"/>
          <w:color w:val="auto"/>
        </w:rPr>
      </w:pPr>
      <w:r w:rsidRPr="001F29E3">
        <w:rPr>
          <w:rFonts w:cs="Arial"/>
        </w:rPr>
        <w:t xml:space="preserve">Government subsidised </w:t>
      </w:r>
      <w:r>
        <w:rPr>
          <w:rFonts w:cs="Arial"/>
        </w:rPr>
        <w:t xml:space="preserve">commencing course </w:t>
      </w:r>
      <w:r w:rsidRPr="001F29E3">
        <w:rPr>
          <w:rFonts w:cs="Arial"/>
        </w:rPr>
        <w:t>enrolments:</w:t>
      </w:r>
      <w:r>
        <w:rPr>
          <w:rFonts w:cs="Arial"/>
        </w:rPr>
        <w:t xml:space="preserve"> </w:t>
      </w:r>
      <w:r w:rsidRPr="001F29E3">
        <w:rPr>
          <w:rFonts w:cs="Arial"/>
        </w:rPr>
        <w:t xml:space="preserve">proportion of commencing enrolments by </w:t>
      </w:r>
      <w:r>
        <w:rPr>
          <w:rFonts w:cs="Arial"/>
        </w:rPr>
        <w:t>subsidy</w:t>
      </w:r>
      <w:r w:rsidRPr="001F29E3">
        <w:rPr>
          <w:rFonts w:cs="Arial"/>
        </w:rPr>
        <w:t xml:space="preserve"> band, </w:t>
      </w:r>
      <w:r>
        <w:rPr>
          <w:rFonts w:cs="Arial"/>
        </w:rPr>
        <w:t>Pre-July 2012, Q2 2013</w:t>
      </w:r>
      <w:r w:rsidRPr="001F29E3">
        <w:rPr>
          <w:rFonts w:cs="Arial"/>
        </w:rPr>
        <w:t xml:space="preserve"> </w:t>
      </w:r>
    </w:p>
    <w:p w:rsidR="004D7D6F" w:rsidRDefault="00A05095" w:rsidP="004D7D6F">
      <w:pPr>
        <w:rPr>
          <w:rFonts w:cs="Arial"/>
          <w:sz w:val="16"/>
          <w:szCs w:val="16"/>
        </w:rPr>
      </w:pPr>
      <w:r>
        <w:rPr>
          <w:rFonts w:cs="Arial"/>
          <w:noProof/>
          <w:sz w:val="16"/>
          <w:szCs w:val="16"/>
          <w:lang w:eastAsia="en-AU"/>
        </w:rPr>
        <w:drawing>
          <wp:inline distT="0" distB="0" distL="0" distR="0" wp14:anchorId="557017F4" wp14:editId="4853CE2C">
            <wp:extent cx="5407660" cy="14141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7660" cy="1414145"/>
                    </a:xfrm>
                    <a:prstGeom prst="rect">
                      <a:avLst/>
                    </a:prstGeom>
                    <a:noFill/>
                  </pic:spPr>
                </pic:pic>
              </a:graphicData>
            </a:graphic>
          </wp:inline>
        </w:drawing>
      </w:r>
    </w:p>
    <w:p w:rsidR="00A05095" w:rsidRPr="009554C8" w:rsidRDefault="00A05095" w:rsidP="00A05095">
      <w:pPr>
        <w:rPr>
          <w:rFonts w:cs="Arial"/>
          <w:sz w:val="16"/>
          <w:szCs w:val="16"/>
        </w:rPr>
      </w:pPr>
      <w:r>
        <w:rPr>
          <w:rFonts w:cs="Arial"/>
          <w:sz w:val="16"/>
          <w:szCs w:val="16"/>
        </w:rPr>
        <w:t>*Pre-July 2012 refers to January to June 2012.</w:t>
      </w:r>
    </w:p>
    <w:p w:rsidR="0033099B" w:rsidRPr="0033099B" w:rsidRDefault="0033099B" w:rsidP="0033099B">
      <w:pPr>
        <w:rPr>
          <w:rFonts w:cs="Arial"/>
        </w:rPr>
      </w:pPr>
      <w:r w:rsidRPr="0033099B">
        <w:rPr>
          <w:rFonts w:cs="Arial"/>
        </w:rPr>
        <w:lastRenderedPageBreak/>
        <w:t>It has been twelve months of market operation under the new market settings announced in 2012.</w:t>
      </w:r>
      <w:r w:rsidR="00D06F82">
        <w:rPr>
          <w:rFonts w:cs="Arial"/>
        </w:rPr>
        <w:t xml:space="preserve"> </w:t>
      </w:r>
      <w:r w:rsidRPr="0033099B">
        <w:rPr>
          <w:rFonts w:cs="Arial"/>
        </w:rPr>
        <w:t xml:space="preserve">There is early evidence that the introduction of subsidy bands, which saw twenty per cent of Government funded courses either retaining or attracting higher subsidy levels than before and reductions in areas that were experiencing unprecedented growth, has resulted in an adjustment to training demand and with it, a rebalancing of Government investment in the first half of 2013. </w:t>
      </w:r>
      <w:r w:rsidR="00AF59CF">
        <w:rPr>
          <w:rFonts w:cs="Arial"/>
        </w:rPr>
        <w:t xml:space="preserve">Such adjustments are broadly aligned with key labour market requirements. </w:t>
      </w:r>
    </w:p>
    <w:p w:rsidR="0033099B" w:rsidRPr="0033099B" w:rsidRDefault="0033099B" w:rsidP="0033099B">
      <w:pPr>
        <w:pStyle w:val="ListParagraph"/>
        <w:numPr>
          <w:ilvl w:val="0"/>
          <w:numId w:val="26"/>
        </w:numPr>
        <w:rPr>
          <w:rFonts w:ascii="Arial" w:hAnsi="Arial" w:cs="Arial"/>
          <w:sz w:val="19"/>
          <w:szCs w:val="19"/>
        </w:rPr>
      </w:pPr>
      <w:r w:rsidRPr="0033099B">
        <w:rPr>
          <w:rFonts w:ascii="Arial" w:hAnsi="Arial" w:cs="Arial"/>
          <w:sz w:val="19"/>
          <w:szCs w:val="19"/>
        </w:rPr>
        <w:t>There is a high</w:t>
      </w:r>
      <w:r w:rsidR="0022400D">
        <w:rPr>
          <w:rFonts w:ascii="Arial" w:hAnsi="Arial" w:cs="Arial"/>
          <w:sz w:val="19"/>
          <w:szCs w:val="19"/>
        </w:rPr>
        <w:t xml:space="preserve"> correlation between an industry’s</w:t>
      </w:r>
      <w:r w:rsidRPr="0033099B">
        <w:rPr>
          <w:rFonts w:ascii="Arial" w:hAnsi="Arial" w:cs="Arial"/>
          <w:sz w:val="19"/>
          <w:szCs w:val="19"/>
        </w:rPr>
        <w:t xml:space="preserve"> share of employment and share of training delivery in Victoria (pp. </w:t>
      </w:r>
      <w:r w:rsidR="002248DA">
        <w:rPr>
          <w:rFonts w:ascii="Arial" w:hAnsi="Arial" w:cs="Arial"/>
          <w:sz w:val="19"/>
          <w:szCs w:val="19"/>
        </w:rPr>
        <w:t>45</w:t>
      </w:r>
      <w:r w:rsidRPr="0033099B">
        <w:rPr>
          <w:rFonts w:ascii="Arial" w:hAnsi="Arial" w:cs="Arial"/>
          <w:sz w:val="19"/>
          <w:szCs w:val="19"/>
        </w:rPr>
        <w:t>)</w:t>
      </w:r>
    </w:p>
    <w:p w:rsidR="0033099B" w:rsidRPr="0033099B" w:rsidRDefault="0033099B" w:rsidP="0033099B">
      <w:pPr>
        <w:pStyle w:val="ListParagraph"/>
        <w:numPr>
          <w:ilvl w:val="0"/>
          <w:numId w:val="26"/>
        </w:numPr>
        <w:rPr>
          <w:rFonts w:ascii="Arial" w:hAnsi="Arial" w:cs="Arial"/>
          <w:sz w:val="19"/>
          <w:szCs w:val="19"/>
        </w:rPr>
      </w:pPr>
      <w:r w:rsidRPr="0033099B">
        <w:rPr>
          <w:rFonts w:ascii="Arial" w:hAnsi="Arial" w:cs="Arial"/>
          <w:sz w:val="19"/>
          <w:szCs w:val="19"/>
        </w:rPr>
        <w:t>Sectors that provide essential services and infrastructure (e.g. Health Care and Social Assistance, Transport Postal and Warehousing), and which are important to regional economies (Agriculture, Forestry, Fishing, Manufacturing and Mining) received an increase share of government funded enrolments than previous periods (pp.</w:t>
      </w:r>
      <w:r w:rsidR="002248DA">
        <w:rPr>
          <w:rFonts w:ascii="Arial" w:hAnsi="Arial" w:cs="Arial"/>
          <w:sz w:val="19"/>
          <w:szCs w:val="19"/>
        </w:rPr>
        <w:t xml:space="preserve"> 46</w:t>
      </w:r>
      <w:r w:rsidRPr="0033099B">
        <w:rPr>
          <w:rFonts w:ascii="Arial" w:hAnsi="Arial" w:cs="Arial"/>
          <w:sz w:val="19"/>
          <w:szCs w:val="19"/>
        </w:rPr>
        <w:t xml:space="preserve">). </w:t>
      </w:r>
    </w:p>
    <w:p w:rsidR="00E06C85" w:rsidRPr="00C95D0B" w:rsidRDefault="00E06C85" w:rsidP="009B51C6">
      <w:pPr>
        <w:pStyle w:val="ListParagraph"/>
        <w:numPr>
          <w:ilvl w:val="0"/>
          <w:numId w:val="26"/>
        </w:numPr>
      </w:pPr>
      <w:r>
        <w:rPr>
          <w:rFonts w:ascii="Arial" w:hAnsi="Arial" w:cs="Arial"/>
          <w:sz w:val="19"/>
          <w:szCs w:val="19"/>
        </w:rPr>
        <w:t>T</w:t>
      </w:r>
      <w:r w:rsidRPr="0033099B">
        <w:rPr>
          <w:rFonts w:ascii="Arial" w:hAnsi="Arial" w:cs="Arial"/>
          <w:sz w:val="19"/>
          <w:szCs w:val="19"/>
        </w:rPr>
        <w:t>here has been a modest increase in training to support specialist and in shortage occupations (and attract higher levels of Government subsidy), even in a period of subdued economic conditions</w:t>
      </w:r>
      <w:r w:rsidR="004C7A16">
        <w:rPr>
          <w:rFonts w:ascii="Arial" w:hAnsi="Arial" w:cs="Arial"/>
          <w:sz w:val="19"/>
          <w:szCs w:val="19"/>
        </w:rPr>
        <w:t xml:space="preserve"> and</w:t>
      </w:r>
      <w:r>
        <w:rPr>
          <w:rFonts w:ascii="Arial" w:hAnsi="Arial" w:cs="Arial"/>
          <w:sz w:val="19"/>
          <w:szCs w:val="19"/>
        </w:rPr>
        <w:t xml:space="preserve"> despite declines in other areas of training</w:t>
      </w:r>
      <w:r w:rsidRPr="0033099B">
        <w:rPr>
          <w:rFonts w:ascii="Arial" w:hAnsi="Arial" w:cs="Arial"/>
          <w:sz w:val="19"/>
          <w:szCs w:val="19"/>
        </w:rPr>
        <w:t xml:space="preserve"> (pp.</w:t>
      </w:r>
      <w:r w:rsidR="002248DA">
        <w:rPr>
          <w:rFonts w:ascii="Arial" w:hAnsi="Arial" w:cs="Arial"/>
          <w:sz w:val="19"/>
          <w:szCs w:val="19"/>
        </w:rPr>
        <w:t xml:space="preserve"> 5</w:t>
      </w:r>
      <w:r w:rsidR="00D6553B">
        <w:rPr>
          <w:rFonts w:ascii="Arial" w:hAnsi="Arial" w:cs="Arial"/>
          <w:sz w:val="19"/>
          <w:szCs w:val="19"/>
        </w:rPr>
        <w:t>5</w:t>
      </w:r>
      <w:r w:rsidRPr="0033099B">
        <w:rPr>
          <w:rFonts w:ascii="Arial" w:hAnsi="Arial" w:cs="Arial"/>
          <w:sz w:val="19"/>
          <w:szCs w:val="19"/>
        </w:rPr>
        <w:t xml:space="preserve">). </w:t>
      </w:r>
    </w:p>
    <w:p w:rsidR="00E06C85" w:rsidRPr="00AB2D09" w:rsidRDefault="00E06C85" w:rsidP="00AB2D09">
      <w:pPr>
        <w:rPr>
          <w:rFonts w:cs="Arial"/>
          <w:szCs w:val="19"/>
        </w:rPr>
      </w:pPr>
      <w:r w:rsidRPr="00E06C85">
        <w:rPr>
          <w:rFonts w:cs="Arial"/>
        </w:rPr>
        <w:t>About 44 per cent of the decrease in government subsidised enrolments in Q2</w:t>
      </w:r>
      <w:r w:rsidRPr="00C95D0B">
        <w:rPr>
          <w:rFonts w:cs="Arial"/>
        </w:rPr>
        <w:t xml:space="preserve"> 2013 compared to Q2 2012 can be attributed to a reduction in apprenticeship and traineeship training. In Q2 2013 there were 75,500 government subsidised apprentice and trainee enrolments, which represents a 25 per cent decline (or 25,800 fewer enrolments) compared to Q2 2012. </w:t>
      </w:r>
    </w:p>
    <w:p w:rsidR="0033099B" w:rsidRPr="00AB2D09" w:rsidRDefault="00AF59CF" w:rsidP="00AB2D09">
      <w:pPr>
        <w:pStyle w:val="ListParagraph"/>
        <w:numPr>
          <w:ilvl w:val="0"/>
          <w:numId w:val="26"/>
        </w:numPr>
        <w:spacing w:after="120"/>
        <w:ind w:left="714" w:hanging="357"/>
        <w:rPr>
          <w:rFonts w:ascii="Arial" w:hAnsi="Arial" w:cs="Arial"/>
          <w:sz w:val="19"/>
          <w:szCs w:val="19"/>
        </w:rPr>
      </w:pPr>
      <w:r>
        <w:rPr>
          <w:rFonts w:ascii="Arial" w:hAnsi="Arial" w:cs="Arial"/>
          <w:sz w:val="19"/>
          <w:szCs w:val="19"/>
        </w:rPr>
        <w:t>D</w:t>
      </w:r>
      <w:r w:rsidR="0033099B" w:rsidRPr="0033099B">
        <w:rPr>
          <w:rFonts w:ascii="Arial" w:hAnsi="Arial" w:cs="Arial"/>
          <w:sz w:val="19"/>
          <w:szCs w:val="19"/>
        </w:rPr>
        <w:t xml:space="preserve">emand for courses that experienced historically high levels of enrolments in 2012 </w:t>
      </w:r>
      <w:r>
        <w:rPr>
          <w:rFonts w:ascii="Arial" w:hAnsi="Arial" w:cs="Arial"/>
          <w:sz w:val="19"/>
          <w:szCs w:val="19"/>
        </w:rPr>
        <w:t xml:space="preserve">are adjusting </w:t>
      </w:r>
      <w:r w:rsidR="0033099B" w:rsidRPr="0033099B">
        <w:rPr>
          <w:rFonts w:ascii="Arial" w:hAnsi="Arial" w:cs="Arial"/>
          <w:sz w:val="19"/>
          <w:szCs w:val="19"/>
        </w:rPr>
        <w:t>to levels more consistent with labour market requirements (pp.</w:t>
      </w:r>
      <w:r w:rsidR="00615B96">
        <w:rPr>
          <w:rFonts w:ascii="Arial" w:hAnsi="Arial" w:cs="Arial"/>
          <w:sz w:val="19"/>
          <w:szCs w:val="19"/>
        </w:rPr>
        <w:t>46</w:t>
      </w:r>
      <w:r w:rsidR="0033099B" w:rsidRPr="0033099B">
        <w:rPr>
          <w:rFonts w:ascii="Arial" w:hAnsi="Arial" w:cs="Arial"/>
          <w:sz w:val="19"/>
          <w:szCs w:val="19"/>
        </w:rPr>
        <w:t>)</w:t>
      </w:r>
      <w:r w:rsidR="009B51C6">
        <w:rPr>
          <w:rFonts w:ascii="Arial" w:hAnsi="Arial" w:cs="Arial"/>
          <w:sz w:val="19"/>
          <w:szCs w:val="19"/>
        </w:rPr>
        <w:t xml:space="preserve">. In particular </w:t>
      </w:r>
      <w:r w:rsidR="009B51C6" w:rsidRPr="00AB2D09">
        <w:rPr>
          <w:rFonts w:ascii="Arial" w:hAnsi="Arial" w:cs="Arial"/>
          <w:sz w:val="19"/>
          <w:szCs w:val="19"/>
        </w:rPr>
        <w:t xml:space="preserve">the </w:t>
      </w:r>
      <w:r w:rsidR="0022400D">
        <w:rPr>
          <w:rFonts w:ascii="Arial" w:hAnsi="Arial" w:cs="Arial"/>
          <w:sz w:val="19"/>
          <w:szCs w:val="19"/>
        </w:rPr>
        <w:t>dampening</w:t>
      </w:r>
      <w:r w:rsidR="009B51C6" w:rsidRPr="00AB2D09">
        <w:rPr>
          <w:rFonts w:ascii="Arial" w:hAnsi="Arial" w:cs="Arial"/>
          <w:sz w:val="19"/>
          <w:szCs w:val="19"/>
        </w:rPr>
        <w:t xml:space="preserve"> in traineeship enrolments is attributable to a number of factors including Commonwealth government incentives</w:t>
      </w:r>
      <w:r w:rsidR="009B51C6" w:rsidRPr="00AB2D09">
        <w:rPr>
          <w:rFonts w:ascii="Arial" w:hAnsi="Arial" w:cs="Arial"/>
          <w:sz w:val="19"/>
          <w:szCs w:val="19"/>
          <w:vertAlign w:val="superscript"/>
        </w:rPr>
        <w:footnoteReference w:id="2"/>
      </w:r>
      <w:r w:rsidR="00244765">
        <w:rPr>
          <w:rFonts w:ascii="Arial" w:hAnsi="Arial" w:cs="Arial"/>
          <w:sz w:val="19"/>
          <w:szCs w:val="19"/>
        </w:rPr>
        <w:t>, State G</w:t>
      </w:r>
      <w:r w:rsidR="009B51C6" w:rsidRPr="00AB2D09">
        <w:rPr>
          <w:rFonts w:ascii="Arial" w:hAnsi="Arial" w:cs="Arial"/>
          <w:sz w:val="19"/>
          <w:szCs w:val="19"/>
        </w:rPr>
        <w:t xml:space="preserve">overnment subsidy levels and correction to high levels of enrolments in some Traineeship courses which had unprecedented high level of enrolments in 2012. </w:t>
      </w:r>
    </w:p>
    <w:p w:rsidR="009B51C6" w:rsidRPr="00AB2D09" w:rsidRDefault="009B51C6" w:rsidP="00AB2D09">
      <w:pPr>
        <w:pStyle w:val="ListParagraph"/>
        <w:numPr>
          <w:ilvl w:val="0"/>
          <w:numId w:val="26"/>
        </w:numPr>
        <w:spacing w:after="120"/>
        <w:ind w:left="714" w:hanging="357"/>
        <w:rPr>
          <w:rFonts w:ascii="Arial" w:hAnsi="Arial" w:cs="Arial"/>
          <w:sz w:val="19"/>
          <w:szCs w:val="19"/>
        </w:rPr>
      </w:pPr>
      <w:r w:rsidRPr="00AB2D09">
        <w:rPr>
          <w:rFonts w:ascii="Arial" w:hAnsi="Arial" w:cs="Arial"/>
          <w:sz w:val="19"/>
          <w:szCs w:val="19"/>
        </w:rPr>
        <w:t xml:space="preserve">2013 second quarter results </w:t>
      </w:r>
      <w:r w:rsidR="00E75F75">
        <w:rPr>
          <w:rFonts w:ascii="Arial" w:hAnsi="Arial" w:cs="Arial"/>
          <w:sz w:val="19"/>
          <w:szCs w:val="19"/>
        </w:rPr>
        <w:t xml:space="preserve">show </w:t>
      </w:r>
      <w:r w:rsidR="00E06C85" w:rsidRPr="00AB2D09">
        <w:rPr>
          <w:rFonts w:ascii="Arial" w:hAnsi="Arial" w:cs="Arial"/>
          <w:sz w:val="19"/>
          <w:szCs w:val="19"/>
        </w:rPr>
        <w:t>a decline</w:t>
      </w:r>
      <w:r w:rsidR="0022400D">
        <w:rPr>
          <w:rFonts w:ascii="Arial" w:hAnsi="Arial" w:cs="Arial"/>
          <w:sz w:val="19"/>
          <w:szCs w:val="19"/>
        </w:rPr>
        <w:t xml:space="preserve"> in a</w:t>
      </w:r>
      <w:r w:rsidRPr="00AB2D09">
        <w:rPr>
          <w:rFonts w:ascii="Arial" w:hAnsi="Arial" w:cs="Arial"/>
          <w:sz w:val="19"/>
          <w:szCs w:val="19"/>
        </w:rPr>
        <w:t xml:space="preserve">pprenticeship training in Victoria that </w:t>
      </w:r>
      <w:r w:rsidR="004C7A16" w:rsidRPr="00AB2D09">
        <w:rPr>
          <w:rFonts w:ascii="Arial" w:hAnsi="Arial" w:cs="Arial"/>
          <w:sz w:val="19"/>
          <w:szCs w:val="19"/>
        </w:rPr>
        <w:t>is</w:t>
      </w:r>
      <w:r w:rsidRPr="00AB2D09">
        <w:rPr>
          <w:rFonts w:ascii="Arial" w:hAnsi="Arial" w:cs="Arial"/>
          <w:sz w:val="19"/>
          <w:szCs w:val="19"/>
        </w:rPr>
        <w:t xml:space="preserve"> </w:t>
      </w:r>
      <w:r w:rsidR="00E06C85" w:rsidRPr="00AB2D09">
        <w:rPr>
          <w:rFonts w:ascii="Arial" w:hAnsi="Arial" w:cs="Arial"/>
          <w:sz w:val="19"/>
          <w:szCs w:val="19"/>
        </w:rPr>
        <w:t>consistent with national trends. While the level of Government subsidy levels for Apprenticeship training has been maintained or increased, dampened business conditions impacting on the construction industry in particul</w:t>
      </w:r>
      <w:r w:rsidR="0022400D">
        <w:rPr>
          <w:rFonts w:ascii="Arial" w:hAnsi="Arial" w:cs="Arial"/>
          <w:sz w:val="19"/>
          <w:szCs w:val="19"/>
        </w:rPr>
        <w:t>ar, has impacted on demand for a</w:t>
      </w:r>
      <w:r w:rsidR="00E06C85" w:rsidRPr="00AB2D09">
        <w:rPr>
          <w:rFonts w:ascii="Arial" w:hAnsi="Arial" w:cs="Arial"/>
          <w:sz w:val="19"/>
          <w:szCs w:val="19"/>
        </w:rPr>
        <w:t>pprentices.</w:t>
      </w:r>
    </w:p>
    <w:p w:rsidR="009B51C6" w:rsidRPr="00E90E8A" w:rsidRDefault="00134B3D" w:rsidP="00E90E8A">
      <w:pPr>
        <w:spacing w:after="120"/>
        <w:rPr>
          <w:rFonts w:cs="Arial"/>
          <w:szCs w:val="19"/>
        </w:rPr>
      </w:pPr>
      <w:r w:rsidRPr="00E90E8A">
        <w:rPr>
          <w:rFonts w:cs="Arial"/>
          <w:szCs w:val="19"/>
        </w:rPr>
        <w:t>The Q2 2013 results show substantial growth continuing for government subsidised Foundation courses. There were 96,100 government subsidised enrolments in Foundation courses in Q2 2013, this was up by 37 per cent on Q</w:t>
      </w:r>
      <w:r w:rsidR="00D06F82">
        <w:rPr>
          <w:rFonts w:cs="Arial"/>
          <w:szCs w:val="19"/>
        </w:rPr>
        <w:t>2</w:t>
      </w:r>
      <w:r w:rsidRPr="00E90E8A">
        <w:rPr>
          <w:rFonts w:cs="Arial"/>
          <w:szCs w:val="19"/>
        </w:rPr>
        <w:t xml:space="preserve"> 2012 and 136 per cent in Q2 2011.</w:t>
      </w:r>
    </w:p>
    <w:p w:rsidR="0033099B" w:rsidRDefault="0033099B" w:rsidP="00C95D0B">
      <w:pPr>
        <w:spacing w:after="0" w:line="240" w:lineRule="auto"/>
        <w:jc w:val="left"/>
        <w:rPr>
          <w:rFonts w:cs="Arial"/>
        </w:rPr>
      </w:pPr>
      <w:r w:rsidRPr="0033099B">
        <w:rPr>
          <w:rFonts w:cs="Arial"/>
        </w:rPr>
        <w:t xml:space="preserve">The adjustment of training demand since the introduction of subsidy bands in July </w:t>
      </w:r>
      <w:r w:rsidR="009945B0" w:rsidRPr="0033099B">
        <w:rPr>
          <w:rFonts w:cs="Arial"/>
        </w:rPr>
        <w:t>2012</w:t>
      </w:r>
      <w:r w:rsidRPr="0033099B">
        <w:rPr>
          <w:rFonts w:cs="Arial"/>
        </w:rPr>
        <w:t xml:space="preserve"> is further supported by Government reforms designed to provide </w:t>
      </w:r>
      <w:r w:rsidR="00D62444">
        <w:rPr>
          <w:rFonts w:cs="Arial"/>
        </w:rPr>
        <w:t>V</w:t>
      </w:r>
      <w:r w:rsidR="009945B0">
        <w:rPr>
          <w:rFonts w:cs="Arial"/>
        </w:rPr>
        <w:t>ocational Education and Training (VET)</w:t>
      </w:r>
      <w:r w:rsidR="00D62444">
        <w:rPr>
          <w:rFonts w:cs="Arial"/>
        </w:rPr>
        <w:t xml:space="preserve"> </w:t>
      </w:r>
      <w:r w:rsidRPr="0033099B">
        <w:rPr>
          <w:rFonts w:cs="Arial"/>
        </w:rPr>
        <w:t>customers with better information about employment options and related training requirements and providing training providers, industry groups and regional stakeholders with timely information about industry skill requirements and training market responses. The impact of these reforms in particular will deepen as V</w:t>
      </w:r>
      <w:r w:rsidR="009945B0">
        <w:rPr>
          <w:rFonts w:cs="Arial"/>
        </w:rPr>
        <w:t>E</w:t>
      </w:r>
      <w:r w:rsidRPr="0033099B">
        <w:rPr>
          <w:rFonts w:cs="Arial"/>
        </w:rPr>
        <w:t>T customers, RTOs and stakeholders of the training market continue to respond to the market signals that underpin the R</w:t>
      </w:r>
      <w:r w:rsidR="009945B0">
        <w:rPr>
          <w:rFonts w:cs="Arial"/>
        </w:rPr>
        <w:t xml:space="preserve">VT </w:t>
      </w:r>
      <w:r w:rsidRPr="0033099B">
        <w:rPr>
          <w:rFonts w:cs="Arial"/>
        </w:rPr>
        <w:t>policy settings.</w:t>
      </w:r>
    </w:p>
    <w:p w:rsidR="004C7A16" w:rsidRDefault="004C7A16">
      <w:pPr>
        <w:spacing w:after="0" w:line="240" w:lineRule="auto"/>
        <w:jc w:val="left"/>
      </w:pPr>
    </w:p>
    <w:p w:rsidR="00134B3D" w:rsidRDefault="00134B3D">
      <w:pPr>
        <w:spacing w:after="0" w:line="240" w:lineRule="auto"/>
        <w:jc w:val="left"/>
        <w:rPr>
          <w:rFonts w:cs="Arial"/>
          <w:bCs/>
          <w:iCs/>
          <w:color w:val="76923C" w:themeColor="accent3" w:themeShade="BF"/>
          <w:sz w:val="28"/>
          <w:szCs w:val="28"/>
        </w:rPr>
      </w:pPr>
      <w:bookmarkStart w:id="26" w:name="_Ref338067046"/>
      <w:bookmarkStart w:id="27" w:name="_Toc349899123"/>
      <w:bookmarkStart w:id="28" w:name="_Ref350270707"/>
      <w:bookmarkStart w:id="29" w:name="_Ref350271386"/>
      <w:r>
        <w:br w:type="page"/>
      </w:r>
    </w:p>
    <w:p w:rsidR="00016659" w:rsidRPr="001F29E3" w:rsidRDefault="00016659" w:rsidP="00A9260A">
      <w:pPr>
        <w:pStyle w:val="Heading2"/>
      </w:pPr>
      <w:bookmarkStart w:id="30" w:name="_Toc366588108"/>
      <w:r w:rsidRPr="001F29E3">
        <w:lastRenderedPageBreak/>
        <w:t>The Policy Context of Vocational Training</w:t>
      </w:r>
      <w:r w:rsidR="00C20C8B">
        <w:t xml:space="preserve"> in Victoria</w:t>
      </w:r>
      <w:bookmarkEnd w:id="30"/>
    </w:p>
    <w:p w:rsidR="00016659" w:rsidRPr="001F29E3" w:rsidRDefault="00016659" w:rsidP="00016659">
      <w:pPr>
        <w:spacing w:line="240" w:lineRule="auto"/>
        <w:rPr>
          <w:rFonts w:cs="Arial"/>
          <w:bCs/>
          <w:iCs/>
        </w:rPr>
      </w:pPr>
    </w:p>
    <w:p w:rsidR="00C65FDE" w:rsidRPr="00F271F7" w:rsidRDefault="00B574F2" w:rsidP="00F271F7">
      <w:pPr>
        <w:pStyle w:val="Heading3"/>
      </w:pPr>
      <w:r>
        <w:t>Reforms to Vocational Training</w:t>
      </w:r>
    </w:p>
    <w:p w:rsidR="004C7A16" w:rsidRPr="00681D4F" w:rsidRDefault="004C7A16" w:rsidP="004C7A16">
      <w:pPr>
        <w:spacing w:line="240" w:lineRule="auto"/>
        <w:rPr>
          <w:rFonts w:cs="Arial"/>
          <w:bCs/>
          <w:iCs/>
        </w:rPr>
      </w:pPr>
      <w:r w:rsidRPr="00E90DC6">
        <w:rPr>
          <w:rFonts w:cs="Arial"/>
          <w:bCs/>
          <w:iCs/>
        </w:rPr>
        <w:t xml:space="preserve">The </w:t>
      </w:r>
      <w:r>
        <w:rPr>
          <w:rFonts w:cs="Arial"/>
          <w:bCs/>
          <w:iCs/>
        </w:rPr>
        <w:t xml:space="preserve">introduction of the </w:t>
      </w:r>
      <w:r w:rsidRPr="009945B0">
        <w:rPr>
          <w:rFonts w:cs="Arial"/>
          <w:bCs/>
          <w:i/>
          <w:iCs/>
        </w:rPr>
        <w:t>Victorian Training Guarantee</w:t>
      </w:r>
      <w:r>
        <w:rPr>
          <w:rFonts w:cs="Arial"/>
          <w:bCs/>
          <w:iCs/>
        </w:rPr>
        <w:t xml:space="preserve"> (</w:t>
      </w:r>
      <w:r w:rsidRPr="00E90DC6">
        <w:rPr>
          <w:rFonts w:cs="Arial"/>
          <w:bCs/>
          <w:iCs/>
        </w:rPr>
        <w:t>VTG</w:t>
      </w:r>
      <w:r>
        <w:rPr>
          <w:rFonts w:cs="Arial"/>
          <w:bCs/>
          <w:iCs/>
        </w:rPr>
        <w:t>) in 200</w:t>
      </w:r>
      <w:r w:rsidR="002C4D3A">
        <w:rPr>
          <w:rFonts w:cs="Arial"/>
          <w:bCs/>
          <w:iCs/>
        </w:rPr>
        <w:t>8</w:t>
      </w:r>
      <w:r w:rsidRPr="00E90DC6">
        <w:rPr>
          <w:rFonts w:cs="Arial"/>
          <w:bCs/>
          <w:iCs/>
        </w:rPr>
        <w:t xml:space="preserve"> resulted in s</w:t>
      </w:r>
      <w:r w:rsidR="00134B3D">
        <w:rPr>
          <w:rFonts w:cs="Arial"/>
          <w:bCs/>
          <w:iCs/>
        </w:rPr>
        <w:t>ignificant growth in government subsidised</w:t>
      </w:r>
      <w:r w:rsidRPr="00E90DC6">
        <w:rPr>
          <w:rFonts w:cs="Arial"/>
          <w:bCs/>
          <w:iCs/>
        </w:rPr>
        <w:t xml:space="preserve"> activity</w:t>
      </w:r>
      <w:r>
        <w:rPr>
          <w:rFonts w:cs="Arial"/>
          <w:bCs/>
          <w:iCs/>
        </w:rPr>
        <w:t xml:space="preserve">; however this was not necessarily always in </w:t>
      </w:r>
      <w:r w:rsidRPr="00E90DC6">
        <w:rPr>
          <w:rFonts w:cs="Arial"/>
          <w:bCs/>
          <w:iCs/>
        </w:rPr>
        <w:t xml:space="preserve">areas of industry and economic need. In response, the Victorian Government released the </w:t>
      </w:r>
      <w:r w:rsidRPr="00E90DC6">
        <w:rPr>
          <w:rFonts w:cs="Arial"/>
          <w:bCs/>
          <w:i/>
          <w:iCs/>
        </w:rPr>
        <w:t xml:space="preserve">Refocusing Vocational Training </w:t>
      </w:r>
      <w:r w:rsidR="009945B0">
        <w:rPr>
          <w:rFonts w:cs="Arial"/>
          <w:bCs/>
          <w:i/>
          <w:iCs/>
        </w:rPr>
        <w:t xml:space="preserve">(RVT) </w:t>
      </w:r>
      <w:r w:rsidRPr="00E90DC6">
        <w:rPr>
          <w:rFonts w:cs="Arial"/>
          <w:bCs/>
          <w:i/>
          <w:iCs/>
        </w:rPr>
        <w:t>in Victoria</w:t>
      </w:r>
      <w:r w:rsidRPr="00E90DC6">
        <w:rPr>
          <w:rFonts w:cs="Arial"/>
          <w:bCs/>
          <w:iCs/>
        </w:rPr>
        <w:t xml:space="preserve"> reform package in May 2012. The individual entitlement to a subsidised training place was retained and strengthened to ensure that businesses and students continued to be able to choose what and where they studied. The reform package also made sure that the cost of access remained sustainable and subsidies focused on areas of greatest public value. The public value of each course is assessed on the basis of its value to the economy in terms of jobs or productivity and the extent to which an incentive is needed to stimulate delivery of training by providers and participation by enough students to meet industry needs.</w:t>
      </w:r>
    </w:p>
    <w:p w:rsidR="00C65FDE" w:rsidRDefault="00C65FDE" w:rsidP="00C65FDE">
      <w:pPr>
        <w:spacing w:line="240" w:lineRule="auto"/>
        <w:rPr>
          <w:rFonts w:cs="Arial"/>
          <w:bCs/>
          <w:iCs/>
        </w:rPr>
      </w:pPr>
      <w:r w:rsidRPr="00C65FDE">
        <w:rPr>
          <w:rFonts w:cs="Arial"/>
          <w:bCs/>
          <w:iCs/>
        </w:rPr>
        <w:t>The movement of training uptake in response to subsidy bands introduced in July 2012 is further supported by Government reforms designed to provide V</w:t>
      </w:r>
      <w:r w:rsidR="00B8093D">
        <w:rPr>
          <w:rFonts w:cs="Arial"/>
          <w:bCs/>
          <w:iCs/>
        </w:rPr>
        <w:t xml:space="preserve">ocational </w:t>
      </w:r>
      <w:r w:rsidR="009945B0">
        <w:rPr>
          <w:rFonts w:cs="Arial"/>
          <w:bCs/>
          <w:iCs/>
        </w:rPr>
        <w:t xml:space="preserve">Education and </w:t>
      </w:r>
      <w:r w:rsidR="00B8093D">
        <w:rPr>
          <w:rFonts w:cs="Arial"/>
          <w:bCs/>
          <w:iCs/>
        </w:rPr>
        <w:t>Training (V</w:t>
      </w:r>
      <w:r w:rsidR="009945B0">
        <w:rPr>
          <w:rFonts w:cs="Arial"/>
          <w:bCs/>
          <w:iCs/>
        </w:rPr>
        <w:t>E</w:t>
      </w:r>
      <w:r w:rsidR="00B8093D">
        <w:rPr>
          <w:rFonts w:cs="Arial"/>
          <w:bCs/>
          <w:iCs/>
        </w:rPr>
        <w:t>T)</w:t>
      </w:r>
      <w:r w:rsidRPr="00C65FDE">
        <w:rPr>
          <w:rFonts w:cs="Arial"/>
          <w:bCs/>
          <w:iCs/>
        </w:rPr>
        <w:t xml:space="preserve"> customers with better information about employment options and related training requirements and providing training providers, industry groups and regional stakeholders with timely information about industry skill requirements and training market responses. The impact of these reforms in particular will deepen as V</w:t>
      </w:r>
      <w:r w:rsidR="009945B0">
        <w:rPr>
          <w:rFonts w:cs="Arial"/>
          <w:bCs/>
          <w:iCs/>
        </w:rPr>
        <w:t>E</w:t>
      </w:r>
      <w:r w:rsidRPr="00C65FDE">
        <w:rPr>
          <w:rFonts w:cs="Arial"/>
          <w:bCs/>
          <w:iCs/>
        </w:rPr>
        <w:t xml:space="preserve">T customers, RTOs and stakeholders of the training market continue to respond to the market signals that underpin the RVT policy settings. </w:t>
      </w:r>
    </w:p>
    <w:p w:rsidR="00F271F7" w:rsidRPr="00F271F7" w:rsidRDefault="00F271F7" w:rsidP="00F271F7">
      <w:pPr>
        <w:pStyle w:val="Heading3"/>
      </w:pPr>
      <w:r w:rsidRPr="00F271F7">
        <w:t>Strengthening of Contract Management and Market Monitoring</w:t>
      </w:r>
    </w:p>
    <w:p w:rsidR="005908C5" w:rsidRPr="00E90DC6" w:rsidRDefault="005908C5" w:rsidP="005908C5">
      <w:pPr>
        <w:spacing w:line="240" w:lineRule="auto"/>
        <w:rPr>
          <w:rFonts w:cs="Arial"/>
          <w:bCs/>
          <w:iCs/>
        </w:rPr>
      </w:pPr>
      <w:r w:rsidRPr="00E90DC6">
        <w:rPr>
          <w:rFonts w:cs="Arial"/>
          <w:bCs/>
          <w:iCs/>
        </w:rPr>
        <w:t xml:space="preserve">The reform package has led to stronger contract management. Providers seeking to offer government-subsidised training have to meet tough contract standards and there is now a framework which sets out expectations of training providers’ behaviour and contract compliance in a single document. The Victorian Registration and Qualifications Authority </w:t>
      </w:r>
      <w:proofErr w:type="gramStart"/>
      <w:r w:rsidRPr="00E90DC6">
        <w:rPr>
          <w:rFonts w:cs="Arial"/>
          <w:bCs/>
          <w:iCs/>
        </w:rPr>
        <w:t>undertakes</w:t>
      </w:r>
      <w:proofErr w:type="gramEnd"/>
      <w:r w:rsidRPr="00E90DC6">
        <w:rPr>
          <w:rFonts w:cs="Arial"/>
          <w:bCs/>
          <w:iCs/>
        </w:rPr>
        <w:t xml:space="preserve"> inspection and enforcement of standards and has strong regulatory powers.</w:t>
      </w:r>
    </w:p>
    <w:p w:rsidR="005908C5" w:rsidRDefault="005B51DD" w:rsidP="0007240D">
      <w:pPr>
        <w:spacing w:line="240" w:lineRule="auto"/>
        <w:rPr>
          <w:rFonts w:cs="Arial"/>
          <w:bCs/>
          <w:iCs/>
        </w:rPr>
      </w:pPr>
      <w:r w:rsidRPr="00E90DC6">
        <w:rPr>
          <w:rFonts w:cs="Arial"/>
          <w:bCs/>
          <w:iCs/>
        </w:rPr>
        <w:t>Strong performance management and quality assurance outcomes are being delivered by the Market Monitoring Unit which was established as part of the reforms. The Unit is monitoring the efficiency, effectiveness and integrity of the Government’s subsidised training market.</w:t>
      </w:r>
    </w:p>
    <w:p w:rsidR="005908C5" w:rsidRPr="005908C5" w:rsidRDefault="005908C5" w:rsidP="005908C5">
      <w:pPr>
        <w:pStyle w:val="Heading3"/>
      </w:pPr>
      <w:r w:rsidRPr="005908C5">
        <w:t>New Opportunities for Industry Leadership</w:t>
      </w:r>
    </w:p>
    <w:p w:rsidR="0007240D" w:rsidRDefault="009B40E0" w:rsidP="0007240D">
      <w:pPr>
        <w:spacing w:line="240" w:lineRule="auto"/>
        <w:rPr>
          <w:rFonts w:cs="Arial"/>
          <w:bCs/>
          <w:iCs/>
        </w:rPr>
      </w:pPr>
      <w:r w:rsidRPr="00E90DC6">
        <w:rPr>
          <w:rFonts w:cs="Arial"/>
          <w:bCs/>
          <w:iCs/>
        </w:rPr>
        <w:t xml:space="preserve">A new Industry Participation Model has been </w:t>
      </w:r>
      <w:r w:rsidR="007936E9">
        <w:rPr>
          <w:rFonts w:cs="Arial"/>
          <w:bCs/>
          <w:iCs/>
        </w:rPr>
        <w:t>implemented</w:t>
      </w:r>
      <w:r w:rsidRPr="00E90DC6">
        <w:rPr>
          <w:rFonts w:cs="Arial"/>
          <w:bCs/>
          <w:iCs/>
        </w:rPr>
        <w:t xml:space="preserve">, which enables direct engagement with industry to ensure the training market is aligned with changes in industry need. </w:t>
      </w:r>
      <w:r w:rsidR="0007240D" w:rsidRPr="0007240D">
        <w:rPr>
          <w:rFonts w:cs="Arial"/>
          <w:bCs/>
          <w:iCs/>
        </w:rPr>
        <w:t xml:space="preserve">The Industry Participation Model is specifically designed to strengthen the role of industry in shaping training market products, services and outcomes. </w:t>
      </w:r>
      <w:r w:rsidR="00A54E5D">
        <w:rPr>
          <w:rFonts w:cs="Arial"/>
          <w:bCs/>
          <w:iCs/>
        </w:rPr>
        <w:t>The Department</w:t>
      </w:r>
      <w:r w:rsidR="0007240D" w:rsidRPr="0007240D">
        <w:rPr>
          <w:rFonts w:cs="Arial"/>
          <w:bCs/>
          <w:iCs/>
        </w:rPr>
        <w:t xml:space="preserve"> provides industry bodies and employers with channels and tools to communicate their needs and levels of satisfaction to RTOs, peers, potential </w:t>
      </w:r>
      <w:r w:rsidR="002C4D3A">
        <w:rPr>
          <w:rFonts w:cs="Arial"/>
          <w:bCs/>
          <w:iCs/>
        </w:rPr>
        <w:t>VET</w:t>
      </w:r>
      <w:r w:rsidR="0007240D" w:rsidRPr="0007240D">
        <w:rPr>
          <w:rFonts w:cs="Arial"/>
          <w:bCs/>
          <w:iCs/>
        </w:rPr>
        <w:t xml:space="preserve"> students and Government.</w:t>
      </w:r>
    </w:p>
    <w:p w:rsidR="005B51DD" w:rsidRPr="00E90DC6" w:rsidRDefault="005B51DD" w:rsidP="005B51DD">
      <w:pPr>
        <w:spacing w:line="240" w:lineRule="auto"/>
        <w:rPr>
          <w:rFonts w:cs="Arial"/>
          <w:bCs/>
          <w:iCs/>
        </w:rPr>
      </w:pPr>
      <w:r w:rsidRPr="00E90DC6">
        <w:rPr>
          <w:rFonts w:cs="Arial"/>
          <w:bCs/>
          <w:iCs/>
        </w:rPr>
        <w:t xml:space="preserve">The </w:t>
      </w:r>
      <w:r w:rsidRPr="00E90DC6">
        <w:rPr>
          <w:rFonts w:cs="Arial"/>
          <w:bCs/>
          <w:i/>
          <w:iCs/>
        </w:rPr>
        <w:t>Victorian Skills Gateway</w:t>
      </w:r>
      <w:r w:rsidRPr="00E90DC6">
        <w:rPr>
          <w:rFonts w:cs="Arial"/>
          <w:bCs/>
          <w:iCs/>
        </w:rPr>
        <w:t xml:space="preserve"> website provides high quality accessible information so </w:t>
      </w:r>
      <w:r>
        <w:rPr>
          <w:rFonts w:cs="Arial"/>
          <w:bCs/>
          <w:iCs/>
        </w:rPr>
        <w:t>potential students, employers and industry group</w:t>
      </w:r>
      <w:r w:rsidRPr="00E90DC6">
        <w:rPr>
          <w:rFonts w:cs="Arial"/>
          <w:bCs/>
          <w:iCs/>
        </w:rPr>
        <w:t xml:space="preserve"> can make informed decisions about their training choices. The website includes advice about courses, training providers, possible employment opportunities, and government assistance with the cost of training.</w:t>
      </w:r>
    </w:p>
    <w:p w:rsidR="0007240D" w:rsidRPr="0007240D" w:rsidRDefault="00A54E5D" w:rsidP="0007240D">
      <w:pPr>
        <w:spacing w:line="240" w:lineRule="auto"/>
        <w:rPr>
          <w:rFonts w:cs="Arial"/>
          <w:bCs/>
          <w:iCs/>
        </w:rPr>
      </w:pPr>
      <w:r>
        <w:rPr>
          <w:rFonts w:cs="Arial"/>
          <w:bCs/>
          <w:iCs/>
        </w:rPr>
        <w:t>The Department</w:t>
      </w:r>
      <w:r w:rsidR="0007240D" w:rsidRPr="0007240D">
        <w:rPr>
          <w:rFonts w:cs="Arial"/>
          <w:bCs/>
          <w:iCs/>
        </w:rPr>
        <w:t xml:space="preserve"> provide the following opportunities to speak directly to Government about what is and isn’t working in the training system and shape sustainable solutions. </w:t>
      </w:r>
    </w:p>
    <w:p w:rsidR="0007240D" w:rsidRPr="009B74C5" w:rsidRDefault="0007240D" w:rsidP="009B74C5">
      <w:pPr>
        <w:pStyle w:val="ListParagraph"/>
        <w:numPr>
          <w:ilvl w:val="0"/>
          <w:numId w:val="30"/>
        </w:numPr>
        <w:spacing w:after="84" w:line="220" w:lineRule="exact"/>
        <w:ind w:left="1060" w:hanging="703"/>
        <w:rPr>
          <w:rFonts w:ascii="Arial" w:hAnsi="Arial" w:cs="Arial"/>
          <w:bCs/>
          <w:iCs/>
          <w:sz w:val="19"/>
          <w:szCs w:val="19"/>
        </w:rPr>
      </w:pPr>
      <w:r w:rsidRPr="009B74C5">
        <w:rPr>
          <w:rFonts w:ascii="Arial" w:hAnsi="Arial" w:cs="Arial"/>
          <w:bCs/>
          <w:iCs/>
          <w:sz w:val="19"/>
          <w:szCs w:val="19"/>
        </w:rPr>
        <w:t>Industry Roundtables – Monthly industry roundtables with the Min</w:t>
      </w:r>
      <w:r w:rsidR="002248DA">
        <w:rPr>
          <w:rFonts w:ascii="Arial" w:hAnsi="Arial" w:cs="Arial"/>
          <w:bCs/>
          <w:iCs/>
          <w:sz w:val="19"/>
          <w:szCs w:val="19"/>
        </w:rPr>
        <w:t xml:space="preserve">ister to discuss the needs of </w:t>
      </w:r>
      <w:r w:rsidRPr="009B74C5">
        <w:rPr>
          <w:rFonts w:ascii="Arial" w:hAnsi="Arial" w:cs="Arial"/>
          <w:bCs/>
          <w:iCs/>
          <w:sz w:val="19"/>
          <w:szCs w:val="19"/>
        </w:rPr>
        <w:t xml:space="preserve">specific industries and or regions. </w:t>
      </w:r>
    </w:p>
    <w:p w:rsidR="0007240D" w:rsidRPr="009B74C5" w:rsidRDefault="0007240D" w:rsidP="009B74C5">
      <w:pPr>
        <w:pStyle w:val="ListParagraph"/>
        <w:numPr>
          <w:ilvl w:val="0"/>
          <w:numId w:val="30"/>
        </w:numPr>
        <w:spacing w:after="84" w:line="220" w:lineRule="exact"/>
        <w:ind w:left="1060" w:hanging="703"/>
        <w:rPr>
          <w:rFonts w:ascii="Arial" w:hAnsi="Arial" w:cs="Arial"/>
          <w:bCs/>
          <w:iCs/>
          <w:sz w:val="19"/>
          <w:szCs w:val="19"/>
        </w:rPr>
      </w:pPr>
      <w:r w:rsidRPr="009B74C5">
        <w:rPr>
          <w:rFonts w:ascii="Arial" w:hAnsi="Arial" w:cs="Arial"/>
          <w:bCs/>
          <w:iCs/>
          <w:sz w:val="19"/>
          <w:szCs w:val="19"/>
        </w:rPr>
        <w:t>Industry Skills Consultative Committee (ISCC) – 12 senior members of industry, co-chaired by the Minister and an industry member. The ISCC meets 3 – 4 times a year to identify and address systemic issues hampering the responsiveness of the V</w:t>
      </w:r>
      <w:r w:rsidR="002C4D3A">
        <w:rPr>
          <w:rFonts w:ascii="Arial" w:hAnsi="Arial" w:cs="Arial"/>
          <w:bCs/>
          <w:iCs/>
          <w:sz w:val="19"/>
          <w:szCs w:val="19"/>
        </w:rPr>
        <w:t>E</w:t>
      </w:r>
      <w:r w:rsidRPr="009B74C5">
        <w:rPr>
          <w:rFonts w:ascii="Arial" w:hAnsi="Arial" w:cs="Arial"/>
          <w:bCs/>
          <w:iCs/>
          <w:sz w:val="19"/>
          <w:szCs w:val="19"/>
        </w:rPr>
        <w:t xml:space="preserve">T system.  </w:t>
      </w:r>
    </w:p>
    <w:p w:rsidR="0007240D" w:rsidRPr="009B74C5" w:rsidRDefault="0007240D" w:rsidP="009B74C5">
      <w:pPr>
        <w:pStyle w:val="ListParagraph"/>
        <w:numPr>
          <w:ilvl w:val="0"/>
          <w:numId w:val="30"/>
        </w:numPr>
        <w:spacing w:after="84" w:line="220" w:lineRule="exact"/>
        <w:ind w:left="1060" w:hanging="703"/>
        <w:rPr>
          <w:rFonts w:ascii="Arial" w:hAnsi="Arial" w:cs="Arial"/>
          <w:bCs/>
          <w:iCs/>
          <w:sz w:val="19"/>
          <w:szCs w:val="19"/>
        </w:rPr>
      </w:pPr>
      <w:r w:rsidRPr="009B74C5">
        <w:rPr>
          <w:rFonts w:ascii="Arial" w:hAnsi="Arial" w:cs="Arial"/>
          <w:bCs/>
          <w:iCs/>
          <w:sz w:val="19"/>
          <w:szCs w:val="19"/>
        </w:rPr>
        <w:t xml:space="preserve">Issues based ISCC taskforces – the ISCC will auspice issues based taskforces to provide recommendations to Government on appropriate solutions for systemic issues </w:t>
      </w:r>
    </w:p>
    <w:p w:rsidR="0007240D" w:rsidRPr="002248DA" w:rsidRDefault="0007240D" w:rsidP="002248DA">
      <w:pPr>
        <w:pStyle w:val="ListParagraph"/>
        <w:numPr>
          <w:ilvl w:val="0"/>
          <w:numId w:val="30"/>
        </w:numPr>
        <w:spacing w:after="84" w:line="220" w:lineRule="exact"/>
        <w:ind w:left="1060" w:hanging="703"/>
        <w:rPr>
          <w:rFonts w:ascii="Arial" w:hAnsi="Arial" w:cs="Arial"/>
          <w:bCs/>
          <w:iCs/>
          <w:sz w:val="19"/>
          <w:szCs w:val="19"/>
        </w:rPr>
      </w:pPr>
      <w:r w:rsidRPr="009B74C5">
        <w:rPr>
          <w:rFonts w:ascii="Arial" w:hAnsi="Arial" w:cs="Arial"/>
          <w:bCs/>
          <w:iCs/>
          <w:sz w:val="19"/>
          <w:szCs w:val="19"/>
        </w:rPr>
        <w:t xml:space="preserve">DEECD Industry Skills Portfolio </w:t>
      </w:r>
      <w:r w:rsidR="00407CB0" w:rsidRPr="009B74C5">
        <w:rPr>
          <w:rFonts w:ascii="Arial" w:hAnsi="Arial" w:cs="Arial"/>
          <w:bCs/>
          <w:iCs/>
          <w:sz w:val="19"/>
          <w:szCs w:val="19"/>
        </w:rPr>
        <w:t xml:space="preserve">Teams </w:t>
      </w:r>
      <w:r w:rsidRPr="009B74C5">
        <w:rPr>
          <w:rFonts w:ascii="Arial" w:hAnsi="Arial" w:cs="Arial"/>
          <w:bCs/>
          <w:iCs/>
          <w:sz w:val="19"/>
          <w:szCs w:val="19"/>
        </w:rPr>
        <w:t>focus</w:t>
      </w:r>
      <w:r w:rsidR="005D45A1">
        <w:rPr>
          <w:rFonts w:ascii="Arial" w:hAnsi="Arial" w:cs="Arial"/>
          <w:bCs/>
          <w:iCs/>
          <w:sz w:val="19"/>
          <w:szCs w:val="19"/>
        </w:rPr>
        <w:t xml:space="preserve"> on annual </w:t>
      </w:r>
      <w:r w:rsidRPr="009B74C5">
        <w:rPr>
          <w:rFonts w:ascii="Arial" w:hAnsi="Arial" w:cs="Arial"/>
          <w:bCs/>
          <w:iCs/>
          <w:sz w:val="19"/>
          <w:szCs w:val="19"/>
        </w:rPr>
        <w:t>industry/sector</w:t>
      </w:r>
      <w:r w:rsidR="005D45A1">
        <w:rPr>
          <w:rFonts w:ascii="Arial" w:hAnsi="Arial" w:cs="Arial"/>
          <w:bCs/>
          <w:iCs/>
          <w:sz w:val="19"/>
          <w:szCs w:val="19"/>
        </w:rPr>
        <w:t xml:space="preserve"> consultations.</w:t>
      </w:r>
      <w:r w:rsidRPr="002248DA">
        <w:rPr>
          <w:rFonts w:ascii="Arial" w:hAnsi="Arial" w:cs="Arial"/>
          <w:bCs/>
          <w:iCs/>
          <w:sz w:val="19"/>
          <w:szCs w:val="19"/>
        </w:rPr>
        <w:t xml:space="preserve"> </w:t>
      </w:r>
    </w:p>
    <w:p w:rsidR="0007240D" w:rsidRPr="009B74C5" w:rsidRDefault="0007240D" w:rsidP="009B74C5">
      <w:pPr>
        <w:pStyle w:val="ListParagraph"/>
        <w:numPr>
          <w:ilvl w:val="0"/>
          <w:numId w:val="30"/>
        </w:numPr>
        <w:spacing w:after="84" w:line="220" w:lineRule="exact"/>
        <w:ind w:left="1060" w:hanging="703"/>
        <w:rPr>
          <w:rFonts w:ascii="Arial" w:hAnsi="Arial" w:cs="Arial"/>
          <w:bCs/>
          <w:iCs/>
          <w:sz w:val="19"/>
          <w:szCs w:val="19"/>
        </w:rPr>
      </w:pPr>
      <w:r w:rsidRPr="009B74C5">
        <w:rPr>
          <w:rFonts w:ascii="Arial" w:hAnsi="Arial" w:cs="Arial"/>
          <w:bCs/>
          <w:iCs/>
          <w:sz w:val="19"/>
          <w:szCs w:val="19"/>
        </w:rPr>
        <w:t>Regional Market Facilitation Managers –</w:t>
      </w:r>
      <w:r w:rsidR="005D45A1">
        <w:rPr>
          <w:rFonts w:ascii="Arial" w:hAnsi="Arial" w:cs="Arial"/>
          <w:bCs/>
          <w:iCs/>
          <w:sz w:val="19"/>
          <w:szCs w:val="19"/>
        </w:rPr>
        <w:t xml:space="preserve"> ten </w:t>
      </w:r>
      <w:r w:rsidRPr="009B74C5">
        <w:rPr>
          <w:rFonts w:ascii="Arial" w:hAnsi="Arial" w:cs="Arial"/>
          <w:bCs/>
          <w:iCs/>
          <w:sz w:val="19"/>
          <w:szCs w:val="19"/>
        </w:rPr>
        <w:t>located across metropolitan and non-metropolitan Victoria, talking directly to employers and V</w:t>
      </w:r>
      <w:r w:rsidR="002C4D3A">
        <w:rPr>
          <w:rFonts w:ascii="Arial" w:hAnsi="Arial" w:cs="Arial"/>
          <w:bCs/>
          <w:iCs/>
          <w:sz w:val="19"/>
          <w:szCs w:val="19"/>
        </w:rPr>
        <w:t>E</w:t>
      </w:r>
      <w:r w:rsidRPr="009B74C5">
        <w:rPr>
          <w:rFonts w:ascii="Arial" w:hAnsi="Arial" w:cs="Arial"/>
          <w:bCs/>
          <w:iCs/>
          <w:sz w:val="19"/>
          <w:szCs w:val="19"/>
        </w:rPr>
        <w:t xml:space="preserve">T stakeholders in the region to address their training issues and gather intelligence about training needs and system barriers. </w:t>
      </w:r>
    </w:p>
    <w:p w:rsidR="0007240D" w:rsidRPr="009B74C5" w:rsidRDefault="0007240D" w:rsidP="009B74C5">
      <w:pPr>
        <w:pStyle w:val="ListParagraph"/>
        <w:numPr>
          <w:ilvl w:val="0"/>
          <w:numId w:val="30"/>
        </w:numPr>
        <w:spacing w:after="84" w:line="220" w:lineRule="exact"/>
        <w:ind w:left="1060" w:hanging="703"/>
        <w:rPr>
          <w:rFonts w:ascii="Arial" w:hAnsi="Arial" w:cs="Arial"/>
          <w:bCs/>
          <w:iCs/>
          <w:sz w:val="19"/>
          <w:szCs w:val="19"/>
        </w:rPr>
      </w:pPr>
      <w:r w:rsidRPr="009B74C5">
        <w:rPr>
          <w:rFonts w:ascii="Arial" w:hAnsi="Arial" w:cs="Arial"/>
          <w:bCs/>
          <w:iCs/>
          <w:sz w:val="19"/>
          <w:szCs w:val="19"/>
        </w:rPr>
        <w:t>Industry in Transition and Specialist Training Initiative – fund</w:t>
      </w:r>
      <w:r w:rsidR="005D45A1">
        <w:rPr>
          <w:rFonts w:ascii="Arial" w:hAnsi="Arial" w:cs="Arial"/>
          <w:bCs/>
          <w:iCs/>
          <w:sz w:val="19"/>
          <w:szCs w:val="19"/>
        </w:rPr>
        <w:t>s</w:t>
      </w:r>
      <w:r w:rsidRPr="009B74C5">
        <w:rPr>
          <w:rFonts w:ascii="Arial" w:hAnsi="Arial" w:cs="Arial"/>
          <w:bCs/>
          <w:iCs/>
          <w:sz w:val="19"/>
          <w:szCs w:val="19"/>
        </w:rPr>
        <w:t xml:space="preserve"> projects that improve training market responsiveness and outcomes. </w:t>
      </w:r>
    </w:p>
    <w:p w:rsidR="00E71623" w:rsidRDefault="00E71623" w:rsidP="007936E9">
      <w:pPr>
        <w:spacing w:line="240" w:lineRule="auto"/>
        <w:jc w:val="left"/>
        <w:rPr>
          <w:rFonts w:cs="Arial"/>
          <w:bCs/>
          <w:iCs/>
        </w:rPr>
      </w:pPr>
    </w:p>
    <w:p w:rsidR="00E71623" w:rsidRPr="00E71623" w:rsidRDefault="00E71623" w:rsidP="00E71623">
      <w:pPr>
        <w:pStyle w:val="Heading3"/>
      </w:pPr>
      <w:r w:rsidRPr="00E71623">
        <w:lastRenderedPageBreak/>
        <w:t>Modernising TAFE</w:t>
      </w:r>
    </w:p>
    <w:p w:rsidR="007936E9" w:rsidRDefault="007936E9" w:rsidP="007936E9">
      <w:pPr>
        <w:spacing w:line="240" w:lineRule="auto"/>
        <w:jc w:val="left"/>
        <w:rPr>
          <w:rFonts w:cs="Arial"/>
          <w:bCs/>
          <w:iCs/>
        </w:rPr>
      </w:pPr>
      <w:r w:rsidRPr="007936E9">
        <w:rPr>
          <w:rFonts w:cs="Arial"/>
          <w:bCs/>
          <w:iCs/>
        </w:rPr>
        <w:t xml:space="preserve">In addition to a focus on improving outcomes for students and industry, </w:t>
      </w:r>
      <w:r w:rsidR="002E1A81">
        <w:rPr>
          <w:rFonts w:cs="Arial"/>
          <w:bCs/>
          <w:iCs/>
        </w:rPr>
        <w:t>RVT</w:t>
      </w:r>
      <w:r w:rsidRPr="007936E9">
        <w:rPr>
          <w:rFonts w:cs="Arial"/>
          <w:bCs/>
          <w:iCs/>
        </w:rPr>
        <w:t xml:space="preserve"> in Victoria recognised that a modern vocational training system requires a network of </w:t>
      </w:r>
      <w:r>
        <w:rPr>
          <w:rFonts w:cs="Arial"/>
          <w:bCs/>
          <w:iCs/>
        </w:rPr>
        <w:t>w</w:t>
      </w:r>
      <w:r w:rsidRPr="007936E9">
        <w:rPr>
          <w:rFonts w:cs="Arial"/>
          <w:bCs/>
          <w:iCs/>
        </w:rPr>
        <w:t>ell</w:t>
      </w:r>
      <w:r>
        <w:rPr>
          <w:rFonts w:cs="Arial"/>
          <w:bCs/>
          <w:iCs/>
        </w:rPr>
        <w:t>-</w:t>
      </w:r>
      <w:r w:rsidRPr="007936E9">
        <w:rPr>
          <w:rFonts w:cs="Arial"/>
          <w:bCs/>
          <w:iCs/>
        </w:rPr>
        <w:t>functioning and modern TAFE institutes delivering in their areas of strength alongside other providers.</w:t>
      </w:r>
      <w:r>
        <w:rPr>
          <w:rFonts w:cs="Arial"/>
          <w:bCs/>
          <w:iCs/>
        </w:rPr>
        <w:t xml:space="preserve"> </w:t>
      </w:r>
      <w:r w:rsidRPr="007936E9">
        <w:rPr>
          <w:rFonts w:cs="Arial"/>
          <w:bCs/>
          <w:iCs/>
        </w:rPr>
        <w:t xml:space="preserve">As part of the </w:t>
      </w:r>
      <w:r w:rsidR="00E75F75">
        <w:rPr>
          <w:rFonts w:cs="Arial"/>
          <w:bCs/>
          <w:iCs/>
        </w:rPr>
        <w:t>RVT</w:t>
      </w:r>
      <w:r w:rsidRPr="007936E9">
        <w:rPr>
          <w:rFonts w:cs="Arial"/>
          <w:bCs/>
          <w:iCs/>
        </w:rPr>
        <w:t xml:space="preserve"> in Victoria reforms, the Government established an independent TAFE Reform Panel, to advise on ways to foster a strong, sustainable TAFE sector in an open</w:t>
      </w:r>
      <w:r>
        <w:rPr>
          <w:rFonts w:cs="Arial"/>
          <w:bCs/>
          <w:iCs/>
        </w:rPr>
        <w:t xml:space="preserve"> </w:t>
      </w:r>
      <w:r w:rsidRPr="007936E9">
        <w:rPr>
          <w:rFonts w:cs="Arial"/>
          <w:bCs/>
          <w:iCs/>
        </w:rPr>
        <w:t>and competitive training market.</w:t>
      </w:r>
      <w:r>
        <w:rPr>
          <w:rFonts w:cs="Arial"/>
          <w:bCs/>
          <w:iCs/>
        </w:rPr>
        <w:t xml:space="preserve"> </w:t>
      </w:r>
      <w:r w:rsidRPr="007936E9">
        <w:rPr>
          <w:rFonts w:cs="Arial"/>
          <w:bCs/>
          <w:iCs/>
        </w:rPr>
        <w:t>The TAFE Reform Panel’s final report: A Strong and Sustainable Victorian TAFE sector provides findings and 19 recommendations relating specifically to the state’s 14 TAFE institutes and four dual-sector universities.</w:t>
      </w:r>
      <w:r>
        <w:rPr>
          <w:rFonts w:cs="Arial"/>
          <w:bCs/>
          <w:iCs/>
        </w:rPr>
        <w:t xml:space="preserve"> </w:t>
      </w:r>
      <w:r w:rsidRPr="007936E9">
        <w:rPr>
          <w:rFonts w:cs="Arial"/>
          <w:bCs/>
          <w:iCs/>
        </w:rPr>
        <w:t xml:space="preserve">The Government has responded to these recommendations in </w:t>
      </w:r>
      <w:r w:rsidRPr="00E75F75">
        <w:rPr>
          <w:rFonts w:cs="Arial"/>
          <w:bCs/>
          <w:i/>
          <w:iCs/>
        </w:rPr>
        <w:t xml:space="preserve">Next Steps for </w:t>
      </w:r>
      <w:r w:rsidR="00E75F75" w:rsidRPr="00E75F75">
        <w:rPr>
          <w:rFonts w:cs="Arial"/>
          <w:bCs/>
          <w:i/>
          <w:iCs/>
        </w:rPr>
        <w:t>RVT</w:t>
      </w:r>
      <w:r w:rsidRPr="00E75F75">
        <w:rPr>
          <w:rFonts w:cs="Arial"/>
          <w:bCs/>
          <w:i/>
          <w:iCs/>
        </w:rPr>
        <w:t xml:space="preserve"> in Victoria – Supporting a Modern Workforce</w:t>
      </w:r>
      <w:r w:rsidRPr="007936E9">
        <w:rPr>
          <w:rFonts w:cs="Arial"/>
          <w:bCs/>
          <w:iCs/>
        </w:rPr>
        <w:t>.</w:t>
      </w:r>
    </w:p>
    <w:p w:rsidR="00E75F75" w:rsidRDefault="00E75F75" w:rsidP="007936E9">
      <w:pPr>
        <w:spacing w:line="240" w:lineRule="auto"/>
        <w:jc w:val="left"/>
        <w:rPr>
          <w:rFonts w:cs="Arial"/>
          <w:bCs/>
          <w:iCs/>
        </w:rPr>
      </w:pPr>
      <w:r>
        <w:rPr>
          <w:rFonts w:cs="Arial"/>
          <w:bCs/>
          <w:iCs/>
        </w:rPr>
        <w:t>To strengthen Vi</w:t>
      </w:r>
      <w:r w:rsidR="00564A0D">
        <w:rPr>
          <w:rFonts w:cs="Arial"/>
          <w:bCs/>
          <w:iCs/>
        </w:rPr>
        <w:t>ctorian</w:t>
      </w:r>
      <w:r>
        <w:rPr>
          <w:rFonts w:cs="Arial"/>
          <w:bCs/>
          <w:iCs/>
        </w:rPr>
        <w:t xml:space="preserve"> TAFEs and encourage </w:t>
      </w:r>
      <w:r w:rsidR="00564A0D">
        <w:rPr>
          <w:rFonts w:cs="Arial"/>
          <w:bCs/>
          <w:iCs/>
        </w:rPr>
        <w:t>innovation</w:t>
      </w:r>
      <w:r>
        <w:rPr>
          <w:rFonts w:cs="Arial"/>
          <w:bCs/>
          <w:iCs/>
        </w:rPr>
        <w:t xml:space="preserve"> in training delivery, the Government </w:t>
      </w:r>
      <w:r w:rsidR="00564A0D">
        <w:rPr>
          <w:rFonts w:cs="Arial"/>
          <w:bCs/>
          <w:iCs/>
        </w:rPr>
        <w:t>is</w:t>
      </w:r>
      <w:r>
        <w:rPr>
          <w:rFonts w:cs="Arial"/>
          <w:bCs/>
          <w:iCs/>
        </w:rPr>
        <w:t>:</w:t>
      </w:r>
    </w:p>
    <w:p w:rsidR="00E75F75" w:rsidRPr="009A6A74" w:rsidRDefault="00E75F75" w:rsidP="009A6A74">
      <w:pPr>
        <w:pStyle w:val="ListParagraph"/>
        <w:numPr>
          <w:ilvl w:val="0"/>
          <w:numId w:val="30"/>
        </w:numPr>
        <w:spacing w:after="84" w:line="220" w:lineRule="exact"/>
        <w:rPr>
          <w:rFonts w:ascii="Arial" w:hAnsi="Arial" w:cs="Arial"/>
          <w:bCs/>
          <w:iCs/>
          <w:sz w:val="19"/>
          <w:szCs w:val="19"/>
        </w:rPr>
      </w:pPr>
      <w:r w:rsidRPr="009A6A74">
        <w:rPr>
          <w:rFonts w:ascii="Arial" w:hAnsi="Arial" w:cs="Arial"/>
          <w:bCs/>
          <w:iCs/>
          <w:sz w:val="19"/>
          <w:szCs w:val="19"/>
        </w:rPr>
        <w:t>Providing $200 million for business transformation;</w:t>
      </w:r>
    </w:p>
    <w:p w:rsidR="00E75F75" w:rsidRPr="009A6A74" w:rsidRDefault="00E75F75" w:rsidP="009A6A74">
      <w:pPr>
        <w:pStyle w:val="ListParagraph"/>
        <w:numPr>
          <w:ilvl w:val="0"/>
          <w:numId w:val="30"/>
        </w:numPr>
        <w:spacing w:after="84" w:line="220" w:lineRule="exact"/>
        <w:rPr>
          <w:rFonts w:ascii="Arial" w:hAnsi="Arial" w:cs="Arial"/>
          <w:bCs/>
          <w:iCs/>
          <w:sz w:val="19"/>
          <w:szCs w:val="19"/>
        </w:rPr>
      </w:pPr>
      <w:r w:rsidRPr="009A6A74">
        <w:rPr>
          <w:rFonts w:ascii="Arial" w:hAnsi="Arial" w:cs="Arial"/>
          <w:bCs/>
          <w:iCs/>
          <w:sz w:val="19"/>
          <w:szCs w:val="19"/>
        </w:rPr>
        <w:t>Modernising constitutions and commercial objectives;</w:t>
      </w:r>
    </w:p>
    <w:p w:rsidR="00E75F75" w:rsidRPr="009A6A74" w:rsidRDefault="00E75F75" w:rsidP="009A6A74">
      <w:pPr>
        <w:pStyle w:val="ListParagraph"/>
        <w:numPr>
          <w:ilvl w:val="0"/>
          <w:numId w:val="30"/>
        </w:numPr>
        <w:spacing w:after="84" w:line="220" w:lineRule="exact"/>
        <w:rPr>
          <w:rFonts w:ascii="Arial" w:hAnsi="Arial" w:cs="Arial"/>
          <w:bCs/>
          <w:iCs/>
          <w:sz w:val="19"/>
          <w:szCs w:val="19"/>
        </w:rPr>
      </w:pPr>
      <w:r w:rsidRPr="009A6A74">
        <w:rPr>
          <w:rFonts w:ascii="Arial" w:hAnsi="Arial" w:cs="Arial"/>
          <w:bCs/>
          <w:iCs/>
          <w:sz w:val="19"/>
          <w:szCs w:val="19"/>
        </w:rPr>
        <w:t>Giving TAFEs greater control of assets;</w:t>
      </w:r>
    </w:p>
    <w:p w:rsidR="00E75F75" w:rsidRPr="009A6A74" w:rsidRDefault="00E75F75" w:rsidP="009A6A74">
      <w:pPr>
        <w:pStyle w:val="ListParagraph"/>
        <w:numPr>
          <w:ilvl w:val="0"/>
          <w:numId w:val="30"/>
        </w:numPr>
        <w:spacing w:after="84" w:line="220" w:lineRule="exact"/>
        <w:rPr>
          <w:rFonts w:ascii="Arial" w:hAnsi="Arial" w:cs="Arial"/>
          <w:bCs/>
          <w:iCs/>
          <w:sz w:val="19"/>
          <w:szCs w:val="19"/>
        </w:rPr>
      </w:pPr>
      <w:r w:rsidRPr="009A6A74">
        <w:rPr>
          <w:rFonts w:ascii="Arial" w:hAnsi="Arial" w:cs="Arial"/>
          <w:bCs/>
          <w:iCs/>
          <w:sz w:val="19"/>
          <w:szCs w:val="19"/>
        </w:rPr>
        <w:t>Reducing regulatory burden;</w:t>
      </w:r>
    </w:p>
    <w:p w:rsidR="00E75F75" w:rsidRPr="009A6A74" w:rsidRDefault="00E75F75" w:rsidP="009A6A74">
      <w:pPr>
        <w:pStyle w:val="ListParagraph"/>
        <w:numPr>
          <w:ilvl w:val="0"/>
          <w:numId w:val="30"/>
        </w:numPr>
        <w:spacing w:after="84" w:line="220" w:lineRule="exact"/>
        <w:rPr>
          <w:rFonts w:ascii="Arial" w:hAnsi="Arial" w:cs="Arial"/>
          <w:bCs/>
          <w:iCs/>
          <w:sz w:val="19"/>
          <w:szCs w:val="19"/>
        </w:rPr>
      </w:pPr>
      <w:r w:rsidRPr="009A6A74">
        <w:rPr>
          <w:rFonts w:ascii="Arial" w:hAnsi="Arial" w:cs="Arial"/>
          <w:bCs/>
          <w:iCs/>
          <w:sz w:val="19"/>
          <w:szCs w:val="19"/>
        </w:rPr>
        <w:t xml:space="preserve">Allowing TAFEs </w:t>
      </w:r>
      <w:r w:rsidR="00564A0D" w:rsidRPr="009A6A74">
        <w:rPr>
          <w:rFonts w:ascii="Arial" w:hAnsi="Arial" w:cs="Arial"/>
          <w:bCs/>
          <w:iCs/>
          <w:sz w:val="19"/>
          <w:szCs w:val="19"/>
        </w:rPr>
        <w:t>own</w:t>
      </w:r>
      <w:r w:rsidRPr="009A6A74">
        <w:rPr>
          <w:rFonts w:ascii="Arial" w:hAnsi="Arial" w:cs="Arial"/>
          <w:bCs/>
          <w:iCs/>
          <w:sz w:val="19"/>
          <w:szCs w:val="19"/>
        </w:rPr>
        <w:t xml:space="preserve"> control over work pla</w:t>
      </w:r>
      <w:r w:rsidR="00564A0D" w:rsidRPr="009A6A74">
        <w:rPr>
          <w:rFonts w:ascii="Arial" w:hAnsi="Arial" w:cs="Arial"/>
          <w:bCs/>
          <w:iCs/>
          <w:sz w:val="19"/>
          <w:szCs w:val="19"/>
        </w:rPr>
        <w:t>ce relations</w:t>
      </w:r>
      <w:r w:rsidRPr="009A6A74">
        <w:rPr>
          <w:rFonts w:ascii="Arial" w:hAnsi="Arial" w:cs="Arial"/>
          <w:bCs/>
          <w:iCs/>
          <w:sz w:val="19"/>
          <w:szCs w:val="19"/>
        </w:rPr>
        <w:t>;</w:t>
      </w:r>
    </w:p>
    <w:p w:rsidR="009A6A74" w:rsidRPr="009A6A74" w:rsidRDefault="009A6A74" w:rsidP="009A6A74">
      <w:pPr>
        <w:pStyle w:val="ListParagraph"/>
        <w:numPr>
          <w:ilvl w:val="0"/>
          <w:numId w:val="30"/>
        </w:numPr>
        <w:spacing w:after="84" w:line="220" w:lineRule="exact"/>
        <w:rPr>
          <w:rFonts w:ascii="Arial" w:hAnsi="Arial" w:cs="Arial"/>
          <w:bCs/>
          <w:iCs/>
          <w:sz w:val="19"/>
          <w:szCs w:val="19"/>
        </w:rPr>
      </w:pPr>
      <w:r w:rsidRPr="009A6A74">
        <w:rPr>
          <w:rFonts w:ascii="Arial" w:hAnsi="Arial" w:cs="Arial"/>
          <w:bCs/>
          <w:iCs/>
          <w:sz w:val="19"/>
          <w:szCs w:val="19"/>
        </w:rPr>
        <w:t>Removing the restrictions on TAFE being registered as Group Training Organisations;</w:t>
      </w:r>
    </w:p>
    <w:p w:rsidR="009A6A74" w:rsidRPr="009A6A74" w:rsidRDefault="009A6A74" w:rsidP="009A6A74">
      <w:pPr>
        <w:pStyle w:val="ListParagraph"/>
        <w:numPr>
          <w:ilvl w:val="0"/>
          <w:numId w:val="30"/>
        </w:numPr>
        <w:spacing w:after="84" w:line="220" w:lineRule="exact"/>
        <w:rPr>
          <w:rFonts w:ascii="Arial" w:hAnsi="Arial" w:cs="Arial"/>
          <w:bCs/>
          <w:iCs/>
          <w:sz w:val="19"/>
          <w:szCs w:val="19"/>
        </w:rPr>
      </w:pPr>
      <w:r w:rsidRPr="009A6A74">
        <w:rPr>
          <w:rFonts w:ascii="Arial" w:hAnsi="Arial" w:cs="Arial"/>
          <w:bCs/>
          <w:iCs/>
          <w:sz w:val="19"/>
          <w:szCs w:val="19"/>
        </w:rPr>
        <w:t>Reclassifying TAFE dual-sector.</w:t>
      </w:r>
    </w:p>
    <w:p w:rsidR="00E75F75" w:rsidRDefault="00E75F75" w:rsidP="007936E9">
      <w:pPr>
        <w:spacing w:line="240" w:lineRule="auto"/>
        <w:jc w:val="left"/>
        <w:rPr>
          <w:rFonts w:cs="Arial"/>
          <w:bCs/>
          <w:iCs/>
        </w:rPr>
      </w:pPr>
      <w:r>
        <w:rPr>
          <w:rFonts w:cs="Arial"/>
          <w:bCs/>
          <w:iCs/>
        </w:rPr>
        <w:t xml:space="preserve"> </w:t>
      </w:r>
    </w:p>
    <w:p w:rsidR="00381D8D" w:rsidRPr="00AD136B" w:rsidRDefault="00381D8D" w:rsidP="00AD136B">
      <w:pPr>
        <w:pStyle w:val="Heading3"/>
      </w:pPr>
      <w:r w:rsidRPr="00AD136B">
        <w:t>Recent refinements</w:t>
      </w:r>
    </w:p>
    <w:p w:rsidR="00381D8D" w:rsidRDefault="00381D8D" w:rsidP="00381D8D">
      <w:pPr>
        <w:spacing w:line="240" w:lineRule="auto"/>
        <w:rPr>
          <w:rFonts w:cs="Arial"/>
          <w:bCs/>
          <w:iCs/>
        </w:rPr>
      </w:pPr>
      <w:r>
        <w:rPr>
          <w:rFonts w:cs="Arial"/>
          <w:bCs/>
          <w:iCs/>
        </w:rPr>
        <w:t xml:space="preserve">Recently further refinements to subsidy arrangements were made to address some market distortions related to Foundation course and Recognition of Prior Learning. </w:t>
      </w:r>
    </w:p>
    <w:p w:rsidR="00381D8D" w:rsidRPr="00D30E20" w:rsidRDefault="00381D8D" w:rsidP="00381D8D">
      <w:pPr>
        <w:pStyle w:val="ListParagraph"/>
        <w:numPr>
          <w:ilvl w:val="0"/>
          <w:numId w:val="30"/>
        </w:numPr>
        <w:spacing w:after="84" w:line="220" w:lineRule="exact"/>
        <w:rPr>
          <w:rFonts w:ascii="Arial" w:hAnsi="Arial" w:cs="Arial"/>
          <w:bCs/>
          <w:iCs/>
          <w:sz w:val="19"/>
          <w:szCs w:val="19"/>
        </w:rPr>
      </w:pPr>
      <w:r w:rsidRPr="00D30E20">
        <w:rPr>
          <w:rFonts w:ascii="Arial" w:hAnsi="Arial" w:cs="Arial"/>
          <w:bCs/>
          <w:iCs/>
          <w:sz w:val="19"/>
          <w:szCs w:val="19"/>
        </w:rPr>
        <w:t xml:space="preserve">The Government also identified concerns with the consistency and quality of foundation skills training, including insufficient evidence of student need and </w:t>
      </w:r>
      <w:r w:rsidRPr="009E42BA">
        <w:rPr>
          <w:rFonts w:ascii="Arial" w:hAnsi="Arial" w:cs="Arial"/>
          <w:bCs/>
          <w:iCs/>
          <w:sz w:val="19"/>
          <w:szCs w:val="19"/>
        </w:rPr>
        <w:t xml:space="preserve">training providers operating in a manner that was not consistent with the spirit of the policy. </w:t>
      </w:r>
      <w:r w:rsidRPr="00D30E20">
        <w:rPr>
          <w:rFonts w:ascii="Arial" w:hAnsi="Arial" w:cs="Arial"/>
          <w:bCs/>
          <w:iCs/>
          <w:sz w:val="19"/>
          <w:szCs w:val="19"/>
        </w:rPr>
        <w:t xml:space="preserve"> People who already have highly developed literacy, numeracy and workplace skills shouldn’t be put through unnecessary foundation skills courses.  Nor do we want to see learners repeating multiple foundation skills courses, without gaining the skills they need to successfully complete a vocational qualification or progress throug</w:t>
      </w:r>
      <w:r>
        <w:rPr>
          <w:rFonts w:ascii="Arial" w:hAnsi="Arial" w:cs="Arial"/>
          <w:bCs/>
          <w:iCs/>
          <w:sz w:val="19"/>
          <w:szCs w:val="19"/>
        </w:rPr>
        <w:t xml:space="preserve">h their career. </w:t>
      </w:r>
    </w:p>
    <w:p w:rsidR="00381D8D" w:rsidRDefault="00381D8D" w:rsidP="00381D8D">
      <w:pPr>
        <w:pStyle w:val="ListParagraph"/>
        <w:numPr>
          <w:ilvl w:val="0"/>
          <w:numId w:val="30"/>
        </w:numPr>
        <w:spacing w:after="84" w:line="220" w:lineRule="exact"/>
        <w:ind w:left="1060" w:hanging="703"/>
        <w:rPr>
          <w:rFonts w:ascii="Arial" w:hAnsi="Arial" w:cs="Arial"/>
          <w:bCs/>
          <w:iCs/>
          <w:sz w:val="19"/>
          <w:szCs w:val="19"/>
        </w:rPr>
      </w:pPr>
      <w:r w:rsidRPr="00D30E20">
        <w:rPr>
          <w:rFonts w:ascii="Arial" w:hAnsi="Arial" w:cs="Arial"/>
          <w:bCs/>
          <w:iCs/>
          <w:sz w:val="19"/>
          <w:szCs w:val="19"/>
        </w:rPr>
        <w:t xml:space="preserve">Recognition of prior learning helps improve the skill levels of Victorians in a modern economy.  It is an efficient way of targeting training to identified skill gaps. For people working in industries going through significant transitions, it is a way of demonstrating their skills and qualifications to a new employer. However, there was evidence of provider-led growth in the higher subsidy levels in RPL delivery, which attracted a full 100 per cent subsidy, whilst RPL delivery in lower subsidy levels, which receives a 50 per cent subsidy, declined. </w:t>
      </w:r>
    </w:p>
    <w:p w:rsidR="00FC33CB" w:rsidRPr="00FC33CB" w:rsidRDefault="00FC33CB" w:rsidP="00FC33CB">
      <w:pPr>
        <w:spacing w:line="240" w:lineRule="auto"/>
        <w:rPr>
          <w:rFonts w:cs="Arial"/>
          <w:bCs/>
          <w:iCs/>
        </w:rPr>
      </w:pPr>
      <w:r w:rsidRPr="00FC33CB">
        <w:rPr>
          <w:rFonts w:cs="Arial"/>
          <w:bCs/>
          <w:iCs/>
        </w:rPr>
        <w:t>The Government has implemented these changes to better target training support within the existing eligibility rules. It is anticipated that these refinements will dampen the significant growth recently seen in RPL and Foundation training growth</w:t>
      </w:r>
      <w:r w:rsidR="00E06C85">
        <w:rPr>
          <w:rFonts w:cs="Arial"/>
          <w:bCs/>
          <w:iCs/>
        </w:rPr>
        <w:t xml:space="preserve"> in the future</w:t>
      </w:r>
      <w:r w:rsidRPr="00FC33CB">
        <w:rPr>
          <w:rFonts w:cs="Arial"/>
          <w:bCs/>
          <w:iCs/>
        </w:rPr>
        <w:t>.</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6"/>
    <w:bookmarkEnd w:id="27"/>
    <w:bookmarkEnd w:id="28"/>
    <w:bookmarkEnd w:id="29"/>
    <w:p w:rsidR="00F108AA" w:rsidRDefault="00F108AA">
      <w:pPr>
        <w:spacing w:after="0" w:line="240" w:lineRule="auto"/>
        <w:jc w:val="left"/>
        <w:rPr>
          <w:rFonts w:cs="Arial"/>
          <w:color w:val="76923C" w:themeColor="accent3" w:themeShade="BF"/>
          <w:spacing w:val="-12"/>
          <w:sz w:val="46"/>
          <w:szCs w:val="46"/>
        </w:rPr>
      </w:pPr>
      <w:r>
        <w:rPr>
          <w:rFonts w:cs="Arial"/>
          <w:color w:val="76923C" w:themeColor="accent3" w:themeShade="BF"/>
          <w:spacing w:val="-12"/>
          <w:sz w:val="46"/>
          <w:szCs w:val="46"/>
        </w:rPr>
        <w:br w:type="page"/>
      </w:r>
    </w:p>
    <w:p w:rsidR="0027062C" w:rsidRPr="001F29E3" w:rsidRDefault="00AD136B" w:rsidP="00351166">
      <w:pPr>
        <w:rPr>
          <w:rFonts w:cs="Arial"/>
        </w:rPr>
      </w:pPr>
      <w:r w:rsidRPr="00AD136B">
        <w:rPr>
          <w:rFonts w:cs="Arial"/>
          <w:color w:val="76923C" w:themeColor="accent3" w:themeShade="BF"/>
          <w:spacing w:val="-12"/>
          <w:sz w:val="46"/>
          <w:szCs w:val="46"/>
        </w:rPr>
        <w:lastRenderedPageBreak/>
        <w:t>Notes about the data</w:t>
      </w:r>
    </w:p>
    <w:p w:rsidR="00AD136B" w:rsidRDefault="00AD136B" w:rsidP="00351166">
      <w:pPr>
        <w:rPr>
          <w:rFonts w:cs="Arial"/>
        </w:rPr>
      </w:pPr>
    </w:p>
    <w:p w:rsidR="00351166" w:rsidRPr="001F29E3" w:rsidRDefault="00AD136B" w:rsidP="00351166">
      <w:pPr>
        <w:rPr>
          <w:rFonts w:cs="Arial"/>
        </w:rPr>
      </w:pPr>
      <w:r>
        <w:rPr>
          <w:rFonts w:cs="Arial"/>
        </w:rPr>
        <w:t>Th</w:t>
      </w:r>
      <w:r w:rsidR="001C124F">
        <w:rPr>
          <w:rFonts w:cs="Arial"/>
        </w:rPr>
        <w:t>is</w:t>
      </w:r>
      <w:r>
        <w:rPr>
          <w:rFonts w:cs="Arial"/>
        </w:rPr>
        <w:t xml:space="preserve"> Report includes key metrics, such as </w:t>
      </w:r>
      <w:r w:rsidR="00351166" w:rsidRPr="001F29E3">
        <w:rPr>
          <w:rFonts w:cs="Arial"/>
        </w:rPr>
        <w:t>t</w:t>
      </w:r>
      <w:r>
        <w:rPr>
          <w:rFonts w:cs="Arial"/>
        </w:rPr>
        <w:t>r</w:t>
      </w:r>
      <w:r w:rsidR="00351166" w:rsidRPr="001F29E3">
        <w:rPr>
          <w:rFonts w:cs="Arial"/>
        </w:rPr>
        <w:t>aining delivery by funding source, qualification level</w:t>
      </w:r>
      <w:r w:rsidR="00385F2D">
        <w:rPr>
          <w:rFonts w:cs="Arial"/>
        </w:rPr>
        <w:t xml:space="preserve"> and</w:t>
      </w:r>
      <w:r w:rsidR="00351166" w:rsidRPr="001F29E3">
        <w:rPr>
          <w:rFonts w:cs="Arial"/>
        </w:rPr>
        <w:t xml:space="preserve"> </w:t>
      </w:r>
      <w:r w:rsidR="00126689">
        <w:rPr>
          <w:rFonts w:cs="Arial"/>
        </w:rPr>
        <w:t>age of learners</w:t>
      </w:r>
      <w:r w:rsidR="00351166" w:rsidRPr="001F29E3">
        <w:rPr>
          <w:rFonts w:cs="Arial"/>
        </w:rPr>
        <w:t>, higher needs learners and region</w:t>
      </w:r>
      <w:r w:rsidR="00126689">
        <w:rPr>
          <w:rFonts w:cs="Arial"/>
        </w:rPr>
        <w:t>al activity</w:t>
      </w:r>
      <w:r w:rsidR="00351166" w:rsidRPr="001F29E3">
        <w:rPr>
          <w:rFonts w:cs="Arial"/>
        </w:rPr>
        <w:t>. An analysis of the responsiveness of training delivery to specific occupational needs</w:t>
      </w:r>
      <w:r w:rsidR="00126689">
        <w:rPr>
          <w:rFonts w:cs="Arial"/>
        </w:rPr>
        <w:t xml:space="preserve"> and</w:t>
      </w:r>
      <w:r w:rsidR="00351166" w:rsidRPr="001F29E3">
        <w:rPr>
          <w:rFonts w:cs="Arial"/>
        </w:rPr>
        <w:t xml:space="preserve"> industry are also provided.</w:t>
      </w:r>
    </w:p>
    <w:p w:rsidR="00351166" w:rsidRPr="005721E0" w:rsidRDefault="00351166" w:rsidP="00497C8C">
      <w:r w:rsidRPr="001F29E3">
        <w:t xml:space="preserve">The main source of </w:t>
      </w:r>
      <w:r w:rsidR="00221A72" w:rsidRPr="001F29E3">
        <w:t>v</w:t>
      </w:r>
      <w:r w:rsidR="004F0806" w:rsidRPr="001F29E3">
        <w:t xml:space="preserve">ocational </w:t>
      </w:r>
      <w:r w:rsidR="00221A72" w:rsidRPr="001F29E3">
        <w:t>t</w:t>
      </w:r>
      <w:r w:rsidR="004F0806" w:rsidRPr="001F29E3">
        <w:t>raining</w:t>
      </w:r>
      <w:r w:rsidR="00B03850" w:rsidRPr="001F29E3">
        <w:t xml:space="preserve"> </w:t>
      </w:r>
      <w:r w:rsidRPr="001F29E3">
        <w:t>statistics in this publication is the training activity database referred to as S</w:t>
      </w:r>
      <w:r w:rsidR="00530325">
        <w:t xml:space="preserve">kills </w:t>
      </w:r>
      <w:r w:rsidRPr="001F29E3">
        <w:t>V</w:t>
      </w:r>
      <w:r w:rsidR="00530325">
        <w:t xml:space="preserve">ictoria </w:t>
      </w:r>
      <w:r w:rsidRPr="001F29E3">
        <w:t>T</w:t>
      </w:r>
      <w:r w:rsidR="00530325">
        <w:t xml:space="preserve">raining </w:t>
      </w:r>
      <w:r w:rsidRPr="001F29E3">
        <w:t>S</w:t>
      </w:r>
      <w:r w:rsidR="00530325">
        <w:t>ystem (SVTS)</w:t>
      </w:r>
      <w:r w:rsidRPr="001F29E3">
        <w:t>. All government subsidised providers are required to submit their data using SVTS at least once a month in accordance with the Australian Vocational Education &amp; Training Management Information Statistical Standard (A</w:t>
      </w:r>
      <w:r w:rsidR="00B03850" w:rsidRPr="001F29E3">
        <w:t>VET</w:t>
      </w:r>
      <w:r w:rsidRPr="001F29E3">
        <w:t>MISS).</w:t>
      </w:r>
      <w:r w:rsidR="002C240D" w:rsidRPr="001F29E3">
        <w:t xml:space="preserve"> </w:t>
      </w:r>
      <w:r w:rsidRPr="001F29E3">
        <w:t xml:space="preserve">For TAFE </w:t>
      </w:r>
      <w:r w:rsidR="00927DE0" w:rsidRPr="001F29E3">
        <w:t>I</w:t>
      </w:r>
      <w:r w:rsidRPr="001F29E3">
        <w:t xml:space="preserve">nstitutes, there is an additional regulatory requirement that </w:t>
      </w:r>
      <w:r w:rsidRPr="005721E0">
        <w:t xml:space="preserve">they also submit their </w:t>
      </w:r>
      <w:r w:rsidR="001B2568" w:rsidRPr="005721E0">
        <w:t>f</w:t>
      </w:r>
      <w:r w:rsidR="00362E51" w:rsidRPr="005721E0">
        <w:t xml:space="preserve">ee for </w:t>
      </w:r>
      <w:r w:rsidR="001B2568" w:rsidRPr="005721E0">
        <w:t>s</w:t>
      </w:r>
      <w:r w:rsidR="00362E51" w:rsidRPr="005721E0">
        <w:t>ervice</w:t>
      </w:r>
      <w:r w:rsidRPr="005721E0">
        <w:t xml:space="preserve"> data.</w:t>
      </w:r>
    </w:p>
    <w:p w:rsidR="000866DB" w:rsidRPr="00530325" w:rsidRDefault="00530325" w:rsidP="00497C8C">
      <w:pPr>
        <w:rPr>
          <w:rFonts w:cs="Arial"/>
        </w:rPr>
      </w:pPr>
      <w:r w:rsidRPr="00530325">
        <w:rPr>
          <w:rFonts w:cs="Arial"/>
        </w:rPr>
        <w:t>For comparative purpose, t</w:t>
      </w:r>
      <w:r w:rsidR="005721E0" w:rsidRPr="00530325">
        <w:rPr>
          <w:rFonts w:cs="Arial"/>
        </w:rPr>
        <w:t>his report includes most recent historical data o</w:t>
      </w:r>
      <w:r w:rsidRPr="00530325">
        <w:rPr>
          <w:rFonts w:cs="Arial"/>
        </w:rPr>
        <w:t>n</w:t>
      </w:r>
      <w:r w:rsidR="005721E0" w:rsidRPr="00530325">
        <w:rPr>
          <w:rFonts w:cs="Arial"/>
        </w:rPr>
        <w:t xml:space="preserve"> training activity </w:t>
      </w:r>
      <w:r w:rsidRPr="00530325">
        <w:rPr>
          <w:rFonts w:cs="Arial"/>
        </w:rPr>
        <w:t xml:space="preserve">over the </w:t>
      </w:r>
      <w:r w:rsidR="005721E0" w:rsidRPr="00530325">
        <w:rPr>
          <w:rFonts w:cs="Arial"/>
        </w:rPr>
        <w:t xml:space="preserve">same period in 2011 and 2012. </w:t>
      </w:r>
      <w:r w:rsidR="005721E0" w:rsidRPr="00530325">
        <w:t xml:space="preserve">Full </w:t>
      </w:r>
      <w:r w:rsidR="000866DB" w:rsidRPr="00530325">
        <w:t xml:space="preserve">year </w:t>
      </w:r>
      <w:r w:rsidR="000B6438" w:rsidRPr="00530325">
        <w:t>data</w:t>
      </w:r>
      <w:r w:rsidR="000866DB" w:rsidRPr="00530325">
        <w:t xml:space="preserve"> </w:t>
      </w:r>
      <w:r w:rsidR="00497C8C" w:rsidRPr="00530325">
        <w:t xml:space="preserve">between </w:t>
      </w:r>
      <w:r w:rsidR="000866DB" w:rsidRPr="00530325">
        <w:t xml:space="preserve">2008 </w:t>
      </w:r>
      <w:r w:rsidR="00497C8C" w:rsidRPr="00530325">
        <w:t xml:space="preserve">and </w:t>
      </w:r>
      <w:r w:rsidR="000866DB" w:rsidRPr="00530325">
        <w:t>2012 are included to show longer term trends.</w:t>
      </w:r>
    </w:p>
    <w:p w:rsidR="00351166" w:rsidRDefault="00336495" w:rsidP="00497C8C">
      <w:r>
        <w:t xml:space="preserve">Data included in the report are </w:t>
      </w:r>
      <w:r w:rsidR="008C3A1C" w:rsidRPr="006C60FB">
        <w:t xml:space="preserve">a snapshot in time and based on data as reported to </w:t>
      </w:r>
      <w:r w:rsidR="002C240D" w:rsidRPr="006C60FB">
        <w:t>Higher Education and Skills Group (HESG) in the Department</w:t>
      </w:r>
      <w:r w:rsidR="008C3A1C" w:rsidRPr="006C60FB">
        <w:t xml:space="preserve"> by training providers</w:t>
      </w:r>
      <w:r w:rsidR="000B6438" w:rsidRPr="006C60FB">
        <w:t>.</w:t>
      </w:r>
      <w:r>
        <w:t xml:space="preserve"> </w:t>
      </w:r>
      <w:r w:rsidR="008C3A1C" w:rsidRPr="006C60FB">
        <w:t xml:space="preserve">Caution should be exercised when comparing </w:t>
      </w:r>
      <w:r w:rsidR="005721E0" w:rsidRPr="006C60FB">
        <w:t xml:space="preserve">current </w:t>
      </w:r>
      <w:r>
        <w:t xml:space="preserve">year </w:t>
      </w:r>
      <w:r w:rsidR="005721E0" w:rsidRPr="006C60FB">
        <w:t xml:space="preserve">data </w:t>
      </w:r>
      <w:r w:rsidR="008C3A1C" w:rsidRPr="006C60FB">
        <w:t xml:space="preserve">against </w:t>
      </w:r>
      <w:r w:rsidR="005721E0" w:rsidRPr="006C60FB">
        <w:t xml:space="preserve">figures over </w:t>
      </w:r>
      <w:r w:rsidR="008C3A1C" w:rsidRPr="006C60FB">
        <w:t>the same period in previous year</w:t>
      </w:r>
      <w:r w:rsidR="00853684" w:rsidRPr="006C60FB">
        <w:t>s</w:t>
      </w:r>
      <w:r w:rsidR="008C3A1C" w:rsidRPr="006C60FB">
        <w:t xml:space="preserve">. This is due to the way training providers upload their VET activity data which is not necessarily undertaken in a uniform manner while the training year is still in progress. In addition, adjustments are required to be made to VET activity data by providers after the end of a reporting period due to students withdrawing from modules or entire courses. </w:t>
      </w:r>
      <w:r w:rsidR="000B6438" w:rsidRPr="006C60FB">
        <w:t xml:space="preserve">In some limited cases some providers may not have </w:t>
      </w:r>
      <w:r w:rsidR="005721E0" w:rsidRPr="006C60FB">
        <w:t xml:space="preserve">fully </w:t>
      </w:r>
      <w:r w:rsidR="000B6438" w:rsidRPr="006C60FB">
        <w:t xml:space="preserve">submitted their </w:t>
      </w:r>
      <w:r w:rsidR="005721E0" w:rsidRPr="006C60FB">
        <w:t xml:space="preserve">data by end of second quarter </w:t>
      </w:r>
      <w:r w:rsidR="000B6438" w:rsidRPr="006C60FB">
        <w:t xml:space="preserve">which could </w:t>
      </w:r>
      <w:r w:rsidR="0053783C">
        <w:t xml:space="preserve">marginally </w:t>
      </w:r>
      <w:r w:rsidR="000B6438" w:rsidRPr="006C60FB">
        <w:t>impact on the overall state result.</w:t>
      </w:r>
      <w:r w:rsidR="006C60FB">
        <w:t xml:space="preserve"> </w:t>
      </w:r>
      <w:r w:rsidR="008C3A1C" w:rsidRPr="001F29E3">
        <w:t xml:space="preserve">Therefore, owing to the preliminary nature of VET data while the year is underway, figures </w:t>
      </w:r>
      <w:r w:rsidR="006C60FB">
        <w:t xml:space="preserve">reported for the end of second quarter in 2013 </w:t>
      </w:r>
      <w:r w:rsidR="008C3A1C" w:rsidRPr="001F29E3">
        <w:t xml:space="preserve">should be treated as being indicative only. </w:t>
      </w:r>
    </w:p>
    <w:p w:rsidR="00BC596A" w:rsidRPr="001F29E3" w:rsidRDefault="008A70A1" w:rsidP="008A70A1">
      <w:pPr>
        <w:pBdr>
          <w:top w:val="single" w:sz="4" w:space="1" w:color="auto"/>
          <w:left w:val="single" w:sz="4" w:space="4" w:color="auto"/>
          <w:bottom w:val="single" w:sz="4" w:space="1" w:color="auto"/>
          <w:right w:val="single" w:sz="4" w:space="4" w:color="auto"/>
        </w:pBdr>
        <w:shd w:val="clear" w:color="auto" w:fill="EAF1DD" w:themeFill="accent3" w:themeFillTint="33"/>
      </w:pPr>
      <w:r>
        <w:t>I</w:t>
      </w:r>
      <w:r w:rsidR="00BC596A">
        <w:t xml:space="preserve">n some limited cases training activity data can be impacted by system issues, for example </w:t>
      </w:r>
      <w:r>
        <w:t>some</w:t>
      </w:r>
      <w:r w:rsidR="00BC596A" w:rsidRPr="00BC596A">
        <w:t xml:space="preserve"> TAFE institutes have informed the Department that they have been unable to report all their enrolments for the </w:t>
      </w:r>
      <w:r w:rsidR="00BC596A">
        <w:t xml:space="preserve">previous reporting </w:t>
      </w:r>
      <w:r w:rsidR="00BC596A" w:rsidRPr="00BC596A">
        <w:t xml:space="preserve">period due to a backlog arising from the implementation of a new student management system. </w:t>
      </w:r>
      <w:r w:rsidR="00DD3AC7">
        <w:t xml:space="preserve">It is therefore important to note that the preliminary 2013 data may be an undercount of the actual enrolments. </w:t>
      </w:r>
      <w:r w:rsidR="00D04314">
        <w:t>It is anticipated that these enrolments will be included in the full year report for 2013 to be compiled in early 2014.</w:t>
      </w:r>
    </w:p>
    <w:p w:rsidR="00351166" w:rsidRDefault="005F166A" w:rsidP="00497C8C">
      <w:r w:rsidRPr="001F29E3">
        <w:t xml:space="preserve">The </w:t>
      </w:r>
      <w:r w:rsidR="006C60FB">
        <w:t xml:space="preserve">Q2 </w:t>
      </w:r>
      <w:r w:rsidR="008C3A1C" w:rsidRPr="001F29E3">
        <w:t xml:space="preserve">2013 </w:t>
      </w:r>
      <w:r w:rsidRPr="001F29E3">
        <w:t xml:space="preserve">data </w:t>
      </w:r>
      <w:r w:rsidR="00D118DC">
        <w:t xml:space="preserve">were </w:t>
      </w:r>
      <w:r w:rsidR="00351166" w:rsidRPr="001F29E3">
        <w:t xml:space="preserve">extracted from SVTS as at </w:t>
      </w:r>
      <w:r w:rsidR="006C60FB">
        <w:t>30</w:t>
      </w:r>
      <w:r w:rsidR="00351166" w:rsidRPr="001F29E3">
        <w:t xml:space="preserve"> </w:t>
      </w:r>
      <w:r w:rsidR="009C6A30">
        <w:t>July</w:t>
      </w:r>
      <w:r w:rsidR="008C3A1C" w:rsidRPr="001F29E3">
        <w:t xml:space="preserve"> </w:t>
      </w:r>
      <w:r w:rsidR="00351166" w:rsidRPr="001F29E3">
        <w:t>2013.</w:t>
      </w:r>
      <w:r w:rsidR="002C240D" w:rsidRPr="001F29E3">
        <w:t xml:space="preserve"> </w:t>
      </w:r>
      <w:r w:rsidR="00351166" w:rsidRPr="001F29E3">
        <w:t>Figures may be revised slightly prior to submission to National Centre for Vocational Education and R</w:t>
      </w:r>
      <w:r w:rsidR="002C240D" w:rsidRPr="001F29E3">
        <w:t>esearch (NCVER).</w:t>
      </w:r>
    </w:p>
    <w:p w:rsidR="00336495" w:rsidRDefault="006C60FB" w:rsidP="00336495">
      <w:pPr>
        <w:rPr>
          <w:highlight w:val="cyan"/>
        </w:rPr>
      </w:pPr>
      <w:r w:rsidRPr="00336495">
        <w:t>Annual data included in this report may differ from data released by the NCVER due to use of different definitional rules.</w:t>
      </w:r>
      <w:r w:rsidR="00336495" w:rsidRPr="00336495">
        <w:rPr>
          <w:highlight w:val="cyan"/>
        </w:rPr>
        <w:t xml:space="preserve"> </w:t>
      </w:r>
    </w:p>
    <w:p w:rsidR="00336495" w:rsidRPr="001F29E3" w:rsidRDefault="00336495" w:rsidP="00336495">
      <w:r w:rsidRPr="00336495">
        <w:t>Annual data included in this report may differ to those in previous publications as the DEECD is continuously updating classifications to improve data quality and consistency across years.</w:t>
      </w:r>
      <w:r w:rsidR="00BC596A">
        <w:t xml:space="preserve"> For example t</w:t>
      </w:r>
      <w:r w:rsidR="00BC596A" w:rsidRPr="00BC596A">
        <w:t xml:space="preserve">he apportionment of enrolments between the apprentice/trainee categories </w:t>
      </w:r>
      <w:r w:rsidR="00BC596A">
        <w:t xml:space="preserve">is marginally different to what was reported previously, this is a </w:t>
      </w:r>
      <w:r w:rsidR="00BC596A" w:rsidRPr="00BC596A">
        <w:t>result of a correction to the classification of some courses.</w:t>
      </w:r>
    </w:p>
    <w:p w:rsidR="00083B2E" w:rsidRDefault="000530F2" w:rsidP="00497C8C">
      <w:r>
        <w:t>Data</w:t>
      </w:r>
      <w:r w:rsidR="00083B2E">
        <w:t xml:space="preserve"> shown in the tables are rounded to the nearest 100 when the </w:t>
      </w:r>
      <w:r>
        <w:t xml:space="preserve">figures are </w:t>
      </w:r>
      <w:r w:rsidR="00083B2E">
        <w:t>greater than 1,000</w:t>
      </w:r>
      <w:r>
        <w:t>;</w:t>
      </w:r>
      <w:r w:rsidR="00083B2E">
        <w:t xml:space="preserve"> to the nearest 50 when </w:t>
      </w:r>
      <w:r w:rsidR="007F0A64">
        <w:t>they are</w:t>
      </w:r>
      <w:r w:rsidR="00083B2E">
        <w:t xml:space="preserve"> between 100 and 1,000</w:t>
      </w:r>
      <w:r>
        <w:t>;</w:t>
      </w:r>
      <w:r w:rsidR="00083B2E">
        <w:t xml:space="preserve"> and to the nearest 10 when </w:t>
      </w:r>
      <w:r w:rsidR="007F0A64">
        <w:t>they are</w:t>
      </w:r>
      <w:r w:rsidR="00083B2E">
        <w:t xml:space="preserve"> less than 100.</w:t>
      </w:r>
      <w:r w:rsidR="007F0A64">
        <w:t xml:space="preserve"> The percentage change</w:t>
      </w:r>
      <w:r w:rsidR="009C6A30">
        <w:t>s</w:t>
      </w:r>
      <w:r w:rsidR="007F0A64">
        <w:t xml:space="preserve"> between </w:t>
      </w:r>
      <w:r>
        <w:t>figures</w:t>
      </w:r>
      <w:r w:rsidR="007F0A64">
        <w:t xml:space="preserve"> in </w:t>
      </w:r>
      <w:r w:rsidR="009D3C68">
        <w:t>Q2 2</w:t>
      </w:r>
      <w:r w:rsidR="009C6A30">
        <w:t xml:space="preserve">011 &amp; Q2 2013, and </w:t>
      </w:r>
      <w:r w:rsidR="007F0A64">
        <w:t>Q</w:t>
      </w:r>
      <w:r w:rsidR="009C6A30">
        <w:t>2</w:t>
      </w:r>
      <w:r w:rsidR="007F0A64">
        <w:t xml:space="preserve"> 2012 </w:t>
      </w:r>
      <w:r w:rsidR="009C6A30">
        <w:t>&amp;</w:t>
      </w:r>
      <w:r w:rsidR="007F0A64">
        <w:t xml:space="preserve"> Q</w:t>
      </w:r>
      <w:r w:rsidR="009C6A30">
        <w:t>2</w:t>
      </w:r>
      <w:r w:rsidR="007F0A64">
        <w:t xml:space="preserve"> 2013 </w:t>
      </w:r>
      <w:r w:rsidR="009C6A30">
        <w:t>are</w:t>
      </w:r>
      <w:r w:rsidR="007F0A64">
        <w:t xml:space="preserve"> calculat</w:t>
      </w:r>
      <w:r>
        <w:t>ed based on the reported data</w:t>
      </w:r>
      <w:r w:rsidR="007F0A64">
        <w:t>.</w:t>
      </w:r>
    </w:p>
    <w:p w:rsidR="00351166" w:rsidRPr="001F29E3" w:rsidRDefault="00351166" w:rsidP="00A9260A">
      <w:pPr>
        <w:pStyle w:val="Heading2"/>
      </w:pPr>
      <w:bookmarkStart w:id="31" w:name="_Toc348117718"/>
      <w:bookmarkStart w:id="32" w:name="_Toc348439964"/>
      <w:bookmarkStart w:id="33" w:name="_Toc348440163"/>
      <w:bookmarkStart w:id="34" w:name="_Toc349184175"/>
      <w:bookmarkStart w:id="35" w:name="_Toc349184324"/>
      <w:bookmarkStart w:id="36" w:name="_Toc349184514"/>
      <w:bookmarkStart w:id="37" w:name="_Toc366588109"/>
      <w:r w:rsidRPr="001F29E3">
        <w:t>Reporting scope</w:t>
      </w:r>
      <w:bookmarkEnd w:id="31"/>
      <w:bookmarkEnd w:id="32"/>
      <w:bookmarkEnd w:id="33"/>
      <w:bookmarkEnd w:id="34"/>
      <w:bookmarkEnd w:id="35"/>
      <w:bookmarkEnd w:id="36"/>
      <w:bookmarkEnd w:id="37"/>
    </w:p>
    <w:p w:rsidR="00351166" w:rsidRPr="001F29E3" w:rsidRDefault="00351166" w:rsidP="00497C8C">
      <w:r w:rsidRPr="001F29E3">
        <w:t>This report include</w:t>
      </w:r>
      <w:r w:rsidR="00416B67" w:rsidRPr="001F29E3">
        <w:t>s</w:t>
      </w:r>
      <w:r w:rsidRPr="001F29E3">
        <w:t xml:space="preserve"> government subsidised activities in all sectors at all qualification levels, and domestic fee</w:t>
      </w:r>
      <w:r w:rsidR="001B2568" w:rsidRPr="001F29E3">
        <w:t xml:space="preserve"> </w:t>
      </w:r>
      <w:r w:rsidRPr="001F29E3">
        <w:t>for</w:t>
      </w:r>
      <w:r w:rsidR="001B2568" w:rsidRPr="001F29E3">
        <w:t xml:space="preserve"> </w:t>
      </w:r>
      <w:r w:rsidRPr="001F29E3">
        <w:t>service activities in the TAFE sector at Australian Qualification Framework (</w:t>
      </w:r>
      <w:r w:rsidR="00CC0C50" w:rsidRPr="001F29E3">
        <w:t>Certificate</w:t>
      </w:r>
      <w:r w:rsidRPr="001F29E3">
        <w:t xml:space="preserve"> I and above).</w:t>
      </w:r>
    </w:p>
    <w:p w:rsidR="00351166" w:rsidRPr="001F29E3" w:rsidRDefault="00362E51" w:rsidP="00497C8C">
      <w:r w:rsidRPr="001F29E3">
        <w:t xml:space="preserve">Fee for </w:t>
      </w:r>
      <w:r w:rsidR="001B2568" w:rsidRPr="001F29E3">
        <w:t>s</w:t>
      </w:r>
      <w:r w:rsidRPr="001F29E3">
        <w:t>ervice</w:t>
      </w:r>
      <w:r w:rsidR="00351166" w:rsidRPr="001F29E3">
        <w:t xml:space="preserve"> activities below </w:t>
      </w:r>
      <w:r w:rsidR="00CC0C50" w:rsidRPr="001F29E3">
        <w:t>Certificate</w:t>
      </w:r>
      <w:r w:rsidR="00351166" w:rsidRPr="001F29E3">
        <w:t xml:space="preserve"> I in the </w:t>
      </w:r>
      <w:r w:rsidR="00B3005F" w:rsidRPr="001F29E3">
        <w:t xml:space="preserve">domestic </w:t>
      </w:r>
      <w:r w:rsidR="00351166" w:rsidRPr="001F29E3">
        <w:t>TAFE sector are not included</w:t>
      </w:r>
      <w:r w:rsidR="00D70D05" w:rsidRPr="001F29E3">
        <w:t>, such as short courses</w:t>
      </w:r>
      <w:r w:rsidR="00351166" w:rsidRPr="001F29E3">
        <w:t xml:space="preserve">. </w:t>
      </w:r>
      <w:r w:rsidRPr="001F29E3">
        <w:t xml:space="preserve">Fee for </w:t>
      </w:r>
      <w:r w:rsidR="001B2568" w:rsidRPr="001F29E3">
        <w:t>s</w:t>
      </w:r>
      <w:r w:rsidRPr="001F29E3">
        <w:t>ervice</w:t>
      </w:r>
      <w:r w:rsidR="00351166" w:rsidRPr="001F29E3">
        <w:t xml:space="preserve"> activities that took place in the </w:t>
      </w:r>
      <w:r w:rsidR="001B2568" w:rsidRPr="001F29E3">
        <w:t>p</w:t>
      </w:r>
      <w:r w:rsidR="00351166" w:rsidRPr="001F29E3">
        <w:t>rivate RTO and Adult Community Education sectors are also outside the scope.</w:t>
      </w:r>
      <w:r w:rsidR="00B3005F" w:rsidRPr="001F29E3">
        <w:t xml:space="preserve"> </w:t>
      </w:r>
    </w:p>
    <w:p w:rsidR="00AB275E" w:rsidRDefault="000866DB" w:rsidP="00497C8C">
      <w:r w:rsidRPr="001F29E3">
        <w:t xml:space="preserve">Since </w:t>
      </w:r>
      <w:r w:rsidR="00471FC1" w:rsidRPr="001F29E3">
        <w:t xml:space="preserve">2012, the scope of reporting of government subsidised training changed. ZC - Corrections delivery contracted directly with TAFE </w:t>
      </w:r>
      <w:r w:rsidR="00927DE0" w:rsidRPr="001F29E3">
        <w:t>I</w:t>
      </w:r>
      <w:r w:rsidR="00471FC1" w:rsidRPr="001F29E3">
        <w:t xml:space="preserve">nstitutes and ZP - Corrections funding through private prisons </w:t>
      </w:r>
      <w:r w:rsidRPr="001F29E3">
        <w:t xml:space="preserve">have been </w:t>
      </w:r>
      <w:r w:rsidR="00471FC1" w:rsidRPr="001F29E3">
        <w:t xml:space="preserve">allocated to </w:t>
      </w:r>
      <w:r w:rsidR="001B2568" w:rsidRPr="001F29E3">
        <w:t>f</w:t>
      </w:r>
      <w:r w:rsidR="00362E51" w:rsidRPr="001F29E3">
        <w:t xml:space="preserve">ee for </w:t>
      </w:r>
      <w:r w:rsidR="001B2568" w:rsidRPr="001F29E3">
        <w:t>s</w:t>
      </w:r>
      <w:r w:rsidR="00362E51" w:rsidRPr="001F29E3">
        <w:t>ervice</w:t>
      </w:r>
      <w:r w:rsidR="00471FC1" w:rsidRPr="001F29E3">
        <w:t xml:space="preserve"> funding. Prior to 2012, these funded enrolments were allocated to government subsidised training.</w:t>
      </w:r>
    </w:p>
    <w:p w:rsidR="00AB275E" w:rsidRDefault="00AB275E">
      <w:pPr>
        <w:spacing w:after="0" w:line="240" w:lineRule="auto"/>
        <w:jc w:val="left"/>
      </w:pPr>
      <w:r>
        <w:br w:type="page"/>
      </w:r>
    </w:p>
    <w:p w:rsidR="00C91269" w:rsidRDefault="00C91269">
      <w:pPr>
        <w:spacing w:after="0" w:line="240" w:lineRule="auto"/>
        <w:jc w:val="left"/>
        <w:rPr>
          <w:color w:val="76923C" w:themeColor="accent3" w:themeShade="BF"/>
          <w:spacing w:val="-12"/>
          <w:sz w:val="46"/>
          <w:szCs w:val="46"/>
        </w:rPr>
      </w:pPr>
      <w:bookmarkStart w:id="38" w:name="_Toc316542830"/>
      <w:bookmarkStart w:id="39" w:name="_Toc316629591"/>
      <w:bookmarkStart w:id="40" w:name="_Toc317173953"/>
      <w:bookmarkStart w:id="41" w:name="_Toc317174102"/>
      <w:bookmarkStart w:id="42" w:name="_Toc322454241"/>
      <w:bookmarkStart w:id="43" w:name="_Toc317173960"/>
      <w:bookmarkStart w:id="44" w:name="_Toc317174109"/>
      <w:r>
        <w:lastRenderedPageBreak/>
        <w:br w:type="page"/>
      </w:r>
    </w:p>
    <w:p w:rsidR="00B377BB" w:rsidRDefault="00B377BB" w:rsidP="00B377BB">
      <w:pPr>
        <w:pStyle w:val="Heading1"/>
      </w:pPr>
      <w:bookmarkStart w:id="45" w:name="_Toc366588110"/>
      <w:r>
        <w:lastRenderedPageBreak/>
        <w:t>Vocational Training Summary</w:t>
      </w:r>
      <w:bookmarkEnd w:id="45"/>
    </w:p>
    <w:p w:rsidR="00EB0A1A" w:rsidRPr="001F29E3" w:rsidRDefault="0055106F" w:rsidP="00BB1E91">
      <w:pPr>
        <w:pStyle w:val="Heading2"/>
      </w:pPr>
      <w:bookmarkStart w:id="46" w:name="_Toc366588111"/>
      <w:r w:rsidRPr="001F29E3">
        <w:t>Vocational Training</w:t>
      </w:r>
      <w:r w:rsidR="00E32275" w:rsidRPr="001F29E3">
        <w:t xml:space="preserve"> by</w:t>
      </w:r>
      <w:r w:rsidRPr="001F29E3" w:rsidDel="00B03850">
        <w:t xml:space="preserve"> </w:t>
      </w:r>
      <w:r w:rsidR="00EB0A1A" w:rsidRPr="001F29E3">
        <w:t>Funding</w:t>
      </w:r>
      <w:r w:rsidR="00E32275" w:rsidRPr="001F29E3">
        <w:t xml:space="preserve"> Type</w:t>
      </w:r>
      <w:bookmarkEnd w:id="46"/>
    </w:p>
    <w:p w:rsidR="00B377BB" w:rsidRDefault="00B377BB" w:rsidP="007D276C"/>
    <w:p w:rsidR="005E4EE6" w:rsidRPr="001F29E3" w:rsidRDefault="0055106F" w:rsidP="00A9260A">
      <w:pPr>
        <w:pStyle w:val="Heading3"/>
      </w:pPr>
      <w:r w:rsidRPr="001F29E3">
        <w:t>Vocational Training</w:t>
      </w:r>
      <w:r w:rsidR="005E4EE6" w:rsidRPr="001F29E3">
        <w:t xml:space="preserve"> Delivery by Funding Type</w:t>
      </w:r>
    </w:p>
    <w:p w:rsidR="00F72324" w:rsidRDefault="005E4EE6" w:rsidP="00F72324">
      <w:pPr>
        <w:rPr>
          <w:rFonts w:cs="Arial"/>
        </w:rPr>
      </w:pPr>
      <w:r w:rsidRPr="001F29E3">
        <w:rPr>
          <w:rFonts w:cs="Arial"/>
        </w:rPr>
        <w:t xml:space="preserve">This section provides an overview of training activity measured in terms of </w:t>
      </w:r>
      <w:r w:rsidR="00D37D95">
        <w:rPr>
          <w:rFonts w:cs="Arial"/>
        </w:rPr>
        <w:t xml:space="preserve">course </w:t>
      </w:r>
      <w:r w:rsidRPr="001F29E3">
        <w:rPr>
          <w:rFonts w:cs="Arial"/>
        </w:rPr>
        <w:t>enrolments, student contact hours and student numbers.</w:t>
      </w:r>
      <w:r w:rsidR="00F72324" w:rsidRPr="001F29E3">
        <w:rPr>
          <w:rFonts w:cs="Arial"/>
        </w:rPr>
        <w:t xml:space="preserve"> </w:t>
      </w:r>
    </w:p>
    <w:p w:rsidR="00757289" w:rsidRPr="001F29E3" w:rsidRDefault="00757289" w:rsidP="00F72324">
      <w:pPr>
        <w:rPr>
          <w:rFonts w:cs="Arial"/>
        </w:rPr>
      </w:pPr>
    </w:p>
    <w:tbl>
      <w:tblPr>
        <w:tblW w:w="4999" w:type="pct"/>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tblCellMar>
          <w:left w:w="0" w:type="dxa"/>
          <w:right w:w="0" w:type="dxa"/>
        </w:tblCellMar>
        <w:tblLook w:val="01E0" w:firstRow="1" w:lastRow="1" w:firstColumn="1" w:lastColumn="1" w:noHBand="0" w:noVBand="0"/>
      </w:tblPr>
      <w:tblGrid>
        <w:gridCol w:w="9086"/>
      </w:tblGrid>
      <w:tr w:rsidR="00757289" w:rsidRPr="001F29E3" w:rsidTr="00C40CAA">
        <w:trPr>
          <w:trHeight w:val="1782"/>
        </w:trPr>
        <w:tc>
          <w:tcPr>
            <w:tcW w:w="5000" w:type="pct"/>
          </w:tcPr>
          <w:p w:rsidR="00757289" w:rsidRDefault="00757289" w:rsidP="00757289">
            <w:pPr>
              <w:pStyle w:val="Heading3"/>
            </w:pPr>
            <w:r w:rsidRPr="001F29E3">
              <w:t>Key Points</w:t>
            </w:r>
          </w:p>
          <w:p w:rsidR="00757289" w:rsidRDefault="00757289" w:rsidP="00757289">
            <w:pPr>
              <w:pStyle w:val="ListBullet"/>
              <w:numPr>
                <w:ilvl w:val="0"/>
                <w:numId w:val="0"/>
              </w:numPr>
              <w:ind w:right="113"/>
              <w:rPr>
                <w:rFonts w:cs="Arial"/>
              </w:rPr>
            </w:pPr>
            <w:r>
              <w:rPr>
                <w:rFonts w:cs="Arial"/>
              </w:rPr>
              <w:t>The Q2 2013 data show</w:t>
            </w:r>
            <w:r w:rsidR="004E497D">
              <w:rPr>
                <w:rFonts w:cs="Arial"/>
              </w:rPr>
              <w:t>s</w:t>
            </w:r>
            <w:r>
              <w:rPr>
                <w:rFonts w:cs="Arial"/>
              </w:rPr>
              <w:t xml:space="preserve"> that: </w:t>
            </w:r>
          </w:p>
          <w:p w:rsidR="00757289" w:rsidRPr="001F29E3" w:rsidRDefault="00C40CAA" w:rsidP="00757289">
            <w:pPr>
              <w:pStyle w:val="ListBullet"/>
              <w:numPr>
                <w:ilvl w:val="0"/>
                <w:numId w:val="13"/>
              </w:numPr>
              <w:ind w:left="397" w:right="113" w:hanging="284"/>
              <w:rPr>
                <w:rFonts w:cs="Arial"/>
              </w:rPr>
            </w:pPr>
            <w:r>
              <w:rPr>
                <w:rFonts w:cs="Arial"/>
              </w:rPr>
              <w:t>There</w:t>
            </w:r>
            <w:r w:rsidR="00757289">
              <w:rPr>
                <w:rFonts w:cs="Arial"/>
              </w:rPr>
              <w:t xml:space="preserve"> were 399,000 g</w:t>
            </w:r>
            <w:r w:rsidR="00757289" w:rsidRPr="001F29E3">
              <w:rPr>
                <w:rFonts w:cs="Arial"/>
              </w:rPr>
              <w:t xml:space="preserve">overnment subsidised </w:t>
            </w:r>
            <w:r w:rsidR="00757289">
              <w:rPr>
                <w:rFonts w:cs="Arial"/>
              </w:rPr>
              <w:t>course enrolments, 119.7</w:t>
            </w:r>
            <w:r w:rsidR="00757289" w:rsidRPr="001F29E3">
              <w:rPr>
                <w:rFonts w:cs="Arial"/>
              </w:rPr>
              <w:t xml:space="preserve"> million </w:t>
            </w:r>
            <w:r w:rsidR="00757289">
              <w:rPr>
                <w:rFonts w:cs="Arial"/>
              </w:rPr>
              <w:t xml:space="preserve">government subsidised </w:t>
            </w:r>
            <w:r w:rsidR="00757289" w:rsidRPr="001F29E3">
              <w:rPr>
                <w:rFonts w:cs="Arial"/>
              </w:rPr>
              <w:t xml:space="preserve">student contact hours </w:t>
            </w:r>
            <w:r w:rsidR="00757289">
              <w:rPr>
                <w:rFonts w:cs="Arial"/>
              </w:rPr>
              <w:t>and 307,700 government subsidised students</w:t>
            </w:r>
            <w:r w:rsidR="00757289" w:rsidRPr="001F29E3">
              <w:rPr>
                <w:rFonts w:cs="Arial"/>
              </w:rPr>
              <w:t xml:space="preserve">. </w:t>
            </w:r>
          </w:p>
          <w:p w:rsidR="00757289" w:rsidRPr="004E0FA0" w:rsidRDefault="00757289" w:rsidP="00C40CAA">
            <w:pPr>
              <w:pStyle w:val="ListBullet"/>
              <w:numPr>
                <w:ilvl w:val="0"/>
                <w:numId w:val="13"/>
              </w:numPr>
              <w:ind w:left="397" w:right="113" w:hanging="284"/>
              <w:rPr>
                <w:rFonts w:cs="Arial"/>
              </w:rPr>
            </w:pPr>
            <w:r w:rsidRPr="001F29E3">
              <w:rPr>
                <w:rFonts w:cs="Arial"/>
              </w:rPr>
              <w:t xml:space="preserve">TAFE domestic fee for service activity </w:t>
            </w:r>
            <w:r w:rsidR="00C40CAA">
              <w:rPr>
                <w:rFonts w:cs="Arial"/>
              </w:rPr>
              <w:t xml:space="preserve">at Australian Qualification Framework (AQF) Level 1 and above recorded </w:t>
            </w:r>
            <w:r>
              <w:rPr>
                <w:rFonts w:cs="Arial"/>
              </w:rPr>
              <w:t>64,600</w:t>
            </w:r>
            <w:r w:rsidRPr="001F29E3">
              <w:rPr>
                <w:rFonts w:cs="Arial"/>
              </w:rPr>
              <w:t xml:space="preserve"> enrolments, </w:t>
            </w:r>
            <w:r>
              <w:rPr>
                <w:rFonts w:cs="Arial"/>
              </w:rPr>
              <w:t>12.2</w:t>
            </w:r>
            <w:r w:rsidRPr="001F29E3">
              <w:rPr>
                <w:rFonts w:cs="Arial"/>
              </w:rPr>
              <w:t xml:space="preserve"> million student contact hours and </w:t>
            </w:r>
            <w:r>
              <w:rPr>
                <w:rFonts w:cs="Arial"/>
              </w:rPr>
              <w:t>56</w:t>
            </w:r>
            <w:r w:rsidRPr="001F29E3">
              <w:rPr>
                <w:rFonts w:cs="Arial"/>
              </w:rPr>
              <w:t>,200 students.</w:t>
            </w:r>
          </w:p>
        </w:tc>
      </w:tr>
    </w:tbl>
    <w:p w:rsidR="00A903CB" w:rsidRDefault="00A903CB" w:rsidP="00A903CB"/>
    <w:p w:rsidR="005E4EE6" w:rsidRPr="001F29E3" w:rsidRDefault="005E4EE6" w:rsidP="00CB5563">
      <w:pPr>
        <w:pStyle w:val="Caption"/>
        <w:spacing w:after="0"/>
      </w:pPr>
      <w:proofErr w:type="gramStart"/>
      <w:r w:rsidRPr="001F29E3">
        <w:t>Table 1.</w:t>
      </w:r>
      <w:proofErr w:type="gramEnd"/>
      <w:r w:rsidR="007A144E">
        <w:fldChar w:fldCharType="begin"/>
      </w:r>
      <w:r w:rsidR="007A144E">
        <w:instrText xml:space="preserve"> SEQ Table \* ARABIC \s 1 </w:instrText>
      </w:r>
      <w:r w:rsidR="007A144E">
        <w:fldChar w:fldCharType="separate"/>
      </w:r>
      <w:r w:rsidR="008176F8">
        <w:rPr>
          <w:noProof/>
        </w:rPr>
        <w:t>1</w:t>
      </w:r>
      <w:r w:rsidR="007A144E">
        <w:rPr>
          <w:noProof/>
        </w:rPr>
        <w:fldChar w:fldCharType="end"/>
      </w:r>
      <w:r w:rsidR="00C45AD9">
        <w:rPr>
          <w:noProof/>
        </w:rPr>
        <w:t>.1</w:t>
      </w:r>
      <w:r w:rsidRPr="001F29E3">
        <w:t xml:space="preserve">: </w:t>
      </w:r>
      <w:r w:rsidR="0025400C">
        <w:t>Enrolments in v</w:t>
      </w:r>
      <w:r w:rsidR="0055106F" w:rsidRPr="001F29E3">
        <w:t xml:space="preserve">ocational </w:t>
      </w:r>
      <w:r w:rsidR="00221A72" w:rsidRPr="001F29E3">
        <w:t>t</w:t>
      </w:r>
      <w:r w:rsidR="0055106F" w:rsidRPr="001F29E3">
        <w:t>raining</w:t>
      </w:r>
      <w:r w:rsidRPr="001F29E3">
        <w:t xml:space="preserve"> by funding type, 2008–2012</w:t>
      </w:r>
    </w:p>
    <w:tbl>
      <w:tblPr>
        <w:tblW w:w="9400" w:type="dxa"/>
        <w:tblInd w:w="108" w:type="dxa"/>
        <w:tblLook w:val="04A0" w:firstRow="1" w:lastRow="0" w:firstColumn="1" w:lastColumn="0" w:noHBand="0" w:noVBand="1"/>
      </w:tblPr>
      <w:tblGrid>
        <w:gridCol w:w="2835"/>
        <w:gridCol w:w="965"/>
        <w:gridCol w:w="1120"/>
        <w:gridCol w:w="1120"/>
        <w:gridCol w:w="1120"/>
        <w:gridCol w:w="1120"/>
        <w:gridCol w:w="1120"/>
      </w:tblGrid>
      <w:tr w:rsidR="00A903CB" w:rsidRPr="00A903CB" w:rsidTr="005C5C90">
        <w:trPr>
          <w:trHeight w:val="762"/>
        </w:trPr>
        <w:tc>
          <w:tcPr>
            <w:tcW w:w="2835" w:type="dxa"/>
            <w:tcBorders>
              <w:left w:val="single" w:sz="4" w:space="0" w:color="5E8A00"/>
              <w:bottom w:val="single" w:sz="4" w:space="0" w:color="5E8A00"/>
            </w:tcBorders>
            <w:shd w:val="clear" w:color="000000" w:fill="5E8A00"/>
            <w:noWrap/>
            <w:vAlign w:val="center"/>
            <w:hideMark/>
          </w:tcPr>
          <w:p w:rsidR="00A903CB" w:rsidRPr="00A903CB" w:rsidRDefault="00A903CB" w:rsidP="00F034AF">
            <w:pPr>
              <w:spacing w:after="0" w:line="240" w:lineRule="auto"/>
              <w:ind w:firstLineChars="100" w:firstLine="201"/>
              <w:jc w:val="left"/>
              <w:rPr>
                <w:rFonts w:cs="Arial"/>
                <w:b/>
                <w:bCs/>
                <w:color w:val="FFFFFF"/>
                <w:sz w:val="20"/>
                <w:szCs w:val="20"/>
                <w:lang w:eastAsia="en-AU"/>
              </w:rPr>
            </w:pPr>
            <w:r w:rsidRPr="00A903CB">
              <w:rPr>
                <w:rFonts w:cs="Arial"/>
                <w:b/>
                <w:bCs/>
                <w:color w:val="FFFFFF"/>
                <w:sz w:val="20"/>
                <w:szCs w:val="20"/>
                <w:lang w:eastAsia="en-AU"/>
              </w:rPr>
              <w:t> </w:t>
            </w:r>
          </w:p>
        </w:tc>
        <w:tc>
          <w:tcPr>
            <w:tcW w:w="965" w:type="dxa"/>
            <w:tcBorders>
              <w:bottom w:val="single" w:sz="4" w:space="0" w:color="5E8A00"/>
            </w:tcBorders>
            <w:shd w:val="clear" w:color="000000" w:fill="5E8A00"/>
            <w:vAlign w:val="center"/>
            <w:hideMark/>
          </w:tcPr>
          <w:p w:rsidR="00A903CB" w:rsidRPr="00A903CB" w:rsidRDefault="00A903CB" w:rsidP="00F034AF">
            <w:pPr>
              <w:spacing w:after="0" w:line="240" w:lineRule="auto"/>
              <w:ind w:firstLineChars="100" w:firstLine="181"/>
              <w:jc w:val="right"/>
              <w:rPr>
                <w:rFonts w:cs="Arial"/>
                <w:b/>
                <w:bCs/>
                <w:color w:val="FFFFFF"/>
                <w:sz w:val="18"/>
                <w:szCs w:val="18"/>
                <w:lang w:eastAsia="en-AU"/>
              </w:rPr>
            </w:pPr>
            <w:r w:rsidRPr="00A903CB">
              <w:rPr>
                <w:rFonts w:cs="Arial"/>
                <w:b/>
                <w:bCs/>
                <w:color w:val="FFFFFF"/>
                <w:sz w:val="18"/>
                <w:szCs w:val="18"/>
                <w:lang w:eastAsia="en-AU"/>
              </w:rPr>
              <w:t>2008</w:t>
            </w:r>
          </w:p>
        </w:tc>
        <w:tc>
          <w:tcPr>
            <w:tcW w:w="1120" w:type="dxa"/>
            <w:tcBorders>
              <w:bottom w:val="single" w:sz="4" w:space="0" w:color="5E8A00"/>
            </w:tcBorders>
            <w:shd w:val="clear" w:color="000000" w:fill="5E8A00"/>
            <w:vAlign w:val="center"/>
            <w:hideMark/>
          </w:tcPr>
          <w:p w:rsidR="00A903CB" w:rsidRPr="00A903CB" w:rsidRDefault="00A903CB" w:rsidP="00F034AF">
            <w:pPr>
              <w:spacing w:after="0" w:line="240" w:lineRule="auto"/>
              <w:ind w:firstLineChars="100" w:firstLine="181"/>
              <w:jc w:val="right"/>
              <w:rPr>
                <w:rFonts w:cs="Arial"/>
                <w:b/>
                <w:bCs/>
                <w:color w:val="FFFFFF"/>
                <w:sz w:val="18"/>
                <w:szCs w:val="18"/>
                <w:lang w:eastAsia="en-AU"/>
              </w:rPr>
            </w:pPr>
            <w:r w:rsidRPr="00A903CB">
              <w:rPr>
                <w:rFonts w:cs="Arial"/>
                <w:b/>
                <w:bCs/>
                <w:color w:val="FFFFFF"/>
                <w:sz w:val="18"/>
                <w:szCs w:val="18"/>
                <w:lang w:eastAsia="en-AU"/>
              </w:rPr>
              <w:t>2009</w:t>
            </w:r>
          </w:p>
        </w:tc>
        <w:tc>
          <w:tcPr>
            <w:tcW w:w="1120" w:type="dxa"/>
            <w:tcBorders>
              <w:bottom w:val="single" w:sz="4" w:space="0" w:color="5E8A00"/>
            </w:tcBorders>
            <w:shd w:val="clear" w:color="000000" w:fill="5E8A00"/>
            <w:vAlign w:val="center"/>
            <w:hideMark/>
          </w:tcPr>
          <w:p w:rsidR="00A903CB" w:rsidRPr="00A903CB" w:rsidRDefault="00A903CB" w:rsidP="00F034AF">
            <w:pPr>
              <w:spacing w:after="0" w:line="240" w:lineRule="auto"/>
              <w:ind w:firstLineChars="100" w:firstLine="181"/>
              <w:jc w:val="right"/>
              <w:rPr>
                <w:rFonts w:cs="Arial"/>
                <w:b/>
                <w:bCs/>
                <w:color w:val="FFFFFF"/>
                <w:sz w:val="18"/>
                <w:szCs w:val="18"/>
                <w:lang w:eastAsia="en-AU"/>
              </w:rPr>
            </w:pPr>
            <w:r w:rsidRPr="00A903CB">
              <w:rPr>
                <w:rFonts w:cs="Arial"/>
                <w:b/>
                <w:bCs/>
                <w:color w:val="FFFFFF"/>
                <w:sz w:val="18"/>
                <w:szCs w:val="18"/>
                <w:lang w:eastAsia="en-AU"/>
              </w:rPr>
              <w:t>2010</w:t>
            </w:r>
          </w:p>
        </w:tc>
        <w:tc>
          <w:tcPr>
            <w:tcW w:w="1120" w:type="dxa"/>
            <w:tcBorders>
              <w:bottom w:val="single" w:sz="4" w:space="0" w:color="5E8A00"/>
            </w:tcBorders>
            <w:shd w:val="clear" w:color="000000" w:fill="5E8A00"/>
            <w:vAlign w:val="center"/>
            <w:hideMark/>
          </w:tcPr>
          <w:p w:rsidR="00A903CB" w:rsidRPr="00A903CB" w:rsidRDefault="00A903CB" w:rsidP="00F034AF">
            <w:pPr>
              <w:spacing w:after="0" w:line="240" w:lineRule="auto"/>
              <w:ind w:firstLineChars="100" w:firstLine="181"/>
              <w:jc w:val="right"/>
              <w:rPr>
                <w:rFonts w:cs="Arial"/>
                <w:b/>
                <w:bCs/>
                <w:color w:val="FFFFFF"/>
                <w:sz w:val="18"/>
                <w:szCs w:val="18"/>
                <w:lang w:eastAsia="en-AU"/>
              </w:rPr>
            </w:pPr>
            <w:r w:rsidRPr="00A903CB">
              <w:rPr>
                <w:rFonts w:cs="Arial"/>
                <w:b/>
                <w:bCs/>
                <w:color w:val="FFFFFF"/>
                <w:sz w:val="18"/>
                <w:szCs w:val="18"/>
                <w:lang w:eastAsia="en-AU"/>
              </w:rPr>
              <w:t>2011</w:t>
            </w:r>
          </w:p>
        </w:tc>
        <w:tc>
          <w:tcPr>
            <w:tcW w:w="1120" w:type="dxa"/>
            <w:tcBorders>
              <w:bottom w:val="single" w:sz="4" w:space="0" w:color="5E8A00"/>
            </w:tcBorders>
            <w:shd w:val="clear" w:color="000000" w:fill="5E8A00"/>
            <w:vAlign w:val="center"/>
            <w:hideMark/>
          </w:tcPr>
          <w:p w:rsidR="00A903CB" w:rsidRPr="00A903CB" w:rsidRDefault="00A903CB" w:rsidP="00F034AF">
            <w:pPr>
              <w:spacing w:after="0" w:line="240" w:lineRule="auto"/>
              <w:ind w:firstLineChars="100" w:firstLine="181"/>
              <w:jc w:val="right"/>
              <w:rPr>
                <w:rFonts w:cs="Arial"/>
                <w:b/>
                <w:bCs/>
                <w:color w:val="FFFFFF"/>
                <w:sz w:val="18"/>
                <w:szCs w:val="18"/>
                <w:lang w:eastAsia="en-AU"/>
              </w:rPr>
            </w:pPr>
            <w:r w:rsidRPr="00A903CB">
              <w:rPr>
                <w:rFonts w:cs="Arial"/>
                <w:b/>
                <w:bCs/>
                <w:color w:val="FFFFFF"/>
                <w:sz w:val="18"/>
                <w:szCs w:val="18"/>
                <w:lang w:eastAsia="en-AU"/>
              </w:rPr>
              <w:t>2012</w:t>
            </w:r>
          </w:p>
        </w:tc>
        <w:tc>
          <w:tcPr>
            <w:tcW w:w="1120" w:type="dxa"/>
            <w:tcBorders>
              <w:bottom w:val="single" w:sz="4" w:space="0" w:color="5E8A00"/>
              <w:right w:val="single" w:sz="4" w:space="0" w:color="5E8A00"/>
            </w:tcBorders>
            <w:shd w:val="clear" w:color="000000" w:fill="5E8A00"/>
            <w:vAlign w:val="center"/>
            <w:hideMark/>
          </w:tcPr>
          <w:p w:rsidR="00A903CB" w:rsidRPr="00A903CB" w:rsidRDefault="00A903CB" w:rsidP="00A903CB">
            <w:pPr>
              <w:spacing w:after="0" w:line="240" w:lineRule="auto"/>
              <w:jc w:val="right"/>
              <w:rPr>
                <w:rFonts w:cs="Arial"/>
                <w:b/>
                <w:bCs/>
                <w:color w:val="FFFFFF"/>
                <w:sz w:val="18"/>
                <w:szCs w:val="18"/>
                <w:lang w:eastAsia="en-AU"/>
              </w:rPr>
            </w:pPr>
            <w:r w:rsidRPr="00A903CB">
              <w:rPr>
                <w:rFonts w:cs="Arial"/>
                <w:b/>
                <w:bCs/>
                <w:color w:val="FFFFFF"/>
                <w:sz w:val="18"/>
                <w:szCs w:val="18"/>
                <w:lang w:eastAsia="en-AU"/>
              </w:rPr>
              <w:t>% change</w:t>
            </w:r>
            <w:r w:rsidRPr="00A903CB">
              <w:rPr>
                <w:rFonts w:cs="Arial"/>
                <w:b/>
                <w:bCs/>
                <w:color w:val="FFFFFF"/>
                <w:sz w:val="18"/>
                <w:szCs w:val="18"/>
                <w:lang w:eastAsia="en-AU"/>
              </w:rPr>
              <w:br/>
              <w:t>2008-2012</w:t>
            </w:r>
          </w:p>
        </w:tc>
      </w:tr>
      <w:tr w:rsidR="00A903CB" w:rsidRPr="00A903CB" w:rsidTr="0069078C">
        <w:trPr>
          <w:trHeight w:hRule="exact" w:val="284"/>
        </w:trPr>
        <w:tc>
          <w:tcPr>
            <w:tcW w:w="2835" w:type="dxa"/>
            <w:tcBorders>
              <w:top w:val="nil"/>
              <w:left w:val="single" w:sz="4" w:space="0" w:color="5E8A00"/>
              <w:bottom w:val="single" w:sz="4" w:space="0" w:color="5E8A00"/>
              <w:right w:val="single" w:sz="4" w:space="0" w:color="5E8A00"/>
            </w:tcBorders>
            <w:shd w:val="clear" w:color="000000" w:fill="FFFFFF"/>
            <w:noWrap/>
            <w:vAlign w:val="bottom"/>
            <w:hideMark/>
          </w:tcPr>
          <w:p w:rsidR="00A903CB" w:rsidRPr="00A903CB" w:rsidRDefault="0069078C" w:rsidP="00A903CB">
            <w:pPr>
              <w:spacing w:after="0" w:line="240" w:lineRule="auto"/>
              <w:jc w:val="left"/>
              <w:rPr>
                <w:rFonts w:cs="Arial"/>
                <w:color w:val="3E5B00"/>
                <w:sz w:val="18"/>
                <w:szCs w:val="18"/>
                <w:lang w:eastAsia="en-AU"/>
              </w:rPr>
            </w:pPr>
            <w:r>
              <w:rPr>
                <w:rFonts w:cs="Arial"/>
                <w:color w:val="3E5B00"/>
                <w:sz w:val="18"/>
                <w:szCs w:val="18"/>
                <w:lang w:eastAsia="en-AU"/>
              </w:rPr>
              <w:t>Government sub</w:t>
            </w:r>
            <w:r w:rsidR="00A903CB" w:rsidRPr="00A903CB">
              <w:rPr>
                <w:rFonts w:cs="Arial"/>
                <w:color w:val="3E5B00"/>
                <w:sz w:val="18"/>
                <w:szCs w:val="18"/>
                <w:lang w:eastAsia="en-AU"/>
              </w:rPr>
              <w:t>sidised</w:t>
            </w:r>
          </w:p>
        </w:tc>
        <w:tc>
          <w:tcPr>
            <w:tcW w:w="965" w:type="dxa"/>
            <w:tcBorders>
              <w:top w:val="nil"/>
              <w:left w:val="nil"/>
              <w:bottom w:val="single" w:sz="4" w:space="0" w:color="5E8A00"/>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 xml:space="preserve">381,300 </w:t>
            </w:r>
          </w:p>
        </w:tc>
        <w:tc>
          <w:tcPr>
            <w:tcW w:w="1120" w:type="dxa"/>
            <w:tcBorders>
              <w:top w:val="nil"/>
              <w:left w:val="nil"/>
              <w:bottom w:val="single" w:sz="4" w:space="0" w:color="5E8A00"/>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 xml:space="preserve">376,800 </w:t>
            </w:r>
          </w:p>
        </w:tc>
        <w:tc>
          <w:tcPr>
            <w:tcW w:w="1120" w:type="dxa"/>
            <w:tcBorders>
              <w:top w:val="nil"/>
              <w:left w:val="nil"/>
              <w:bottom w:val="single" w:sz="4" w:space="0" w:color="5E8A00"/>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 xml:space="preserve">426,900 </w:t>
            </w:r>
          </w:p>
        </w:tc>
        <w:tc>
          <w:tcPr>
            <w:tcW w:w="1120" w:type="dxa"/>
            <w:tcBorders>
              <w:top w:val="nil"/>
              <w:left w:val="nil"/>
              <w:bottom w:val="single" w:sz="4" w:space="0" w:color="5E8A00"/>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 xml:space="preserve">548,700 </w:t>
            </w:r>
          </w:p>
        </w:tc>
        <w:tc>
          <w:tcPr>
            <w:tcW w:w="1120" w:type="dxa"/>
            <w:tcBorders>
              <w:top w:val="nil"/>
              <w:left w:val="nil"/>
              <w:bottom w:val="single" w:sz="4" w:space="0" w:color="5E8A00"/>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 xml:space="preserve">670,400 </w:t>
            </w:r>
          </w:p>
        </w:tc>
        <w:tc>
          <w:tcPr>
            <w:tcW w:w="1120" w:type="dxa"/>
            <w:tcBorders>
              <w:top w:val="nil"/>
              <w:left w:val="nil"/>
              <w:bottom w:val="single" w:sz="4" w:space="0" w:color="5E8A00"/>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76%</w:t>
            </w:r>
          </w:p>
        </w:tc>
      </w:tr>
      <w:tr w:rsidR="00A903CB" w:rsidRPr="00A903CB" w:rsidTr="005C5C90">
        <w:trPr>
          <w:trHeight w:hRule="exact" w:val="284"/>
        </w:trPr>
        <w:tc>
          <w:tcPr>
            <w:tcW w:w="2835" w:type="dxa"/>
            <w:tcBorders>
              <w:top w:val="nil"/>
              <w:left w:val="single" w:sz="4" w:space="0" w:color="5E8A00"/>
              <w:right w:val="single" w:sz="4" w:space="0" w:color="5E8A00"/>
            </w:tcBorders>
            <w:shd w:val="clear" w:color="000000" w:fill="FFFFFF"/>
            <w:noWrap/>
            <w:vAlign w:val="bottom"/>
            <w:hideMark/>
          </w:tcPr>
          <w:p w:rsidR="00A903CB" w:rsidRPr="00A903CB" w:rsidRDefault="00A903CB" w:rsidP="00A903CB">
            <w:pPr>
              <w:spacing w:after="0" w:line="240" w:lineRule="auto"/>
              <w:jc w:val="left"/>
              <w:rPr>
                <w:rFonts w:cs="Arial"/>
                <w:color w:val="3E5B00"/>
                <w:sz w:val="18"/>
                <w:szCs w:val="18"/>
                <w:lang w:eastAsia="en-AU"/>
              </w:rPr>
            </w:pPr>
            <w:r w:rsidRPr="00A903CB">
              <w:rPr>
                <w:rFonts w:cs="Arial"/>
                <w:color w:val="3E5B00"/>
                <w:sz w:val="18"/>
                <w:szCs w:val="18"/>
                <w:lang w:eastAsia="en-AU"/>
              </w:rPr>
              <w:t>TAFE domestic fee for service*</w:t>
            </w:r>
          </w:p>
        </w:tc>
        <w:tc>
          <w:tcPr>
            <w:tcW w:w="965" w:type="dxa"/>
            <w:tcBorders>
              <w:top w:val="nil"/>
              <w:left w:val="nil"/>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 xml:space="preserve">89,400 </w:t>
            </w:r>
          </w:p>
        </w:tc>
        <w:tc>
          <w:tcPr>
            <w:tcW w:w="1120" w:type="dxa"/>
            <w:tcBorders>
              <w:top w:val="nil"/>
              <w:left w:val="nil"/>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 xml:space="preserve">100,800 </w:t>
            </w:r>
          </w:p>
        </w:tc>
        <w:tc>
          <w:tcPr>
            <w:tcW w:w="1120" w:type="dxa"/>
            <w:tcBorders>
              <w:top w:val="nil"/>
              <w:left w:val="nil"/>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 xml:space="preserve">103,700 </w:t>
            </w:r>
          </w:p>
        </w:tc>
        <w:tc>
          <w:tcPr>
            <w:tcW w:w="1120" w:type="dxa"/>
            <w:tcBorders>
              <w:top w:val="nil"/>
              <w:left w:val="nil"/>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 xml:space="preserve">102,200 </w:t>
            </w:r>
          </w:p>
        </w:tc>
        <w:tc>
          <w:tcPr>
            <w:tcW w:w="1120" w:type="dxa"/>
            <w:tcBorders>
              <w:top w:val="nil"/>
              <w:left w:val="nil"/>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 xml:space="preserve">124,900 </w:t>
            </w:r>
          </w:p>
        </w:tc>
        <w:tc>
          <w:tcPr>
            <w:tcW w:w="1120" w:type="dxa"/>
            <w:tcBorders>
              <w:top w:val="nil"/>
              <w:left w:val="nil"/>
              <w:right w:val="single" w:sz="4" w:space="0" w:color="5E8A00"/>
            </w:tcBorders>
            <w:shd w:val="clear" w:color="auto" w:fill="auto"/>
            <w:noWrap/>
            <w:vAlign w:val="center"/>
            <w:hideMark/>
          </w:tcPr>
          <w:p w:rsidR="00A903CB" w:rsidRPr="00A903CB" w:rsidRDefault="00A903CB" w:rsidP="00A903CB">
            <w:pPr>
              <w:spacing w:after="0" w:line="240" w:lineRule="auto"/>
              <w:jc w:val="right"/>
              <w:rPr>
                <w:rFonts w:cs="Arial"/>
                <w:sz w:val="18"/>
                <w:szCs w:val="18"/>
                <w:lang w:eastAsia="en-AU"/>
              </w:rPr>
            </w:pPr>
            <w:r w:rsidRPr="00A903CB">
              <w:rPr>
                <w:rFonts w:cs="Arial"/>
                <w:sz w:val="18"/>
                <w:szCs w:val="18"/>
                <w:lang w:eastAsia="en-AU"/>
              </w:rPr>
              <w:t>40%</w:t>
            </w:r>
          </w:p>
        </w:tc>
      </w:tr>
      <w:tr w:rsidR="00A903CB" w:rsidRPr="00A903CB" w:rsidTr="005C5C90">
        <w:trPr>
          <w:trHeight w:hRule="exact" w:val="284"/>
        </w:trPr>
        <w:tc>
          <w:tcPr>
            <w:tcW w:w="2835" w:type="dxa"/>
            <w:tcBorders>
              <w:left w:val="single" w:sz="4" w:space="0" w:color="5E8A00"/>
              <w:bottom w:val="nil"/>
            </w:tcBorders>
            <w:shd w:val="clear" w:color="000000" w:fill="5E8A00"/>
            <w:noWrap/>
            <w:vAlign w:val="bottom"/>
            <w:hideMark/>
          </w:tcPr>
          <w:p w:rsidR="00A903CB" w:rsidRPr="00A903CB" w:rsidRDefault="00A903CB" w:rsidP="00A903CB">
            <w:pPr>
              <w:spacing w:after="0" w:line="240" w:lineRule="auto"/>
              <w:jc w:val="left"/>
              <w:rPr>
                <w:rFonts w:cs="Arial"/>
                <w:b/>
                <w:bCs/>
                <w:color w:val="FFFFFF"/>
                <w:sz w:val="18"/>
                <w:szCs w:val="18"/>
                <w:lang w:eastAsia="en-AU"/>
              </w:rPr>
            </w:pPr>
            <w:r w:rsidRPr="00A903CB">
              <w:rPr>
                <w:rFonts w:cs="Arial"/>
                <w:b/>
                <w:bCs/>
                <w:color w:val="FFFFFF"/>
                <w:sz w:val="18"/>
                <w:szCs w:val="18"/>
                <w:lang w:eastAsia="en-AU"/>
              </w:rPr>
              <w:t>Total</w:t>
            </w:r>
          </w:p>
        </w:tc>
        <w:tc>
          <w:tcPr>
            <w:tcW w:w="965" w:type="dxa"/>
            <w:tcBorders>
              <w:bottom w:val="nil"/>
            </w:tcBorders>
            <w:shd w:val="clear" w:color="000000" w:fill="5E8A00"/>
            <w:noWrap/>
            <w:vAlign w:val="center"/>
            <w:hideMark/>
          </w:tcPr>
          <w:p w:rsidR="00A903CB" w:rsidRPr="00A903CB" w:rsidRDefault="00A903CB" w:rsidP="00A903CB">
            <w:pPr>
              <w:spacing w:after="0" w:line="240" w:lineRule="auto"/>
              <w:jc w:val="right"/>
              <w:rPr>
                <w:rFonts w:cs="Arial"/>
                <w:b/>
                <w:bCs/>
                <w:color w:val="FFFFFF"/>
                <w:sz w:val="18"/>
                <w:szCs w:val="18"/>
                <w:lang w:eastAsia="en-AU"/>
              </w:rPr>
            </w:pPr>
            <w:r w:rsidRPr="00A903CB">
              <w:rPr>
                <w:rFonts w:cs="Arial"/>
                <w:b/>
                <w:bCs/>
                <w:color w:val="FFFFFF"/>
                <w:sz w:val="18"/>
                <w:szCs w:val="18"/>
                <w:lang w:eastAsia="en-AU"/>
              </w:rPr>
              <w:t xml:space="preserve">470,700 </w:t>
            </w:r>
          </w:p>
        </w:tc>
        <w:tc>
          <w:tcPr>
            <w:tcW w:w="1120" w:type="dxa"/>
            <w:tcBorders>
              <w:bottom w:val="nil"/>
            </w:tcBorders>
            <w:shd w:val="clear" w:color="000000" w:fill="5E8A00"/>
            <w:noWrap/>
            <w:vAlign w:val="center"/>
            <w:hideMark/>
          </w:tcPr>
          <w:p w:rsidR="00A903CB" w:rsidRPr="00A903CB" w:rsidRDefault="00A903CB" w:rsidP="00A903CB">
            <w:pPr>
              <w:spacing w:after="0" w:line="240" w:lineRule="auto"/>
              <w:jc w:val="right"/>
              <w:rPr>
                <w:rFonts w:cs="Arial"/>
                <w:b/>
                <w:bCs/>
                <w:color w:val="FFFFFF"/>
                <w:sz w:val="18"/>
                <w:szCs w:val="18"/>
                <w:lang w:eastAsia="en-AU"/>
              </w:rPr>
            </w:pPr>
            <w:r w:rsidRPr="00A903CB">
              <w:rPr>
                <w:rFonts w:cs="Arial"/>
                <w:b/>
                <w:bCs/>
                <w:color w:val="FFFFFF"/>
                <w:sz w:val="18"/>
                <w:szCs w:val="18"/>
                <w:lang w:eastAsia="en-AU"/>
              </w:rPr>
              <w:t xml:space="preserve">477,600 </w:t>
            </w:r>
          </w:p>
        </w:tc>
        <w:tc>
          <w:tcPr>
            <w:tcW w:w="1120" w:type="dxa"/>
            <w:tcBorders>
              <w:bottom w:val="nil"/>
            </w:tcBorders>
            <w:shd w:val="clear" w:color="000000" w:fill="5E8A00"/>
            <w:noWrap/>
            <w:vAlign w:val="center"/>
            <w:hideMark/>
          </w:tcPr>
          <w:p w:rsidR="00A903CB" w:rsidRPr="00A903CB" w:rsidRDefault="00A903CB" w:rsidP="00A903CB">
            <w:pPr>
              <w:spacing w:after="0" w:line="240" w:lineRule="auto"/>
              <w:jc w:val="right"/>
              <w:rPr>
                <w:rFonts w:cs="Arial"/>
                <w:b/>
                <w:bCs/>
                <w:color w:val="FFFFFF"/>
                <w:sz w:val="18"/>
                <w:szCs w:val="18"/>
                <w:lang w:eastAsia="en-AU"/>
              </w:rPr>
            </w:pPr>
            <w:r w:rsidRPr="00A903CB">
              <w:rPr>
                <w:rFonts w:cs="Arial"/>
                <w:b/>
                <w:bCs/>
                <w:color w:val="FFFFFF"/>
                <w:sz w:val="18"/>
                <w:szCs w:val="18"/>
                <w:lang w:eastAsia="en-AU"/>
              </w:rPr>
              <w:t xml:space="preserve">530,600 </w:t>
            </w:r>
          </w:p>
        </w:tc>
        <w:tc>
          <w:tcPr>
            <w:tcW w:w="1120" w:type="dxa"/>
            <w:tcBorders>
              <w:bottom w:val="nil"/>
            </w:tcBorders>
            <w:shd w:val="clear" w:color="000000" w:fill="5E8A00"/>
            <w:noWrap/>
            <w:vAlign w:val="center"/>
            <w:hideMark/>
          </w:tcPr>
          <w:p w:rsidR="00A903CB" w:rsidRPr="00A903CB" w:rsidRDefault="00A903CB" w:rsidP="00A903CB">
            <w:pPr>
              <w:spacing w:after="0" w:line="240" w:lineRule="auto"/>
              <w:jc w:val="right"/>
              <w:rPr>
                <w:rFonts w:cs="Arial"/>
                <w:b/>
                <w:bCs/>
                <w:color w:val="FFFFFF"/>
                <w:sz w:val="18"/>
                <w:szCs w:val="18"/>
                <w:lang w:eastAsia="en-AU"/>
              </w:rPr>
            </w:pPr>
            <w:r w:rsidRPr="00A903CB">
              <w:rPr>
                <w:rFonts w:cs="Arial"/>
                <w:b/>
                <w:bCs/>
                <w:color w:val="FFFFFF"/>
                <w:sz w:val="18"/>
                <w:szCs w:val="18"/>
                <w:lang w:eastAsia="en-AU"/>
              </w:rPr>
              <w:t xml:space="preserve">650,900 </w:t>
            </w:r>
          </w:p>
        </w:tc>
        <w:tc>
          <w:tcPr>
            <w:tcW w:w="1120" w:type="dxa"/>
            <w:tcBorders>
              <w:bottom w:val="nil"/>
            </w:tcBorders>
            <w:shd w:val="clear" w:color="000000" w:fill="5E8A00"/>
            <w:noWrap/>
            <w:vAlign w:val="center"/>
            <w:hideMark/>
          </w:tcPr>
          <w:p w:rsidR="00A903CB" w:rsidRPr="00A903CB" w:rsidRDefault="00A903CB" w:rsidP="00A903CB">
            <w:pPr>
              <w:spacing w:after="0" w:line="240" w:lineRule="auto"/>
              <w:jc w:val="right"/>
              <w:rPr>
                <w:rFonts w:cs="Arial"/>
                <w:b/>
                <w:bCs/>
                <w:color w:val="FFFFFF"/>
                <w:sz w:val="18"/>
                <w:szCs w:val="18"/>
                <w:lang w:eastAsia="en-AU"/>
              </w:rPr>
            </w:pPr>
            <w:r w:rsidRPr="00A903CB">
              <w:rPr>
                <w:rFonts w:cs="Arial"/>
                <w:b/>
                <w:bCs/>
                <w:color w:val="FFFFFF"/>
                <w:sz w:val="18"/>
                <w:szCs w:val="18"/>
                <w:lang w:eastAsia="en-AU"/>
              </w:rPr>
              <w:t xml:space="preserve">795,300 </w:t>
            </w:r>
          </w:p>
        </w:tc>
        <w:tc>
          <w:tcPr>
            <w:tcW w:w="1120" w:type="dxa"/>
            <w:tcBorders>
              <w:bottom w:val="single" w:sz="4" w:space="0" w:color="5E8A00"/>
              <w:right w:val="single" w:sz="4" w:space="0" w:color="5E8A00"/>
            </w:tcBorders>
            <w:shd w:val="clear" w:color="000000" w:fill="5E8A00"/>
            <w:noWrap/>
            <w:vAlign w:val="center"/>
            <w:hideMark/>
          </w:tcPr>
          <w:p w:rsidR="00A903CB" w:rsidRPr="00A903CB" w:rsidRDefault="00A903CB" w:rsidP="00A903CB">
            <w:pPr>
              <w:spacing w:after="0" w:line="240" w:lineRule="auto"/>
              <w:jc w:val="right"/>
              <w:rPr>
                <w:rFonts w:cs="Arial"/>
                <w:b/>
                <w:bCs/>
                <w:color w:val="FFFFFF"/>
                <w:sz w:val="18"/>
                <w:szCs w:val="18"/>
                <w:lang w:eastAsia="en-AU"/>
              </w:rPr>
            </w:pPr>
            <w:r w:rsidRPr="00A903CB">
              <w:rPr>
                <w:rFonts w:cs="Arial"/>
                <w:b/>
                <w:bCs/>
                <w:color w:val="FFFFFF"/>
                <w:sz w:val="18"/>
                <w:szCs w:val="18"/>
                <w:lang w:eastAsia="en-AU"/>
              </w:rPr>
              <w:t>69%</w:t>
            </w:r>
          </w:p>
        </w:tc>
      </w:tr>
    </w:tbl>
    <w:p w:rsidR="00DB72B4" w:rsidRPr="001F29E3" w:rsidRDefault="008F0BCF" w:rsidP="00DB72B4">
      <w:pPr>
        <w:spacing w:after="0" w:line="240" w:lineRule="auto"/>
        <w:rPr>
          <w:rFonts w:cs="Arial"/>
          <w:sz w:val="16"/>
          <w:szCs w:val="16"/>
        </w:rPr>
      </w:pPr>
      <w:r>
        <w:rPr>
          <w:rFonts w:cs="Arial"/>
          <w:sz w:val="16"/>
          <w:szCs w:val="16"/>
        </w:rPr>
        <w:t xml:space="preserve">* </w:t>
      </w:r>
      <w:r w:rsidR="00DB72B4" w:rsidRPr="001F29E3">
        <w:rPr>
          <w:rFonts w:cs="Arial"/>
          <w:sz w:val="16"/>
          <w:szCs w:val="16"/>
        </w:rPr>
        <w:t>Fee for Service figures are TAFE on-shore domestic AQF</w:t>
      </w:r>
      <w:r w:rsidR="00891A33">
        <w:rPr>
          <w:rFonts w:cs="Arial"/>
          <w:sz w:val="16"/>
          <w:szCs w:val="16"/>
        </w:rPr>
        <w:t xml:space="preserve"> Level </w:t>
      </w:r>
      <w:r w:rsidR="00DB72B4" w:rsidRPr="001F29E3">
        <w:rPr>
          <w:rFonts w:cs="Arial"/>
          <w:sz w:val="16"/>
          <w:szCs w:val="16"/>
        </w:rPr>
        <w:t>1</w:t>
      </w:r>
      <w:r w:rsidR="00891A33">
        <w:rPr>
          <w:rFonts w:cs="Arial"/>
          <w:sz w:val="16"/>
          <w:szCs w:val="16"/>
        </w:rPr>
        <w:t xml:space="preserve"> and above</w:t>
      </w:r>
      <w:r w:rsidR="00DB72B4" w:rsidRPr="001F29E3">
        <w:rPr>
          <w:rFonts w:cs="Arial"/>
          <w:sz w:val="16"/>
          <w:szCs w:val="16"/>
        </w:rPr>
        <w:t>.</w:t>
      </w:r>
    </w:p>
    <w:p w:rsidR="00494F1F" w:rsidRDefault="00494F1F" w:rsidP="00064D9F">
      <w:pPr>
        <w:pStyle w:val="Caption"/>
        <w:rPr>
          <w:rFonts w:cs="Arial"/>
        </w:rPr>
      </w:pPr>
    </w:p>
    <w:p w:rsidR="00064D9F" w:rsidRPr="001F29E3" w:rsidRDefault="00064D9F" w:rsidP="00CB5563">
      <w:pPr>
        <w:pStyle w:val="Caption"/>
        <w:spacing w:after="0"/>
        <w:rPr>
          <w:rFonts w:cs="Arial"/>
        </w:rPr>
      </w:pPr>
      <w:proofErr w:type="gramStart"/>
      <w:r w:rsidRPr="001F29E3">
        <w:rPr>
          <w:rFonts w:cs="Arial"/>
        </w:rPr>
        <w:t>Table 1.</w:t>
      </w:r>
      <w:r w:rsidR="00C45AD9">
        <w:rPr>
          <w:rFonts w:cs="Arial"/>
        </w:rPr>
        <w:t>1.</w:t>
      </w:r>
      <w:proofErr w:type="gramEnd"/>
      <w:r w:rsidRPr="001F29E3">
        <w:rPr>
          <w:rFonts w:cs="Arial"/>
        </w:rPr>
        <w:fldChar w:fldCharType="begin"/>
      </w:r>
      <w:r w:rsidRPr="001F29E3">
        <w:rPr>
          <w:rFonts w:cs="Arial"/>
        </w:rPr>
        <w:instrText xml:space="preserve"> SEQ Table \* ARABIC \s 1 </w:instrText>
      </w:r>
      <w:r w:rsidRPr="001F29E3">
        <w:rPr>
          <w:rFonts w:cs="Arial"/>
        </w:rPr>
        <w:fldChar w:fldCharType="separate"/>
      </w:r>
      <w:r w:rsidR="008176F8">
        <w:rPr>
          <w:rFonts w:cs="Arial"/>
          <w:noProof/>
        </w:rPr>
        <w:t>2</w:t>
      </w:r>
      <w:r w:rsidRPr="001F29E3">
        <w:rPr>
          <w:rFonts w:cs="Arial"/>
          <w:noProof/>
        </w:rPr>
        <w:fldChar w:fldCharType="end"/>
      </w:r>
      <w:r w:rsidRPr="001F29E3">
        <w:rPr>
          <w:rFonts w:cs="Arial"/>
        </w:rPr>
        <w:t xml:space="preserve">: </w:t>
      </w:r>
      <w:r w:rsidR="0025400C">
        <w:t>Enrolments in v</w:t>
      </w:r>
      <w:r w:rsidR="0025400C" w:rsidRPr="001F29E3">
        <w:t>ocational training by funding type</w:t>
      </w:r>
      <w:r w:rsidRPr="001F29E3">
        <w:rPr>
          <w:rFonts w:cs="Arial"/>
        </w:rPr>
        <w:t xml:space="preserve">, </w:t>
      </w:r>
      <w:r w:rsidR="00A6569A">
        <w:rPr>
          <w:rFonts w:cs="Arial"/>
        </w:rPr>
        <w:t xml:space="preserve">Q2 2011, </w:t>
      </w:r>
      <w:r w:rsidR="00A6569A" w:rsidRPr="001F29E3">
        <w:rPr>
          <w:rFonts w:cs="Arial"/>
        </w:rPr>
        <w:t>Q</w:t>
      </w:r>
      <w:r w:rsidR="00A6569A">
        <w:rPr>
          <w:rFonts w:cs="Arial"/>
        </w:rPr>
        <w:t>2</w:t>
      </w:r>
      <w:r w:rsidR="00A6569A" w:rsidRPr="001F29E3">
        <w:rPr>
          <w:rFonts w:cs="Arial"/>
        </w:rPr>
        <w:t xml:space="preserve"> 2012 and Q</w:t>
      </w:r>
      <w:r w:rsidR="00A6569A">
        <w:rPr>
          <w:rFonts w:cs="Arial"/>
        </w:rPr>
        <w:t>2</w:t>
      </w:r>
      <w:r w:rsidR="00A6569A" w:rsidRPr="001F29E3">
        <w:rPr>
          <w:rFonts w:cs="Arial"/>
        </w:rPr>
        <w:t xml:space="preserve"> 2013</w:t>
      </w:r>
    </w:p>
    <w:tbl>
      <w:tblPr>
        <w:tblW w:w="8577" w:type="dxa"/>
        <w:tblInd w:w="108" w:type="dxa"/>
        <w:tblLook w:val="04A0" w:firstRow="1" w:lastRow="0" w:firstColumn="1" w:lastColumn="0" w:noHBand="0" w:noVBand="1"/>
      </w:tblPr>
      <w:tblGrid>
        <w:gridCol w:w="2977"/>
        <w:gridCol w:w="1120"/>
        <w:gridCol w:w="1120"/>
        <w:gridCol w:w="1120"/>
        <w:gridCol w:w="1120"/>
        <w:gridCol w:w="1120"/>
      </w:tblGrid>
      <w:tr w:rsidR="006007D8" w:rsidRPr="006007D8" w:rsidTr="005C5C90">
        <w:trPr>
          <w:trHeight w:hRule="exact" w:val="760"/>
        </w:trPr>
        <w:tc>
          <w:tcPr>
            <w:tcW w:w="2977" w:type="dxa"/>
            <w:tcBorders>
              <w:left w:val="single" w:sz="4" w:space="0" w:color="5E8A00"/>
              <w:bottom w:val="single" w:sz="4" w:space="0" w:color="5E8A00"/>
            </w:tcBorders>
            <w:shd w:val="clear" w:color="000000" w:fill="5E8A00"/>
            <w:noWrap/>
            <w:vAlign w:val="center"/>
            <w:hideMark/>
          </w:tcPr>
          <w:p w:rsidR="006007D8" w:rsidRPr="006007D8" w:rsidRDefault="006007D8" w:rsidP="00F034AF">
            <w:pPr>
              <w:spacing w:after="0" w:line="240" w:lineRule="auto"/>
              <w:ind w:firstLineChars="100" w:firstLine="181"/>
              <w:jc w:val="left"/>
              <w:rPr>
                <w:rFonts w:cs="Arial"/>
                <w:b/>
                <w:bCs/>
                <w:color w:val="FFFFFF"/>
                <w:sz w:val="18"/>
                <w:szCs w:val="18"/>
                <w:lang w:eastAsia="en-AU"/>
              </w:rPr>
            </w:pPr>
            <w:r w:rsidRPr="006007D8">
              <w:rPr>
                <w:rFonts w:cs="Arial"/>
                <w:b/>
                <w:bCs/>
                <w:color w:val="FFFFFF"/>
                <w:sz w:val="18"/>
                <w:szCs w:val="18"/>
                <w:lang w:eastAsia="en-AU"/>
              </w:rPr>
              <w:t> </w:t>
            </w:r>
          </w:p>
        </w:tc>
        <w:tc>
          <w:tcPr>
            <w:tcW w:w="1120" w:type="dxa"/>
            <w:tcBorders>
              <w:bottom w:val="single" w:sz="4" w:space="0" w:color="5E8A00"/>
            </w:tcBorders>
            <w:shd w:val="clear" w:color="000000" w:fill="5E8A00"/>
            <w:vAlign w:val="center"/>
            <w:hideMark/>
          </w:tcPr>
          <w:p w:rsidR="006007D8" w:rsidRPr="006007D8" w:rsidRDefault="006007D8" w:rsidP="00F034AF">
            <w:pPr>
              <w:spacing w:after="0" w:line="240" w:lineRule="auto"/>
              <w:ind w:firstLineChars="100" w:firstLine="181"/>
              <w:jc w:val="right"/>
              <w:rPr>
                <w:rFonts w:cs="Arial"/>
                <w:b/>
                <w:bCs/>
                <w:color w:val="FFFFFF"/>
                <w:sz w:val="18"/>
                <w:szCs w:val="18"/>
                <w:lang w:eastAsia="en-AU"/>
              </w:rPr>
            </w:pPr>
            <w:r w:rsidRPr="006007D8">
              <w:rPr>
                <w:rFonts w:cs="Arial"/>
                <w:b/>
                <w:bCs/>
                <w:color w:val="FFFFFF"/>
                <w:sz w:val="18"/>
                <w:szCs w:val="18"/>
                <w:lang w:eastAsia="en-AU"/>
              </w:rPr>
              <w:t>Q2 2011</w:t>
            </w:r>
          </w:p>
        </w:tc>
        <w:tc>
          <w:tcPr>
            <w:tcW w:w="1120" w:type="dxa"/>
            <w:tcBorders>
              <w:bottom w:val="single" w:sz="4" w:space="0" w:color="5E8A00"/>
            </w:tcBorders>
            <w:shd w:val="clear" w:color="000000" w:fill="5E8A00"/>
            <w:vAlign w:val="center"/>
            <w:hideMark/>
          </w:tcPr>
          <w:p w:rsidR="006007D8" w:rsidRPr="006007D8" w:rsidRDefault="006007D8" w:rsidP="00F034AF">
            <w:pPr>
              <w:spacing w:after="0" w:line="240" w:lineRule="auto"/>
              <w:ind w:firstLineChars="100" w:firstLine="181"/>
              <w:jc w:val="right"/>
              <w:rPr>
                <w:rFonts w:cs="Arial"/>
                <w:b/>
                <w:bCs/>
                <w:color w:val="FFFFFF"/>
                <w:sz w:val="18"/>
                <w:szCs w:val="18"/>
                <w:lang w:eastAsia="en-AU"/>
              </w:rPr>
            </w:pPr>
            <w:r w:rsidRPr="006007D8">
              <w:rPr>
                <w:rFonts w:cs="Arial"/>
                <w:b/>
                <w:bCs/>
                <w:color w:val="FFFFFF"/>
                <w:sz w:val="18"/>
                <w:szCs w:val="18"/>
                <w:lang w:eastAsia="en-AU"/>
              </w:rPr>
              <w:t>Q2 2012</w:t>
            </w:r>
          </w:p>
        </w:tc>
        <w:tc>
          <w:tcPr>
            <w:tcW w:w="1120" w:type="dxa"/>
            <w:tcBorders>
              <w:bottom w:val="single" w:sz="4" w:space="0" w:color="5E8A00"/>
            </w:tcBorders>
            <w:shd w:val="clear" w:color="000000" w:fill="5E8A00"/>
            <w:vAlign w:val="center"/>
            <w:hideMark/>
          </w:tcPr>
          <w:p w:rsidR="006007D8" w:rsidRPr="006007D8" w:rsidRDefault="006007D8" w:rsidP="00F034AF">
            <w:pPr>
              <w:spacing w:after="0" w:line="240" w:lineRule="auto"/>
              <w:ind w:firstLineChars="100" w:firstLine="181"/>
              <w:jc w:val="right"/>
              <w:rPr>
                <w:rFonts w:cs="Arial"/>
                <w:b/>
                <w:bCs/>
                <w:color w:val="FFFFFF"/>
                <w:sz w:val="18"/>
                <w:szCs w:val="18"/>
                <w:lang w:eastAsia="en-AU"/>
              </w:rPr>
            </w:pPr>
            <w:r w:rsidRPr="006007D8">
              <w:rPr>
                <w:rFonts w:cs="Arial"/>
                <w:b/>
                <w:bCs/>
                <w:color w:val="FFFFFF"/>
                <w:sz w:val="18"/>
                <w:szCs w:val="18"/>
                <w:lang w:eastAsia="en-AU"/>
              </w:rPr>
              <w:t>Q2 2013</w:t>
            </w:r>
          </w:p>
        </w:tc>
        <w:tc>
          <w:tcPr>
            <w:tcW w:w="1120" w:type="dxa"/>
            <w:tcBorders>
              <w:bottom w:val="single" w:sz="4" w:space="0" w:color="5E8A00"/>
            </w:tcBorders>
            <w:shd w:val="clear" w:color="000000" w:fill="5E8A00"/>
            <w:vAlign w:val="center"/>
            <w:hideMark/>
          </w:tcPr>
          <w:p w:rsidR="006007D8" w:rsidRPr="006007D8" w:rsidRDefault="006007D8" w:rsidP="006007D8">
            <w:pPr>
              <w:spacing w:after="0" w:line="240" w:lineRule="auto"/>
              <w:jc w:val="right"/>
              <w:rPr>
                <w:rFonts w:cs="Arial"/>
                <w:b/>
                <w:bCs/>
                <w:color w:val="FFFFFF"/>
                <w:sz w:val="18"/>
                <w:szCs w:val="18"/>
                <w:lang w:eastAsia="en-AU"/>
              </w:rPr>
            </w:pPr>
            <w:r w:rsidRPr="006007D8">
              <w:rPr>
                <w:rFonts w:cs="Arial"/>
                <w:b/>
                <w:bCs/>
                <w:color w:val="FFFFFF"/>
                <w:sz w:val="18"/>
                <w:szCs w:val="18"/>
                <w:lang w:eastAsia="en-AU"/>
              </w:rPr>
              <w:t>% change</w:t>
            </w:r>
            <w:r w:rsidRPr="006007D8">
              <w:rPr>
                <w:rFonts w:cs="Arial"/>
                <w:b/>
                <w:bCs/>
                <w:color w:val="FFFFFF"/>
                <w:sz w:val="18"/>
                <w:szCs w:val="18"/>
                <w:lang w:eastAsia="en-AU"/>
              </w:rPr>
              <w:br/>
              <w:t>Q2 2011-Q2 2013 </w:t>
            </w:r>
          </w:p>
        </w:tc>
        <w:tc>
          <w:tcPr>
            <w:tcW w:w="1120" w:type="dxa"/>
            <w:tcBorders>
              <w:bottom w:val="single" w:sz="4" w:space="0" w:color="5E8A00"/>
              <w:right w:val="single" w:sz="4" w:space="0" w:color="5E8A00"/>
            </w:tcBorders>
            <w:shd w:val="clear" w:color="000000" w:fill="5E8A00"/>
            <w:vAlign w:val="center"/>
            <w:hideMark/>
          </w:tcPr>
          <w:p w:rsidR="006007D8" w:rsidRPr="006007D8" w:rsidRDefault="006007D8" w:rsidP="006007D8">
            <w:pPr>
              <w:spacing w:after="0" w:line="240" w:lineRule="auto"/>
              <w:jc w:val="right"/>
              <w:rPr>
                <w:rFonts w:cs="Arial"/>
                <w:b/>
                <w:bCs/>
                <w:color w:val="FFFFFF"/>
                <w:sz w:val="18"/>
                <w:szCs w:val="18"/>
                <w:lang w:eastAsia="en-AU"/>
              </w:rPr>
            </w:pPr>
            <w:r w:rsidRPr="006007D8">
              <w:rPr>
                <w:rFonts w:cs="Arial"/>
                <w:b/>
                <w:bCs/>
                <w:color w:val="FFFFFF"/>
                <w:sz w:val="18"/>
                <w:szCs w:val="18"/>
                <w:lang w:eastAsia="en-AU"/>
              </w:rPr>
              <w:t>% change</w:t>
            </w:r>
            <w:r w:rsidRPr="006007D8">
              <w:rPr>
                <w:rFonts w:cs="Arial"/>
                <w:b/>
                <w:bCs/>
                <w:color w:val="FFFFFF"/>
                <w:sz w:val="18"/>
                <w:szCs w:val="18"/>
                <w:lang w:eastAsia="en-AU"/>
              </w:rPr>
              <w:br/>
              <w:t>Q2 2012-Q2 2013 </w:t>
            </w:r>
          </w:p>
        </w:tc>
      </w:tr>
      <w:tr w:rsidR="006007D8" w:rsidRPr="006007D8" w:rsidTr="004B00BD">
        <w:trPr>
          <w:trHeight w:hRule="exact" w:val="284"/>
        </w:trPr>
        <w:tc>
          <w:tcPr>
            <w:tcW w:w="2977" w:type="dxa"/>
            <w:tcBorders>
              <w:top w:val="nil"/>
              <w:left w:val="single" w:sz="4" w:space="0" w:color="5E8A00"/>
              <w:bottom w:val="single" w:sz="4" w:space="0" w:color="5E8A00"/>
              <w:right w:val="single" w:sz="4" w:space="0" w:color="5E8A00"/>
            </w:tcBorders>
            <w:shd w:val="clear" w:color="000000" w:fill="FFFFFF"/>
            <w:noWrap/>
            <w:vAlign w:val="bottom"/>
            <w:hideMark/>
          </w:tcPr>
          <w:p w:rsidR="006007D8" w:rsidRPr="006007D8" w:rsidRDefault="0069078C" w:rsidP="006007D8">
            <w:pPr>
              <w:spacing w:after="0" w:line="240" w:lineRule="auto"/>
              <w:jc w:val="left"/>
              <w:rPr>
                <w:rFonts w:cs="Arial"/>
                <w:color w:val="3E5B00"/>
                <w:sz w:val="18"/>
                <w:szCs w:val="18"/>
                <w:lang w:eastAsia="en-AU"/>
              </w:rPr>
            </w:pPr>
            <w:r>
              <w:rPr>
                <w:rFonts w:cs="Arial"/>
                <w:color w:val="3E5B00"/>
                <w:sz w:val="18"/>
                <w:szCs w:val="18"/>
                <w:lang w:eastAsia="en-AU"/>
              </w:rPr>
              <w:t>Government subsidised</w:t>
            </w:r>
          </w:p>
        </w:tc>
        <w:tc>
          <w:tcPr>
            <w:tcW w:w="1120" w:type="dxa"/>
            <w:tcBorders>
              <w:top w:val="nil"/>
              <w:left w:val="nil"/>
              <w:bottom w:val="single" w:sz="4" w:space="0" w:color="5E8A00"/>
              <w:right w:val="single" w:sz="4" w:space="0" w:color="5E8A00"/>
            </w:tcBorders>
            <w:shd w:val="clear" w:color="auto" w:fill="auto"/>
            <w:noWrap/>
            <w:vAlign w:val="center"/>
            <w:hideMark/>
          </w:tcPr>
          <w:p w:rsidR="006007D8" w:rsidRPr="006007D8" w:rsidRDefault="006007D8" w:rsidP="006007D8">
            <w:pPr>
              <w:spacing w:after="0" w:line="240" w:lineRule="auto"/>
              <w:jc w:val="right"/>
              <w:rPr>
                <w:rFonts w:cs="Arial"/>
                <w:sz w:val="18"/>
                <w:szCs w:val="18"/>
                <w:lang w:eastAsia="en-AU"/>
              </w:rPr>
            </w:pPr>
            <w:r w:rsidRPr="006007D8">
              <w:rPr>
                <w:rFonts w:cs="Arial"/>
                <w:sz w:val="18"/>
                <w:szCs w:val="18"/>
                <w:lang w:eastAsia="en-AU"/>
              </w:rPr>
              <w:t xml:space="preserve">320,400 </w:t>
            </w:r>
          </w:p>
        </w:tc>
        <w:tc>
          <w:tcPr>
            <w:tcW w:w="1120" w:type="dxa"/>
            <w:tcBorders>
              <w:top w:val="nil"/>
              <w:left w:val="nil"/>
              <w:bottom w:val="single" w:sz="4" w:space="0" w:color="5E8A00"/>
              <w:right w:val="single" w:sz="4" w:space="0" w:color="5E8A00"/>
            </w:tcBorders>
            <w:shd w:val="clear" w:color="auto" w:fill="auto"/>
            <w:noWrap/>
            <w:vAlign w:val="center"/>
            <w:hideMark/>
          </w:tcPr>
          <w:p w:rsidR="006007D8" w:rsidRPr="006007D8" w:rsidRDefault="006007D8" w:rsidP="006007D8">
            <w:pPr>
              <w:spacing w:after="0" w:line="240" w:lineRule="auto"/>
              <w:jc w:val="right"/>
              <w:rPr>
                <w:rFonts w:cs="Arial"/>
                <w:sz w:val="18"/>
                <w:szCs w:val="18"/>
                <w:lang w:eastAsia="en-AU"/>
              </w:rPr>
            </w:pPr>
            <w:r w:rsidRPr="006007D8">
              <w:rPr>
                <w:rFonts w:cs="Arial"/>
                <w:sz w:val="18"/>
                <w:szCs w:val="18"/>
                <w:lang w:eastAsia="en-AU"/>
              </w:rPr>
              <w:t xml:space="preserve">458,100 </w:t>
            </w:r>
          </w:p>
        </w:tc>
        <w:tc>
          <w:tcPr>
            <w:tcW w:w="1120" w:type="dxa"/>
            <w:tcBorders>
              <w:top w:val="nil"/>
              <w:left w:val="nil"/>
              <w:bottom w:val="single" w:sz="4" w:space="0" w:color="5E8A00"/>
              <w:right w:val="single" w:sz="4" w:space="0" w:color="5E8A00"/>
            </w:tcBorders>
            <w:shd w:val="clear" w:color="auto" w:fill="auto"/>
            <w:noWrap/>
            <w:vAlign w:val="center"/>
            <w:hideMark/>
          </w:tcPr>
          <w:p w:rsidR="006007D8" w:rsidRPr="006007D8" w:rsidRDefault="006007D8" w:rsidP="006007D8">
            <w:pPr>
              <w:spacing w:after="0" w:line="240" w:lineRule="auto"/>
              <w:jc w:val="right"/>
              <w:rPr>
                <w:rFonts w:cs="Arial"/>
                <w:sz w:val="18"/>
                <w:szCs w:val="18"/>
                <w:lang w:eastAsia="en-AU"/>
              </w:rPr>
            </w:pPr>
            <w:r w:rsidRPr="006007D8">
              <w:rPr>
                <w:rFonts w:cs="Arial"/>
                <w:sz w:val="18"/>
                <w:szCs w:val="18"/>
                <w:lang w:eastAsia="en-AU"/>
              </w:rPr>
              <w:t xml:space="preserve">399,000 </w:t>
            </w:r>
          </w:p>
        </w:tc>
        <w:tc>
          <w:tcPr>
            <w:tcW w:w="1120" w:type="dxa"/>
            <w:tcBorders>
              <w:top w:val="nil"/>
              <w:left w:val="nil"/>
              <w:bottom w:val="single" w:sz="4" w:space="0" w:color="5E8A00"/>
              <w:right w:val="single" w:sz="4" w:space="0" w:color="5E8A00"/>
            </w:tcBorders>
            <w:shd w:val="clear" w:color="auto" w:fill="auto"/>
            <w:noWrap/>
            <w:vAlign w:val="center"/>
            <w:hideMark/>
          </w:tcPr>
          <w:p w:rsidR="006007D8" w:rsidRPr="006007D8" w:rsidRDefault="006007D8" w:rsidP="006007D8">
            <w:pPr>
              <w:spacing w:after="0" w:line="240" w:lineRule="auto"/>
              <w:jc w:val="right"/>
              <w:rPr>
                <w:rFonts w:cs="Arial"/>
                <w:sz w:val="18"/>
                <w:szCs w:val="18"/>
                <w:lang w:eastAsia="en-AU"/>
              </w:rPr>
            </w:pPr>
            <w:r w:rsidRPr="006007D8">
              <w:rPr>
                <w:rFonts w:cs="Arial"/>
                <w:sz w:val="18"/>
                <w:szCs w:val="18"/>
                <w:lang w:eastAsia="en-AU"/>
              </w:rPr>
              <w:t>25%</w:t>
            </w:r>
          </w:p>
        </w:tc>
        <w:tc>
          <w:tcPr>
            <w:tcW w:w="1120" w:type="dxa"/>
            <w:tcBorders>
              <w:top w:val="nil"/>
              <w:left w:val="nil"/>
              <w:bottom w:val="single" w:sz="4" w:space="0" w:color="5E8A00"/>
              <w:right w:val="single" w:sz="4" w:space="0" w:color="5E8A00"/>
            </w:tcBorders>
            <w:shd w:val="clear" w:color="auto" w:fill="auto"/>
            <w:noWrap/>
            <w:vAlign w:val="center"/>
            <w:hideMark/>
          </w:tcPr>
          <w:p w:rsidR="006007D8" w:rsidRPr="006007D8" w:rsidRDefault="006007D8" w:rsidP="006007D8">
            <w:pPr>
              <w:spacing w:after="0" w:line="240" w:lineRule="auto"/>
              <w:jc w:val="right"/>
              <w:rPr>
                <w:rFonts w:cs="Arial"/>
                <w:sz w:val="18"/>
                <w:szCs w:val="18"/>
                <w:lang w:eastAsia="en-AU"/>
              </w:rPr>
            </w:pPr>
            <w:r w:rsidRPr="006007D8">
              <w:rPr>
                <w:rFonts w:cs="Arial"/>
                <w:sz w:val="18"/>
                <w:szCs w:val="18"/>
                <w:lang w:eastAsia="en-AU"/>
              </w:rPr>
              <w:t>-13%</w:t>
            </w:r>
          </w:p>
        </w:tc>
      </w:tr>
      <w:tr w:rsidR="006007D8" w:rsidRPr="006007D8" w:rsidTr="005C5C90">
        <w:trPr>
          <w:trHeight w:hRule="exact" w:val="284"/>
        </w:trPr>
        <w:tc>
          <w:tcPr>
            <w:tcW w:w="2977" w:type="dxa"/>
            <w:tcBorders>
              <w:top w:val="nil"/>
              <w:left w:val="single" w:sz="4" w:space="0" w:color="5E8A00"/>
              <w:right w:val="single" w:sz="4" w:space="0" w:color="5E8A00"/>
            </w:tcBorders>
            <w:shd w:val="clear" w:color="000000" w:fill="FFFFFF"/>
            <w:noWrap/>
            <w:vAlign w:val="bottom"/>
            <w:hideMark/>
          </w:tcPr>
          <w:p w:rsidR="006007D8" w:rsidRPr="006007D8" w:rsidRDefault="006007D8" w:rsidP="006007D8">
            <w:pPr>
              <w:spacing w:after="0" w:line="240" w:lineRule="auto"/>
              <w:jc w:val="left"/>
              <w:rPr>
                <w:rFonts w:cs="Arial"/>
                <w:color w:val="3E5B00"/>
                <w:sz w:val="18"/>
                <w:szCs w:val="18"/>
                <w:lang w:eastAsia="en-AU"/>
              </w:rPr>
            </w:pPr>
            <w:r w:rsidRPr="006007D8">
              <w:rPr>
                <w:rFonts w:cs="Arial"/>
                <w:color w:val="3E5B00"/>
                <w:sz w:val="18"/>
                <w:szCs w:val="18"/>
                <w:lang w:eastAsia="en-AU"/>
              </w:rPr>
              <w:t>TAFE domestic fee for service*</w:t>
            </w:r>
          </w:p>
        </w:tc>
        <w:tc>
          <w:tcPr>
            <w:tcW w:w="1120" w:type="dxa"/>
            <w:tcBorders>
              <w:top w:val="nil"/>
              <w:left w:val="nil"/>
              <w:right w:val="single" w:sz="4" w:space="0" w:color="5E8A00"/>
            </w:tcBorders>
            <w:shd w:val="clear" w:color="auto" w:fill="auto"/>
            <w:noWrap/>
            <w:vAlign w:val="center"/>
            <w:hideMark/>
          </w:tcPr>
          <w:p w:rsidR="006007D8" w:rsidRPr="006007D8" w:rsidRDefault="006007D8" w:rsidP="006007D8">
            <w:pPr>
              <w:spacing w:after="0" w:line="240" w:lineRule="auto"/>
              <w:jc w:val="right"/>
              <w:rPr>
                <w:rFonts w:cs="Arial"/>
                <w:sz w:val="18"/>
                <w:szCs w:val="18"/>
                <w:lang w:eastAsia="en-AU"/>
              </w:rPr>
            </w:pPr>
            <w:r w:rsidRPr="006007D8">
              <w:rPr>
                <w:rFonts w:cs="Arial"/>
                <w:sz w:val="18"/>
                <w:szCs w:val="18"/>
                <w:lang w:eastAsia="en-AU"/>
              </w:rPr>
              <w:t xml:space="preserve">58,200 </w:t>
            </w:r>
          </w:p>
        </w:tc>
        <w:tc>
          <w:tcPr>
            <w:tcW w:w="1120" w:type="dxa"/>
            <w:tcBorders>
              <w:top w:val="nil"/>
              <w:left w:val="nil"/>
              <w:right w:val="single" w:sz="4" w:space="0" w:color="5E8A00"/>
            </w:tcBorders>
            <w:shd w:val="clear" w:color="auto" w:fill="auto"/>
            <w:noWrap/>
            <w:vAlign w:val="center"/>
            <w:hideMark/>
          </w:tcPr>
          <w:p w:rsidR="006007D8" w:rsidRPr="006007D8" w:rsidRDefault="006007D8" w:rsidP="006007D8">
            <w:pPr>
              <w:spacing w:after="0" w:line="240" w:lineRule="auto"/>
              <w:jc w:val="right"/>
              <w:rPr>
                <w:rFonts w:cs="Arial"/>
                <w:sz w:val="18"/>
                <w:szCs w:val="18"/>
                <w:lang w:eastAsia="en-AU"/>
              </w:rPr>
            </w:pPr>
            <w:r w:rsidRPr="006007D8">
              <w:rPr>
                <w:rFonts w:cs="Arial"/>
                <w:sz w:val="18"/>
                <w:szCs w:val="18"/>
                <w:lang w:eastAsia="en-AU"/>
              </w:rPr>
              <w:t xml:space="preserve">70,500 </w:t>
            </w:r>
          </w:p>
        </w:tc>
        <w:tc>
          <w:tcPr>
            <w:tcW w:w="1120" w:type="dxa"/>
            <w:tcBorders>
              <w:top w:val="nil"/>
              <w:left w:val="nil"/>
              <w:right w:val="single" w:sz="4" w:space="0" w:color="5E8A00"/>
            </w:tcBorders>
            <w:shd w:val="clear" w:color="auto" w:fill="auto"/>
            <w:noWrap/>
            <w:vAlign w:val="center"/>
            <w:hideMark/>
          </w:tcPr>
          <w:p w:rsidR="006007D8" w:rsidRPr="006007D8" w:rsidRDefault="006007D8" w:rsidP="006007D8">
            <w:pPr>
              <w:spacing w:after="0" w:line="240" w:lineRule="auto"/>
              <w:jc w:val="right"/>
              <w:rPr>
                <w:rFonts w:cs="Arial"/>
                <w:sz w:val="18"/>
                <w:szCs w:val="18"/>
                <w:lang w:eastAsia="en-AU"/>
              </w:rPr>
            </w:pPr>
            <w:r w:rsidRPr="006007D8">
              <w:rPr>
                <w:rFonts w:cs="Arial"/>
                <w:sz w:val="18"/>
                <w:szCs w:val="18"/>
                <w:lang w:eastAsia="en-AU"/>
              </w:rPr>
              <w:t xml:space="preserve">64,600 </w:t>
            </w:r>
          </w:p>
        </w:tc>
        <w:tc>
          <w:tcPr>
            <w:tcW w:w="1120" w:type="dxa"/>
            <w:tcBorders>
              <w:top w:val="nil"/>
              <w:left w:val="nil"/>
              <w:right w:val="single" w:sz="4" w:space="0" w:color="5E8A00"/>
            </w:tcBorders>
            <w:shd w:val="clear" w:color="auto" w:fill="auto"/>
            <w:noWrap/>
            <w:vAlign w:val="center"/>
            <w:hideMark/>
          </w:tcPr>
          <w:p w:rsidR="006007D8" w:rsidRPr="006007D8" w:rsidRDefault="006007D8" w:rsidP="006007D8">
            <w:pPr>
              <w:spacing w:after="0" w:line="240" w:lineRule="auto"/>
              <w:jc w:val="right"/>
              <w:rPr>
                <w:rFonts w:cs="Arial"/>
                <w:sz w:val="18"/>
                <w:szCs w:val="18"/>
                <w:lang w:eastAsia="en-AU"/>
              </w:rPr>
            </w:pPr>
            <w:r w:rsidRPr="006007D8">
              <w:rPr>
                <w:rFonts w:cs="Arial"/>
                <w:sz w:val="18"/>
                <w:szCs w:val="18"/>
                <w:lang w:eastAsia="en-AU"/>
              </w:rPr>
              <w:t>11%</w:t>
            </w:r>
          </w:p>
        </w:tc>
        <w:tc>
          <w:tcPr>
            <w:tcW w:w="1120" w:type="dxa"/>
            <w:tcBorders>
              <w:top w:val="nil"/>
              <w:left w:val="nil"/>
              <w:right w:val="single" w:sz="4" w:space="0" w:color="5E8A00"/>
            </w:tcBorders>
            <w:shd w:val="clear" w:color="auto" w:fill="auto"/>
            <w:noWrap/>
            <w:vAlign w:val="center"/>
            <w:hideMark/>
          </w:tcPr>
          <w:p w:rsidR="006007D8" w:rsidRPr="006007D8" w:rsidRDefault="006007D8" w:rsidP="006007D8">
            <w:pPr>
              <w:spacing w:after="0" w:line="240" w:lineRule="auto"/>
              <w:jc w:val="right"/>
              <w:rPr>
                <w:rFonts w:cs="Arial"/>
                <w:sz w:val="18"/>
                <w:szCs w:val="18"/>
                <w:lang w:eastAsia="en-AU"/>
              </w:rPr>
            </w:pPr>
            <w:r w:rsidRPr="006007D8">
              <w:rPr>
                <w:rFonts w:cs="Arial"/>
                <w:sz w:val="18"/>
                <w:szCs w:val="18"/>
                <w:lang w:eastAsia="en-AU"/>
              </w:rPr>
              <w:t>-8%</w:t>
            </w:r>
          </w:p>
        </w:tc>
      </w:tr>
      <w:tr w:rsidR="006007D8" w:rsidRPr="006007D8" w:rsidTr="005C5C90">
        <w:trPr>
          <w:trHeight w:hRule="exact" w:val="284"/>
        </w:trPr>
        <w:tc>
          <w:tcPr>
            <w:tcW w:w="2977" w:type="dxa"/>
            <w:tcBorders>
              <w:left w:val="single" w:sz="4" w:space="0" w:color="5E8A00"/>
              <w:bottom w:val="nil"/>
            </w:tcBorders>
            <w:shd w:val="clear" w:color="000000" w:fill="5E8A00"/>
            <w:noWrap/>
            <w:vAlign w:val="bottom"/>
            <w:hideMark/>
          </w:tcPr>
          <w:p w:rsidR="006007D8" w:rsidRPr="006007D8" w:rsidRDefault="006007D8" w:rsidP="006007D8">
            <w:pPr>
              <w:spacing w:after="0" w:line="240" w:lineRule="auto"/>
              <w:jc w:val="left"/>
              <w:rPr>
                <w:rFonts w:cs="Arial"/>
                <w:b/>
                <w:bCs/>
                <w:color w:val="FFFFFF"/>
                <w:sz w:val="18"/>
                <w:szCs w:val="18"/>
                <w:lang w:eastAsia="en-AU"/>
              </w:rPr>
            </w:pPr>
            <w:r w:rsidRPr="006007D8">
              <w:rPr>
                <w:rFonts w:cs="Arial"/>
                <w:b/>
                <w:bCs/>
                <w:color w:val="FFFFFF"/>
                <w:sz w:val="18"/>
                <w:szCs w:val="18"/>
                <w:lang w:eastAsia="en-AU"/>
              </w:rPr>
              <w:t>Total</w:t>
            </w:r>
          </w:p>
        </w:tc>
        <w:tc>
          <w:tcPr>
            <w:tcW w:w="1120" w:type="dxa"/>
            <w:tcBorders>
              <w:bottom w:val="nil"/>
            </w:tcBorders>
            <w:shd w:val="clear" w:color="000000" w:fill="5E8A00"/>
            <w:noWrap/>
            <w:vAlign w:val="center"/>
            <w:hideMark/>
          </w:tcPr>
          <w:p w:rsidR="006007D8" w:rsidRPr="006007D8" w:rsidRDefault="006007D8" w:rsidP="006007D8">
            <w:pPr>
              <w:spacing w:after="0" w:line="240" w:lineRule="auto"/>
              <w:jc w:val="right"/>
              <w:rPr>
                <w:rFonts w:cs="Arial"/>
                <w:b/>
                <w:bCs/>
                <w:color w:val="FFFFFF"/>
                <w:sz w:val="18"/>
                <w:szCs w:val="18"/>
                <w:lang w:eastAsia="en-AU"/>
              </w:rPr>
            </w:pPr>
            <w:r w:rsidRPr="006007D8">
              <w:rPr>
                <w:rFonts w:cs="Arial"/>
                <w:b/>
                <w:bCs/>
                <w:color w:val="FFFFFF"/>
                <w:sz w:val="18"/>
                <w:szCs w:val="18"/>
                <w:lang w:eastAsia="en-AU"/>
              </w:rPr>
              <w:t xml:space="preserve">378,600 </w:t>
            </w:r>
          </w:p>
        </w:tc>
        <w:tc>
          <w:tcPr>
            <w:tcW w:w="1120" w:type="dxa"/>
            <w:tcBorders>
              <w:bottom w:val="nil"/>
            </w:tcBorders>
            <w:shd w:val="clear" w:color="000000" w:fill="5E8A00"/>
            <w:noWrap/>
            <w:vAlign w:val="center"/>
            <w:hideMark/>
          </w:tcPr>
          <w:p w:rsidR="006007D8" w:rsidRPr="006007D8" w:rsidRDefault="006007D8" w:rsidP="006007D8">
            <w:pPr>
              <w:spacing w:after="0" w:line="240" w:lineRule="auto"/>
              <w:jc w:val="right"/>
              <w:rPr>
                <w:rFonts w:cs="Arial"/>
                <w:b/>
                <w:bCs/>
                <w:color w:val="FFFFFF"/>
                <w:sz w:val="18"/>
                <w:szCs w:val="18"/>
                <w:lang w:eastAsia="en-AU"/>
              </w:rPr>
            </w:pPr>
            <w:r w:rsidRPr="006007D8">
              <w:rPr>
                <w:rFonts w:cs="Arial"/>
                <w:b/>
                <w:bCs/>
                <w:color w:val="FFFFFF"/>
                <w:sz w:val="18"/>
                <w:szCs w:val="18"/>
                <w:lang w:eastAsia="en-AU"/>
              </w:rPr>
              <w:t xml:space="preserve">528,600 </w:t>
            </w:r>
          </w:p>
        </w:tc>
        <w:tc>
          <w:tcPr>
            <w:tcW w:w="1120" w:type="dxa"/>
            <w:tcBorders>
              <w:bottom w:val="nil"/>
            </w:tcBorders>
            <w:shd w:val="clear" w:color="000000" w:fill="5E8A00"/>
            <w:noWrap/>
            <w:vAlign w:val="center"/>
            <w:hideMark/>
          </w:tcPr>
          <w:p w:rsidR="006007D8" w:rsidRPr="006007D8" w:rsidRDefault="006007D8" w:rsidP="006007D8">
            <w:pPr>
              <w:spacing w:after="0" w:line="240" w:lineRule="auto"/>
              <w:jc w:val="right"/>
              <w:rPr>
                <w:rFonts w:cs="Arial"/>
                <w:b/>
                <w:bCs/>
                <w:color w:val="FFFFFF"/>
                <w:sz w:val="18"/>
                <w:szCs w:val="18"/>
                <w:lang w:eastAsia="en-AU"/>
              </w:rPr>
            </w:pPr>
            <w:r w:rsidRPr="006007D8">
              <w:rPr>
                <w:rFonts w:cs="Arial"/>
                <w:b/>
                <w:bCs/>
                <w:color w:val="FFFFFF"/>
                <w:sz w:val="18"/>
                <w:szCs w:val="18"/>
                <w:lang w:eastAsia="en-AU"/>
              </w:rPr>
              <w:t xml:space="preserve">463,600 </w:t>
            </w:r>
          </w:p>
        </w:tc>
        <w:tc>
          <w:tcPr>
            <w:tcW w:w="1120" w:type="dxa"/>
            <w:tcBorders>
              <w:bottom w:val="single" w:sz="4" w:space="0" w:color="5E8A00"/>
            </w:tcBorders>
            <w:shd w:val="clear" w:color="000000" w:fill="5E8A00"/>
            <w:noWrap/>
            <w:vAlign w:val="center"/>
            <w:hideMark/>
          </w:tcPr>
          <w:p w:rsidR="006007D8" w:rsidRPr="006007D8" w:rsidRDefault="006007D8" w:rsidP="006007D8">
            <w:pPr>
              <w:spacing w:after="0" w:line="240" w:lineRule="auto"/>
              <w:jc w:val="right"/>
              <w:rPr>
                <w:rFonts w:cs="Arial"/>
                <w:b/>
                <w:bCs/>
                <w:color w:val="FFFFFF"/>
                <w:sz w:val="18"/>
                <w:szCs w:val="18"/>
                <w:lang w:eastAsia="en-AU"/>
              </w:rPr>
            </w:pPr>
            <w:r w:rsidRPr="006007D8">
              <w:rPr>
                <w:rFonts w:cs="Arial"/>
                <w:b/>
                <w:bCs/>
                <w:color w:val="FFFFFF"/>
                <w:sz w:val="18"/>
                <w:szCs w:val="18"/>
                <w:lang w:eastAsia="en-AU"/>
              </w:rPr>
              <w:t>22%</w:t>
            </w:r>
          </w:p>
        </w:tc>
        <w:tc>
          <w:tcPr>
            <w:tcW w:w="1120" w:type="dxa"/>
            <w:tcBorders>
              <w:bottom w:val="single" w:sz="4" w:space="0" w:color="5E8A00"/>
              <w:right w:val="single" w:sz="4" w:space="0" w:color="5E8A00"/>
            </w:tcBorders>
            <w:shd w:val="clear" w:color="000000" w:fill="5E8A00"/>
            <w:noWrap/>
            <w:vAlign w:val="center"/>
            <w:hideMark/>
          </w:tcPr>
          <w:p w:rsidR="006007D8" w:rsidRPr="006007D8" w:rsidRDefault="006007D8" w:rsidP="006007D8">
            <w:pPr>
              <w:spacing w:after="0" w:line="240" w:lineRule="auto"/>
              <w:jc w:val="right"/>
              <w:rPr>
                <w:rFonts w:cs="Arial"/>
                <w:b/>
                <w:bCs/>
                <w:color w:val="FFFFFF"/>
                <w:sz w:val="18"/>
                <w:szCs w:val="18"/>
                <w:lang w:eastAsia="en-AU"/>
              </w:rPr>
            </w:pPr>
            <w:r w:rsidRPr="006007D8">
              <w:rPr>
                <w:rFonts w:cs="Arial"/>
                <w:b/>
                <w:bCs/>
                <w:color w:val="FFFFFF"/>
                <w:sz w:val="18"/>
                <w:szCs w:val="18"/>
                <w:lang w:eastAsia="en-AU"/>
              </w:rPr>
              <w:t>-12%</w:t>
            </w:r>
          </w:p>
        </w:tc>
      </w:tr>
    </w:tbl>
    <w:p w:rsidR="00494F1F" w:rsidRPr="00AE3D9A" w:rsidRDefault="008F0BCF" w:rsidP="00494F1F">
      <w:pPr>
        <w:spacing w:after="0" w:line="240" w:lineRule="auto"/>
        <w:rPr>
          <w:rFonts w:cs="Arial"/>
          <w:sz w:val="16"/>
          <w:szCs w:val="16"/>
        </w:rPr>
      </w:pPr>
      <w:r w:rsidRPr="00AE3D9A">
        <w:rPr>
          <w:rFonts w:cs="Arial"/>
          <w:sz w:val="16"/>
          <w:szCs w:val="16"/>
        </w:rPr>
        <w:t>*</w:t>
      </w:r>
      <w:r w:rsidR="00494F1F" w:rsidRPr="00AE3D9A">
        <w:rPr>
          <w:rFonts w:cs="Arial"/>
          <w:sz w:val="16"/>
          <w:szCs w:val="16"/>
        </w:rPr>
        <w:t>Fee for Service figures are TAFE on-shore domestic AQF Level 1 and above.</w:t>
      </w:r>
    </w:p>
    <w:p w:rsidR="0069078C" w:rsidRDefault="0069078C">
      <w:pPr>
        <w:spacing w:after="0" w:line="240" w:lineRule="auto"/>
        <w:jc w:val="left"/>
        <w:rPr>
          <w:rFonts w:cs="Arial"/>
          <w:b/>
          <w:bCs/>
          <w:color w:val="76923C" w:themeColor="accent3" w:themeShade="BF"/>
          <w:sz w:val="18"/>
          <w:szCs w:val="16"/>
        </w:rPr>
      </w:pPr>
    </w:p>
    <w:p w:rsidR="004E497D" w:rsidRDefault="004E497D">
      <w:pPr>
        <w:spacing w:after="0" w:line="240" w:lineRule="auto"/>
        <w:jc w:val="left"/>
        <w:rPr>
          <w:rFonts w:cs="Arial"/>
          <w:b/>
          <w:bCs/>
          <w:color w:val="76923C" w:themeColor="accent3" w:themeShade="BF"/>
          <w:sz w:val="18"/>
          <w:szCs w:val="16"/>
        </w:rPr>
      </w:pPr>
      <w:r>
        <w:rPr>
          <w:rFonts w:cs="Arial"/>
        </w:rPr>
        <w:br w:type="page"/>
      </w:r>
    </w:p>
    <w:p w:rsidR="00BA7D97" w:rsidRPr="001F29E3" w:rsidRDefault="00584D28" w:rsidP="00A9260A">
      <w:pPr>
        <w:pStyle w:val="Caption"/>
        <w:rPr>
          <w:rFonts w:cs="Arial"/>
        </w:rPr>
      </w:pPr>
      <w:proofErr w:type="gramStart"/>
      <w:r w:rsidRPr="001F29E3">
        <w:rPr>
          <w:rFonts w:cs="Arial"/>
        </w:rPr>
        <w:lastRenderedPageBreak/>
        <w:t>Figure 1.</w:t>
      </w:r>
      <w:proofErr w:type="gramEnd"/>
      <w:r w:rsidR="00963271" w:rsidRPr="001F29E3">
        <w:rPr>
          <w:rFonts w:cs="Arial"/>
        </w:rPr>
        <w:fldChar w:fldCharType="begin"/>
      </w:r>
      <w:r w:rsidR="00963271" w:rsidRPr="001F29E3">
        <w:rPr>
          <w:rFonts w:cs="Arial"/>
        </w:rPr>
        <w:instrText xml:space="preserve"> SEQ Graph \* ARABIC \s 1 </w:instrText>
      </w:r>
      <w:r w:rsidR="00963271" w:rsidRPr="001F29E3">
        <w:rPr>
          <w:rFonts w:cs="Arial"/>
        </w:rPr>
        <w:fldChar w:fldCharType="separate"/>
      </w:r>
      <w:r w:rsidR="008176F8">
        <w:rPr>
          <w:rFonts w:cs="Arial"/>
          <w:noProof/>
        </w:rPr>
        <w:t>1</w:t>
      </w:r>
      <w:r w:rsidR="00963271" w:rsidRPr="001F29E3">
        <w:rPr>
          <w:rFonts w:cs="Arial"/>
          <w:noProof/>
        </w:rPr>
        <w:fldChar w:fldCharType="end"/>
      </w:r>
      <w:r w:rsidRPr="001F29E3">
        <w:rPr>
          <w:rFonts w:cs="Arial"/>
        </w:rPr>
        <w:t xml:space="preserve">: </w:t>
      </w:r>
      <w:r w:rsidR="0025400C">
        <w:t>Enrolments in v</w:t>
      </w:r>
      <w:r w:rsidR="0025400C" w:rsidRPr="001F29E3">
        <w:t>ocational training by funding type</w:t>
      </w:r>
      <w:r w:rsidRPr="001F29E3">
        <w:rPr>
          <w:rFonts w:cs="Arial"/>
        </w:rPr>
        <w:t>, 2008–2012</w:t>
      </w:r>
      <w:r w:rsidR="00171CC7" w:rsidRPr="001F29E3">
        <w:rPr>
          <w:rFonts w:cs="Arial"/>
        </w:rPr>
        <w:t xml:space="preserve">, </w:t>
      </w:r>
      <w:r w:rsidR="00E86237">
        <w:rPr>
          <w:rFonts w:cs="Arial"/>
        </w:rPr>
        <w:t>Q</w:t>
      </w:r>
      <w:r w:rsidR="00064D9F">
        <w:rPr>
          <w:rFonts w:cs="Arial"/>
        </w:rPr>
        <w:t>2</w:t>
      </w:r>
      <w:r w:rsidR="00E86237">
        <w:rPr>
          <w:rFonts w:cs="Arial"/>
        </w:rPr>
        <w:t xml:space="preserve"> 2011, </w:t>
      </w:r>
      <w:r w:rsidR="00171CC7" w:rsidRPr="001F29E3">
        <w:rPr>
          <w:rFonts w:cs="Arial"/>
        </w:rPr>
        <w:t>Q</w:t>
      </w:r>
      <w:r w:rsidR="00064D9F">
        <w:rPr>
          <w:rFonts w:cs="Arial"/>
        </w:rPr>
        <w:t>2</w:t>
      </w:r>
      <w:r w:rsidR="00171CC7" w:rsidRPr="001F29E3">
        <w:rPr>
          <w:rFonts w:cs="Arial"/>
        </w:rPr>
        <w:t xml:space="preserve"> 2012 and Q</w:t>
      </w:r>
      <w:r w:rsidR="00064D9F">
        <w:rPr>
          <w:rFonts w:cs="Arial"/>
        </w:rPr>
        <w:t>2</w:t>
      </w:r>
      <w:r w:rsidR="00171CC7" w:rsidRPr="001F29E3">
        <w:rPr>
          <w:rFonts w:cs="Arial"/>
        </w:rPr>
        <w:t xml:space="preserve"> 2013</w:t>
      </w:r>
    </w:p>
    <w:p w:rsidR="00BA7D97" w:rsidRPr="001F29E3" w:rsidRDefault="0025400C" w:rsidP="00A55ADA">
      <w:pPr>
        <w:pStyle w:val="Caption"/>
        <w:jc w:val="left"/>
        <w:rPr>
          <w:rFonts w:cs="Arial"/>
        </w:rPr>
      </w:pPr>
      <w:r>
        <w:rPr>
          <w:rFonts w:cs="Arial"/>
          <w:noProof/>
          <w:lang w:eastAsia="en-AU"/>
        </w:rPr>
        <w:drawing>
          <wp:inline distT="0" distB="0" distL="0" distR="0" wp14:anchorId="1C519576" wp14:editId="00DF8DB0">
            <wp:extent cx="4962525" cy="274320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2525" cy="2743200"/>
                    </a:xfrm>
                    <a:prstGeom prst="rect">
                      <a:avLst/>
                    </a:prstGeom>
                    <a:noFill/>
                  </pic:spPr>
                </pic:pic>
              </a:graphicData>
            </a:graphic>
          </wp:inline>
        </w:drawing>
      </w:r>
    </w:p>
    <w:p w:rsidR="005E4EE6" w:rsidRPr="001F29E3" w:rsidRDefault="005E4EE6" w:rsidP="00CB5563">
      <w:pPr>
        <w:pStyle w:val="Caption"/>
        <w:spacing w:after="0"/>
        <w:rPr>
          <w:rFonts w:cs="Arial"/>
        </w:rPr>
      </w:pPr>
      <w:r w:rsidRPr="001F29E3">
        <w:rPr>
          <w:rFonts w:cs="Arial"/>
        </w:rPr>
        <w:t>Table 1.</w:t>
      </w:r>
      <w:r w:rsidR="00164517">
        <w:rPr>
          <w:rFonts w:cs="Arial"/>
        </w:rPr>
        <w:t>2.1</w:t>
      </w:r>
      <w:r w:rsidRPr="001F29E3">
        <w:rPr>
          <w:rFonts w:cs="Arial"/>
        </w:rPr>
        <w:t xml:space="preserve">: </w:t>
      </w:r>
      <w:r w:rsidR="009B6E7F" w:rsidRPr="001F29E3">
        <w:rPr>
          <w:rFonts w:cs="Arial"/>
        </w:rPr>
        <w:t>S</w:t>
      </w:r>
      <w:r w:rsidRPr="001F29E3">
        <w:rPr>
          <w:rFonts w:cs="Arial"/>
        </w:rPr>
        <w:t>tudent contact hours</w:t>
      </w:r>
      <w:r w:rsidR="002E0440" w:rsidRPr="001F29E3">
        <w:rPr>
          <w:rStyle w:val="FootnoteReference"/>
          <w:rFonts w:cs="Arial"/>
        </w:rPr>
        <w:footnoteReference w:id="3"/>
      </w:r>
      <w:r w:rsidRPr="001F29E3">
        <w:rPr>
          <w:rFonts w:cs="Arial"/>
        </w:rPr>
        <w:t xml:space="preserve"> (millions)</w:t>
      </w:r>
      <w:r w:rsidR="009B6E7F" w:rsidRPr="001F29E3">
        <w:rPr>
          <w:rFonts w:cs="Arial"/>
        </w:rPr>
        <w:t xml:space="preserve"> by funding type</w:t>
      </w:r>
      <w:r w:rsidRPr="001F29E3">
        <w:rPr>
          <w:rFonts w:cs="Arial"/>
        </w:rPr>
        <w:t>, 2008–2012</w:t>
      </w:r>
    </w:p>
    <w:tbl>
      <w:tblPr>
        <w:tblW w:w="9820" w:type="dxa"/>
        <w:tblInd w:w="108" w:type="dxa"/>
        <w:tblLook w:val="04A0" w:firstRow="1" w:lastRow="0" w:firstColumn="1" w:lastColumn="0" w:noHBand="0" w:noVBand="1"/>
      </w:tblPr>
      <w:tblGrid>
        <w:gridCol w:w="3100"/>
        <w:gridCol w:w="1120"/>
        <w:gridCol w:w="1120"/>
        <w:gridCol w:w="1120"/>
        <w:gridCol w:w="1120"/>
        <w:gridCol w:w="1120"/>
        <w:gridCol w:w="1120"/>
      </w:tblGrid>
      <w:tr w:rsidR="00A6569A" w:rsidRPr="00A6569A" w:rsidTr="005C5C90">
        <w:trPr>
          <w:trHeight w:hRule="exact" w:val="760"/>
        </w:trPr>
        <w:tc>
          <w:tcPr>
            <w:tcW w:w="3100" w:type="dxa"/>
            <w:tcBorders>
              <w:left w:val="single" w:sz="4" w:space="0" w:color="5E8A00"/>
              <w:bottom w:val="single" w:sz="4" w:space="0" w:color="5E8A00"/>
            </w:tcBorders>
            <w:shd w:val="clear" w:color="000000" w:fill="5E8A00"/>
            <w:noWrap/>
            <w:vAlign w:val="center"/>
            <w:hideMark/>
          </w:tcPr>
          <w:p w:rsidR="00A6569A" w:rsidRPr="00A6569A" w:rsidRDefault="00A6569A" w:rsidP="00F034AF">
            <w:pPr>
              <w:spacing w:after="0" w:line="240" w:lineRule="auto"/>
              <w:ind w:firstLineChars="100" w:firstLine="201"/>
              <w:jc w:val="left"/>
              <w:rPr>
                <w:rFonts w:cs="Arial"/>
                <w:b/>
                <w:bCs/>
                <w:color w:val="FFFFFF"/>
                <w:sz w:val="20"/>
                <w:szCs w:val="20"/>
                <w:lang w:eastAsia="en-AU"/>
              </w:rPr>
            </w:pPr>
            <w:r w:rsidRPr="00A6569A">
              <w:rPr>
                <w:rFonts w:cs="Arial"/>
                <w:b/>
                <w:bCs/>
                <w:color w:val="FFFFFF"/>
                <w:sz w:val="20"/>
                <w:szCs w:val="20"/>
                <w:lang w:eastAsia="en-AU"/>
              </w:rPr>
              <w:t> </w:t>
            </w:r>
          </w:p>
        </w:tc>
        <w:tc>
          <w:tcPr>
            <w:tcW w:w="1120" w:type="dxa"/>
            <w:tcBorders>
              <w:bottom w:val="single" w:sz="4" w:space="0" w:color="5E8A00"/>
            </w:tcBorders>
            <w:shd w:val="clear" w:color="000000" w:fill="5E8A00"/>
            <w:vAlign w:val="center"/>
            <w:hideMark/>
          </w:tcPr>
          <w:p w:rsidR="00A6569A" w:rsidRPr="00A6569A" w:rsidRDefault="00A6569A" w:rsidP="00F034AF">
            <w:pPr>
              <w:spacing w:after="0" w:line="240" w:lineRule="auto"/>
              <w:ind w:firstLineChars="100" w:firstLine="181"/>
              <w:jc w:val="right"/>
              <w:rPr>
                <w:rFonts w:cs="Arial"/>
                <w:b/>
                <w:bCs/>
                <w:color w:val="FFFFFF"/>
                <w:sz w:val="18"/>
                <w:szCs w:val="18"/>
                <w:lang w:eastAsia="en-AU"/>
              </w:rPr>
            </w:pPr>
            <w:r w:rsidRPr="00A6569A">
              <w:rPr>
                <w:rFonts w:cs="Arial"/>
                <w:b/>
                <w:bCs/>
                <w:color w:val="FFFFFF"/>
                <w:sz w:val="18"/>
                <w:szCs w:val="18"/>
                <w:lang w:eastAsia="en-AU"/>
              </w:rPr>
              <w:t>2008</w:t>
            </w:r>
          </w:p>
        </w:tc>
        <w:tc>
          <w:tcPr>
            <w:tcW w:w="1120" w:type="dxa"/>
            <w:tcBorders>
              <w:bottom w:val="single" w:sz="4" w:space="0" w:color="5E8A00"/>
            </w:tcBorders>
            <w:shd w:val="clear" w:color="000000" w:fill="5E8A00"/>
            <w:vAlign w:val="center"/>
            <w:hideMark/>
          </w:tcPr>
          <w:p w:rsidR="00A6569A" w:rsidRPr="00A6569A" w:rsidRDefault="00A6569A" w:rsidP="00F034AF">
            <w:pPr>
              <w:spacing w:after="0" w:line="240" w:lineRule="auto"/>
              <w:ind w:firstLineChars="100" w:firstLine="181"/>
              <w:jc w:val="right"/>
              <w:rPr>
                <w:rFonts w:cs="Arial"/>
                <w:b/>
                <w:bCs/>
                <w:color w:val="FFFFFF"/>
                <w:sz w:val="18"/>
                <w:szCs w:val="18"/>
                <w:lang w:eastAsia="en-AU"/>
              </w:rPr>
            </w:pPr>
            <w:r w:rsidRPr="00A6569A">
              <w:rPr>
                <w:rFonts w:cs="Arial"/>
                <w:b/>
                <w:bCs/>
                <w:color w:val="FFFFFF"/>
                <w:sz w:val="18"/>
                <w:szCs w:val="18"/>
                <w:lang w:eastAsia="en-AU"/>
              </w:rPr>
              <w:t>2009</w:t>
            </w:r>
          </w:p>
        </w:tc>
        <w:tc>
          <w:tcPr>
            <w:tcW w:w="1120" w:type="dxa"/>
            <w:tcBorders>
              <w:bottom w:val="single" w:sz="4" w:space="0" w:color="5E8A00"/>
            </w:tcBorders>
            <w:shd w:val="clear" w:color="000000" w:fill="5E8A00"/>
            <w:vAlign w:val="center"/>
            <w:hideMark/>
          </w:tcPr>
          <w:p w:rsidR="00A6569A" w:rsidRPr="00A6569A" w:rsidRDefault="00A6569A" w:rsidP="00F034AF">
            <w:pPr>
              <w:spacing w:after="0" w:line="240" w:lineRule="auto"/>
              <w:ind w:firstLineChars="100" w:firstLine="181"/>
              <w:jc w:val="right"/>
              <w:rPr>
                <w:rFonts w:cs="Arial"/>
                <w:b/>
                <w:bCs/>
                <w:color w:val="FFFFFF"/>
                <w:sz w:val="18"/>
                <w:szCs w:val="18"/>
                <w:lang w:eastAsia="en-AU"/>
              </w:rPr>
            </w:pPr>
            <w:r w:rsidRPr="00A6569A">
              <w:rPr>
                <w:rFonts w:cs="Arial"/>
                <w:b/>
                <w:bCs/>
                <w:color w:val="FFFFFF"/>
                <w:sz w:val="18"/>
                <w:szCs w:val="18"/>
                <w:lang w:eastAsia="en-AU"/>
              </w:rPr>
              <w:t>2010</w:t>
            </w:r>
          </w:p>
        </w:tc>
        <w:tc>
          <w:tcPr>
            <w:tcW w:w="1120" w:type="dxa"/>
            <w:tcBorders>
              <w:bottom w:val="single" w:sz="4" w:space="0" w:color="5E8A00"/>
            </w:tcBorders>
            <w:shd w:val="clear" w:color="000000" w:fill="5E8A00"/>
            <w:vAlign w:val="center"/>
            <w:hideMark/>
          </w:tcPr>
          <w:p w:rsidR="00A6569A" w:rsidRPr="00A6569A" w:rsidRDefault="00A6569A" w:rsidP="00F034AF">
            <w:pPr>
              <w:spacing w:after="0" w:line="240" w:lineRule="auto"/>
              <w:ind w:firstLineChars="100" w:firstLine="181"/>
              <w:jc w:val="right"/>
              <w:rPr>
                <w:rFonts w:cs="Arial"/>
                <w:b/>
                <w:bCs/>
                <w:color w:val="FFFFFF"/>
                <w:sz w:val="18"/>
                <w:szCs w:val="18"/>
                <w:lang w:eastAsia="en-AU"/>
              </w:rPr>
            </w:pPr>
            <w:r w:rsidRPr="00A6569A">
              <w:rPr>
                <w:rFonts w:cs="Arial"/>
                <w:b/>
                <w:bCs/>
                <w:color w:val="FFFFFF"/>
                <w:sz w:val="18"/>
                <w:szCs w:val="18"/>
                <w:lang w:eastAsia="en-AU"/>
              </w:rPr>
              <w:t>2011</w:t>
            </w:r>
          </w:p>
        </w:tc>
        <w:tc>
          <w:tcPr>
            <w:tcW w:w="1120" w:type="dxa"/>
            <w:tcBorders>
              <w:bottom w:val="single" w:sz="4" w:space="0" w:color="5E8A00"/>
            </w:tcBorders>
            <w:shd w:val="clear" w:color="000000" w:fill="5E8A00"/>
            <w:vAlign w:val="center"/>
            <w:hideMark/>
          </w:tcPr>
          <w:p w:rsidR="00A6569A" w:rsidRPr="00A6569A" w:rsidRDefault="00A6569A" w:rsidP="00F034AF">
            <w:pPr>
              <w:spacing w:after="0" w:line="240" w:lineRule="auto"/>
              <w:ind w:firstLineChars="100" w:firstLine="181"/>
              <w:jc w:val="right"/>
              <w:rPr>
                <w:rFonts w:cs="Arial"/>
                <w:b/>
                <w:bCs/>
                <w:color w:val="FFFFFF"/>
                <w:sz w:val="18"/>
                <w:szCs w:val="18"/>
                <w:lang w:eastAsia="en-AU"/>
              </w:rPr>
            </w:pPr>
            <w:r w:rsidRPr="00A6569A">
              <w:rPr>
                <w:rFonts w:cs="Arial"/>
                <w:b/>
                <w:bCs/>
                <w:color w:val="FFFFFF"/>
                <w:sz w:val="18"/>
                <w:szCs w:val="18"/>
                <w:lang w:eastAsia="en-AU"/>
              </w:rPr>
              <w:t>2012</w:t>
            </w:r>
          </w:p>
        </w:tc>
        <w:tc>
          <w:tcPr>
            <w:tcW w:w="1120" w:type="dxa"/>
            <w:tcBorders>
              <w:bottom w:val="single" w:sz="4" w:space="0" w:color="5E8A00"/>
              <w:right w:val="single" w:sz="4" w:space="0" w:color="5E8A00"/>
            </w:tcBorders>
            <w:shd w:val="clear" w:color="000000" w:fill="5E8A00"/>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 change</w:t>
            </w:r>
            <w:r w:rsidRPr="00A6569A">
              <w:rPr>
                <w:rFonts w:cs="Arial"/>
                <w:b/>
                <w:bCs/>
                <w:color w:val="FFFFFF"/>
                <w:sz w:val="18"/>
                <w:szCs w:val="18"/>
                <w:lang w:eastAsia="en-AU"/>
              </w:rPr>
              <w:br/>
              <w:t>2008-2012</w:t>
            </w:r>
          </w:p>
        </w:tc>
      </w:tr>
      <w:tr w:rsidR="00A6569A" w:rsidRPr="00A6569A" w:rsidTr="0037793E">
        <w:trPr>
          <w:trHeight w:hRule="exact" w:val="284"/>
        </w:trPr>
        <w:tc>
          <w:tcPr>
            <w:tcW w:w="3100" w:type="dxa"/>
            <w:tcBorders>
              <w:top w:val="nil"/>
              <w:left w:val="single" w:sz="4" w:space="0" w:color="5E8A00"/>
              <w:bottom w:val="single" w:sz="4" w:space="0" w:color="5E8A00"/>
              <w:right w:val="single" w:sz="4" w:space="0" w:color="5E8A00"/>
            </w:tcBorders>
            <w:shd w:val="clear" w:color="000000" w:fill="FFFFFF"/>
            <w:noWrap/>
            <w:vAlign w:val="center"/>
            <w:hideMark/>
          </w:tcPr>
          <w:p w:rsidR="00A6569A" w:rsidRPr="00A6569A" w:rsidRDefault="00A6569A" w:rsidP="00A6569A">
            <w:pPr>
              <w:spacing w:after="0" w:line="240" w:lineRule="auto"/>
              <w:jc w:val="left"/>
              <w:rPr>
                <w:rFonts w:cs="Arial"/>
                <w:color w:val="3E5B00"/>
                <w:sz w:val="18"/>
                <w:szCs w:val="18"/>
                <w:lang w:eastAsia="en-AU"/>
              </w:rPr>
            </w:pPr>
            <w:r w:rsidRPr="00A6569A">
              <w:rPr>
                <w:rFonts w:cs="Arial"/>
                <w:color w:val="3E5B00"/>
                <w:sz w:val="18"/>
                <w:szCs w:val="18"/>
                <w:lang w:eastAsia="en-AU"/>
              </w:rPr>
              <w:t>Government subsidised</w:t>
            </w:r>
          </w:p>
        </w:tc>
        <w:tc>
          <w:tcPr>
            <w:tcW w:w="1120" w:type="dxa"/>
            <w:tcBorders>
              <w:top w:val="nil"/>
              <w:left w:val="nil"/>
              <w:bottom w:val="single" w:sz="4" w:space="0" w:color="5E8A00"/>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87.4 </w:t>
            </w:r>
          </w:p>
        </w:tc>
        <w:tc>
          <w:tcPr>
            <w:tcW w:w="1120" w:type="dxa"/>
            <w:tcBorders>
              <w:top w:val="nil"/>
              <w:left w:val="nil"/>
              <w:bottom w:val="single" w:sz="4" w:space="0" w:color="5E8A00"/>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95.6 </w:t>
            </w:r>
          </w:p>
        </w:tc>
        <w:tc>
          <w:tcPr>
            <w:tcW w:w="1120" w:type="dxa"/>
            <w:tcBorders>
              <w:top w:val="nil"/>
              <w:left w:val="nil"/>
              <w:bottom w:val="single" w:sz="4" w:space="0" w:color="5E8A00"/>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112.4 </w:t>
            </w:r>
          </w:p>
        </w:tc>
        <w:tc>
          <w:tcPr>
            <w:tcW w:w="1120" w:type="dxa"/>
            <w:tcBorders>
              <w:top w:val="nil"/>
              <w:left w:val="nil"/>
              <w:bottom w:val="single" w:sz="4" w:space="0" w:color="5E8A00"/>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146.9 </w:t>
            </w:r>
          </w:p>
        </w:tc>
        <w:tc>
          <w:tcPr>
            <w:tcW w:w="1120" w:type="dxa"/>
            <w:tcBorders>
              <w:top w:val="nil"/>
              <w:left w:val="nil"/>
              <w:bottom w:val="single" w:sz="4" w:space="0" w:color="5E8A00"/>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188.8 </w:t>
            </w:r>
          </w:p>
        </w:tc>
        <w:tc>
          <w:tcPr>
            <w:tcW w:w="1120" w:type="dxa"/>
            <w:tcBorders>
              <w:top w:val="nil"/>
              <w:left w:val="nil"/>
              <w:bottom w:val="single" w:sz="4" w:space="0" w:color="5E8A00"/>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116%</w:t>
            </w:r>
          </w:p>
        </w:tc>
      </w:tr>
      <w:tr w:rsidR="00A6569A" w:rsidRPr="00A6569A" w:rsidTr="005C5C90">
        <w:trPr>
          <w:trHeight w:hRule="exact" w:val="284"/>
        </w:trPr>
        <w:tc>
          <w:tcPr>
            <w:tcW w:w="3100" w:type="dxa"/>
            <w:tcBorders>
              <w:top w:val="nil"/>
              <w:left w:val="single" w:sz="4" w:space="0" w:color="5E8A00"/>
              <w:right w:val="single" w:sz="4" w:space="0" w:color="5E8A00"/>
            </w:tcBorders>
            <w:shd w:val="clear" w:color="000000" w:fill="FFFFFF"/>
            <w:noWrap/>
            <w:vAlign w:val="center"/>
            <w:hideMark/>
          </w:tcPr>
          <w:p w:rsidR="00A6569A" w:rsidRPr="00A6569A" w:rsidRDefault="00A6569A" w:rsidP="00A6569A">
            <w:pPr>
              <w:spacing w:after="0" w:line="240" w:lineRule="auto"/>
              <w:jc w:val="left"/>
              <w:rPr>
                <w:rFonts w:cs="Arial"/>
                <w:color w:val="3E5B00"/>
                <w:sz w:val="18"/>
                <w:szCs w:val="18"/>
                <w:lang w:eastAsia="en-AU"/>
              </w:rPr>
            </w:pPr>
            <w:r w:rsidRPr="00A6569A">
              <w:rPr>
                <w:rFonts w:cs="Arial"/>
                <w:color w:val="3E5B00"/>
                <w:sz w:val="18"/>
                <w:szCs w:val="18"/>
                <w:lang w:eastAsia="en-AU"/>
              </w:rPr>
              <w:t>TAFE domestic fee for service*</w:t>
            </w:r>
          </w:p>
        </w:tc>
        <w:tc>
          <w:tcPr>
            <w:tcW w:w="1120" w:type="dxa"/>
            <w:tcBorders>
              <w:top w:val="nil"/>
              <w:left w:val="nil"/>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17.1 </w:t>
            </w:r>
          </w:p>
        </w:tc>
        <w:tc>
          <w:tcPr>
            <w:tcW w:w="1120" w:type="dxa"/>
            <w:tcBorders>
              <w:top w:val="nil"/>
              <w:left w:val="nil"/>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20.4 </w:t>
            </w:r>
          </w:p>
        </w:tc>
        <w:tc>
          <w:tcPr>
            <w:tcW w:w="1120" w:type="dxa"/>
            <w:tcBorders>
              <w:top w:val="nil"/>
              <w:left w:val="nil"/>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19.4 </w:t>
            </w:r>
          </w:p>
        </w:tc>
        <w:tc>
          <w:tcPr>
            <w:tcW w:w="1120" w:type="dxa"/>
            <w:tcBorders>
              <w:top w:val="nil"/>
              <w:left w:val="nil"/>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18.5 </w:t>
            </w:r>
          </w:p>
        </w:tc>
        <w:tc>
          <w:tcPr>
            <w:tcW w:w="1120" w:type="dxa"/>
            <w:tcBorders>
              <w:top w:val="nil"/>
              <w:left w:val="nil"/>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21.9 </w:t>
            </w:r>
          </w:p>
        </w:tc>
        <w:tc>
          <w:tcPr>
            <w:tcW w:w="1120" w:type="dxa"/>
            <w:tcBorders>
              <w:top w:val="nil"/>
              <w:left w:val="nil"/>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28%</w:t>
            </w:r>
          </w:p>
        </w:tc>
      </w:tr>
      <w:tr w:rsidR="00A6569A" w:rsidRPr="00A6569A" w:rsidTr="005C5C90">
        <w:trPr>
          <w:trHeight w:hRule="exact" w:val="284"/>
        </w:trPr>
        <w:tc>
          <w:tcPr>
            <w:tcW w:w="3100" w:type="dxa"/>
            <w:tcBorders>
              <w:left w:val="single" w:sz="4" w:space="0" w:color="5E8A00"/>
              <w:bottom w:val="nil"/>
            </w:tcBorders>
            <w:shd w:val="clear" w:color="000000" w:fill="5E8A00"/>
            <w:noWrap/>
            <w:vAlign w:val="center"/>
            <w:hideMark/>
          </w:tcPr>
          <w:p w:rsidR="00A6569A" w:rsidRPr="00A6569A" w:rsidRDefault="00A6569A" w:rsidP="00A6569A">
            <w:pPr>
              <w:spacing w:after="0" w:line="240" w:lineRule="auto"/>
              <w:jc w:val="left"/>
              <w:rPr>
                <w:rFonts w:cs="Arial"/>
                <w:b/>
                <w:bCs/>
                <w:color w:val="FFFFFF"/>
                <w:sz w:val="18"/>
                <w:szCs w:val="18"/>
                <w:lang w:eastAsia="en-AU"/>
              </w:rPr>
            </w:pPr>
            <w:r w:rsidRPr="00A6569A">
              <w:rPr>
                <w:rFonts w:cs="Arial"/>
                <w:b/>
                <w:bCs/>
                <w:color w:val="FFFFFF"/>
                <w:sz w:val="18"/>
                <w:szCs w:val="18"/>
                <w:lang w:eastAsia="en-AU"/>
              </w:rPr>
              <w:t>Total</w:t>
            </w:r>
          </w:p>
        </w:tc>
        <w:tc>
          <w:tcPr>
            <w:tcW w:w="1120" w:type="dxa"/>
            <w:tcBorders>
              <w:bottom w:val="nil"/>
            </w:tcBorders>
            <w:shd w:val="clear" w:color="000000" w:fill="5E8A00"/>
            <w:noWrap/>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 xml:space="preserve">104.5 </w:t>
            </w:r>
          </w:p>
        </w:tc>
        <w:tc>
          <w:tcPr>
            <w:tcW w:w="1120" w:type="dxa"/>
            <w:tcBorders>
              <w:bottom w:val="nil"/>
            </w:tcBorders>
            <w:shd w:val="clear" w:color="000000" w:fill="5E8A00"/>
            <w:noWrap/>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 xml:space="preserve">116.0 </w:t>
            </w:r>
          </w:p>
        </w:tc>
        <w:tc>
          <w:tcPr>
            <w:tcW w:w="1120" w:type="dxa"/>
            <w:tcBorders>
              <w:bottom w:val="nil"/>
            </w:tcBorders>
            <w:shd w:val="clear" w:color="000000" w:fill="5E8A00"/>
            <w:noWrap/>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 xml:space="preserve">131.8 </w:t>
            </w:r>
          </w:p>
        </w:tc>
        <w:tc>
          <w:tcPr>
            <w:tcW w:w="1120" w:type="dxa"/>
            <w:tcBorders>
              <w:bottom w:val="nil"/>
            </w:tcBorders>
            <w:shd w:val="clear" w:color="000000" w:fill="5E8A00"/>
            <w:noWrap/>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 xml:space="preserve">165.5 </w:t>
            </w:r>
          </w:p>
        </w:tc>
        <w:tc>
          <w:tcPr>
            <w:tcW w:w="1120" w:type="dxa"/>
            <w:tcBorders>
              <w:bottom w:val="nil"/>
            </w:tcBorders>
            <w:shd w:val="clear" w:color="000000" w:fill="5E8A00"/>
            <w:noWrap/>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 xml:space="preserve">210.7 </w:t>
            </w:r>
          </w:p>
        </w:tc>
        <w:tc>
          <w:tcPr>
            <w:tcW w:w="1120" w:type="dxa"/>
            <w:tcBorders>
              <w:bottom w:val="single" w:sz="4" w:space="0" w:color="5E8A00"/>
              <w:right w:val="single" w:sz="4" w:space="0" w:color="5E8A00"/>
            </w:tcBorders>
            <w:shd w:val="clear" w:color="000000" w:fill="5E8A00"/>
            <w:noWrap/>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102%</w:t>
            </w:r>
          </w:p>
        </w:tc>
      </w:tr>
    </w:tbl>
    <w:p w:rsidR="00891A33" w:rsidRPr="00AE3D9A" w:rsidRDefault="008F0BCF" w:rsidP="00891A33">
      <w:pPr>
        <w:spacing w:after="0" w:line="240" w:lineRule="auto"/>
        <w:rPr>
          <w:rFonts w:cs="Arial"/>
          <w:sz w:val="16"/>
          <w:szCs w:val="16"/>
        </w:rPr>
      </w:pPr>
      <w:r w:rsidRPr="00AE3D9A">
        <w:rPr>
          <w:rFonts w:cs="Arial"/>
          <w:sz w:val="16"/>
          <w:szCs w:val="16"/>
        </w:rPr>
        <w:t>*</w:t>
      </w:r>
      <w:r w:rsidR="00891A33" w:rsidRPr="00AE3D9A">
        <w:rPr>
          <w:rFonts w:cs="Arial"/>
          <w:sz w:val="16"/>
          <w:szCs w:val="16"/>
        </w:rPr>
        <w:t>Fee for Service figures are TAFE on-shore domestic AQF Level 1 and above.</w:t>
      </w:r>
    </w:p>
    <w:p w:rsidR="009B6E7F" w:rsidRDefault="009B6E7F" w:rsidP="005E4EE6">
      <w:pPr>
        <w:rPr>
          <w:rFonts w:cs="Arial"/>
        </w:rPr>
      </w:pPr>
    </w:p>
    <w:p w:rsidR="00164517" w:rsidRPr="001F29E3" w:rsidRDefault="00164517" w:rsidP="00CB5563">
      <w:pPr>
        <w:pStyle w:val="Caption"/>
        <w:spacing w:after="0"/>
        <w:rPr>
          <w:rFonts w:cs="Arial"/>
        </w:rPr>
      </w:pPr>
      <w:r w:rsidRPr="001F29E3">
        <w:rPr>
          <w:rFonts w:cs="Arial"/>
        </w:rPr>
        <w:t>Table 1.</w:t>
      </w:r>
      <w:r>
        <w:rPr>
          <w:rFonts w:cs="Arial"/>
        </w:rPr>
        <w:t>2.2</w:t>
      </w:r>
      <w:r w:rsidRPr="001F29E3">
        <w:rPr>
          <w:rFonts w:cs="Arial"/>
        </w:rPr>
        <w:t xml:space="preserve">: Student contact hours (millions) by funding type, </w:t>
      </w:r>
      <w:r w:rsidR="00A6569A">
        <w:rPr>
          <w:rFonts w:cs="Arial"/>
        </w:rPr>
        <w:t xml:space="preserve">Q2 2011, </w:t>
      </w:r>
      <w:r w:rsidR="00A6569A" w:rsidRPr="001F29E3">
        <w:rPr>
          <w:rFonts w:cs="Arial"/>
        </w:rPr>
        <w:t>Q</w:t>
      </w:r>
      <w:r w:rsidR="00A6569A">
        <w:rPr>
          <w:rFonts w:cs="Arial"/>
        </w:rPr>
        <w:t>2</w:t>
      </w:r>
      <w:r w:rsidR="00A6569A" w:rsidRPr="001F29E3">
        <w:rPr>
          <w:rFonts w:cs="Arial"/>
        </w:rPr>
        <w:t xml:space="preserve"> 2012 and Q</w:t>
      </w:r>
      <w:r w:rsidR="00A6569A">
        <w:rPr>
          <w:rFonts w:cs="Arial"/>
        </w:rPr>
        <w:t>2</w:t>
      </w:r>
      <w:r w:rsidR="00A6569A" w:rsidRPr="001F29E3">
        <w:rPr>
          <w:rFonts w:cs="Arial"/>
        </w:rPr>
        <w:t xml:space="preserve"> 2013</w:t>
      </w:r>
    </w:p>
    <w:tbl>
      <w:tblPr>
        <w:tblW w:w="8700" w:type="dxa"/>
        <w:tblInd w:w="108" w:type="dxa"/>
        <w:tblLook w:val="04A0" w:firstRow="1" w:lastRow="0" w:firstColumn="1" w:lastColumn="0" w:noHBand="0" w:noVBand="1"/>
      </w:tblPr>
      <w:tblGrid>
        <w:gridCol w:w="3100"/>
        <w:gridCol w:w="1120"/>
        <w:gridCol w:w="1120"/>
        <w:gridCol w:w="1120"/>
        <w:gridCol w:w="1120"/>
        <w:gridCol w:w="1120"/>
      </w:tblGrid>
      <w:tr w:rsidR="00A6569A" w:rsidRPr="00A6569A" w:rsidTr="005C5C90">
        <w:trPr>
          <w:trHeight w:hRule="exact" w:val="760"/>
        </w:trPr>
        <w:tc>
          <w:tcPr>
            <w:tcW w:w="3100" w:type="dxa"/>
            <w:tcBorders>
              <w:left w:val="single" w:sz="4" w:space="0" w:color="5E8A00"/>
              <w:bottom w:val="single" w:sz="4" w:space="0" w:color="5E8A00"/>
            </w:tcBorders>
            <w:shd w:val="clear" w:color="000000" w:fill="5E8A00"/>
            <w:noWrap/>
            <w:vAlign w:val="center"/>
            <w:hideMark/>
          </w:tcPr>
          <w:p w:rsidR="00A6569A" w:rsidRPr="00A6569A" w:rsidRDefault="00A6569A" w:rsidP="00F034AF">
            <w:pPr>
              <w:spacing w:after="0" w:line="240" w:lineRule="auto"/>
              <w:ind w:firstLineChars="100" w:firstLine="201"/>
              <w:jc w:val="left"/>
              <w:rPr>
                <w:rFonts w:cs="Arial"/>
                <w:b/>
                <w:bCs/>
                <w:color w:val="FFFFFF"/>
                <w:sz w:val="20"/>
                <w:szCs w:val="20"/>
                <w:lang w:eastAsia="en-AU"/>
              </w:rPr>
            </w:pPr>
            <w:r w:rsidRPr="00A6569A">
              <w:rPr>
                <w:rFonts w:cs="Arial"/>
                <w:b/>
                <w:bCs/>
                <w:color w:val="FFFFFF"/>
                <w:sz w:val="20"/>
                <w:szCs w:val="20"/>
                <w:lang w:eastAsia="en-AU"/>
              </w:rPr>
              <w:t> </w:t>
            </w:r>
          </w:p>
        </w:tc>
        <w:tc>
          <w:tcPr>
            <w:tcW w:w="1120" w:type="dxa"/>
            <w:tcBorders>
              <w:bottom w:val="single" w:sz="4" w:space="0" w:color="5E8A00"/>
            </w:tcBorders>
            <w:shd w:val="clear" w:color="000000" w:fill="5E8A00"/>
            <w:vAlign w:val="center"/>
            <w:hideMark/>
          </w:tcPr>
          <w:p w:rsidR="00A6569A" w:rsidRPr="00A6569A" w:rsidRDefault="00A6569A" w:rsidP="00F034AF">
            <w:pPr>
              <w:spacing w:after="0" w:line="240" w:lineRule="auto"/>
              <w:ind w:firstLineChars="100" w:firstLine="181"/>
              <w:jc w:val="right"/>
              <w:rPr>
                <w:rFonts w:cs="Arial"/>
                <w:b/>
                <w:bCs/>
                <w:color w:val="FFFFFF"/>
                <w:sz w:val="18"/>
                <w:szCs w:val="18"/>
                <w:lang w:eastAsia="en-AU"/>
              </w:rPr>
            </w:pPr>
            <w:r w:rsidRPr="00A6569A">
              <w:rPr>
                <w:rFonts w:cs="Arial"/>
                <w:b/>
                <w:bCs/>
                <w:color w:val="FFFFFF"/>
                <w:sz w:val="18"/>
                <w:szCs w:val="18"/>
                <w:lang w:eastAsia="en-AU"/>
              </w:rPr>
              <w:t>Q2 2011</w:t>
            </w:r>
          </w:p>
        </w:tc>
        <w:tc>
          <w:tcPr>
            <w:tcW w:w="1120" w:type="dxa"/>
            <w:tcBorders>
              <w:bottom w:val="single" w:sz="4" w:space="0" w:color="5E8A00"/>
            </w:tcBorders>
            <w:shd w:val="clear" w:color="000000" w:fill="5E8A00"/>
            <w:vAlign w:val="center"/>
            <w:hideMark/>
          </w:tcPr>
          <w:p w:rsidR="00A6569A" w:rsidRPr="00A6569A" w:rsidRDefault="00A6569A" w:rsidP="00F034AF">
            <w:pPr>
              <w:spacing w:after="0" w:line="240" w:lineRule="auto"/>
              <w:ind w:firstLineChars="100" w:firstLine="181"/>
              <w:jc w:val="right"/>
              <w:rPr>
                <w:rFonts w:cs="Arial"/>
                <w:b/>
                <w:bCs/>
                <w:color w:val="FFFFFF"/>
                <w:sz w:val="18"/>
                <w:szCs w:val="18"/>
                <w:lang w:eastAsia="en-AU"/>
              </w:rPr>
            </w:pPr>
            <w:r w:rsidRPr="00A6569A">
              <w:rPr>
                <w:rFonts w:cs="Arial"/>
                <w:b/>
                <w:bCs/>
                <w:color w:val="FFFFFF"/>
                <w:sz w:val="18"/>
                <w:szCs w:val="18"/>
                <w:lang w:eastAsia="en-AU"/>
              </w:rPr>
              <w:t>Q2 2012</w:t>
            </w:r>
          </w:p>
        </w:tc>
        <w:tc>
          <w:tcPr>
            <w:tcW w:w="1120" w:type="dxa"/>
            <w:tcBorders>
              <w:bottom w:val="single" w:sz="4" w:space="0" w:color="5E8A00"/>
            </w:tcBorders>
            <w:shd w:val="clear" w:color="000000" w:fill="5E8A00"/>
            <w:vAlign w:val="center"/>
            <w:hideMark/>
          </w:tcPr>
          <w:p w:rsidR="00A6569A" w:rsidRPr="00A6569A" w:rsidRDefault="00A6569A" w:rsidP="00F034AF">
            <w:pPr>
              <w:spacing w:after="0" w:line="240" w:lineRule="auto"/>
              <w:ind w:firstLineChars="100" w:firstLine="181"/>
              <w:jc w:val="right"/>
              <w:rPr>
                <w:rFonts w:cs="Arial"/>
                <w:b/>
                <w:bCs/>
                <w:color w:val="FFFFFF"/>
                <w:sz w:val="18"/>
                <w:szCs w:val="18"/>
                <w:lang w:eastAsia="en-AU"/>
              </w:rPr>
            </w:pPr>
            <w:r w:rsidRPr="00A6569A">
              <w:rPr>
                <w:rFonts w:cs="Arial"/>
                <w:b/>
                <w:bCs/>
                <w:color w:val="FFFFFF"/>
                <w:sz w:val="18"/>
                <w:szCs w:val="18"/>
                <w:lang w:eastAsia="en-AU"/>
              </w:rPr>
              <w:t>Q2 2013</w:t>
            </w:r>
          </w:p>
        </w:tc>
        <w:tc>
          <w:tcPr>
            <w:tcW w:w="1120" w:type="dxa"/>
            <w:tcBorders>
              <w:bottom w:val="single" w:sz="4" w:space="0" w:color="5E8A00"/>
            </w:tcBorders>
            <w:shd w:val="clear" w:color="000000" w:fill="5E8A00"/>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 change</w:t>
            </w:r>
            <w:r w:rsidRPr="00A6569A">
              <w:rPr>
                <w:rFonts w:cs="Arial"/>
                <w:b/>
                <w:bCs/>
                <w:color w:val="FFFFFF"/>
                <w:sz w:val="18"/>
                <w:szCs w:val="18"/>
                <w:lang w:eastAsia="en-AU"/>
              </w:rPr>
              <w:br/>
              <w:t>Q2 2011-Q2 2013 </w:t>
            </w:r>
          </w:p>
        </w:tc>
        <w:tc>
          <w:tcPr>
            <w:tcW w:w="1120" w:type="dxa"/>
            <w:tcBorders>
              <w:bottom w:val="single" w:sz="4" w:space="0" w:color="5E8A00"/>
              <w:right w:val="single" w:sz="4" w:space="0" w:color="5E8A00"/>
            </w:tcBorders>
            <w:shd w:val="clear" w:color="000000" w:fill="5E8A00"/>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 change</w:t>
            </w:r>
            <w:r w:rsidRPr="00A6569A">
              <w:rPr>
                <w:rFonts w:cs="Arial"/>
                <w:b/>
                <w:bCs/>
                <w:color w:val="FFFFFF"/>
                <w:sz w:val="18"/>
                <w:szCs w:val="18"/>
                <w:lang w:eastAsia="en-AU"/>
              </w:rPr>
              <w:br/>
              <w:t>Q2 2012-Q2 2013 </w:t>
            </w:r>
          </w:p>
        </w:tc>
      </w:tr>
      <w:tr w:rsidR="00A6569A" w:rsidRPr="00A6569A" w:rsidTr="0037793E">
        <w:trPr>
          <w:trHeight w:hRule="exact" w:val="284"/>
        </w:trPr>
        <w:tc>
          <w:tcPr>
            <w:tcW w:w="3100" w:type="dxa"/>
            <w:tcBorders>
              <w:top w:val="nil"/>
              <w:left w:val="single" w:sz="4" w:space="0" w:color="5E8A00"/>
              <w:bottom w:val="single" w:sz="4" w:space="0" w:color="5E8A00"/>
              <w:right w:val="single" w:sz="4" w:space="0" w:color="5E8A00"/>
            </w:tcBorders>
            <w:shd w:val="clear" w:color="000000" w:fill="FFFFFF"/>
            <w:noWrap/>
            <w:vAlign w:val="center"/>
            <w:hideMark/>
          </w:tcPr>
          <w:p w:rsidR="00A6569A" w:rsidRPr="00A6569A" w:rsidRDefault="00A6569A" w:rsidP="00A6569A">
            <w:pPr>
              <w:spacing w:after="0" w:line="240" w:lineRule="auto"/>
              <w:jc w:val="left"/>
              <w:rPr>
                <w:rFonts w:cs="Arial"/>
                <w:color w:val="3E5B00"/>
                <w:sz w:val="18"/>
                <w:szCs w:val="18"/>
                <w:lang w:eastAsia="en-AU"/>
              </w:rPr>
            </w:pPr>
            <w:r w:rsidRPr="00A6569A">
              <w:rPr>
                <w:rFonts w:cs="Arial"/>
                <w:color w:val="3E5B00"/>
                <w:sz w:val="18"/>
                <w:szCs w:val="18"/>
                <w:lang w:eastAsia="en-AU"/>
              </w:rPr>
              <w:t>Government subsidised</w:t>
            </w:r>
          </w:p>
        </w:tc>
        <w:tc>
          <w:tcPr>
            <w:tcW w:w="1120" w:type="dxa"/>
            <w:tcBorders>
              <w:top w:val="nil"/>
              <w:left w:val="nil"/>
              <w:bottom w:val="single" w:sz="4" w:space="0" w:color="5E8A00"/>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99.0 </w:t>
            </w:r>
          </w:p>
        </w:tc>
        <w:tc>
          <w:tcPr>
            <w:tcW w:w="1120" w:type="dxa"/>
            <w:tcBorders>
              <w:top w:val="nil"/>
              <w:left w:val="nil"/>
              <w:bottom w:val="single" w:sz="4" w:space="0" w:color="5E8A00"/>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136.5 </w:t>
            </w:r>
          </w:p>
        </w:tc>
        <w:tc>
          <w:tcPr>
            <w:tcW w:w="1120" w:type="dxa"/>
            <w:tcBorders>
              <w:top w:val="nil"/>
              <w:left w:val="nil"/>
              <w:bottom w:val="single" w:sz="4" w:space="0" w:color="5E8A00"/>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119.7 </w:t>
            </w:r>
          </w:p>
        </w:tc>
        <w:tc>
          <w:tcPr>
            <w:tcW w:w="1120" w:type="dxa"/>
            <w:tcBorders>
              <w:top w:val="nil"/>
              <w:left w:val="nil"/>
              <w:bottom w:val="single" w:sz="4" w:space="0" w:color="5E8A00"/>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21%</w:t>
            </w:r>
          </w:p>
        </w:tc>
        <w:tc>
          <w:tcPr>
            <w:tcW w:w="1120" w:type="dxa"/>
            <w:tcBorders>
              <w:top w:val="nil"/>
              <w:left w:val="nil"/>
              <w:bottom w:val="single" w:sz="4" w:space="0" w:color="5E8A00"/>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-12%</w:t>
            </w:r>
          </w:p>
        </w:tc>
      </w:tr>
      <w:tr w:rsidR="00A6569A" w:rsidRPr="00A6569A" w:rsidTr="005C5C90">
        <w:trPr>
          <w:trHeight w:hRule="exact" w:val="284"/>
        </w:trPr>
        <w:tc>
          <w:tcPr>
            <w:tcW w:w="3100" w:type="dxa"/>
            <w:tcBorders>
              <w:top w:val="nil"/>
              <w:left w:val="single" w:sz="4" w:space="0" w:color="5E8A00"/>
              <w:right w:val="single" w:sz="4" w:space="0" w:color="5E8A00"/>
            </w:tcBorders>
            <w:shd w:val="clear" w:color="000000" w:fill="FFFFFF"/>
            <w:noWrap/>
            <w:vAlign w:val="center"/>
            <w:hideMark/>
          </w:tcPr>
          <w:p w:rsidR="00A6569A" w:rsidRPr="00A6569A" w:rsidRDefault="00A6569A" w:rsidP="00A6569A">
            <w:pPr>
              <w:spacing w:after="0" w:line="240" w:lineRule="auto"/>
              <w:jc w:val="left"/>
              <w:rPr>
                <w:rFonts w:cs="Arial"/>
                <w:color w:val="3E5B00"/>
                <w:sz w:val="18"/>
                <w:szCs w:val="18"/>
                <w:lang w:eastAsia="en-AU"/>
              </w:rPr>
            </w:pPr>
            <w:r w:rsidRPr="00A6569A">
              <w:rPr>
                <w:rFonts w:cs="Arial"/>
                <w:color w:val="3E5B00"/>
                <w:sz w:val="18"/>
                <w:szCs w:val="18"/>
                <w:lang w:eastAsia="en-AU"/>
              </w:rPr>
              <w:t>TAFE domestic fee for service*</w:t>
            </w:r>
          </w:p>
        </w:tc>
        <w:tc>
          <w:tcPr>
            <w:tcW w:w="1120" w:type="dxa"/>
            <w:tcBorders>
              <w:top w:val="nil"/>
              <w:left w:val="nil"/>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11.8 </w:t>
            </w:r>
          </w:p>
        </w:tc>
        <w:tc>
          <w:tcPr>
            <w:tcW w:w="1120" w:type="dxa"/>
            <w:tcBorders>
              <w:top w:val="nil"/>
              <w:left w:val="nil"/>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13.6 </w:t>
            </w:r>
          </w:p>
        </w:tc>
        <w:tc>
          <w:tcPr>
            <w:tcW w:w="1120" w:type="dxa"/>
            <w:tcBorders>
              <w:top w:val="nil"/>
              <w:left w:val="nil"/>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 xml:space="preserve">12.2 </w:t>
            </w:r>
          </w:p>
        </w:tc>
        <w:tc>
          <w:tcPr>
            <w:tcW w:w="1120" w:type="dxa"/>
            <w:tcBorders>
              <w:top w:val="nil"/>
              <w:left w:val="nil"/>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3%</w:t>
            </w:r>
          </w:p>
        </w:tc>
        <w:tc>
          <w:tcPr>
            <w:tcW w:w="1120" w:type="dxa"/>
            <w:tcBorders>
              <w:top w:val="nil"/>
              <w:left w:val="nil"/>
              <w:right w:val="single" w:sz="4" w:space="0" w:color="5E8A00"/>
            </w:tcBorders>
            <w:shd w:val="clear" w:color="auto" w:fill="auto"/>
            <w:noWrap/>
            <w:vAlign w:val="center"/>
            <w:hideMark/>
          </w:tcPr>
          <w:p w:rsidR="00A6569A" w:rsidRPr="00A6569A" w:rsidRDefault="00A6569A" w:rsidP="00A6569A">
            <w:pPr>
              <w:spacing w:after="0" w:line="240" w:lineRule="auto"/>
              <w:jc w:val="right"/>
              <w:rPr>
                <w:rFonts w:cs="Arial"/>
                <w:sz w:val="18"/>
                <w:szCs w:val="18"/>
                <w:lang w:eastAsia="en-AU"/>
              </w:rPr>
            </w:pPr>
            <w:r w:rsidRPr="00A6569A">
              <w:rPr>
                <w:rFonts w:cs="Arial"/>
                <w:sz w:val="18"/>
                <w:szCs w:val="18"/>
                <w:lang w:eastAsia="en-AU"/>
              </w:rPr>
              <w:t>-11%</w:t>
            </w:r>
          </w:p>
        </w:tc>
      </w:tr>
      <w:tr w:rsidR="00A6569A" w:rsidRPr="00A6569A" w:rsidTr="005C5C90">
        <w:trPr>
          <w:trHeight w:hRule="exact" w:val="284"/>
        </w:trPr>
        <w:tc>
          <w:tcPr>
            <w:tcW w:w="3100" w:type="dxa"/>
            <w:tcBorders>
              <w:left w:val="single" w:sz="4" w:space="0" w:color="5E8A00"/>
              <w:bottom w:val="nil"/>
            </w:tcBorders>
            <w:shd w:val="clear" w:color="000000" w:fill="5E8A00"/>
            <w:noWrap/>
            <w:vAlign w:val="center"/>
            <w:hideMark/>
          </w:tcPr>
          <w:p w:rsidR="00A6569A" w:rsidRPr="00A6569A" w:rsidRDefault="00A6569A" w:rsidP="00A6569A">
            <w:pPr>
              <w:spacing w:after="0" w:line="240" w:lineRule="auto"/>
              <w:jc w:val="left"/>
              <w:rPr>
                <w:rFonts w:cs="Arial"/>
                <w:b/>
                <w:bCs/>
                <w:color w:val="FFFFFF"/>
                <w:sz w:val="18"/>
                <w:szCs w:val="18"/>
                <w:lang w:eastAsia="en-AU"/>
              </w:rPr>
            </w:pPr>
            <w:r w:rsidRPr="00A6569A">
              <w:rPr>
                <w:rFonts w:cs="Arial"/>
                <w:b/>
                <w:bCs/>
                <w:color w:val="FFFFFF"/>
                <w:sz w:val="18"/>
                <w:szCs w:val="18"/>
                <w:lang w:eastAsia="en-AU"/>
              </w:rPr>
              <w:t>Total</w:t>
            </w:r>
          </w:p>
        </w:tc>
        <w:tc>
          <w:tcPr>
            <w:tcW w:w="1120" w:type="dxa"/>
            <w:tcBorders>
              <w:bottom w:val="nil"/>
            </w:tcBorders>
            <w:shd w:val="clear" w:color="000000" w:fill="5E8A00"/>
            <w:noWrap/>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 xml:space="preserve">110.8 </w:t>
            </w:r>
          </w:p>
        </w:tc>
        <w:tc>
          <w:tcPr>
            <w:tcW w:w="1120" w:type="dxa"/>
            <w:tcBorders>
              <w:bottom w:val="nil"/>
            </w:tcBorders>
            <w:shd w:val="clear" w:color="000000" w:fill="5E8A00"/>
            <w:noWrap/>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 xml:space="preserve">150.1 </w:t>
            </w:r>
          </w:p>
        </w:tc>
        <w:tc>
          <w:tcPr>
            <w:tcW w:w="1120" w:type="dxa"/>
            <w:tcBorders>
              <w:bottom w:val="nil"/>
            </w:tcBorders>
            <w:shd w:val="clear" w:color="000000" w:fill="5E8A00"/>
            <w:noWrap/>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 xml:space="preserve">131.9 </w:t>
            </w:r>
          </w:p>
        </w:tc>
        <w:tc>
          <w:tcPr>
            <w:tcW w:w="1120" w:type="dxa"/>
            <w:tcBorders>
              <w:bottom w:val="single" w:sz="4" w:space="0" w:color="5E8A00"/>
            </w:tcBorders>
            <w:shd w:val="clear" w:color="000000" w:fill="5E8A00"/>
            <w:noWrap/>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19%</w:t>
            </w:r>
          </w:p>
        </w:tc>
        <w:tc>
          <w:tcPr>
            <w:tcW w:w="1120" w:type="dxa"/>
            <w:tcBorders>
              <w:bottom w:val="single" w:sz="4" w:space="0" w:color="5E8A00"/>
              <w:right w:val="single" w:sz="4" w:space="0" w:color="5E8A00"/>
            </w:tcBorders>
            <w:shd w:val="clear" w:color="000000" w:fill="5E8A00"/>
            <w:noWrap/>
            <w:vAlign w:val="center"/>
            <w:hideMark/>
          </w:tcPr>
          <w:p w:rsidR="00A6569A" w:rsidRPr="00A6569A" w:rsidRDefault="00A6569A" w:rsidP="00A6569A">
            <w:pPr>
              <w:spacing w:after="0" w:line="240" w:lineRule="auto"/>
              <w:jc w:val="right"/>
              <w:rPr>
                <w:rFonts w:cs="Arial"/>
                <w:b/>
                <w:bCs/>
                <w:color w:val="FFFFFF"/>
                <w:sz w:val="18"/>
                <w:szCs w:val="18"/>
                <w:lang w:eastAsia="en-AU"/>
              </w:rPr>
            </w:pPr>
            <w:r w:rsidRPr="00A6569A">
              <w:rPr>
                <w:rFonts w:cs="Arial"/>
                <w:b/>
                <w:bCs/>
                <w:color w:val="FFFFFF"/>
                <w:sz w:val="18"/>
                <w:szCs w:val="18"/>
                <w:lang w:eastAsia="en-AU"/>
              </w:rPr>
              <w:t>-12%</w:t>
            </w:r>
          </w:p>
        </w:tc>
      </w:tr>
    </w:tbl>
    <w:p w:rsidR="00164517" w:rsidRPr="00AE3D9A" w:rsidRDefault="008F0BCF" w:rsidP="00164517">
      <w:pPr>
        <w:spacing w:after="0" w:line="240" w:lineRule="auto"/>
        <w:rPr>
          <w:rFonts w:cs="Arial"/>
          <w:sz w:val="16"/>
          <w:szCs w:val="16"/>
        </w:rPr>
      </w:pPr>
      <w:r w:rsidRPr="00AE3D9A">
        <w:rPr>
          <w:rFonts w:cs="Arial"/>
          <w:sz w:val="16"/>
          <w:szCs w:val="16"/>
        </w:rPr>
        <w:t>*</w:t>
      </w:r>
      <w:r w:rsidR="00164517" w:rsidRPr="00AE3D9A">
        <w:rPr>
          <w:rFonts w:cs="Arial"/>
          <w:sz w:val="16"/>
          <w:szCs w:val="16"/>
        </w:rPr>
        <w:t>Fee for Service figures are TAFE on-shore domestic AQF Level 1 and above.</w:t>
      </w:r>
    </w:p>
    <w:p w:rsidR="00164517" w:rsidRDefault="00164517" w:rsidP="00A9260A">
      <w:pPr>
        <w:pStyle w:val="Caption"/>
        <w:rPr>
          <w:rFonts w:cs="Arial"/>
        </w:rPr>
      </w:pPr>
    </w:p>
    <w:p w:rsidR="004E497D" w:rsidRDefault="004E497D">
      <w:pPr>
        <w:spacing w:after="0" w:line="240" w:lineRule="auto"/>
        <w:jc w:val="left"/>
        <w:rPr>
          <w:rFonts w:cs="Arial"/>
          <w:b/>
          <w:bCs/>
          <w:color w:val="76923C" w:themeColor="accent3" w:themeShade="BF"/>
          <w:sz w:val="18"/>
          <w:szCs w:val="16"/>
        </w:rPr>
      </w:pPr>
      <w:r>
        <w:rPr>
          <w:rFonts w:cs="Arial"/>
        </w:rPr>
        <w:br w:type="page"/>
      </w:r>
    </w:p>
    <w:p w:rsidR="005E4EE6" w:rsidRPr="001F29E3" w:rsidRDefault="009B6E7F" w:rsidP="00A9260A">
      <w:pPr>
        <w:pStyle w:val="Caption"/>
        <w:rPr>
          <w:rFonts w:cs="Arial"/>
        </w:rPr>
      </w:pPr>
      <w:proofErr w:type="gramStart"/>
      <w:r w:rsidRPr="001F29E3">
        <w:rPr>
          <w:rFonts w:cs="Arial"/>
        </w:rPr>
        <w:lastRenderedPageBreak/>
        <w:t>Figure 1.</w:t>
      </w:r>
      <w:proofErr w:type="gramEnd"/>
      <w:r w:rsidR="00963271" w:rsidRPr="001F29E3">
        <w:rPr>
          <w:rFonts w:cs="Arial"/>
        </w:rPr>
        <w:fldChar w:fldCharType="begin"/>
      </w:r>
      <w:r w:rsidR="00963271" w:rsidRPr="001F29E3">
        <w:rPr>
          <w:rFonts w:cs="Arial"/>
        </w:rPr>
        <w:instrText xml:space="preserve"> SEQ Graph \* ARABIC \s 1 </w:instrText>
      </w:r>
      <w:r w:rsidR="00963271" w:rsidRPr="001F29E3">
        <w:rPr>
          <w:rFonts w:cs="Arial"/>
        </w:rPr>
        <w:fldChar w:fldCharType="separate"/>
      </w:r>
      <w:r w:rsidR="008176F8">
        <w:rPr>
          <w:rFonts w:cs="Arial"/>
          <w:noProof/>
        </w:rPr>
        <w:t>2</w:t>
      </w:r>
      <w:r w:rsidR="00963271" w:rsidRPr="001F29E3">
        <w:rPr>
          <w:rFonts w:cs="Arial"/>
          <w:noProof/>
        </w:rPr>
        <w:fldChar w:fldCharType="end"/>
      </w:r>
      <w:r w:rsidRPr="001F29E3">
        <w:rPr>
          <w:rFonts w:cs="Arial"/>
        </w:rPr>
        <w:t xml:space="preserve">: </w:t>
      </w:r>
      <w:r w:rsidR="00171CC7" w:rsidRPr="001F29E3">
        <w:rPr>
          <w:rFonts w:cs="Arial"/>
        </w:rPr>
        <w:t>s</w:t>
      </w:r>
      <w:r w:rsidRPr="001F29E3">
        <w:rPr>
          <w:rFonts w:cs="Arial"/>
        </w:rPr>
        <w:t>tudent contact hours (millions)</w:t>
      </w:r>
      <w:r w:rsidR="00171CC7" w:rsidRPr="001F29E3">
        <w:rPr>
          <w:rFonts w:cs="Arial"/>
        </w:rPr>
        <w:t xml:space="preserve"> by funding type</w:t>
      </w:r>
      <w:r w:rsidRPr="001F29E3">
        <w:rPr>
          <w:rFonts w:cs="Arial"/>
        </w:rPr>
        <w:t>, 2008–2012</w:t>
      </w:r>
      <w:r w:rsidR="00171CC7" w:rsidRPr="001F29E3">
        <w:rPr>
          <w:rFonts w:cs="Arial"/>
        </w:rPr>
        <w:t xml:space="preserve">, </w:t>
      </w:r>
      <w:r w:rsidR="00086BD6">
        <w:rPr>
          <w:rFonts w:cs="Arial"/>
        </w:rPr>
        <w:t>Q</w:t>
      </w:r>
      <w:r w:rsidR="00164517">
        <w:rPr>
          <w:rFonts w:cs="Arial"/>
        </w:rPr>
        <w:t>2</w:t>
      </w:r>
      <w:r w:rsidR="00086BD6">
        <w:rPr>
          <w:rFonts w:cs="Arial"/>
        </w:rPr>
        <w:t xml:space="preserve"> 2011, </w:t>
      </w:r>
      <w:r w:rsidR="00171CC7" w:rsidRPr="001F29E3">
        <w:rPr>
          <w:rFonts w:cs="Arial"/>
        </w:rPr>
        <w:t>Q</w:t>
      </w:r>
      <w:r w:rsidR="00164517">
        <w:rPr>
          <w:rFonts w:cs="Arial"/>
        </w:rPr>
        <w:t>2</w:t>
      </w:r>
      <w:r w:rsidR="00171CC7" w:rsidRPr="001F29E3">
        <w:rPr>
          <w:rFonts w:cs="Arial"/>
        </w:rPr>
        <w:t xml:space="preserve"> 2012 and Q</w:t>
      </w:r>
      <w:r w:rsidR="00164517">
        <w:rPr>
          <w:rFonts w:cs="Arial"/>
        </w:rPr>
        <w:t>2</w:t>
      </w:r>
      <w:r w:rsidR="00171CC7" w:rsidRPr="001F29E3">
        <w:rPr>
          <w:rFonts w:cs="Arial"/>
        </w:rPr>
        <w:t xml:space="preserve"> 2013</w:t>
      </w:r>
    </w:p>
    <w:p w:rsidR="00C53713" w:rsidRPr="001F29E3" w:rsidRDefault="00164517" w:rsidP="00164517">
      <w:pPr>
        <w:pStyle w:val="Caption"/>
        <w:jc w:val="left"/>
        <w:rPr>
          <w:rFonts w:cs="Arial"/>
        </w:rPr>
      </w:pPr>
      <w:r>
        <w:rPr>
          <w:rFonts w:cs="Arial"/>
          <w:noProof/>
          <w:lang w:eastAsia="en-AU"/>
        </w:rPr>
        <w:drawing>
          <wp:inline distT="0" distB="0" distL="0" distR="0" wp14:anchorId="1B4B46CC" wp14:editId="31E7B9E2">
            <wp:extent cx="4907915" cy="288353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7915" cy="2883535"/>
                    </a:xfrm>
                    <a:prstGeom prst="rect">
                      <a:avLst/>
                    </a:prstGeom>
                    <a:noFill/>
                  </pic:spPr>
                </pic:pic>
              </a:graphicData>
            </a:graphic>
          </wp:inline>
        </w:drawing>
      </w:r>
    </w:p>
    <w:p w:rsidR="0069078C" w:rsidRPr="007D276C" w:rsidRDefault="0069078C">
      <w:pPr>
        <w:spacing w:after="0" w:line="240" w:lineRule="auto"/>
        <w:jc w:val="left"/>
        <w:rPr>
          <w:rFonts w:cs="Arial"/>
          <w:b/>
          <w:bCs/>
          <w:sz w:val="16"/>
          <w:szCs w:val="16"/>
        </w:rPr>
      </w:pPr>
    </w:p>
    <w:p w:rsidR="0069078C" w:rsidRDefault="0069078C">
      <w:pPr>
        <w:spacing w:after="0" w:line="240" w:lineRule="auto"/>
        <w:jc w:val="left"/>
        <w:rPr>
          <w:rFonts w:cs="Arial"/>
          <w:b/>
          <w:bCs/>
          <w:color w:val="76923C" w:themeColor="accent3" w:themeShade="BF"/>
          <w:sz w:val="18"/>
          <w:szCs w:val="16"/>
        </w:rPr>
      </w:pPr>
    </w:p>
    <w:p w:rsidR="005E4EE6" w:rsidRPr="001F29E3" w:rsidRDefault="005E4EE6" w:rsidP="00CB5563">
      <w:pPr>
        <w:pStyle w:val="Caption"/>
        <w:spacing w:after="0"/>
        <w:rPr>
          <w:rFonts w:cs="Arial"/>
        </w:rPr>
      </w:pPr>
      <w:r w:rsidRPr="001F29E3">
        <w:rPr>
          <w:rFonts w:cs="Arial"/>
        </w:rPr>
        <w:t>Table 1.</w:t>
      </w:r>
      <w:r w:rsidR="001C1188">
        <w:rPr>
          <w:rFonts w:cs="Arial"/>
        </w:rPr>
        <w:t>3.1</w:t>
      </w:r>
      <w:r w:rsidRPr="001F29E3">
        <w:rPr>
          <w:rFonts w:cs="Arial"/>
        </w:rPr>
        <w:t xml:space="preserve">: </w:t>
      </w:r>
      <w:r w:rsidR="00171CC7" w:rsidRPr="001F29E3">
        <w:rPr>
          <w:rFonts w:cs="Arial"/>
        </w:rPr>
        <w:t>Number of students by funding type, 2008–2012</w:t>
      </w:r>
    </w:p>
    <w:tbl>
      <w:tblPr>
        <w:tblW w:w="9820" w:type="dxa"/>
        <w:tblInd w:w="108" w:type="dxa"/>
        <w:tblLook w:val="04A0" w:firstRow="1" w:lastRow="0" w:firstColumn="1" w:lastColumn="0" w:noHBand="0" w:noVBand="1"/>
      </w:tblPr>
      <w:tblGrid>
        <w:gridCol w:w="3100"/>
        <w:gridCol w:w="1120"/>
        <w:gridCol w:w="1120"/>
        <w:gridCol w:w="1120"/>
        <w:gridCol w:w="1120"/>
        <w:gridCol w:w="1120"/>
        <w:gridCol w:w="1120"/>
      </w:tblGrid>
      <w:tr w:rsidR="0037793E" w:rsidRPr="0037793E" w:rsidTr="00F87EB1">
        <w:trPr>
          <w:trHeight w:hRule="exact" w:val="760"/>
        </w:trPr>
        <w:tc>
          <w:tcPr>
            <w:tcW w:w="3100" w:type="dxa"/>
            <w:tcBorders>
              <w:left w:val="single" w:sz="4" w:space="0" w:color="5E8A00"/>
              <w:bottom w:val="single" w:sz="4" w:space="0" w:color="5E8A00"/>
              <w:right w:val="single" w:sz="4" w:space="0" w:color="5E8A00"/>
            </w:tcBorders>
            <w:shd w:val="clear" w:color="000000" w:fill="5E8A00"/>
            <w:noWrap/>
            <w:vAlign w:val="center"/>
            <w:hideMark/>
          </w:tcPr>
          <w:p w:rsidR="0037793E" w:rsidRPr="0037793E" w:rsidRDefault="0037793E" w:rsidP="00F034AF">
            <w:pPr>
              <w:spacing w:after="0" w:line="240" w:lineRule="auto"/>
              <w:ind w:firstLineChars="100" w:firstLine="181"/>
              <w:jc w:val="left"/>
              <w:rPr>
                <w:rFonts w:cs="Arial"/>
                <w:b/>
                <w:bCs/>
                <w:color w:val="FFFFFF"/>
                <w:sz w:val="18"/>
                <w:szCs w:val="18"/>
                <w:lang w:eastAsia="en-AU"/>
              </w:rPr>
            </w:pPr>
            <w:r w:rsidRPr="0037793E">
              <w:rPr>
                <w:rFonts w:cs="Arial"/>
                <w:b/>
                <w:bCs/>
                <w:color w:val="FFFFFF"/>
                <w:sz w:val="18"/>
                <w:szCs w:val="18"/>
                <w:lang w:eastAsia="en-AU"/>
              </w:rPr>
              <w:t> </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37793E" w:rsidRPr="0037793E" w:rsidRDefault="0037793E" w:rsidP="00F034AF">
            <w:pPr>
              <w:spacing w:after="0" w:line="240" w:lineRule="auto"/>
              <w:ind w:firstLineChars="100" w:firstLine="181"/>
              <w:jc w:val="right"/>
              <w:rPr>
                <w:rFonts w:cs="Arial"/>
                <w:b/>
                <w:bCs/>
                <w:color w:val="FFFFFF"/>
                <w:sz w:val="18"/>
                <w:szCs w:val="18"/>
                <w:lang w:eastAsia="en-AU"/>
              </w:rPr>
            </w:pPr>
            <w:r w:rsidRPr="0037793E">
              <w:rPr>
                <w:rFonts w:cs="Arial"/>
                <w:b/>
                <w:bCs/>
                <w:color w:val="FFFFFF"/>
                <w:sz w:val="18"/>
                <w:szCs w:val="18"/>
                <w:lang w:eastAsia="en-AU"/>
              </w:rPr>
              <w:t>2008</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37793E" w:rsidRPr="0037793E" w:rsidRDefault="0037793E" w:rsidP="00F034AF">
            <w:pPr>
              <w:spacing w:after="0" w:line="240" w:lineRule="auto"/>
              <w:ind w:firstLineChars="100" w:firstLine="181"/>
              <w:jc w:val="right"/>
              <w:rPr>
                <w:rFonts w:cs="Arial"/>
                <w:b/>
                <w:bCs/>
                <w:color w:val="FFFFFF"/>
                <w:sz w:val="18"/>
                <w:szCs w:val="18"/>
                <w:lang w:eastAsia="en-AU"/>
              </w:rPr>
            </w:pPr>
            <w:r w:rsidRPr="0037793E">
              <w:rPr>
                <w:rFonts w:cs="Arial"/>
                <w:b/>
                <w:bCs/>
                <w:color w:val="FFFFFF"/>
                <w:sz w:val="18"/>
                <w:szCs w:val="18"/>
                <w:lang w:eastAsia="en-AU"/>
              </w:rPr>
              <w:t>2009</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37793E" w:rsidRPr="0037793E" w:rsidRDefault="0037793E" w:rsidP="00F034AF">
            <w:pPr>
              <w:spacing w:after="0" w:line="240" w:lineRule="auto"/>
              <w:ind w:firstLineChars="100" w:firstLine="181"/>
              <w:jc w:val="right"/>
              <w:rPr>
                <w:rFonts w:cs="Arial"/>
                <w:b/>
                <w:bCs/>
                <w:color w:val="FFFFFF"/>
                <w:sz w:val="18"/>
                <w:szCs w:val="18"/>
                <w:lang w:eastAsia="en-AU"/>
              </w:rPr>
            </w:pPr>
            <w:r w:rsidRPr="0037793E">
              <w:rPr>
                <w:rFonts w:cs="Arial"/>
                <w:b/>
                <w:bCs/>
                <w:color w:val="FFFFFF"/>
                <w:sz w:val="18"/>
                <w:szCs w:val="18"/>
                <w:lang w:eastAsia="en-AU"/>
              </w:rPr>
              <w:t>2010</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37793E" w:rsidRPr="0037793E" w:rsidRDefault="0037793E" w:rsidP="00F034AF">
            <w:pPr>
              <w:spacing w:after="0" w:line="240" w:lineRule="auto"/>
              <w:ind w:firstLineChars="100" w:firstLine="181"/>
              <w:jc w:val="right"/>
              <w:rPr>
                <w:rFonts w:cs="Arial"/>
                <w:b/>
                <w:bCs/>
                <w:color w:val="FFFFFF"/>
                <w:sz w:val="18"/>
                <w:szCs w:val="18"/>
                <w:lang w:eastAsia="en-AU"/>
              </w:rPr>
            </w:pPr>
            <w:r w:rsidRPr="0037793E">
              <w:rPr>
                <w:rFonts w:cs="Arial"/>
                <w:b/>
                <w:bCs/>
                <w:color w:val="FFFFFF"/>
                <w:sz w:val="18"/>
                <w:szCs w:val="18"/>
                <w:lang w:eastAsia="en-AU"/>
              </w:rPr>
              <w:t>2011</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37793E" w:rsidRPr="0037793E" w:rsidRDefault="0037793E" w:rsidP="00F034AF">
            <w:pPr>
              <w:spacing w:after="0" w:line="240" w:lineRule="auto"/>
              <w:ind w:firstLineChars="100" w:firstLine="181"/>
              <w:jc w:val="right"/>
              <w:rPr>
                <w:rFonts w:cs="Arial"/>
                <w:b/>
                <w:bCs/>
                <w:color w:val="FFFFFF"/>
                <w:sz w:val="18"/>
                <w:szCs w:val="18"/>
                <w:lang w:eastAsia="en-AU"/>
              </w:rPr>
            </w:pPr>
            <w:r w:rsidRPr="0037793E">
              <w:rPr>
                <w:rFonts w:cs="Arial"/>
                <w:b/>
                <w:bCs/>
                <w:color w:val="FFFFFF"/>
                <w:sz w:val="18"/>
                <w:szCs w:val="18"/>
                <w:lang w:eastAsia="en-AU"/>
              </w:rPr>
              <w:t>2012</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 change</w:t>
            </w:r>
            <w:r w:rsidRPr="0037793E">
              <w:rPr>
                <w:rFonts w:cs="Arial"/>
                <w:b/>
                <w:bCs/>
                <w:color w:val="FFFFFF"/>
                <w:sz w:val="18"/>
                <w:szCs w:val="18"/>
                <w:lang w:eastAsia="en-AU"/>
              </w:rPr>
              <w:br/>
              <w:t>2008-2012</w:t>
            </w:r>
          </w:p>
        </w:tc>
      </w:tr>
      <w:tr w:rsidR="0037793E" w:rsidRPr="0037793E" w:rsidTr="0037793E">
        <w:trPr>
          <w:trHeight w:hRule="exact" w:val="284"/>
        </w:trPr>
        <w:tc>
          <w:tcPr>
            <w:tcW w:w="3100" w:type="dxa"/>
            <w:tcBorders>
              <w:top w:val="nil"/>
              <w:left w:val="single" w:sz="4" w:space="0" w:color="5E8A00"/>
              <w:bottom w:val="single" w:sz="4" w:space="0" w:color="5E8A00"/>
              <w:right w:val="single" w:sz="4" w:space="0" w:color="5E8A00"/>
            </w:tcBorders>
            <w:shd w:val="clear" w:color="000000" w:fill="FFFFFF"/>
            <w:noWrap/>
            <w:vAlign w:val="center"/>
            <w:hideMark/>
          </w:tcPr>
          <w:p w:rsidR="0037793E" w:rsidRPr="0037793E" w:rsidRDefault="0037793E" w:rsidP="0037793E">
            <w:pPr>
              <w:spacing w:after="0" w:line="240" w:lineRule="auto"/>
              <w:jc w:val="left"/>
              <w:rPr>
                <w:rFonts w:cs="Arial"/>
                <w:color w:val="3E5B00"/>
                <w:sz w:val="18"/>
                <w:szCs w:val="18"/>
                <w:lang w:eastAsia="en-AU"/>
              </w:rPr>
            </w:pPr>
            <w:r w:rsidRPr="0037793E">
              <w:rPr>
                <w:rFonts w:cs="Arial"/>
                <w:color w:val="3E5B00"/>
                <w:sz w:val="18"/>
                <w:szCs w:val="18"/>
                <w:lang w:eastAsia="en-AU"/>
              </w:rPr>
              <w:t>Government subsidised</w:t>
            </w:r>
          </w:p>
        </w:tc>
        <w:tc>
          <w:tcPr>
            <w:tcW w:w="1120" w:type="dxa"/>
            <w:tcBorders>
              <w:top w:val="nil"/>
              <w:left w:val="nil"/>
              <w:bottom w:val="single" w:sz="4" w:space="0" w:color="5E8A00"/>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294,700 </w:t>
            </w:r>
          </w:p>
        </w:tc>
        <w:tc>
          <w:tcPr>
            <w:tcW w:w="1120" w:type="dxa"/>
            <w:tcBorders>
              <w:top w:val="nil"/>
              <w:left w:val="nil"/>
              <w:bottom w:val="single" w:sz="4" w:space="0" w:color="5E8A00"/>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299,600 </w:t>
            </w:r>
          </w:p>
        </w:tc>
        <w:tc>
          <w:tcPr>
            <w:tcW w:w="1120" w:type="dxa"/>
            <w:tcBorders>
              <w:top w:val="nil"/>
              <w:left w:val="nil"/>
              <w:bottom w:val="single" w:sz="4" w:space="0" w:color="5E8A00"/>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339,200 </w:t>
            </w:r>
          </w:p>
        </w:tc>
        <w:tc>
          <w:tcPr>
            <w:tcW w:w="1120" w:type="dxa"/>
            <w:tcBorders>
              <w:top w:val="nil"/>
              <w:left w:val="nil"/>
              <w:bottom w:val="single" w:sz="4" w:space="0" w:color="5E8A00"/>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430,300 </w:t>
            </w:r>
          </w:p>
        </w:tc>
        <w:tc>
          <w:tcPr>
            <w:tcW w:w="1120" w:type="dxa"/>
            <w:tcBorders>
              <w:top w:val="nil"/>
              <w:left w:val="nil"/>
              <w:bottom w:val="single" w:sz="4" w:space="0" w:color="5E8A00"/>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509,800 </w:t>
            </w:r>
          </w:p>
        </w:tc>
        <w:tc>
          <w:tcPr>
            <w:tcW w:w="1120" w:type="dxa"/>
            <w:tcBorders>
              <w:top w:val="nil"/>
              <w:left w:val="nil"/>
              <w:bottom w:val="single" w:sz="4" w:space="0" w:color="5E8A00"/>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73%</w:t>
            </w:r>
          </w:p>
        </w:tc>
      </w:tr>
      <w:tr w:rsidR="0037793E" w:rsidRPr="0037793E" w:rsidTr="00F87EB1">
        <w:trPr>
          <w:trHeight w:hRule="exact" w:val="284"/>
        </w:trPr>
        <w:tc>
          <w:tcPr>
            <w:tcW w:w="3100" w:type="dxa"/>
            <w:tcBorders>
              <w:top w:val="nil"/>
              <w:left w:val="single" w:sz="4" w:space="0" w:color="5E8A00"/>
              <w:right w:val="single" w:sz="4" w:space="0" w:color="5E8A00"/>
            </w:tcBorders>
            <w:shd w:val="clear" w:color="000000" w:fill="FFFFFF"/>
            <w:noWrap/>
            <w:vAlign w:val="center"/>
            <w:hideMark/>
          </w:tcPr>
          <w:p w:rsidR="0037793E" w:rsidRPr="0037793E" w:rsidRDefault="0037793E" w:rsidP="0037793E">
            <w:pPr>
              <w:spacing w:after="0" w:line="240" w:lineRule="auto"/>
              <w:jc w:val="left"/>
              <w:rPr>
                <w:rFonts w:cs="Arial"/>
                <w:color w:val="3E5B00"/>
                <w:sz w:val="18"/>
                <w:szCs w:val="18"/>
                <w:lang w:eastAsia="en-AU"/>
              </w:rPr>
            </w:pPr>
            <w:r w:rsidRPr="0037793E">
              <w:rPr>
                <w:rFonts w:cs="Arial"/>
                <w:color w:val="3E5B00"/>
                <w:sz w:val="18"/>
                <w:szCs w:val="18"/>
                <w:lang w:eastAsia="en-AU"/>
              </w:rPr>
              <w:t>TAFE domestic fee for service*</w:t>
            </w:r>
          </w:p>
        </w:tc>
        <w:tc>
          <w:tcPr>
            <w:tcW w:w="1120" w:type="dxa"/>
            <w:tcBorders>
              <w:top w:val="nil"/>
              <w:left w:val="nil"/>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80,400 </w:t>
            </w:r>
          </w:p>
        </w:tc>
        <w:tc>
          <w:tcPr>
            <w:tcW w:w="1120" w:type="dxa"/>
            <w:tcBorders>
              <w:top w:val="nil"/>
              <w:left w:val="nil"/>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93,100 </w:t>
            </w:r>
          </w:p>
        </w:tc>
        <w:tc>
          <w:tcPr>
            <w:tcW w:w="1120" w:type="dxa"/>
            <w:tcBorders>
              <w:top w:val="nil"/>
              <w:left w:val="nil"/>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96,000 </w:t>
            </w:r>
          </w:p>
        </w:tc>
        <w:tc>
          <w:tcPr>
            <w:tcW w:w="1120" w:type="dxa"/>
            <w:tcBorders>
              <w:top w:val="nil"/>
              <w:left w:val="nil"/>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94,200 </w:t>
            </w:r>
          </w:p>
        </w:tc>
        <w:tc>
          <w:tcPr>
            <w:tcW w:w="1120" w:type="dxa"/>
            <w:tcBorders>
              <w:top w:val="nil"/>
              <w:left w:val="nil"/>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105,200 </w:t>
            </w:r>
          </w:p>
        </w:tc>
        <w:tc>
          <w:tcPr>
            <w:tcW w:w="1120" w:type="dxa"/>
            <w:tcBorders>
              <w:top w:val="nil"/>
              <w:left w:val="nil"/>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31%</w:t>
            </w:r>
          </w:p>
        </w:tc>
      </w:tr>
      <w:tr w:rsidR="0037793E" w:rsidRPr="0037793E" w:rsidTr="00F87EB1">
        <w:trPr>
          <w:trHeight w:hRule="exact" w:val="284"/>
        </w:trPr>
        <w:tc>
          <w:tcPr>
            <w:tcW w:w="3100" w:type="dxa"/>
            <w:tcBorders>
              <w:left w:val="single" w:sz="4" w:space="0" w:color="5E8A00"/>
              <w:bottom w:val="single" w:sz="4" w:space="0" w:color="5E8A00"/>
            </w:tcBorders>
            <w:shd w:val="clear" w:color="000000" w:fill="5E8A00"/>
            <w:noWrap/>
            <w:vAlign w:val="center"/>
            <w:hideMark/>
          </w:tcPr>
          <w:p w:rsidR="0037793E" w:rsidRPr="0037793E" w:rsidRDefault="0037793E" w:rsidP="0037793E">
            <w:pPr>
              <w:spacing w:after="0" w:line="240" w:lineRule="auto"/>
              <w:jc w:val="left"/>
              <w:rPr>
                <w:rFonts w:cs="Arial"/>
                <w:b/>
                <w:bCs/>
                <w:color w:val="FFFFFF"/>
                <w:sz w:val="18"/>
                <w:szCs w:val="18"/>
                <w:lang w:eastAsia="en-AU"/>
              </w:rPr>
            </w:pPr>
            <w:r w:rsidRPr="0037793E">
              <w:rPr>
                <w:rFonts w:cs="Arial"/>
                <w:b/>
                <w:bCs/>
                <w:color w:val="FFFFFF"/>
                <w:sz w:val="18"/>
                <w:szCs w:val="18"/>
                <w:lang w:eastAsia="en-AU"/>
              </w:rPr>
              <w:t>Total**</w:t>
            </w:r>
          </w:p>
        </w:tc>
        <w:tc>
          <w:tcPr>
            <w:tcW w:w="1120" w:type="dxa"/>
            <w:tcBorders>
              <w:bottom w:val="single" w:sz="4" w:space="0" w:color="5E8A00"/>
            </w:tcBorders>
            <w:shd w:val="clear" w:color="000000" w:fill="5E8A00"/>
            <w:noWrap/>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 xml:space="preserve">366,700 </w:t>
            </w:r>
          </w:p>
        </w:tc>
        <w:tc>
          <w:tcPr>
            <w:tcW w:w="1120" w:type="dxa"/>
            <w:tcBorders>
              <w:bottom w:val="single" w:sz="4" w:space="0" w:color="5E8A00"/>
            </w:tcBorders>
            <w:shd w:val="clear" w:color="000000" w:fill="5E8A00"/>
            <w:noWrap/>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 xml:space="preserve">381,300 </w:t>
            </w:r>
          </w:p>
        </w:tc>
        <w:tc>
          <w:tcPr>
            <w:tcW w:w="1120" w:type="dxa"/>
            <w:tcBorders>
              <w:bottom w:val="single" w:sz="4" w:space="0" w:color="5E8A00"/>
            </w:tcBorders>
            <w:shd w:val="clear" w:color="000000" w:fill="5E8A00"/>
            <w:noWrap/>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 xml:space="preserve">422,500 </w:t>
            </w:r>
          </w:p>
        </w:tc>
        <w:tc>
          <w:tcPr>
            <w:tcW w:w="1120" w:type="dxa"/>
            <w:tcBorders>
              <w:bottom w:val="single" w:sz="4" w:space="0" w:color="5E8A00"/>
            </w:tcBorders>
            <w:shd w:val="clear" w:color="000000" w:fill="5E8A00"/>
            <w:noWrap/>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 xml:space="preserve">512,900 </w:t>
            </w:r>
          </w:p>
        </w:tc>
        <w:tc>
          <w:tcPr>
            <w:tcW w:w="1120" w:type="dxa"/>
            <w:tcBorders>
              <w:bottom w:val="single" w:sz="4" w:space="0" w:color="5E8A00"/>
            </w:tcBorders>
            <w:shd w:val="clear" w:color="000000" w:fill="5E8A00"/>
            <w:noWrap/>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 xml:space="preserve">603,200 </w:t>
            </w:r>
          </w:p>
        </w:tc>
        <w:tc>
          <w:tcPr>
            <w:tcW w:w="1120" w:type="dxa"/>
            <w:tcBorders>
              <w:bottom w:val="single" w:sz="4" w:space="0" w:color="5E8A00"/>
              <w:right w:val="single" w:sz="4" w:space="0" w:color="5E8A00"/>
            </w:tcBorders>
            <w:shd w:val="clear" w:color="000000" w:fill="5E8A00"/>
            <w:noWrap/>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64%</w:t>
            </w:r>
          </w:p>
        </w:tc>
      </w:tr>
    </w:tbl>
    <w:p w:rsidR="00891A33" w:rsidRPr="001F29E3" w:rsidRDefault="00AE3D9A" w:rsidP="00891A33">
      <w:pPr>
        <w:spacing w:after="0" w:line="240" w:lineRule="auto"/>
        <w:rPr>
          <w:rFonts w:cs="Arial"/>
          <w:sz w:val="16"/>
          <w:szCs w:val="16"/>
        </w:rPr>
      </w:pPr>
      <w:r>
        <w:rPr>
          <w:rFonts w:cs="Arial"/>
          <w:sz w:val="16"/>
          <w:szCs w:val="16"/>
        </w:rPr>
        <w:t>*</w:t>
      </w:r>
      <w:r w:rsidR="00891A33" w:rsidRPr="001F29E3">
        <w:rPr>
          <w:rFonts w:cs="Arial"/>
          <w:sz w:val="16"/>
          <w:szCs w:val="16"/>
        </w:rPr>
        <w:t>Fee for Service figures are TAFE on-shore domestic AQF</w:t>
      </w:r>
      <w:r w:rsidR="00891A33">
        <w:rPr>
          <w:rFonts w:cs="Arial"/>
          <w:sz w:val="16"/>
          <w:szCs w:val="16"/>
        </w:rPr>
        <w:t xml:space="preserve"> Level </w:t>
      </w:r>
      <w:r w:rsidR="00891A33" w:rsidRPr="001F29E3">
        <w:rPr>
          <w:rFonts w:cs="Arial"/>
          <w:sz w:val="16"/>
          <w:szCs w:val="16"/>
        </w:rPr>
        <w:t>1</w:t>
      </w:r>
      <w:r w:rsidR="00891A33">
        <w:rPr>
          <w:rFonts w:cs="Arial"/>
          <w:sz w:val="16"/>
          <w:szCs w:val="16"/>
        </w:rPr>
        <w:t xml:space="preserve"> and above</w:t>
      </w:r>
      <w:r w:rsidR="00891A33" w:rsidRPr="001F29E3">
        <w:rPr>
          <w:rFonts w:cs="Arial"/>
          <w:sz w:val="16"/>
          <w:szCs w:val="16"/>
        </w:rPr>
        <w:t>.</w:t>
      </w:r>
    </w:p>
    <w:p w:rsidR="005E4EE6" w:rsidRDefault="005E4EE6" w:rsidP="00DB72B4">
      <w:pPr>
        <w:spacing w:line="240" w:lineRule="auto"/>
        <w:rPr>
          <w:rFonts w:cs="Arial"/>
          <w:sz w:val="16"/>
          <w:szCs w:val="16"/>
        </w:rPr>
      </w:pPr>
      <w:r w:rsidRPr="001F29E3">
        <w:rPr>
          <w:rFonts w:cs="Arial"/>
          <w:sz w:val="16"/>
          <w:szCs w:val="16"/>
        </w:rPr>
        <w:t>*</w:t>
      </w:r>
      <w:r w:rsidR="00AE3D9A">
        <w:rPr>
          <w:rFonts w:cs="Arial"/>
          <w:sz w:val="16"/>
          <w:szCs w:val="16"/>
        </w:rPr>
        <w:t>*</w:t>
      </w:r>
      <w:r w:rsidRPr="001F29E3">
        <w:rPr>
          <w:rFonts w:cs="Arial"/>
          <w:sz w:val="16"/>
          <w:szCs w:val="16"/>
        </w:rPr>
        <w:t xml:space="preserve">TAFE students whose enrolments are made up of </w:t>
      </w:r>
      <w:r w:rsidR="00452EAA" w:rsidRPr="001F29E3">
        <w:rPr>
          <w:rFonts w:cs="Arial"/>
          <w:sz w:val="16"/>
          <w:szCs w:val="16"/>
        </w:rPr>
        <w:t xml:space="preserve">a combination of </w:t>
      </w:r>
      <w:r w:rsidRPr="001F29E3">
        <w:rPr>
          <w:rFonts w:cs="Arial"/>
          <w:sz w:val="16"/>
          <w:szCs w:val="16"/>
        </w:rPr>
        <w:t>government subsidies and self-funding have been counted in both funding categories. The total, however, has eliminated the duplicate</w:t>
      </w:r>
      <w:r w:rsidR="00452EAA" w:rsidRPr="001F29E3">
        <w:rPr>
          <w:rFonts w:cs="Arial"/>
          <w:sz w:val="16"/>
          <w:szCs w:val="16"/>
        </w:rPr>
        <w:t>s</w:t>
      </w:r>
      <w:r w:rsidRPr="001F29E3">
        <w:rPr>
          <w:rFonts w:cs="Arial"/>
          <w:sz w:val="16"/>
          <w:szCs w:val="16"/>
        </w:rPr>
        <w:t>.</w:t>
      </w:r>
    </w:p>
    <w:p w:rsidR="006F5E43" w:rsidRDefault="006F5E43" w:rsidP="00DB72B4">
      <w:pPr>
        <w:spacing w:line="240" w:lineRule="auto"/>
        <w:rPr>
          <w:rFonts w:cs="Arial"/>
          <w:sz w:val="16"/>
          <w:szCs w:val="16"/>
        </w:rPr>
      </w:pPr>
    </w:p>
    <w:p w:rsidR="001C1188" w:rsidRPr="001F29E3" w:rsidRDefault="001C1188" w:rsidP="00CB5563">
      <w:pPr>
        <w:pStyle w:val="Caption"/>
        <w:spacing w:after="0"/>
        <w:rPr>
          <w:rFonts w:cs="Arial"/>
        </w:rPr>
      </w:pPr>
      <w:r w:rsidRPr="001F29E3">
        <w:rPr>
          <w:rFonts w:cs="Arial"/>
        </w:rPr>
        <w:t>Table 1.</w:t>
      </w:r>
      <w:r>
        <w:rPr>
          <w:rFonts w:cs="Arial"/>
        </w:rPr>
        <w:t>3.2</w:t>
      </w:r>
      <w:r w:rsidRPr="001F29E3">
        <w:rPr>
          <w:rFonts w:cs="Arial"/>
        </w:rPr>
        <w:t xml:space="preserve">: Number of students by funding type, </w:t>
      </w:r>
      <w:r>
        <w:rPr>
          <w:rFonts w:cs="Arial"/>
        </w:rPr>
        <w:t xml:space="preserve">Q2 2011, </w:t>
      </w:r>
      <w:r w:rsidRPr="001F29E3">
        <w:rPr>
          <w:rFonts w:cs="Arial"/>
        </w:rPr>
        <w:t>Q</w:t>
      </w:r>
      <w:r>
        <w:rPr>
          <w:rFonts w:cs="Arial"/>
        </w:rPr>
        <w:t>2</w:t>
      </w:r>
      <w:r w:rsidRPr="001F29E3">
        <w:rPr>
          <w:rFonts w:cs="Arial"/>
        </w:rPr>
        <w:t xml:space="preserve"> 2012 and Q</w:t>
      </w:r>
      <w:r>
        <w:rPr>
          <w:rFonts w:cs="Arial"/>
        </w:rPr>
        <w:t>2</w:t>
      </w:r>
      <w:r w:rsidRPr="001F29E3">
        <w:rPr>
          <w:rFonts w:cs="Arial"/>
        </w:rPr>
        <w:t xml:space="preserve"> 2013</w:t>
      </w:r>
    </w:p>
    <w:tbl>
      <w:tblPr>
        <w:tblW w:w="8700" w:type="dxa"/>
        <w:tblInd w:w="108" w:type="dxa"/>
        <w:tblLook w:val="04A0" w:firstRow="1" w:lastRow="0" w:firstColumn="1" w:lastColumn="0" w:noHBand="0" w:noVBand="1"/>
      </w:tblPr>
      <w:tblGrid>
        <w:gridCol w:w="3100"/>
        <w:gridCol w:w="1120"/>
        <w:gridCol w:w="1120"/>
        <w:gridCol w:w="1120"/>
        <w:gridCol w:w="1120"/>
        <w:gridCol w:w="1120"/>
      </w:tblGrid>
      <w:tr w:rsidR="0037793E" w:rsidRPr="0037793E" w:rsidTr="00F87EB1">
        <w:trPr>
          <w:trHeight w:hRule="exact" w:val="760"/>
        </w:trPr>
        <w:tc>
          <w:tcPr>
            <w:tcW w:w="3100" w:type="dxa"/>
            <w:tcBorders>
              <w:left w:val="single" w:sz="4" w:space="0" w:color="5E8A00"/>
              <w:bottom w:val="single" w:sz="4" w:space="0" w:color="5E8A00"/>
            </w:tcBorders>
            <w:shd w:val="clear" w:color="000000" w:fill="5E8A00"/>
            <w:noWrap/>
            <w:vAlign w:val="center"/>
            <w:hideMark/>
          </w:tcPr>
          <w:p w:rsidR="0037793E" w:rsidRPr="0037793E" w:rsidRDefault="0037793E" w:rsidP="00F034AF">
            <w:pPr>
              <w:spacing w:after="0" w:line="240" w:lineRule="auto"/>
              <w:ind w:firstLineChars="100" w:firstLine="181"/>
              <w:jc w:val="left"/>
              <w:rPr>
                <w:rFonts w:cs="Arial"/>
                <w:b/>
                <w:bCs/>
                <w:color w:val="FFFFFF"/>
                <w:sz w:val="18"/>
                <w:szCs w:val="18"/>
                <w:lang w:eastAsia="en-AU"/>
              </w:rPr>
            </w:pPr>
            <w:r w:rsidRPr="0037793E">
              <w:rPr>
                <w:rFonts w:cs="Arial"/>
                <w:b/>
                <w:bCs/>
                <w:color w:val="FFFFFF"/>
                <w:sz w:val="18"/>
                <w:szCs w:val="18"/>
                <w:lang w:eastAsia="en-AU"/>
              </w:rPr>
              <w:t> </w:t>
            </w:r>
          </w:p>
        </w:tc>
        <w:tc>
          <w:tcPr>
            <w:tcW w:w="1120" w:type="dxa"/>
            <w:tcBorders>
              <w:bottom w:val="single" w:sz="4" w:space="0" w:color="5E8A00"/>
            </w:tcBorders>
            <w:shd w:val="clear" w:color="000000" w:fill="5E8A00"/>
            <w:vAlign w:val="center"/>
            <w:hideMark/>
          </w:tcPr>
          <w:p w:rsidR="0037793E" w:rsidRPr="0037793E" w:rsidRDefault="0037793E" w:rsidP="00F034AF">
            <w:pPr>
              <w:spacing w:after="0" w:line="240" w:lineRule="auto"/>
              <w:ind w:firstLineChars="100" w:firstLine="181"/>
              <w:jc w:val="right"/>
              <w:rPr>
                <w:rFonts w:cs="Arial"/>
                <w:b/>
                <w:bCs/>
                <w:color w:val="FFFFFF"/>
                <w:sz w:val="18"/>
                <w:szCs w:val="18"/>
                <w:lang w:eastAsia="en-AU"/>
              </w:rPr>
            </w:pPr>
            <w:r w:rsidRPr="0037793E">
              <w:rPr>
                <w:rFonts w:cs="Arial"/>
                <w:b/>
                <w:bCs/>
                <w:color w:val="FFFFFF"/>
                <w:sz w:val="18"/>
                <w:szCs w:val="18"/>
                <w:lang w:eastAsia="en-AU"/>
              </w:rPr>
              <w:t>Q2 2011</w:t>
            </w:r>
          </w:p>
        </w:tc>
        <w:tc>
          <w:tcPr>
            <w:tcW w:w="1120" w:type="dxa"/>
            <w:tcBorders>
              <w:bottom w:val="single" w:sz="4" w:space="0" w:color="5E8A00"/>
            </w:tcBorders>
            <w:shd w:val="clear" w:color="000000" w:fill="5E8A00"/>
            <w:vAlign w:val="center"/>
            <w:hideMark/>
          </w:tcPr>
          <w:p w:rsidR="0037793E" w:rsidRPr="0037793E" w:rsidRDefault="0037793E" w:rsidP="00F034AF">
            <w:pPr>
              <w:spacing w:after="0" w:line="240" w:lineRule="auto"/>
              <w:ind w:firstLineChars="100" w:firstLine="181"/>
              <w:jc w:val="right"/>
              <w:rPr>
                <w:rFonts w:cs="Arial"/>
                <w:b/>
                <w:bCs/>
                <w:color w:val="FFFFFF"/>
                <w:sz w:val="18"/>
                <w:szCs w:val="18"/>
                <w:lang w:eastAsia="en-AU"/>
              </w:rPr>
            </w:pPr>
            <w:r w:rsidRPr="0037793E">
              <w:rPr>
                <w:rFonts w:cs="Arial"/>
                <w:b/>
                <w:bCs/>
                <w:color w:val="FFFFFF"/>
                <w:sz w:val="18"/>
                <w:szCs w:val="18"/>
                <w:lang w:eastAsia="en-AU"/>
              </w:rPr>
              <w:t>Q2 2012</w:t>
            </w:r>
          </w:p>
        </w:tc>
        <w:tc>
          <w:tcPr>
            <w:tcW w:w="1120" w:type="dxa"/>
            <w:tcBorders>
              <w:bottom w:val="single" w:sz="4" w:space="0" w:color="5E8A00"/>
            </w:tcBorders>
            <w:shd w:val="clear" w:color="000000" w:fill="5E8A00"/>
            <w:vAlign w:val="center"/>
            <w:hideMark/>
          </w:tcPr>
          <w:p w:rsidR="0037793E" w:rsidRPr="0037793E" w:rsidRDefault="0037793E" w:rsidP="00F034AF">
            <w:pPr>
              <w:spacing w:after="0" w:line="240" w:lineRule="auto"/>
              <w:ind w:firstLineChars="100" w:firstLine="181"/>
              <w:jc w:val="right"/>
              <w:rPr>
                <w:rFonts w:cs="Arial"/>
                <w:b/>
                <w:bCs/>
                <w:color w:val="FFFFFF"/>
                <w:sz w:val="18"/>
                <w:szCs w:val="18"/>
                <w:lang w:eastAsia="en-AU"/>
              </w:rPr>
            </w:pPr>
            <w:r w:rsidRPr="0037793E">
              <w:rPr>
                <w:rFonts w:cs="Arial"/>
                <w:b/>
                <w:bCs/>
                <w:color w:val="FFFFFF"/>
                <w:sz w:val="18"/>
                <w:szCs w:val="18"/>
                <w:lang w:eastAsia="en-AU"/>
              </w:rPr>
              <w:t>Q2 2013</w:t>
            </w:r>
          </w:p>
        </w:tc>
        <w:tc>
          <w:tcPr>
            <w:tcW w:w="1120" w:type="dxa"/>
            <w:tcBorders>
              <w:bottom w:val="single" w:sz="4" w:space="0" w:color="5E8A00"/>
            </w:tcBorders>
            <w:shd w:val="clear" w:color="000000" w:fill="5E8A00"/>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 change</w:t>
            </w:r>
            <w:r w:rsidRPr="0037793E">
              <w:rPr>
                <w:rFonts w:cs="Arial"/>
                <w:b/>
                <w:bCs/>
                <w:color w:val="FFFFFF"/>
                <w:sz w:val="18"/>
                <w:szCs w:val="18"/>
                <w:lang w:eastAsia="en-AU"/>
              </w:rPr>
              <w:br/>
              <w:t>Q2 2011-Q2 2013 </w:t>
            </w:r>
          </w:p>
        </w:tc>
        <w:tc>
          <w:tcPr>
            <w:tcW w:w="1120" w:type="dxa"/>
            <w:tcBorders>
              <w:bottom w:val="single" w:sz="4" w:space="0" w:color="5E8A00"/>
              <w:right w:val="single" w:sz="4" w:space="0" w:color="5E8A00"/>
            </w:tcBorders>
            <w:shd w:val="clear" w:color="000000" w:fill="5E8A00"/>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 change</w:t>
            </w:r>
            <w:r w:rsidRPr="0037793E">
              <w:rPr>
                <w:rFonts w:cs="Arial"/>
                <w:b/>
                <w:bCs/>
                <w:color w:val="FFFFFF"/>
                <w:sz w:val="18"/>
                <w:szCs w:val="18"/>
                <w:lang w:eastAsia="en-AU"/>
              </w:rPr>
              <w:br/>
              <w:t>Q2 2012-Q2 2013</w:t>
            </w:r>
          </w:p>
        </w:tc>
      </w:tr>
      <w:tr w:rsidR="0037793E" w:rsidRPr="0037793E" w:rsidTr="0037793E">
        <w:trPr>
          <w:trHeight w:hRule="exact" w:val="284"/>
        </w:trPr>
        <w:tc>
          <w:tcPr>
            <w:tcW w:w="3100" w:type="dxa"/>
            <w:tcBorders>
              <w:top w:val="nil"/>
              <w:left w:val="single" w:sz="4" w:space="0" w:color="5E8A00"/>
              <w:bottom w:val="single" w:sz="4" w:space="0" w:color="5E8A00"/>
              <w:right w:val="single" w:sz="4" w:space="0" w:color="5E8A00"/>
            </w:tcBorders>
            <w:shd w:val="clear" w:color="000000" w:fill="FFFFFF"/>
            <w:noWrap/>
            <w:vAlign w:val="center"/>
            <w:hideMark/>
          </w:tcPr>
          <w:p w:rsidR="0037793E" w:rsidRPr="0037793E" w:rsidRDefault="0037793E" w:rsidP="0037793E">
            <w:pPr>
              <w:spacing w:after="0" w:line="240" w:lineRule="auto"/>
              <w:jc w:val="left"/>
              <w:rPr>
                <w:rFonts w:cs="Arial"/>
                <w:color w:val="3E5B00"/>
                <w:sz w:val="18"/>
                <w:szCs w:val="18"/>
                <w:lang w:eastAsia="en-AU"/>
              </w:rPr>
            </w:pPr>
            <w:r w:rsidRPr="0037793E">
              <w:rPr>
                <w:rFonts w:cs="Arial"/>
                <w:color w:val="3E5B00"/>
                <w:sz w:val="18"/>
                <w:szCs w:val="18"/>
                <w:lang w:eastAsia="en-AU"/>
              </w:rPr>
              <w:t>Government subsidised</w:t>
            </w:r>
          </w:p>
        </w:tc>
        <w:tc>
          <w:tcPr>
            <w:tcW w:w="1120" w:type="dxa"/>
            <w:tcBorders>
              <w:top w:val="nil"/>
              <w:left w:val="nil"/>
              <w:bottom w:val="single" w:sz="4" w:space="0" w:color="5E8A00"/>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268,000 </w:t>
            </w:r>
          </w:p>
        </w:tc>
        <w:tc>
          <w:tcPr>
            <w:tcW w:w="1120" w:type="dxa"/>
            <w:tcBorders>
              <w:top w:val="nil"/>
              <w:left w:val="nil"/>
              <w:bottom w:val="single" w:sz="4" w:space="0" w:color="5E8A00"/>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356,900 </w:t>
            </w:r>
          </w:p>
        </w:tc>
        <w:tc>
          <w:tcPr>
            <w:tcW w:w="1120" w:type="dxa"/>
            <w:tcBorders>
              <w:top w:val="nil"/>
              <w:left w:val="nil"/>
              <w:bottom w:val="single" w:sz="4" w:space="0" w:color="5E8A00"/>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307,700 </w:t>
            </w:r>
          </w:p>
        </w:tc>
        <w:tc>
          <w:tcPr>
            <w:tcW w:w="1120" w:type="dxa"/>
            <w:tcBorders>
              <w:top w:val="nil"/>
              <w:left w:val="nil"/>
              <w:bottom w:val="single" w:sz="4" w:space="0" w:color="5E8A00"/>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15%</w:t>
            </w:r>
          </w:p>
        </w:tc>
        <w:tc>
          <w:tcPr>
            <w:tcW w:w="1120" w:type="dxa"/>
            <w:tcBorders>
              <w:top w:val="nil"/>
              <w:left w:val="nil"/>
              <w:bottom w:val="single" w:sz="4" w:space="0" w:color="5E8A00"/>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-14%</w:t>
            </w:r>
          </w:p>
        </w:tc>
      </w:tr>
      <w:tr w:rsidR="0037793E" w:rsidRPr="0037793E" w:rsidTr="00F87EB1">
        <w:trPr>
          <w:trHeight w:hRule="exact" w:val="284"/>
        </w:trPr>
        <w:tc>
          <w:tcPr>
            <w:tcW w:w="3100" w:type="dxa"/>
            <w:tcBorders>
              <w:top w:val="nil"/>
              <w:left w:val="single" w:sz="4" w:space="0" w:color="5E8A00"/>
              <w:right w:val="single" w:sz="4" w:space="0" w:color="5E8A00"/>
            </w:tcBorders>
            <w:shd w:val="clear" w:color="000000" w:fill="FFFFFF"/>
            <w:noWrap/>
            <w:vAlign w:val="center"/>
            <w:hideMark/>
          </w:tcPr>
          <w:p w:rsidR="0037793E" w:rsidRPr="0037793E" w:rsidRDefault="0037793E" w:rsidP="0037793E">
            <w:pPr>
              <w:spacing w:after="0" w:line="240" w:lineRule="auto"/>
              <w:jc w:val="left"/>
              <w:rPr>
                <w:rFonts w:cs="Arial"/>
                <w:color w:val="3E5B00"/>
                <w:sz w:val="18"/>
                <w:szCs w:val="18"/>
                <w:lang w:eastAsia="en-AU"/>
              </w:rPr>
            </w:pPr>
            <w:r w:rsidRPr="0037793E">
              <w:rPr>
                <w:rFonts w:cs="Arial"/>
                <w:color w:val="3E5B00"/>
                <w:sz w:val="18"/>
                <w:szCs w:val="18"/>
                <w:lang w:eastAsia="en-AU"/>
              </w:rPr>
              <w:t>TAFE domestic fee for service*</w:t>
            </w:r>
          </w:p>
        </w:tc>
        <w:tc>
          <w:tcPr>
            <w:tcW w:w="1120" w:type="dxa"/>
            <w:tcBorders>
              <w:top w:val="nil"/>
              <w:left w:val="nil"/>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54,800 </w:t>
            </w:r>
          </w:p>
        </w:tc>
        <w:tc>
          <w:tcPr>
            <w:tcW w:w="1120" w:type="dxa"/>
            <w:tcBorders>
              <w:top w:val="nil"/>
              <w:left w:val="nil"/>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62,500 </w:t>
            </w:r>
          </w:p>
        </w:tc>
        <w:tc>
          <w:tcPr>
            <w:tcW w:w="1120" w:type="dxa"/>
            <w:tcBorders>
              <w:top w:val="nil"/>
              <w:left w:val="nil"/>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 xml:space="preserve">56,200 </w:t>
            </w:r>
          </w:p>
        </w:tc>
        <w:tc>
          <w:tcPr>
            <w:tcW w:w="1120" w:type="dxa"/>
            <w:tcBorders>
              <w:top w:val="nil"/>
              <w:left w:val="nil"/>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3%</w:t>
            </w:r>
          </w:p>
        </w:tc>
        <w:tc>
          <w:tcPr>
            <w:tcW w:w="1120" w:type="dxa"/>
            <w:tcBorders>
              <w:top w:val="nil"/>
              <w:left w:val="nil"/>
              <w:right w:val="single" w:sz="4" w:space="0" w:color="5E8A00"/>
            </w:tcBorders>
            <w:shd w:val="clear" w:color="auto" w:fill="auto"/>
            <w:noWrap/>
            <w:vAlign w:val="center"/>
            <w:hideMark/>
          </w:tcPr>
          <w:p w:rsidR="0037793E" w:rsidRPr="0037793E" w:rsidRDefault="0037793E" w:rsidP="0037793E">
            <w:pPr>
              <w:spacing w:after="0" w:line="240" w:lineRule="auto"/>
              <w:jc w:val="right"/>
              <w:rPr>
                <w:rFonts w:cs="Arial"/>
                <w:sz w:val="18"/>
                <w:szCs w:val="18"/>
                <w:lang w:eastAsia="en-AU"/>
              </w:rPr>
            </w:pPr>
            <w:r w:rsidRPr="0037793E">
              <w:rPr>
                <w:rFonts w:cs="Arial"/>
                <w:sz w:val="18"/>
                <w:szCs w:val="18"/>
                <w:lang w:eastAsia="en-AU"/>
              </w:rPr>
              <w:t>-10%</w:t>
            </w:r>
          </w:p>
        </w:tc>
      </w:tr>
      <w:tr w:rsidR="0037793E" w:rsidRPr="0037793E" w:rsidTr="00F87EB1">
        <w:trPr>
          <w:trHeight w:hRule="exact" w:val="284"/>
        </w:trPr>
        <w:tc>
          <w:tcPr>
            <w:tcW w:w="3100" w:type="dxa"/>
            <w:tcBorders>
              <w:left w:val="single" w:sz="4" w:space="0" w:color="5E8A00"/>
              <w:bottom w:val="single" w:sz="4" w:space="0" w:color="5E8A00"/>
            </w:tcBorders>
            <w:shd w:val="clear" w:color="000000" w:fill="5E8A00"/>
            <w:noWrap/>
            <w:vAlign w:val="center"/>
            <w:hideMark/>
          </w:tcPr>
          <w:p w:rsidR="0037793E" w:rsidRPr="0037793E" w:rsidRDefault="0037793E" w:rsidP="0037793E">
            <w:pPr>
              <w:spacing w:after="0" w:line="240" w:lineRule="auto"/>
              <w:jc w:val="left"/>
              <w:rPr>
                <w:rFonts w:cs="Arial"/>
                <w:b/>
                <w:bCs/>
                <w:color w:val="FFFFFF"/>
                <w:sz w:val="18"/>
                <w:szCs w:val="18"/>
                <w:lang w:eastAsia="en-AU"/>
              </w:rPr>
            </w:pPr>
            <w:r w:rsidRPr="0037793E">
              <w:rPr>
                <w:rFonts w:cs="Arial"/>
                <w:b/>
                <w:bCs/>
                <w:color w:val="FFFFFF"/>
                <w:sz w:val="18"/>
                <w:szCs w:val="18"/>
                <w:lang w:eastAsia="en-AU"/>
              </w:rPr>
              <w:t>Total**</w:t>
            </w:r>
          </w:p>
        </w:tc>
        <w:tc>
          <w:tcPr>
            <w:tcW w:w="1120" w:type="dxa"/>
            <w:tcBorders>
              <w:bottom w:val="single" w:sz="4" w:space="0" w:color="5E8A00"/>
            </w:tcBorders>
            <w:shd w:val="clear" w:color="000000" w:fill="5E8A00"/>
            <w:noWrap/>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 xml:space="preserve">317,000 </w:t>
            </w:r>
          </w:p>
        </w:tc>
        <w:tc>
          <w:tcPr>
            <w:tcW w:w="1120" w:type="dxa"/>
            <w:tcBorders>
              <w:bottom w:val="single" w:sz="4" w:space="0" w:color="5E8A00"/>
            </w:tcBorders>
            <w:shd w:val="clear" w:color="000000" w:fill="5E8A00"/>
            <w:noWrap/>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 xml:space="preserve">413,100 </w:t>
            </w:r>
          </w:p>
        </w:tc>
        <w:tc>
          <w:tcPr>
            <w:tcW w:w="1120" w:type="dxa"/>
            <w:tcBorders>
              <w:bottom w:val="single" w:sz="4" w:space="0" w:color="5E8A00"/>
            </w:tcBorders>
            <w:shd w:val="clear" w:color="000000" w:fill="5E8A00"/>
            <w:noWrap/>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 xml:space="preserve">357,300 </w:t>
            </w:r>
          </w:p>
        </w:tc>
        <w:tc>
          <w:tcPr>
            <w:tcW w:w="1120" w:type="dxa"/>
            <w:tcBorders>
              <w:bottom w:val="single" w:sz="4" w:space="0" w:color="5E8A00"/>
            </w:tcBorders>
            <w:shd w:val="clear" w:color="000000" w:fill="5E8A00"/>
            <w:noWrap/>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13%</w:t>
            </w:r>
          </w:p>
        </w:tc>
        <w:tc>
          <w:tcPr>
            <w:tcW w:w="1120" w:type="dxa"/>
            <w:tcBorders>
              <w:bottom w:val="single" w:sz="4" w:space="0" w:color="5E8A00"/>
              <w:right w:val="single" w:sz="4" w:space="0" w:color="5E8A00"/>
            </w:tcBorders>
            <w:shd w:val="clear" w:color="000000" w:fill="5E8A00"/>
            <w:noWrap/>
            <w:vAlign w:val="center"/>
            <w:hideMark/>
          </w:tcPr>
          <w:p w:rsidR="0037793E" w:rsidRPr="0037793E" w:rsidRDefault="0037793E" w:rsidP="0037793E">
            <w:pPr>
              <w:spacing w:after="0" w:line="240" w:lineRule="auto"/>
              <w:jc w:val="right"/>
              <w:rPr>
                <w:rFonts w:cs="Arial"/>
                <w:b/>
                <w:bCs/>
                <w:color w:val="FFFFFF"/>
                <w:sz w:val="18"/>
                <w:szCs w:val="18"/>
                <w:lang w:eastAsia="en-AU"/>
              </w:rPr>
            </w:pPr>
            <w:r w:rsidRPr="0037793E">
              <w:rPr>
                <w:rFonts w:cs="Arial"/>
                <w:b/>
                <w:bCs/>
                <w:color w:val="FFFFFF"/>
                <w:sz w:val="18"/>
                <w:szCs w:val="18"/>
                <w:lang w:eastAsia="en-AU"/>
              </w:rPr>
              <w:t>-14%</w:t>
            </w:r>
          </w:p>
        </w:tc>
      </w:tr>
    </w:tbl>
    <w:p w:rsidR="001C1188" w:rsidRPr="00AE3D9A" w:rsidRDefault="00AE3D9A" w:rsidP="00AE3D9A">
      <w:pPr>
        <w:spacing w:after="0" w:line="240" w:lineRule="auto"/>
        <w:rPr>
          <w:rFonts w:cs="Arial"/>
          <w:sz w:val="16"/>
          <w:szCs w:val="16"/>
        </w:rPr>
      </w:pPr>
      <w:r w:rsidRPr="00AE3D9A">
        <w:rPr>
          <w:rFonts w:cs="Arial"/>
          <w:sz w:val="16"/>
          <w:szCs w:val="16"/>
        </w:rPr>
        <w:t>*</w:t>
      </w:r>
      <w:r w:rsidR="001C1188" w:rsidRPr="00AE3D9A">
        <w:rPr>
          <w:rFonts w:cs="Arial"/>
          <w:sz w:val="16"/>
          <w:szCs w:val="16"/>
        </w:rPr>
        <w:t>Fee for Service figures are TAFE on-shore domestic AQF Level 1 and above.</w:t>
      </w:r>
    </w:p>
    <w:p w:rsidR="001C1188" w:rsidRPr="00AE3D9A" w:rsidRDefault="001C1188" w:rsidP="00AE3D9A">
      <w:pPr>
        <w:spacing w:after="0" w:line="240" w:lineRule="auto"/>
        <w:rPr>
          <w:rFonts w:cs="Arial"/>
          <w:sz w:val="16"/>
          <w:szCs w:val="16"/>
        </w:rPr>
      </w:pPr>
      <w:r w:rsidRPr="00AE3D9A">
        <w:rPr>
          <w:rFonts w:cs="Arial"/>
          <w:sz w:val="16"/>
          <w:szCs w:val="16"/>
        </w:rPr>
        <w:t>*</w:t>
      </w:r>
      <w:r w:rsidR="00AE3D9A" w:rsidRPr="00AE3D9A">
        <w:rPr>
          <w:rFonts w:cs="Arial"/>
          <w:sz w:val="16"/>
          <w:szCs w:val="16"/>
        </w:rPr>
        <w:t>*</w:t>
      </w:r>
      <w:r w:rsidRPr="00AE3D9A">
        <w:rPr>
          <w:rFonts w:cs="Arial"/>
          <w:sz w:val="16"/>
          <w:szCs w:val="16"/>
        </w:rPr>
        <w:t>TAFE students whose enrolments are made up of a combination of government subsidies and self-funding have been counted in both funding categories. The total, however, has eliminated the duplicates.</w:t>
      </w:r>
    </w:p>
    <w:p w:rsidR="005B235C" w:rsidRDefault="005B235C" w:rsidP="005E4EE6">
      <w:pPr>
        <w:rPr>
          <w:rFonts w:cs="Arial"/>
          <w:sz w:val="16"/>
          <w:szCs w:val="16"/>
        </w:rPr>
      </w:pPr>
    </w:p>
    <w:p w:rsidR="004E497D" w:rsidRDefault="004E497D">
      <w:pPr>
        <w:spacing w:after="0" w:line="240" w:lineRule="auto"/>
        <w:jc w:val="left"/>
        <w:rPr>
          <w:rFonts w:cs="Arial"/>
          <w:b/>
          <w:bCs/>
          <w:color w:val="76923C" w:themeColor="accent3" w:themeShade="BF"/>
          <w:sz w:val="18"/>
          <w:szCs w:val="16"/>
        </w:rPr>
      </w:pPr>
      <w:r>
        <w:rPr>
          <w:rFonts w:cs="Arial"/>
        </w:rPr>
        <w:br w:type="page"/>
      </w:r>
    </w:p>
    <w:p w:rsidR="00171CC7" w:rsidRPr="001F29E3" w:rsidRDefault="00171CC7" w:rsidP="00A9260A">
      <w:pPr>
        <w:pStyle w:val="Caption"/>
        <w:rPr>
          <w:rFonts w:cs="Arial"/>
        </w:rPr>
      </w:pPr>
      <w:proofErr w:type="gramStart"/>
      <w:r w:rsidRPr="001F29E3">
        <w:rPr>
          <w:rFonts w:cs="Arial"/>
        </w:rPr>
        <w:lastRenderedPageBreak/>
        <w:t>Figure 1.</w:t>
      </w:r>
      <w:proofErr w:type="gramEnd"/>
      <w:r w:rsidR="00963271" w:rsidRPr="001F29E3">
        <w:rPr>
          <w:rFonts w:cs="Arial"/>
        </w:rPr>
        <w:fldChar w:fldCharType="begin"/>
      </w:r>
      <w:r w:rsidR="00963271" w:rsidRPr="001F29E3">
        <w:rPr>
          <w:rFonts w:cs="Arial"/>
        </w:rPr>
        <w:instrText xml:space="preserve"> SEQ Graph \* ARABIC \s 1 </w:instrText>
      </w:r>
      <w:r w:rsidR="00963271" w:rsidRPr="001F29E3">
        <w:rPr>
          <w:rFonts w:cs="Arial"/>
        </w:rPr>
        <w:fldChar w:fldCharType="separate"/>
      </w:r>
      <w:r w:rsidR="008176F8">
        <w:rPr>
          <w:rFonts w:cs="Arial"/>
          <w:noProof/>
        </w:rPr>
        <w:t>3</w:t>
      </w:r>
      <w:r w:rsidR="00963271" w:rsidRPr="001F29E3">
        <w:rPr>
          <w:rFonts w:cs="Arial"/>
          <w:noProof/>
        </w:rPr>
        <w:fldChar w:fldCharType="end"/>
      </w:r>
      <w:r w:rsidRPr="001F29E3">
        <w:rPr>
          <w:rFonts w:cs="Arial"/>
        </w:rPr>
        <w:t xml:space="preserve">: Number of students by funding type, 2008–2012, </w:t>
      </w:r>
      <w:r w:rsidR="00604C80">
        <w:rPr>
          <w:rFonts w:cs="Arial"/>
        </w:rPr>
        <w:t>Q</w:t>
      </w:r>
      <w:r w:rsidR="001C1188">
        <w:rPr>
          <w:rFonts w:cs="Arial"/>
        </w:rPr>
        <w:t>2</w:t>
      </w:r>
      <w:r w:rsidR="00604C80">
        <w:rPr>
          <w:rFonts w:cs="Arial"/>
        </w:rPr>
        <w:t xml:space="preserve"> 2011, </w:t>
      </w:r>
      <w:r w:rsidRPr="001F29E3">
        <w:rPr>
          <w:rFonts w:cs="Arial"/>
        </w:rPr>
        <w:t>Q</w:t>
      </w:r>
      <w:r w:rsidR="001C1188">
        <w:rPr>
          <w:rFonts w:cs="Arial"/>
        </w:rPr>
        <w:t>2</w:t>
      </w:r>
      <w:r w:rsidRPr="001F29E3">
        <w:rPr>
          <w:rFonts w:cs="Arial"/>
        </w:rPr>
        <w:t xml:space="preserve"> 2012 and Q</w:t>
      </w:r>
      <w:r w:rsidR="001C1188">
        <w:rPr>
          <w:rFonts w:cs="Arial"/>
        </w:rPr>
        <w:t>2</w:t>
      </w:r>
      <w:r w:rsidRPr="001F29E3">
        <w:rPr>
          <w:rFonts w:cs="Arial"/>
        </w:rPr>
        <w:t xml:space="preserve"> 2013</w:t>
      </w:r>
    </w:p>
    <w:p w:rsidR="005E4EE6" w:rsidRDefault="00164517" w:rsidP="00164517">
      <w:pPr>
        <w:jc w:val="left"/>
        <w:rPr>
          <w:rFonts w:cs="Arial"/>
        </w:rPr>
      </w:pPr>
      <w:r>
        <w:rPr>
          <w:rFonts w:cs="Arial"/>
          <w:noProof/>
          <w:lang w:eastAsia="en-AU"/>
        </w:rPr>
        <w:drawing>
          <wp:inline distT="0" distB="0" distL="0" distR="0" wp14:anchorId="21D2D3CE" wp14:editId="3014469D">
            <wp:extent cx="4913630" cy="286512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3630" cy="2865120"/>
                    </a:xfrm>
                    <a:prstGeom prst="rect">
                      <a:avLst/>
                    </a:prstGeom>
                    <a:noFill/>
                  </pic:spPr>
                </pic:pic>
              </a:graphicData>
            </a:graphic>
          </wp:inline>
        </w:drawing>
      </w:r>
    </w:p>
    <w:p w:rsidR="00EB0A1A" w:rsidRPr="001F29E3" w:rsidRDefault="00D70D05" w:rsidP="00EB0A1A">
      <w:pPr>
        <w:rPr>
          <w:rFonts w:cs="Arial"/>
        </w:rPr>
      </w:pPr>
      <w:r w:rsidRPr="001F29E3" w:rsidDel="00B03850">
        <w:rPr>
          <w:rFonts w:cs="Arial"/>
        </w:rPr>
        <w:t xml:space="preserve"> </w:t>
      </w:r>
    </w:p>
    <w:p w:rsidR="0069078C" w:rsidRDefault="0069078C">
      <w:pPr>
        <w:spacing w:after="0" w:line="240" w:lineRule="auto"/>
        <w:jc w:val="left"/>
        <w:rPr>
          <w:rFonts w:cs="Arial"/>
          <w:b/>
          <w:bCs/>
          <w:color w:val="76923C" w:themeColor="accent3" w:themeShade="BF"/>
          <w:szCs w:val="19"/>
        </w:rPr>
      </w:pPr>
      <w:r>
        <w:br w:type="page"/>
      </w:r>
    </w:p>
    <w:p w:rsidR="00351166" w:rsidRPr="001F29E3" w:rsidRDefault="00351166" w:rsidP="00A9260A">
      <w:pPr>
        <w:pStyle w:val="Heading2"/>
      </w:pPr>
      <w:bookmarkStart w:id="47" w:name="_Toc366588112"/>
      <w:r w:rsidRPr="001F29E3">
        <w:lastRenderedPageBreak/>
        <w:t>Qualification Levels</w:t>
      </w:r>
      <w:bookmarkEnd w:id="38"/>
      <w:bookmarkEnd w:id="39"/>
      <w:bookmarkEnd w:id="40"/>
      <w:bookmarkEnd w:id="41"/>
      <w:bookmarkEnd w:id="42"/>
      <w:bookmarkEnd w:id="47"/>
    </w:p>
    <w:p w:rsidR="00351166" w:rsidRPr="007D276C" w:rsidRDefault="00351166" w:rsidP="00351166">
      <w:pPr>
        <w:rPr>
          <w:rFonts w:cs="Arial"/>
          <w:bCs/>
          <w:szCs w:val="19"/>
        </w:rPr>
      </w:pPr>
    </w:p>
    <w:p w:rsidR="00351166" w:rsidRPr="00BE366B" w:rsidRDefault="00BE366B" w:rsidP="00351166">
      <w:pPr>
        <w:rPr>
          <w:rFonts w:cs="Arial"/>
        </w:rPr>
      </w:pPr>
      <w:r w:rsidRPr="001F29E3">
        <w:rPr>
          <w:rFonts w:cs="Arial"/>
        </w:rPr>
        <w:t>State and Commonwealth governments</w:t>
      </w:r>
      <w:r>
        <w:rPr>
          <w:rFonts w:cs="Arial"/>
        </w:rPr>
        <w:t xml:space="preserve"> want students to </w:t>
      </w:r>
      <w:r w:rsidR="00B66680">
        <w:rPr>
          <w:rFonts w:cs="Arial"/>
        </w:rPr>
        <w:t>obtain</w:t>
      </w:r>
      <w:r>
        <w:rPr>
          <w:rFonts w:cs="Arial"/>
        </w:rPr>
        <w:t xml:space="preserve"> </w:t>
      </w:r>
      <w:r w:rsidRPr="001F29E3">
        <w:rPr>
          <w:rFonts w:cs="Arial"/>
        </w:rPr>
        <w:t>qualifications, rather than</w:t>
      </w:r>
      <w:r>
        <w:rPr>
          <w:rFonts w:cs="Arial"/>
        </w:rPr>
        <w:t xml:space="preserve"> take</w:t>
      </w:r>
      <w:r w:rsidRPr="001F29E3">
        <w:rPr>
          <w:rFonts w:cs="Arial"/>
        </w:rPr>
        <w:t xml:space="preserve"> short courses (</w:t>
      </w:r>
      <w:r>
        <w:rPr>
          <w:rFonts w:cs="Arial"/>
        </w:rPr>
        <w:t>e.g.</w:t>
      </w:r>
      <w:r w:rsidRPr="001F29E3">
        <w:rPr>
          <w:rFonts w:cs="Arial"/>
        </w:rPr>
        <w:t xml:space="preserve"> through module only delivery</w:t>
      </w:r>
      <w:r w:rsidRPr="00BE366B">
        <w:rPr>
          <w:rFonts w:cs="Arial"/>
        </w:rPr>
        <w:t>). Lowe</w:t>
      </w:r>
      <w:r w:rsidR="0052721E">
        <w:rPr>
          <w:rFonts w:cs="Arial"/>
        </w:rPr>
        <w:t>r level qualifications such as C</w:t>
      </w:r>
      <w:r w:rsidRPr="00BE366B">
        <w:rPr>
          <w:rFonts w:cs="Arial"/>
        </w:rPr>
        <w:t>ertificate I and II, provide literacy, numeracy, and work preparation skills to people without post-school qualifications so that they have the opportunity to go on to further study or find employment</w:t>
      </w:r>
      <w:r w:rsidR="00351166" w:rsidRPr="00BE366B">
        <w:rPr>
          <w:rFonts w:cs="Arial"/>
        </w:rPr>
        <w:t>.</w:t>
      </w:r>
      <w:r w:rsidR="002C240D" w:rsidRPr="00BE366B">
        <w:rPr>
          <w:rFonts w:cs="Arial"/>
        </w:rPr>
        <w:t xml:space="preserve"> </w:t>
      </w:r>
    </w:p>
    <w:p w:rsidR="00351166" w:rsidRPr="00BE366B" w:rsidRDefault="00351166" w:rsidP="00351166">
      <w:pPr>
        <w:rPr>
          <w:rFonts w:cs="Arial"/>
        </w:rPr>
      </w:pPr>
      <w:r w:rsidRPr="00BE366B">
        <w:rPr>
          <w:rFonts w:cs="Arial"/>
        </w:rPr>
        <w:t xml:space="preserve">Mid-level skills are essential to the Victorian economy and help drive economic activity across the </w:t>
      </w:r>
      <w:r w:rsidR="00283290">
        <w:rPr>
          <w:rFonts w:cs="Arial"/>
        </w:rPr>
        <w:t>s</w:t>
      </w:r>
      <w:r w:rsidRPr="00BE366B">
        <w:rPr>
          <w:rFonts w:cs="Arial"/>
        </w:rPr>
        <w:t xml:space="preserve">tate. A significant proportion of apprenticeships and traineeships entail attainment of a mid-level qualification and are crucial to many key industries. Apprenticeships and traineeships are undertaken as a contract between the apprentice/trainee and an employer. While undertaking on-the-job learning, the apprentice/trainee receives </w:t>
      </w:r>
      <w:r w:rsidR="0013272D" w:rsidRPr="00BE366B">
        <w:rPr>
          <w:rFonts w:cs="Arial"/>
        </w:rPr>
        <w:t>complementary</w:t>
      </w:r>
      <w:r w:rsidRPr="00BE366B">
        <w:rPr>
          <w:rFonts w:cs="Arial"/>
        </w:rPr>
        <w:t xml:space="preserve"> training through a </w:t>
      </w:r>
      <w:r w:rsidR="00221A72" w:rsidRPr="00BE366B">
        <w:rPr>
          <w:rFonts w:cs="Arial"/>
          <w:color w:val="000000"/>
        </w:rPr>
        <w:t>v</w:t>
      </w:r>
      <w:r w:rsidR="0055106F" w:rsidRPr="00BE366B">
        <w:rPr>
          <w:rFonts w:cs="Arial"/>
          <w:color w:val="000000"/>
        </w:rPr>
        <w:t xml:space="preserve">ocational </w:t>
      </w:r>
      <w:r w:rsidR="00221A72" w:rsidRPr="00BE366B">
        <w:rPr>
          <w:rFonts w:cs="Arial"/>
          <w:color w:val="000000"/>
        </w:rPr>
        <w:t>t</w:t>
      </w:r>
      <w:r w:rsidR="0055106F" w:rsidRPr="00BE366B">
        <w:rPr>
          <w:rFonts w:cs="Arial"/>
          <w:color w:val="000000"/>
        </w:rPr>
        <w:t>raining</w:t>
      </w:r>
      <w:r w:rsidRPr="00BE366B">
        <w:rPr>
          <w:rFonts w:cs="Arial"/>
        </w:rPr>
        <w:t xml:space="preserve"> provider.</w:t>
      </w:r>
    </w:p>
    <w:p w:rsidR="00351166" w:rsidRPr="001F29E3" w:rsidRDefault="00351166" w:rsidP="00351166">
      <w:pPr>
        <w:rPr>
          <w:rFonts w:cs="Arial"/>
        </w:rPr>
      </w:pPr>
      <w:r w:rsidRPr="00BE366B">
        <w:rPr>
          <w:rFonts w:cs="Arial"/>
        </w:rPr>
        <w:t xml:space="preserve">Higher level qualifications </w:t>
      </w:r>
      <w:r w:rsidR="00D345F3" w:rsidRPr="00BE366B">
        <w:rPr>
          <w:rFonts w:cs="Arial"/>
        </w:rPr>
        <w:t>ha</w:t>
      </w:r>
      <w:r w:rsidR="00BC2184" w:rsidRPr="00BE366B">
        <w:rPr>
          <w:rFonts w:cs="Arial"/>
        </w:rPr>
        <w:t>ve</w:t>
      </w:r>
      <w:r w:rsidRPr="00BE366B">
        <w:rPr>
          <w:rFonts w:cs="Arial"/>
        </w:rPr>
        <w:t xml:space="preserve"> grow</w:t>
      </w:r>
      <w:r w:rsidR="00BC2184" w:rsidRPr="00BE366B">
        <w:rPr>
          <w:rFonts w:cs="Arial"/>
        </w:rPr>
        <w:t>n</w:t>
      </w:r>
      <w:r w:rsidRPr="00BE366B">
        <w:rPr>
          <w:rFonts w:cs="Arial"/>
        </w:rPr>
        <w:t xml:space="preserve"> in demand by</w:t>
      </w:r>
      <w:r w:rsidR="00BC2184" w:rsidRPr="00BE366B">
        <w:rPr>
          <w:rFonts w:cs="Arial"/>
        </w:rPr>
        <w:t xml:space="preserve"> industry and the labour market, with the </w:t>
      </w:r>
      <w:r w:rsidR="00BC2184" w:rsidRPr="00BE366B">
        <w:rPr>
          <w:rFonts w:cs="Arial"/>
          <w:lang w:val="en"/>
        </w:rPr>
        <w:t>demand for high level skills growing at 2.5 times the rate of unskilled jobs</w:t>
      </w:r>
      <w:r w:rsidR="00BC2184" w:rsidRPr="00BE366B">
        <w:rPr>
          <w:rStyle w:val="FootnoteReference"/>
          <w:rFonts w:cs="Arial"/>
          <w:lang w:val="en"/>
        </w:rPr>
        <w:footnoteReference w:id="4"/>
      </w:r>
      <w:r w:rsidR="00BE366B">
        <w:rPr>
          <w:rFonts w:cs="Arial"/>
        </w:rPr>
        <w:t>. To meet this demand, s</w:t>
      </w:r>
      <w:r w:rsidRPr="00BE366B">
        <w:rPr>
          <w:rFonts w:cs="Arial"/>
        </w:rPr>
        <w:t xml:space="preserve">tate and Commonwealth governments have focused on raising the qualification profile of Australians over the last decade. Higher level </w:t>
      </w:r>
      <w:r w:rsidR="00221A72" w:rsidRPr="00BE366B">
        <w:rPr>
          <w:rFonts w:cs="Arial"/>
          <w:color w:val="000000"/>
        </w:rPr>
        <w:t>v</w:t>
      </w:r>
      <w:r w:rsidR="0055106F" w:rsidRPr="00BE366B">
        <w:rPr>
          <w:rFonts w:cs="Arial"/>
          <w:color w:val="000000"/>
        </w:rPr>
        <w:t xml:space="preserve">ocational </w:t>
      </w:r>
      <w:r w:rsidR="00221A72" w:rsidRPr="00BE366B">
        <w:rPr>
          <w:rFonts w:cs="Arial"/>
          <w:color w:val="000000"/>
        </w:rPr>
        <w:t>t</w:t>
      </w:r>
      <w:r w:rsidR="0055106F" w:rsidRPr="00BE366B">
        <w:rPr>
          <w:rFonts w:cs="Arial"/>
          <w:color w:val="000000"/>
        </w:rPr>
        <w:t>raining</w:t>
      </w:r>
      <w:r w:rsidRPr="00BE366B">
        <w:rPr>
          <w:rFonts w:cs="Arial"/>
        </w:rPr>
        <w:t xml:space="preserve"> qualifications (</w:t>
      </w:r>
      <w:r w:rsidR="00BE366B">
        <w:rPr>
          <w:rFonts w:cs="Arial"/>
        </w:rPr>
        <w:t>d</w:t>
      </w:r>
      <w:r w:rsidRPr="00BE366B">
        <w:rPr>
          <w:rFonts w:cs="Arial"/>
        </w:rPr>
        <w:t xml:space="preserve">iploma and above) </w:t>
      </w:r>
      <w:r w:rsidR="00BE366B">
        <w:rPr>
          <w:rFonts w:cs="Arial"/>
        </w:rPr>
        <w:t xml:space="preserve">can </w:t>
      </w:r>
      <w:r w:rsidRPr="00BE366B">
        <w:rPr>
          <w:rFonts w:cs="Arial"/>
        </w:rPr>
        <w:t xml:space="preserve">provide entry to higher skilled jobs and to further study – </w:t>
      </w:r>
      <w:r w:rsidR="00BE366B">
        <w:rPr>
          <w:rFonts w:cs="Arial"/>
        </w:rPr>
        <w:t xml:space="preserve">including at </w:t>
      </w:r>
      <w:r w:rsidRPr="00BE366B">
        <w:rPr>
          <w:rFonts w:cs="Arial"/>
        </w:rPr>
        <w:t xml:space="preserve">university level where </w:t>
      </w:r>
      <w:r w:rsidR="00221A72" w:rsidRPr="00BE366B">
        <w:rPr>
          <w:rFonts w:cs="Arial"/>
          <w:color w:val="000000"/>
        </w:rPr>
        <w:t>v</w:t>
      </w:r>
      <w:r w:rsidR="0055106F" w:rsidRPr="00BE366B">
        <w:rPr>
          <w:rFonts w:cs="Arial"/>
          <w:color w:val="000000"/>
        </w:rPr>
        <w:t xml:space="preserve">ocational </w:t>
      </w:r>
      <w:r w:rsidR="00221A72" w:rsidRPr="00BE366B">
        <w:rPr>
          <w:rFonts w:cs="Arial"/>
          <w:color w:val="000000"/>
        </w:rPr>
        <w:t>t</w:t>
      </w:r>
      <w:r w:rsidR="0055106F" w:rsidRPr="00BE366B">
        <w:rPr>
          <w:rFonts w:cs="Arial"/>
          <w:color w:val="000000"/>
        </w:rPr>
        <w:t>raining</w:t>
      </w:r>
      <w:r w:rsidRPr="00BE366B">
        <w:rPr>
          <w:rFonts w:cs="Arial"/>
        </w:rPr>
        <w:t xml:space="preserve"> graduates </w:t>
      </w:r>
      <w:r w:rsidR="00BE366B">
        <w:rPr>
          <w:rFonts w:cs="Arial"/>
        </w:rPr>
        <w:t xml:space="preserve">may be able to </w:t>
      </w:r>
      <w:r w:rsidRPr="00BE366B">
        <w:rPr>
          <w:rFonts w:cs="Arial"/>
        </w:rPr>
        <w:t>obtain credits towards their studies.</w:t>
      </w:r>
    </w:p>
    <w:p w:rsidR="00351166" w:rsidRPr="001F29E3" w:rsidRDefault="00351166" w:rsidP="00351166">
      <w:pPr>
        <w:rPr>
          <w:rFonts w:cs="Arial"/>
        </w:rPr>
      </w:pPr>
    </w:p>
    <w:p w:rsidR="00351166" w:rsidRDefault="0055106F" w:rsidP="00A9260A">
      <w:pPr>
        <w:pStyle w:val="Heading3"/>
      </w:pPr>
      <w:r w:rsidRPr="001F29E3">
        <w:t>Vocational Training</w:t>
      </w:r>
      <w:r w:rsidR="00351166" w:rsidRPr="001F29E3">
        <w:t xml:space="preserve"> Delivery by Qualification Level, Government Subsidised Enrolments</w:t>
      </w:r>
    </w:p>
    <w:p w:rsidR="006C51CF" w:rsidRPr="001F29E3" w:rsidRDefault="006C51CF" w:rsidP="006C51CF">
      <w:pPr>
        <w:rPr>
          <w:rFonts w:cs="Arial"/>
        </w:rPr>
      </w:pPr>
    </w:p>
    <w:tbl>
      <w:tblPr>
        <w:tblStyle w:val="TableGrid"/>
        <w:tblW w:w="0" w:type="auto"/>
        <w:tblLook w:val="04A0" w:firstRow="1" w:lastRow="0" w:firstColumn="1" w:lastColumn="0" w:noHBand="0" w:noVBand="1"/>
      </w:tblPr>
      <w:tblGrid>
        <w:gridCol w:w="9288"/>
      </w:tblGrid>
      <w:tr w:rsidR="006C51CF" w:rsidRPr="001F29E3" w:rsidTr="008603E7">
        <w:trPr>
          <w:tblHeader/>
        </w:trPr>
        <w:tc>
          <w:tcPr>
            <w:tcW w:w="928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6C51CF" w:rsidRPr="002D4D82" w:rsidRDefault="006C51CF" w:rsidP="006C51CF">
            <w:pPr>
              <w:pStyle w:val="Heading3"/>
              <w:outlineLvl w:val="2"/>
            </w:pPr>
            <w:r w:rsidRPr="002D4D82">
              <w:t>Key Points</w:t>
            </w:r>
          </w:p>
          <w:p w:rsidR="007D276C" w:rsidRPr="002D4D82" w:rsidRDefault="007D276C" w:rsidP="007D276C"/>
          <w:p w:rsidR="006C51CF" w:rsidRPr="002D4D82" w:rsidRDefault="006C51CF" w:rsidP="003F3CF1">
            <w:pPr>
              <w:pStyle w:val="ListBullet"/>
              <w:numPr>
                <w:ilvl w:val="0"/>
                <w:numId w:val="13"/>
              </w:numPr>
              <w:ind w:right="113"/>
              <w:rPr>
                <w:rFonts w:cs="Arial"/>
              </w:rPr>
            </w:pPr>
            <w:r w:rsidRPr="002D4D82">
              <w:rPr>
                <w:rFonts w:cs="Arial"/>
              </w:rPr>
              <w:t xml:space="preserve">Government subsidised enrolments at the </w:t>
            </w:r>
            <w:r w:rsidR="0052721E" w:rsidRPr="002D4D82">
              <w:rPr>
                <w:rFonts w:cs="Arial"/>
              </w:rPr>
              <w:t>C</w:t>
            </w:r>
            <w:r w:rsidRPr="002D4D82">
              <w:rPr>
                <w:rFonts w:cs="Arial"/>
              </w:rPr>
              <w:t>ertificate I to II levels</w:t>
            </w:r>
            <w:r w:rsidR="003F3CF1" w:rsidRPr="002D4D82">
              <w:rPr>
                <w:rFonts w:cs="Arial"/>
              </w:rPr>
              <w:t xml:space="preserve"> (non-Foundation)</w:t>
            </w:r>
            <w:r w:rsidRPr="002D4D82">
              <w:rPr>
                <w:rFonts w:cs="Arial"/>
              </w:rPr>
              <w:t xml:space="preserve"> were </w:t>
            </w:r>
            <w:r w:rsidR="00EE1907" w:rsidRPr="002D4D82">
              <w:rPr>
                <w:rFonts w:cs="Arial"/>
              </w:rPr>
              <w:t>25,100</w:t>
            </w:r>
            <w:r w:rsidRPr="002D4D82">
              <w:rPr>
                <w:rFonts w:cs="Arial"/>
              </w:rPr>
              <w:t xml:space="preserve"> in Q2 2013.</w:t>
            </w:r>
            <w:r w:rsidR="00DD2751">
              <w:rPr>
                <w:rFonts w:cs="Arial"/>
              </w:rPr>
              <w:t xml:space="preserve"> The number of g</w:t>
            </w:r>
            <w:r w:rsidR="003F3CF1" w:rsidRPr="002D4D82">
              <w:rPr>
                <w:rFonts w:cs="Arial"/>
              </w:rPr>
              <w:t>overnment subsidised enrolments in Certificate III-IV courses w</w:t>
            </w:r>
            <w:r w:rsidR="004B2831">
              <w:rPr>
                <w:rFonts w:cs="Arial"/>
              </w:rPr>
              <w:t>ere</w:t>
            </w:r>
            <w:r w:rsidR="003F3CF1" w:rsidRPr="002D4D82">
              <w:rPr>
                <w:rFonts w:cs="Arial"/>
              </w:rPr>
              <w:t xml:space="preserve"> 201,900 in Q2 2013.</w:t>
            </w:r>
            <w:r w:rsidRPr="002D4D82">
              <w:rPr>
                <w:rFonts w:cs="Arial"/>
              </w:rPr>
              <w:t xml:space="preserve"> </w:t>
            </w:r>
          </w:p>
          <w:p w:rsidR="003F3CF1" w:rsidRPr="002D4D82" w:rsidRDefault="003F3CF1" w:rsidP="003F3CF1">
            <w:pPr>
              <w:pStyle w:val="ListBullet"/>
              <w:numPr>
                <w:ilvl w:val="0"/>
                <w:numId w:val="13"/>
              </w:numPr>
              <w:ind w:right="113"/>
              <w:rPr>
                <w:rFonts w:cs="Arial"/>
              </w:rPr>
            </w:pPr>
            <w:r w:rsidRPr="002D4D82">
              <w:rPr>
                <w:rFonts w:cs="Arial"/>
              </w:rPr>
              <w:t xml:space="preserve">Proportionally </w:t>
            </w:r>
            <w:r w:rsidR="002D4D82" w:rsidRPr="002D4D82">
              <w:rPr>
                <w:rFonts w:cs="Arial"/>
              </w:rPr>
              <w:t>Certificate III-IV (non-Foundation) represented the largest qualification group</w:t>
            </w:r>
            <w:r w:rsidR="002D4D82">
              <w:rPr>
                <w:rFonts w:cs="Arial"/>
              </w:rPr>
              <w:t xml:space="preserve"> of non-Foundation courses of study</w:t>
            </w:r>
            <w:r w:rsidR="002D4D82" w:rsidRPr="002D4D82">
              <w:rPr>
                <w:rFonts w:cs="Arial"/>
              </w:rPr>
              <w:t>.</w:t>
            </w:r>
          </w:p>
          <w:p w:rsidR="006C51CF" w:rsidRPr="002D4D82" w:rsidRDefault="002D4D82" w:rsidP="004B2831">
            <w:pPr>
              <w:pStyle w:val="ListBullet"/>
              <w:numPr>
                <w:ilvl w:val="0"/>
                <w:numId w:val="13"/>
              </w:numPr>
              <w:ind w:right="113"/>
              <w:rPr>
                <w:rFonts w:cs="Arial"/>
              </w:rPr>
            </w:pPr>
            <w:r>
              <w:rPr>
                <w:rFonts w:cs="Arial"/>
              </w:rPr>
              <w:t>Government subsidised enrolment at the Certificate I to II level (Foundation) were 77</w:t>
            </w:r>
            <w:r w:rsidR="00DD2751">
              <w:rPr>
                <w:rFonts w:cs="Arial"/>
              </w:rPr>
              <w:t>,500 in Q2 2013. The number of g</w:t>
            </w:r>
            <w:r>
              <w:rPr>
                <w:rFonts w:cs="Arial"/>
              </w:rPr>
              <w:t>overnment subsidised enrolments in Certificate III-IV (Foundation) courses w</w:t>
            </w:r>
            <w:r w:rsidR="004B2831">
              <w:rPr>
                <w:rFonts w:cs="Arial"/>
              </w:rPr>
              <w:t>ere</w:t>
            </w:r>
            <w:r>
              <w:rPr>
                <w:rFonts w:cs="Arial"/>
              </w:rPr>
              <w:t xml:space="preserve"> 13,700 in Q2 2013.</w:t>
            </w:r>
          </w:p>
        </w:tc>
      </w:tr>
    </w:tbl>
    <w:p w:rsidR="006C51CF" w:rsidRDefault="006C51CF" w:rsidP="006C51CF">
      <w:pPr>
        <w:rPr>
          <w:rFonts w:cs="Arial"/>
        </w:rPr>
      </w:pPr>
    </w:p>
    <w:p w:rsidR="00351166" w:rsidRDefault="00351166" w:rsidP="00B97320">
      <w:pPr>
        <w:pStyle w:val="Caption"/>
        <w:spacing w:after="0"/>
        <w:jc w:val="left"/>
        <w:rPr>
          <w:rFonts w:cs="Arial"/>
        </w:rPr>
      </w:pPr>
      <w:r w:rsidRPr="001F29E3">
        <w:rPr>
          <w:rFonts w:cs="Arial"/>
        </w:rPr>
        <w:t>Table 1.</w:t>
      </w:r>
      <w:r w:rsidR="00F0734E">
        <w:rPr>
          <w:rFonts w:cs="Arial"/>
        </w:rPr>
        <w:t>4</w:t>
      </w:r>
      <w:r w:rsidR="006F5E43">
        <w:rPr>
          <w:rFonts w:cs="Arial"/>
        </w:rPr>
        <w:t>.1</w:t>
      </w:r>
      <w:r w:rsidRPr="001F29E3">
        <w:rPr>
          <w:rFonts w:cs="Arial"/>
        </w:rPr>
        <w:t xml:space="preserve">: </w:t>
      </w:r>
      <w:r w:rsidR="005B235C" w:rsidRPr="001F29E3">
        <w:rPr>
          <w:rFonts w:cs="Arial"/>
        </w:rPr>
        <w:t>G</w:t>
      </w:r>
      <w:r w:rsidRPr="001F29E3">
        <w:rPr>
          <w:rFonts w:cs="Arial"/>
        </w:rPr>
        <w:t xml:space="preserve">overnment subsidised enrolments </w:t>
      </w:r>
      <w:r w:rsidR="008121D1">
        <w:rPr>
          <w:rFonts w:cs="Arial"/>
        </w:rPr>
        <w:t xml:space="preserve">(non-Foundation) </w:t>
      </w:r>
      <w:r w:rsidRPr="001F29E3">
        <w:rPr>
          <w:rFonts w:cs="Arial"/>
        </w:rPr>
        <w:t>by qualification level, 2008–2012</w:t>
      </w:r>
    </w:p>
    <w:tbl>
      <w:tblPr>
        <w:tblW w:w="9520" w:type="dxa"/>
        <w:tblInd w:w="103" w:type="dxa"/>
        <w:tblLook w:val="04A0" w:firstRow="1" w:lastRow="0" w:firstColumn="1" w:lastColumn="0" w:noHBand="0" w:noVBand="1"/>
      </w:tblPr>
      <w:tblGrid>
        <w:gridCol w:w="2800"/>
        <w:gridCol w:w="1120"/>
        <w:gridCol w:w="1120"/>
        <w:gridCol w:w="1120"/>
        <w:gridCol w:w="1120"/>
        <w:gridCol w:w="1120"/>
        <w:gridCol w:w="1120"/>
      </w:tblGrid>
      <w:tr w:rsidR="00185BFA" w:rsidRPr="00185BFA" w:rsidTr="00185BFA">
        <w:trPr>
          <w:trHeight w:val="762"/>
        </w:trPr>
        <w:tc>
          <w:tcPr>
            <w:tcW w:w="2800" w:type="dxa"/>
            <w:tcBorders>
              <w:top w:val="single" w:sz="4" w:space="0" w:color="5E8A00"/>
              <w:left w:val="single" w:sz="4" w:space="0" w:color="5E8A00"/>
              <w:bottom w:val="single" w:sz="4" w:space="0" w:color="5E8A00"/>
              <w:right w:val="single" w:sz="4" w:space="0" w:color="5E8A00"/>
            </w:tcBorders>
            <w:shd w:val="clear" w:color="000000" w:fill="5E8A00"/>
            <w:noWrap/>
            <w:vAlign w:val="center"/>
            <w:hideMark/>
          </w:tcPr>
          <w:p w:rsidR="00185BFA" w:rsidRPr="00185BFA" w:rsidRDefault="00185BFA" w:rsidP="00185BFA">
            <w:pPr>
              <w:spacing w:after="0" w:line="240" w:lineRule="auto"/>
              <w:jc w:val="left"/>
              <w:rPr>
                <w:rFonts w:cs="Arial"/>
                <w:b/>
                <w:bCs/>
                <w:color w:val="FFFFFF"/>
                <w:sz w:val="18"/>
                <w:szCs w:val="18"/>
                <w:lang w:eastAsia="en-AU"/>
              </w:rPr>
            </w:pPr>
            <w:r w:rsidRPr="00185BFA">
              <w:rPr>
                <w:rFonts w:cs="Arial"/>
                <w:b/>
                <w:bCs/>
                <w:color w:val="FFFFFF"/>
                <w:sz w:val="18"/>
                <w:szCs w:val="18"/>
                <w:lang w:eastAsia="en-AU"/>
              </w:rPr>
              <w:t>Qualification level</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85BFA" w:rsidRPr="00185BFA" w:rsidRDefault="00185BFA" w:rsidP="00F034AF">
            <w:pPr>
              <w:spacing w:after="0" w:line="240" w:lineRule="auto"/>
              <w:ind w:firstLineChars="100" w:firstLine="181"/>
              <w:jc w:val="right"/>
              <w:rPr>
                <w:rFonts w:cs="Arial"/>
                <w:b/>
                <w:bCs/>
                <w:color w:val="FFFFFF"/>
                <w:sz w:val="18"/>
                <w:szCs w:val="18"/>
                <w:lang w:eastAsia="en-AU"/>
              </w:rPr>
            </w:pPr>
            <w:r w:rsidRPr="00185BFA">
              <w:rPr>
                <w:rFonts w:cs="Arial"/>
                <w:b/>
                <w:bCs/>
                <w:color w:val="FFFFFF"/>
                <w:sz w:val="18"/>
                <w:szCs w:val="18"/>
                <w:lang w:eastAsia="en-AU"/>
              </w:rPr>
              <w:t>2008</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85BFA" w:rsidRPr="00185BFA" w:rsidRDefault="00185BFA" w:rsidP="00F034AF">
            <w:pPr>
              <w:spacing w:after="0" w:line="240" w:lineRule="auto"/>
              <w:ind w:firstLineChars="100" w:firstLine="181"/>
              <w:jc w:val="right"/>
              <w:rPr>
                <w:rFonts w:cs="Arial"/>
                <w:b/>
                <w:bCs/>
                <w:color w:val="FFFFFF"/>
                <w:sz w:val="18"/>
                <w:szCs w:val="18"/>
                <w:lang w:eastAsia="en-AU"/>
              </w:rPr>
            </w:pPr>
            <w:r w:rsidRPr="00185BFA">
              <w:rPr>
                <w:rFonts w:cs="Arial"/>
                <w:b/>
                <w:bCs/>
                <w:color w:val="FFFFFF"/>
                <w:sz w:val="18"/>
                <w:szCs w:val="18"/>
                <w:lang w:eastAsia="en-AU"/>
              </w:rPr>
              <w:t>2009</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85BFA" w:rsidRPr="00185BFA" w:rsidRDefault="00185BFA" w:rsidP="00F034AF">
            <w:pPr>
              <w:spacing w:after="0" w:line="240" w:lineRule="auto"/>
              <w:ind w:firstLineChars="100" w:firstLine="181"/>
              <w:jc w:val="right"/>
              <w:rPr>
                <w:rFonts w:cs="Arial"/>
                <w:b/>
                <w:bCs/>
                <w:color w:val="FFFFFF"/>
                <w:sz w:val="18"/>
                <w:szCs w:val="18"/>
                <w:lang w:eastAsia="en-AU"/>
              </w:rPr>
            </w:pPr>
            <w:r w:rsidRPr="00185BFA">
              <w:rPr>
                <w:rFonts w:cs="Arial"/>
                <w:b/>
                <w:bCs/>
                <w:color w:val="FFFFFF"/>
                <w:sz w:val="18"/>
                <w:szCs w:val="18"/>
                <w:lang w:eastAsia="en-AU"/>
              </w:rPr>
              <w:t>2010</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85BFA" w:rsidRPr="00185BFA" w:rsidRDefault="00185BFA" w:rsidP="00F034AF">
            <w:pPr>
              <w:spacing w:after="0" w:line="240" w:lineRule="auto"/>
              <w:ind w:firstLineChars="100" w:firstLine="181"/>
              <w:jc w:val="right"/>
              <w:rPr>
                <w:rFonts w:cs="Arial"/>
                <w:b/>
                <w:bCs/>
                <w:color w:val="FFFFFF"/>
                <w:sz w:val="18"/>
                <w:szCs w:val="18"/>
                <w:lang w:eastAsia="en-AU"/>
              </w:rPr>
            </w:pPr>
            <w:r w:rsidRPr="00185BFA">
              <w:rPr>
                <w:rFonts w:cs="Arial"/>
                <w:b/>
                <w:bCs/>
                <w:color w:val="FFFFFF"/>
                <w:sz w:val="18"/>
                <w:szCs w:val="18"/>
                <w:lang w:eastAsia="en-AU"/>
              </w:rPr>
              <w:t>2011</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85BFA" w:rsidRPr="00185BFA" w:rsidRDefault="00185BFA" w:rsidP="00F034AF">
            <w:pPr>
              <w:spacing w:after="0" w:line="240" w:lineRule="auto"/>
              <w:ind w:firstLineChars="100" w:firstLine="181"/>
              <w:jc w:val="right"/>
              <w:rPr>
                <w:rFonts w:cs="Arial"/>
                <w:b/>
                <w:bCs/>
                <w:color w:val="FFFFFF"/>
                <w:sz w:val="18"/>
                <w:szCs w:val="18"/>
                <w:lang w:eastAsia="en-AU"/>
              </w:rPr>
            </w:pPr>
            <w:r w:rsidRPr="00185BFA">
              <w:rPr>
                <w:rFonts w:cs="Arial"/>
                <w:b/>
                <w:bCs/>
                <w:color w:val="FFFFFF"/>
                <w:sz w:val="18"/>
                <w:szCs w:val="18"/>
                <w:lang w:eastAsia="en-AU"/>
              </w:rPr>
              <w:t>2012</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85BFA" w:rsidRPr="00185BFA" w:rsidRDefault="00185BFA" w:rsidP="00185BFA">
            <w:pPr>
              <w:spacing w:after="0" w:line="240" w:lineRule="auto"/>
              <w:jc w:val="right"/>
              <w:rPr>
                <w:rFonts w:cs="Arial"/>
                <w:b/>
                <w:bCs/>
                <w:color w:val="FFFFFF"/>
                <w:sz w:val="18"/>
                <w:szCs w:val="18"/>
                <w:lang w:eastAsia="en-AU"/>
              </w:rPr>
            </w:pPr>
            <w:r w:rsidRPr="00185BFA">
              <w:rPr>
                <w:rFonts w:cs="Arial"/>
                <w:b/>
                <w:bCs/>
                <w:color w:val="FFFFFF"/>
                <w:sz w:val="18"/>
                <w:szCs w:val="18"/>
                <w:lang w:eastAsia="en-AU"/>
              </w:rPr>
              <w:t>% change</w:t>
            </w:r>
            <w:r w:rsidRPr="00185BFA">
              <w:rPr>
                <w:rFonts w:cs="Arial"/>
                <w:b/>
                <w:bCs/>
                <w:color w:val="FFFFFF"/>
                <w:sz w:val="18"/>
                <w:szCs w:val="18"/>
                <w:lang w:eastAsia="en-AU"/>
              </w:rPr>
              <w:br/>
              <w:t>2008-2012</w:t>
            </w:r>
          </w:p>
        </w:tc>
      </w:tr>
      <w:tr w:rsidR="00185BFA" w:rsidRPr="00185BFA" w:rsidTr="00185BFA">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185BFA" w:rsidRPr="00185BFA" w:rsidRDefault="00185BFA" w:rsidP="00185BFA">
            <w:pPr>
              <w:spacing w:after="0" w:line="240" w:lineRule="auto"/>
              <w:jc w:val="left"/>
              <w:rPr>
                <w:rFonts w:cs="Arial"/>
                <w:color w:val="3E5B00"/>
                <w:sz w:val="18"/>
                <w:szCs w:val="18"/>
                <w:lang w:eastAsia="en-AU"/>
              </w:rPr>
            </w:pPr>
            <w:r w:rsidRPr="00185BFA">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65,100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65,100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73,400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79,900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64,100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-1%</w:t>
            </w:r>
          </w:p>
        </w:tc>
      </w:tr>
      <w:tr w:rsidR="00185BFA" w:rsidRPr="00185BFA" w:rsidTr="00185BFA">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185BFA" w:rsidRPr="00185BFA" w:rsidRDefault="00185BFA" w:rsidP="00185BFA">
            <w:pPr>
              <w:spacing w:after="0" w:line="240" w:lineRule="auto"/>
              <w:jc w:val="left"/>
              <w:rPr>
                <w:rFonts w:cs="Arial"/>
                <w:color w:val="3E5B00"/>
                <w:sz w:val="18"/>
                <w:szCs w:val="18"/>
                <w:lang w:eastAsia="en-AU"/>
              </w:rPr>
            </w:pPr>
            <w:r w:rsidRPr="00185BFA">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158,800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159,100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194,800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278,400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348,400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119%</w:t>
            </w:r>
          </w:p>
        </w:tc>
      </w:tr>
      <w:tr w:rsidR="00185BFA" w:rsidRPr="00185BFA" w:rsidTr="00185BFA">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185BFA" w:rsidRPr="00185BFA" w:rsidRDefault="00185BFA" w:rsidP="00185BFA">
            <w:pPr>
              <w:spacing w:after="0" w:line="240" w:lineRule="auto"/>
              <w:jc w:val="left"/>
              <w:rPr>
                <w:rFonts w:cs="Arial"/>
                <w:color w:val="3E5B00"/>
                <w:sz w:val="18"/>
                <w:szCs w:val="18"/>
                <w:lang w:eastAsia="en-AU"/>
              </w:rPr>
            </w:pPr>
            <w:r w:rsidRPr="00185BFA">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55,700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63,700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71,200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90,300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94,800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70%</w:t>
            </w:r>
          </w:p>
        </w:tc>
      </w:tr>
      <w:tr w:rsidR="00185BFA" w:rsidRPr="00185BFA" w:rsidTr="00185BFA">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185BFA" w:rsidRPr="00185BFA" w:rsidRDefault="00185BFA" w:rsidP="00185BFA">
            <w:pPr>
              <w:spacing w:after="0" w:line="240" w:lineRule="auto"/>
              <w:jc w:val="left"/>
              <w:rPr>
                <w:rFonts w:cs="Arial"/>
                <w:color w:val="3E5B00"/>
                <w:sz w:val="18"/>
                <w:szCs w:val="18"/>
                <w:lang w:eastAsia="en-AU"/>
              </w:rPr>
            </w:pPr>
            <w:r w:rsidRPr="00185BFA">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50,200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40,700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37,300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30,300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30,600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-39%</w:t>
            </w:r>
          </w:p>
        </w:tc>
      </w:tr>
      <w:tr w:rsidR="00185BFA" w:rsidRPr="00185BFA" w:rsidTr="00185BFA">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185BFA" w:rsidRPr="00185BFA" w:rsidRDefault="00185BFA" w:rsidP="00185BFA">
            <w:pPr>
              <w:spacing w:after="0" w:line="240" w:lineRule="auto"/>
              <w:jc w:val="left"/>
              <w:rPr>
                <w:rFonts w:cs="Arial"/>
                <w:color w:val="3E5B00"/>
                <w:sz w:val="18"/>
                <w:szCs w:val="18"/>
                <w:lang w:eastAsia="en-AU"/>
              </w:rPr>
            </w:pPr>
            <w:r w:rsidRPr="00185BFA">
              <w:rPr>
                <w:rFonts w:cs="Arial"/>
                <w:color w:val="3E5B00"/>
                <w:sz w:val="18"/>
                <w:szCs w:val="18"/>
                <w:lang w:eastAsia="en-AU"/>
              </w:rPr>
              <w:t xml:space="preserve">Secondary, </w:t>
            </w:r>
            <w:proofErr w:type="spellStart"/>
            <w:r w:rsidRPr="00185BFA">
              <w:rPr>
                <w:rFonts w:cs="Arial"/>
                <w:color w:val="3E5B00"/>
                <w:sz w:val="18"/>
                <w:szCs w:val="18"/>
                <w:lang w:eastAsia="en-AU"/>
              </w:rPr>
              <w:t>SoA</w:t>
            </w:r>
            <w:proofErr w:type="spellEnd"/>
            <w:r w:rsidRPr="00185BFA">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20,600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20,300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19,500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15,900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 xml:space="preserve">14,100 </w:t>
            </w:r>
          </w:p>
        </w:tc>
        <w:tc>
          <w:tcPr>
            <w:tcW w:w="1120" w:type="dxa"/>
            <w:tcBorders>
              <w:top w:val="nil"/>
              <w:left w:val="nil"/>
              <w:bottom w:val="single" w:sz="4" w:space="0" w:color="5E8A00"/>
              <w:right w:val="single" w:sz="4" w:space="0" w:color="5E8A00"/>
            </w:tcBorders>
            <w:shd w:val="clear" w:color="auto" w:fill="auto"/>
            <w:noWrap/>
            <w:vAlign w:val="center"/>
            <w:hideMark/>
          </w:tcPr>
          <w:p w:rsidR="00185BFA" w:rsidRPr="00185BFA" w:rsidRDefault="00185BFA" w:rsidP="00185BFA">
            <w:pPr>
              <w:spacing w:after="0" w:line="240" w:lineRule="auto"/>
              <w:jc w:val="right"/>
              <w:rPr>
                <w:rFonts w:cs="Arial"/>
                <w:sz w:val="18"/>
                <w:szCs w:val="18"/>
                <w:lang w:eastAsia="en-AU"/>
              </w:rPr>
            </w:pPr>
            <w:r w:rsidRPr="00185BFA">
              <w:rPr>
                <w:rFonts w:cs="Arial"/>
                <w:sz w:val="18"/>
                <w:szCs w:val="18"/>
                <w:lang w:eastAsia="en-AU"/>
              </w:rPr>
              <w:t>-32%</w:t>
            </w:r>
          </w:p>
        </w:tc>
      </w:tr>
      <w:tr w:rsidR="00185BFA" w:rsidRPr="00185BFA" w:rsidTr="00185BFA">
        <w:trPr>
          <w:trHeight w:val="342"/>
        </w:trPr>
        <w:tc>
          <w:tcPr>
            <w:tcW w:w="2800" w:type="dxa"/>
            <w:tcBorders>
              <w:top w:val="nil"/>
              <w:left w:val="single" w:sz="4" w:space="0" w:color="5E8A00"/>
              <w:bottom w:val="nil"/>
              <w:right w:val="single" w:sz="4" w:space="0" w:color="5E8A00"/>
            </w:tcBorders>
            <w:shd w:val="clear" w:color="000000" w:fill="5E8A00"/>
            <w:noWrap/>
            <w:vAlign w:val="bottom"/>
            <w:hideMark/>
          </w:tcPr>
          <w:p w:rsidR="00185BFA" w:rsidRPr="00185BFA" w:rsidRDefault="00185BFA" w:rsidP="00185BFA">
            <w:pPr>
              <w:spacing w:after="0" w:line="240" w:lineRule="auto"/>
              <w:jc w:val="left"/>
              <w:rPr>
                <w:rFonts w:cs="Arial"/>
                <w:b/>
                <w:bCs/>
                <w:color w:val="FFFFFF"/>
                <w:sz w:val="18"/>
                <w:szCs w:val="18"/>
                <w:lang w:eastAsia="en-AU"/>
              </w:rPr>
            </w:pPr>
            <w:r w:rsidRPr="00185BFA">
              <w:rPr>
                <w:rFonts w:cs="Arial"/>
                <w:b/>
                <w:bCs/>
                <w:color w:val="FFFFFF"/>
                <w:sz w:val="18"/>
                <w:szCs w:val="18"/>
                <w:lang w:eastAsia="en-AU"/>
              </w:rPr>
              <w:t>Total (</w:t>
            </w:r>
            <w:proofErr w:type="spellStart"/>
            <w:r w:rsidRPr="00185BFA">
              <w:rPr>
                <w:rFonts w:cs="Arial"/>
                <w:b/>
                <w:bCs/>
                <w:color w:val="FFFFFF"/>
                <w:sz w:val="18"/>
                <w:szCs w:val="18"/>
                <w:lang w:eastAsia="en-AU"/>
              </w:rPr>
              <w:t>excl</w:t>
            </w:r>
            <w:proofErr w:type="spellEnd"/>
            <w:r w:rsidRPr="00185BFA">
              <w:rPr>
                <w:rFonts w:cs="Arial"/>
                <w:b/>
                <w:bCs/>
                <w:color w:val="FFFFFF"/>
                <w:sz w:val="18"/>
                <w:szCs w:val="18"/>
                <w:lang w:eastAsia="en-AU"/>
              </w:rPr>
              <w:t xml:space="preserve"> foundation courses)</w:t>
            </w:r>
          </w:p>
        </w:tc>
        <w:tc>
          <w:tcPr>
            <w:tcW w:w="1120" w:type="dxa"/>
            <w:tcBorders>
              <w:top w:val="nil"/>
              <w:left w:val="nil"/>
              <w:bottom w:val="nil"/>
              <w:right w:val="single" w:sz="4" w:space="0" w:color="5E8A00"/>
            </w:tcBorders>
            <w:shd w:val="clear" w:color="000000" w:fill="5E8A00"/>
            <w:noWrap/>
            <w:vAlign w:val="center"/>
            <w:hideMark/>
          </w:tcPr>
          <w:p w:rsidR="00185BFA" w:rsidRPr="00185BFA" w:rsidRDefault="00185BFA" w:rsidP="00185BFA">
            <w:pPr>
              <w:spacing w:after="0" w:line="240" w:lineRule="auto"/>
              <w:jc w:val="right"/>
              <w:rPr>
                <w:rFonts w:cs="Arial"/>
                <w:b/>
                <w:bCs/>
                <w:color w:val="FFFFFF"/>
                <w:sz w:val="18"/>
                <w:szCs w:val="18"/>
                <w:lang w:eastAsia="en-AU"/>
              </w:rPr>
            </w:pPr>
            <w:r w:rsidRPr="00185BFA">
              <w:rPr>
                <w:rFonts w:cs="Arial"/>
                <w:b/>
                <w:bCs/>
                <w:color w:val="FFFFFF"/>
                <w:sz w:val="18"/>
                <w:szCs w:val="18"/>
                <w:lang w:eastAsia="en-AU"/>
              </w:rPr>
              <w:t xml:space="preserve">350,400 </w:t>
            </w:r>
          </w:p>
        </w:tc>
        <w:tc>
          <w:tcPr>
            <w:tcW w:w="1120" w:type="dxa"/>
            <w:tcBorders>
              <w:top w:val="nil"/>
              <w:left w:val="nil"/>
              <w:bottom w:val="nil"/>
              <w:right w:val="single" w:sz="4" w:space="0" w:color="5E8A00"/>
            </w:tcBorders>
            <w:shd w:val="clear" w:color="000000" w:fill="5E8A00"/>
            <w:noWrap/>
            <w:vAlign w:val="center"/>
            <w:hideMark/>
          </w:tcPr>
          <w:p w:rsidR="00185BFA" w:rsidRPr="00185BFA" w:rsidRDefault="00185BFA" w:rsidP="00185BFA">
            <w:pPr>
              <w:spacing w:after="0" w:line="240" w:lineRule="auto"/>
              <w:jc w:val="right"/>
              <w:rPr>
                <w:rFonts w:cs="Arial"/>
                <w:b/>
                <w:bCs/>
                <w:color w:val="FFFFFF"/>
                <w:sz w:val="18"/>
                <w:szCs w:val="18"/>
                <w:lang w:eastAsia="en-AU"/>
              </w:rPr>
            </w:pPr>
            <w:r w:rsidRPr="00185BFA">
              <w:rPr>
                <w:rFonts w:cs="Arial"/>
                <w:b/>
                <w:bCs/>
                <w:color w:val="FFFFFF"/>
                <w:sz w:val="18"/>
                <w:szCs w:val="18"/>
                <w:lang w:eastAsia="en-AU"/>
              </w:rPr>
              <w:t xml:space="preserve">348,900 </w:t>
            </w:r>
          </w:p>
        </w:tc>
        <w:tc>
          <w:tcPr>
            <w:tcW w:w="1120" w:type="dxa"/>
            <w:tcBorders>
              <w:top w:val="nil"/>
              <w:left w:val="nil"/>
              <w:bottom w:val="nil"/>
              <w:right w:val="single" w:sz="4" w:space="0" w:color="5E8A00"/>
            </w:tcBorders>
            <w:shd w:val="clear" w:color="000000" w:fill="5E8A00"/>
            <w:noWrap/>
            <w:vAlign w:val="center"/>
            <w:hideMark/>
          </w:tcPr>
          <w:p w:rsidR="00185BFA" w:rsidRPr="00185BFA" w:rsidRDefault="00185BFA" w:rsidP="00185BFA">
            <w:pPr>
              <w:spacing w:after="0" w:line="240" w:lineRule="auto"/>
              <w:jc w:val="right"/>
              <w:rPr>
                <w:rFonts w:cs="Arial"/>
                <w:b/>
                <w:bCs/>
                <w:color w:val="FFFFFF"/>
                <w:sz w:val="18"/>
                <w:szCs w:val="18"/>
                <w:lang w:eastAsia="en-AU"/>
              </w:rPr>
            </w:pPr>
            <w:r w:rsidRPr="00185BFA">
              <w:rPr>
                <w:rFonts w:cs="Arial"/>
                <w:b/>
                <w:bCs/>
                <w:color w:val="FFFFFF"/>
                <w:sz w:val="18"/>
                <w:szCs w:val="18"/>
                <w:lang w:eastAsia="en-AU"/>
              </w:rPr>
              <w:t xml:space="preserve">396,200 </w:t>
            </w:r>
          </w:p>
        </w:tc>
        <w:tc>
          <w:tcPr>
            <w:tcW w:w="1120" w:type="dxa"/>
            <w:tcBorders>
              <w:top w:val="nil"/>
              <w:left w:val="nil"/>
              <w:bottom w:val="nil"/>
              <w:right w:val="single" w:sz="4" w:space="0" w:color="5E8A00"/>
            </w:tcBorders>
            <w:shd w:val="clear" w:color="000000" w:fill="5E8A00"/>
            <w:noWrap/>
            <w:vAlign w:val="center"/>
            <w:hideMark/>
          </w:tcPr>
          <w:p w:rsidR="00185BFA" w:rsidRPr="00185BFA" w:rsidRDefault="00185BFA" w:rsidP="00185BFA">
            <w:pPr>
              <w:spacing w:after="0" w:line="240" w:lineRule="auto"/>
              <w:jc w:val="right"/>
              <w:rPr>
                <w:rFonts w:cs="Arial"/>
                <w:b/>
                <w:bCs/>
                <w:color w:val="FFFFFF"/>
                <w:sz w:val="18"/>
                <w:szCs w:val="18"/>
                <w:lang w:eastAsia="en-AU"/>
              </w:rPr>
            </w:pPr>
            <w:r w:rsidRPr="00185BFA">
              <w:rPr>
                <w:rFonts w:cs="Arial"/>
                <w:b/>
                <w:bCs/>
                <w:color w:val="FFFFFF"/>
                <w:sz w:val="18"/>
                <w:szCs w:val="18"/>
                <w:lang w:eastAsia="en-AU"/>
              </w:rPr>
              <w:t xml:space="preserve">494,900 </w:t>
            </w:r>
          </w:p>
        </w:tc>
        <w:tc>
          <w:tcPr>
            <w:tcW w:w="1120" w:type="dxa"/>
            <w:tcBorders>
              <w:top w:val="nil"/>
              <w:left w:val="nil"/>
              <w:bottom w:val="nil"/>
              <w:right w:val="single" w:sz="4" w:space="0" w:color="5E8A00"/>
            </w:tcBorders>
            <w:shd w:val="clear" w:color="000000" w:fill="5E8A00"/>
            <w:noWrap/>
            <w:vAlign w:val="center"/>
            <w:hideMark/>
          </w:tcPr>
          <w:p w:rsidR="00185BFA" w:rsidRPr="00185BFA" w:rsidRDefault="00185BFA" w:rsidP="00185BFA">
            <w:pPr>
              <w:spacing w:after="0" w:line="240" w:lineRule="auto"/>
              <w:jc w:val="right"/>
              <w:rPr>
                <w:rFonts w:cs="Arial"/>
                <w:b/>
                <w:bCs/>
                <w:color w:val="FFFFFF"/>
                <w:sz w:val="18"/>
                <w:szCs w:val="18"/>
                <w:lang w:eastAsia="en-AU"/>
              </w:rPr>
            </w:pPr>
            <w:r w:rsidRPr="00185BFA">
              <w:rPr>
                <w:rFonts w:cs="Arial"/>
                <w:b/>
                <w:bCs/>
                <w:color w:val="FFFFFF"/>
                <w:sz w:val="18"/>
                <w:szCs w:val="18"/>
                <w:lang w:eastAsia="en-AU"/>
              </w:rPr>
              <w:t xml:space="preserve">552,000 </w:t>
            </w:r>
          </w:p>
        </w:tc>
        <w:tc>
          <w:tcPr>
            <w:tcW w:w="1120" w:type="dxa"/>
            <w:tcBorders>
              <w:top w:val="nil"/>
              <w:left w:val="nil"/>
              <w:bottom w:val="nil"/>
              <w:right w:val="single" w:sz="4" w:space="0" w:color="5E8A00"/>
            </w:tcBorders>
            <w:shd w:val="clear" w:color="000000" w:fill="5E8A00"/>
            <w:noWrap/>
            <w:vAlign w:val="center"/>
            <w:hideMark/>
          </w:tcPr>
          <w:p w:rsidR="00185BFA" w:rsidRPr="00185BFA" w:rsidRDefault="00185BFA" w:rsidP="00185BFA">
            <w:pPr>
              <w:spacing w:after="0" w:line="240" w:lineRule="auto"/>
              <w:jc w:val="right"/>
              <w:rPr>
                <w:rFonts w:cs="Arial"/>
                <w:b/>
                <w:bCs/>
                <w:color w:val="FFFFFF"/>
                <w:sz w:val="18"/>
                <w:szCs w:val="18"/>
                <w:lang w:eastAsia="en-AU"/>
              </w:rPr>
            </w:pPr>
            <w:r w:rsidRPr="00185BFA">
              <w:rPr>
                <w:rFonts w:cs="Arial"/>
                <w:b/>
                <w:bCs/>
                <w:color w:val="FFFFFF"/>
                <w:sz w:val="18"/>
                <w:szCs w:val="18"/>
                <w:lang w:eastAsia="en-AU"/>
              </w:rPr>
              <w:t>58%</w:t>
            </w:r>
          </w:p>
        </w:tc>
      </w:tr>
    </w:tbl>
    <w:p w:rsidR="00185BFA" w:rsidRPr="001F29E3" w:rsidRDefault="00185BFA" w:rsidP="00C53713">
      <w:pPr>
        <w:rPr>
          <w:rFonts w:cs="Arial"/>
          <w:sz w:val="16"/>
          <w:szCs w:val="16"/>
        </w:rPr>
      </w:pPr>
      <w:proofErr w:type="spellStart"/>
      <w:r w:rsidRPr="001F29E3">
        <w:rPr>
          <w:rFonts w:cs="Arial"/>
          <w:sz w:val="16"/>
          <w:szCs w:val="16"/>
        </w:rPr>
        <w:t>SoA</w:t>
      </w:r>
      <w:proofErr w:type="spellEnd"/>
      <w:r w:rsidRPr="001F29E3">
        <w:rPr>
          <w:rFonts w:cs="Arial"/>
          <w:sz w:val="16"/>
          <w:szCs w:val="16"/>
        </w:rPr>
        <w:t xml:space="preserve"> – Statement of Attainment</w:t>
      </w:r>
      <w:r>
        <w:rPr>
          <w:rFonts w:cs="Arial"/>
          <w:sz w:val="16"/>
          <w:szCs w:val="16"/>
        </w:rPr>
        <w:t>.</w:t>
      </w:r>
    </w:p>
    <w:p w:rsidR="006F5E43" w:rsidRDefault="000C193A" w:rsidP="001C1759">
      <w:pPr>
        <w:pStyle w:val="Caption"/>
        <w:spacing w:after="0"/>
      </w:pPr>
      <w:r>
        <w:br w:type="page"/>
      </w:r>
      <w:r w:rsidR="006F5E43" w:rsidRPr="001F29E3">
        <w:lastRenderedPageBreak/>
        <w:t>Table 1.</w:t>
      </w:r>
      <w:r w:rsidR="00F0734E">
        <w:t>4</w:t>
      </w:r>
      <w:r w:rsidR="006F5E43">
        <w:t>.2</w:t>
      </w:r>
      <w:r w:rsidR="006F5E43" w:rsidRPr="001F29E3">
        <w:t xml:space="preserve">: Government subsidised enrolments </w:t>
      </w:r>
      <w:r w:rsidR="00D20582">
        <w:t xml:space="preserve">(non-Foundation) </w:t>
      </w:r>
      <w:r w:rsidR="006F5E43" w:rsidRPr="001F29E3">
        <w:t>by qualification level, Q</w:t>
      </w:r>
      <w:r w:rsidR="004A1B68">
        <w:t>2</w:t>
      </w:r>
      <w:r w:rsidR="006F5E43" w:rsidRPr="001F29E3">
        <w:t xml:space="preserve"> 201</w:t>
      </w:r>
      <w:r w:rsidR="004A1B68">
        <w:t>1, Q2 2012</w:t>
      </w:r>
      <w:r w:rsidR="006F5E43" w:rsidRPr="001F29E3">
        <w:t xml:space="preserve"> and Q</w:t>
      </w:r>
      <w:r w:rsidR="004A1B68">
        <w:t>2</w:t>
      </w:r>
      <w:r w:rsidR="006F5E43" w:rsidRPr="001F29E3">
        <w:t xml:space="preserve"> 2013</w:t>
      </w:r>
    </w:p>
    <w:tbl>
      <w:tblPr>
        <w:tblW w:w="8400" w:type="dxa"/>
        <w:tblInd w:w="103" w:type="dxa"/>
        <w:tblLook w:val="04A0" w:firstRow="1" w:lastRow="0" w:firstColumn="1" w:lastColumn="0" w:noHBand="0" w:noVBand="1"/>
      </w:tblPr>
      <w:tblGrid>
        <w:gridCol w:w="2800"/>
        <w:gridCol w:w="1120"/>
        <w:gridCol w:w="1120"/>
        <w:gridCol w:w="1120"/>
        <w:gridCol w:w="1120"/>
        <w:gridCol w:w="1120"/>
      </w:tblGrid>
      <w:tr w:rsidR="008121D1" w:rsidRPr="008121D1" w:rsidTr="008121D1">
        <w:trPr>
          <w:trHeight w:val="762"/>
        </w:trPr>
        <w:tc>
          <w:tcPr>
            <w:tcW w:w="2800" w:type="dxa"/>
            <w:tcBorders>
              <w:top w:val="single" w:sz="4" w:space="0" w:color="5E8A00"/>
              <w:left w:val="single" w:sz="4" w:space="0" w:color="5E8A00"/>
              <w:bottom w:val="single" w:sz="4" w:space="0" w:color="5E8A00"/>
              <w:right w:val="single" w:sz="4" w:space="0" w:color="5E8A00"/>
            </w:tcBorders>
            <w:shd w:val="clear" w:color="000000" w:fill="5E8A00"/>
            <w:noWrap/>
            <w:vAlign w:val="center"/>
            <w:hideMark/>
          </w:tcPr>
          <w:p w:rsidR="008121D1" w:rsidRPr="008121D1" w:rsidRDefault="008121D1" w:rsidP="008121D1">
            <w:pPr>
              <w:spacing w:after="0" w:line="240" w:lineRule="auto"/>
              <w:jc w:val="left"/>
              <w:rPr>
                <w:rFonts w:cs="Arial"/>
                <w:b/>
                <w:bCs/>
                <w:color w:val="FFFFFF"/>
                <w:sz w:val="18"/>
                <w:szCs w:val="18"/>
                <w:lang w:eastAsia="en-AU"/>
              </w:rPr>
            </w:pPr>
            <w:r w:rsidRPr="008121D1">
              <w:rPr>
                <w:rFonts w:cs="Arial"/>
                <w:b/>
                <w:bCs/>
                <w:color w:val="FFFFFF"/>
                <w:sz w:val="18"/>
                <w:szCs w:val="18"/>
                <w:lang w:eastAsia="en-AU"/>
              </w:rPr>
              <w:t>Qualification level</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8121D1" w:rsidRPr="008121D1" w:rsidRDefault="008121D1" w:rsidP="00F034AF">
            <w:pPr>
              <w:spacing w:after="0" w:line="240" w:lineRule="auto"/>
              <w:ind w:firstLineChars="100" w:firstLine="181"/>
              <w:jc w:val="right"/>
              <w:rPr>
                <w:rFonts w:cs="Arial"/>
                <w:b/>
                <w:bCs/>
                <w:color w:val="FFFFFF"/>
                <w:sz w:val="18"/>
                <w:szCs w:val="18"/>
                <w:lang w:eastAsia="en-AU"/>
              </w:rPr>
            </w:pPr>
            <w:r w:rsidRPr="008121D1">
              <w:rPr>
                <w:rFonts w:cs="Arial"/>
                <w:b/>
                <w:bCs/>
                <w:color w:val="FFFFFF"/>
                <w:sz w:val="18"/>
                <w:szCs w:val="18"/>
                <w:lang w:eastAsia="en-AU"/>
              </w:rPr>
              <w:t>Q2 2011</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8121D1" w:rsidRPr="008121D1" w:rsidRDefault="008121D1" w:rsidP="00F034AF">
            <w:pPr>
              <w:spacing w:after="0" w:line="240" w:lineRule="auto"/>
              <w:ind w:firstLineChars="100" w:firstLine="181"/>
              <w:jc w:val="right"/>
              <w:rPr>
                <w:rFonts w:cs="Arial"/>
                <w:b/>
                <w:bCs/>
                <w:color w:val="FFFFFF"/>
                <w:sz w:val="18"/>
                <w:szCs w:val="18"/>
                <w:lang w:eastAsia="en-AU"/>
              </w:rPr>
            </w:pPr>
            <w:r w:rsidRPr="008121D1">
              <w:rPr>
                <w:rFonts w:cs="Arial"/>
                <w:b/>
                <w:bCs/>
                <w:color w:val="FFFFFF"/>
                <w:sz w:val="18"/>
                <w:szCs w:val="18"/>
                <w:lang w:eastAsia="en-AU"/>
              </w:rPr>
              <w:t>Q2 2012</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8121D1" w:rsidRPr="008121D1" w:rsidRDefault="008121D1" w:rsidP="00F034AF">
            <w:pPr>
              <w:spacing w:after="0" w:line="240" w:lineRule="auto"/>
              <w:ind w:firstLineChars="100" w:firstLine="181"/>
              <w:jc w:val="right"/>
              <w:rPr>
                <w:rFonts w:cs="Arial"/>
                <w:b/>
                <w:bCs/>
                <w:color w:val="FFFFFF"/>
                <w:sz w:val="18"/>
                <w:szCs w:val="18"/>
                <w:lang w:eastAsia="en-AU"/>
              </w:rPr>
            </w:pPr>
            <w:r w:rsidRPr="008121D1">
              <w:rPr>
                <w:rFonts w:cs="Arial"/>
                <w:b/>
                <w:bCs/>
                <w:color w:val="FFFFFF"/>
                <w:sz w:val="18"/>
                <w:szCs w:val="18"/>
                <w:lang w:eastAsia="en-AU"/>
              </w:rPr>
              <w:t>Q2 2013</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8121D1" w:rsidRPr="008121D1" w:rsidRDefault="008121D1" w:rsidP="00F034AF">
            <w:pPr>
              <w:spacing w:after="0" w:line="240" w:lineRule="auto"/>
              <w:ind w:firstLineChars="100" w:firstLine="181"/>
              <w:jc w:val="right"/>
              <w:rPr>
                <w:rFonts w:cs="Arial"/>
                <w:b/>
                <w:bCs/>
                <w:color w:val="FFFFFF"/>
                <w:sz w:val="18"/>
                <w:szCs w:val="18"/>
                <w:lang w:eastAsia="en-AU"/>
              </w:rPr>
            </w:pPr>
            <w:r w:rsidRPr="008121D1">
              <w:rPr>
                <w:rFonts w:cs="Arial"/>
                <w:b/>
                <w:bCs/>
                <w:color w:val="FFFFFF"/>
                <w:sz w:val="18"/>
                <w:szCs w:val="18"/>
                <w:lang w:eastAsia="en-AU"/>
              </w:rPr>
              <w:t>% change</w:t>
            </w:r>
            <w:r w:rsidRPr="008121D1">
              <w:rPr>
                <w:rFonts w:cs="Arial"/>
                <w:b/>
                <w:bCs/>
                <w:color w:val="FFFFFF"/>
                <w:sz w:val="18"/>
                <w:szCs w:val="18"/>
                <w:lang w:eastAsia="en-AU"/>
              </w:rPr>
              <w:br/>
              <w:t>Q2 2011-Q2 2013 </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8121D1" w:rsidRPr="008121D1" w:rsidRDefault="008121D1" w:rsidP="00F034AF">
            <w:pPr>
              <w:spacing w:after="0" w:line="240" w:lineRule="auto"/>
              <w:ind w:firstLineChars="100" w:firstLine="181"/>
              <w:jc w:val="right"/>
              <w:rPr>
                <w:rFonts w:cs="Arial"/>
                <w:b/>
                <w:bCs/>
                <w:color w:val="FFFFFF"/>
                <w:sz w:val="18"/>
                <w:szCs w:val="18"/>
                <w:lang w:eastAsia="en-AU"/>
              </w:rPr>
            </w:pPr>
            <w:r w:rsidRPr="008121D1">
              <w:rPr>
                <w:rFonts w:cs="Arial"/>
                <w:b/>
                <w:bCs/>
                <w:color w:val="FFFFFF"/>
                <w:sz w:val="18"/>
                <w:szCs w:val="18"/>
                <w:lang w:eastAsia="en-AU"/>
              </w:rPr>
              <w:t>% change</w:t>
            </w:r>
            <w:r w:rsidRPr="008121D1">
              <w:rPr>
                <w:rFonts w:cs="Arial"/>
                <w:b/>
                <w:bCs/>
                <w:color w:val="FFFFFF"/>
                <w:sz w:val="18"/>
                <w:szCs w:val="18"/>
                <w:lang w:eastAsia="en-AU"/>
              </w:rPr>
              <w:br/>
              <w:t>Q2 2012-Q2 2013</w:t>
            </w:r>
          </w:p>
        </w:tc>
      </w:tr>
      <w:tr w:rsidR="008121D1" w:rsidRPr="008121D1" w:rsidTr="008121D1">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8121D1" w:rsidRPr="008121D1" w:rsidRDefault="008121D1" w:rsidP="008121D1">
            <w:pPr>
              <w:spacing w:after="0" w:line="240" w:lineRule="auto"/>
              <w:jc w:val="left"/>
              <w:rPr>
                <w:rFonts w:cs="Arial"/>
                <w:color w:val="3E5B00"/>
                <w:sz w:val="18"/>
                <w:szCs w:val="18"/>
                <w:lang w:eastAsia="en-AU"/>
              </w:rPr>
            </w:pPr>
            <w:r w:rsidRPr="008121D1">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41,400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44,000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25,100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-39%</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-43%</w:t>
            </w:r>
          </w:p>
        </w:tc>
      </w:tr>
      <w:tr w:rsidR="008121D1" w:rsidRPr="008121D1" w:rsidTr="008121D1">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8121D1" w:rsidRPr="008121D1" w:rsidRDefault="008121D1" w:rsidP="008121D1">
            <w:pPr>
              <w:spacing w:after="0" w:line="240" w:lineRule="auto"/>
              <w:jc w:val="left"/>
              <w:rPr>
                <w:rFonts w:cs="Arial"/>
                <w:color w:val="3E5B00"/>
                <w:sz w:val="18"/>
                <w:szCs w:val="18"/>
                <w:lang w:eastAsia="en-AU"/>
              </w:rPr>
            </w:pPr>
            <w:r w:rsidRPr="008121D1">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162,400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241,600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201,900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24%</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-16%</w:t>
            </w:r>
          </w:p>
        </w:tc>
      </w:tr>
      <w:tr w:rsidR="008121D1" w:rsidRPr="008121D1" w:rsidTr="008121D1">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8121D1" w:rsidRPr="008121D1" w:rsidRDefault="008121D1" w:rsidP="008121D1">
            <w:pPr>
              <w:spacing w:after="0" w:line="240" w:lineRule="auto"/>
              <w:jc w:val="left"/>
              <w:rPr>
                <w:rFonts w:cs="Arial"/>
                <w:color w:val="3E5B00"/>
                <w:sz w:val="18"/>
                <w:szCs w:val="18"/>
                <w:lang w:eastAsia="en-AU"/>
              </w:rPr>
            </w:pPr>
            <w:r w:rsidRPr="008121D1">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62,900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77,000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53,700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-15%</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-30%</w:t>
            </w:r>
          </w:p>
        </w:tc>
      </w:tr>
      <w:tr w:rsidR="008121D1" w:rsidRPr="008121D1" w:rsidTr="008121D1">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8121D1" w:rsidRPr="008121D1" w:rsidRDefault="008121D1" w:rsidP="008121D1">
            <w:pPr>
              <w:spacing w:after="0" w:line="240" w:lineRule="auto"/>
              <w:jc w:val="left"/>
              <w:rPr>
                <w:rFonts w:cs="Arial"/>
                <w:color w:val="3E5B00"/>
                <w:sz w:val="18"/>
                <w:szCs w:val="18"/>
                <w:lang w:eastAsia="en-AU"/>
              </w:rPr>
            </w:pPr>
            <w:r w:rsidRPr="008121D1">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13,200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12,700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12,800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-2%</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1%</w:t>
            </w:r>
          </w:p>
        </w:tc>
      </w:tr>
      <w:tr w:rsidR="008121D1" w:rsidRPr="008121D1" w:rsidTr="008121D1">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8121D1" w:rsidRPr="008121D1" w:rsidRDefault="008121D1" w:rsidP="008121D1">
            <w:pPr>
              <w:spacing w:after="0" w:line="240" w:lineRule="auto"/>
              <w:jc w:val="left"/>
              <w:rPr>
                <w:rFonts w:cs="Arial"/>
                <w:color w:val="3E5B00"/>
                <w:sz w:val="18"/>
                <w:szCs w:val="18"/>
                <w:lang w:eastAsia="en-AU"/>
              </w:rPr>
            </w:pPr>
            <w:r w:rsidRPr="008121D1">
              <w:rPr>
                <w:rFonts w:cs="Arial"/>
                <w:color w:val="3E5B00"/>
                <w:sz w:val="18"/>
                <w:szCs w:val="18"/>
                <w:lang w:eastAsia="en-AU"/>
              </w:rPr>
              <w:t xml:space="preserve">Secondary, </w:t>
            </w:r>
            <w:proofErr w:type="spellStart"/>
            <w:r w:rsidRPr="008121D1">
              <w:rPr>
                <w:rFonts w:cs="Arial"/>
                <w:color w:val="3E5B00"/>
                <w:sz w:val="18"/>
                <w:szCs w:val="18"/>
                <w:lang w:eastAsia="en-AU"/>
              </w:rPr>
              <w:t>SoA</w:t>
            </w:r>
            <w:proofErr w:type="spellEnd"/>
            <w:r w:rsidRPr="008121D1">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9,000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9,300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 xml:space="preserve">9,400 </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4%</w:t>
            </w:r>
          </w:p>
        </w:tc>
        <w:tc>
          <w:tcPr>
            <w:tcW w:w="1120" w:type="dxa"/>
            <w:tcBorders>
              <w:top w:val="nil"/>
              <w:left w:val="nil"/>
              <w:bottom w:val="single" w:sz="4" w:space="0" w:color="5E8A00"/>
              <w:right w:val="single" w:sz="4" w:space="0" w:color="5E8A00"/>
            </w:tcBorders>
            <w:shd w:val="clear" w:color="auto" w:fill="auto"/>
            <w:noWrap/>
            <w:vAlign w:val="center"/>
            <w:hideMark/>
          </w:tcPr>
          <w:p w:rsidR="008121D1" w:rsidRPr="008121D1" w:rsidRDefault="008121D1" w:rsidP="008121D1">
            <w:pPr>
              <w:spacing w:after="0" w:line="240" w:lineRule="auto"/>
              <w:jc w:val="right"/>
              <w:rPr>
                <w:rFonts w:cs="Arial"/>
                <w:sz w:val="18"/>
                <w:szCs w:val="18"/>
                <w:lang w:eastAsia="en-AU"/>
              </w:rPr>
            </w:pPr>
            <w:r w:rsidRPr="008121D1">
              <w:rPr>
                <w:rFonts w:cs="Arial"/>
                <w:sz w:val="18"/>
                <w:szCs w:val="18"/>
                <w:lang w:eastAsia="en-AU"/>
              </w:rPr>
              <w:t>1%</w:t>
            </w:r>
          </w:p>
        </w:tc>
      </w:tr>
      <w:tr w:rsidR="008121D1" w:rsidRPr="008121D1" w:rsidTr="008121D1">
        <w:trPr>
          <w:trHeight w:val="342"/>
        </w:trPr>
        <w:tc>
          <w:tcPr>
            <w:tcW w:w="2800" w:type="dxa"/>
            <w:tcBorders>
              <w:top w:val="nil"/>
              <w:left w:val="single" w:sz="4" w:space="0" w:color="5E8A00"/>
              <w:bottom w:val="nil"/>
              <w:right w:val="single" w:sz="4" w:space="0" w:color="5E8A00"/>
            </w:tcBorders>
            <w:shd w:val="clear" w:color="000000" w:fill="5E8A00"/>
            <w:noWrap/>
            <w:vAlign w:val="bottom"/>
            <w:hideMark/>
          </w:tcPr>
          <w:p w:rsidR="008121D1" w:rsidRPr="008121D1" w:rsidRDefault="008121D1" w:rsidP="008121D1">
            <w:pPr>
              <w:spacing w:after="0" w:line="240" w:lineRule="auto"/>
              <w:jc w:val="left"/>
              <w:rPr>
                <w:rFonts w:cs="Arial"/>
                <w:b/>
                <w:bCs/>
                <w:color w:val="FFFFFF"/>
                <w:sz w:val="18"/>
                <w:szCs w:val="18"/>
                <w:lang w:eastAsia="en-AU"/>
              </w:rPr>
            </w:pPr>
            <w:r w:rsidRPr="008121D1">
              <w:rPr>
                <w:rFonts w:cs="Arial"/>
                <w:b/>
                <w:bCs/>
                <w:color w:val="FFFFFF"/>
                <w:sz w:val="18"/>
                <w:szCs w:val="18"/>
                <w:lang w:eastAsia="en-AU"/>
              </w:rPr>
              <w:t>Total (</w:t>
            </w:r>
            <w:proofErr w:type="spellStart"/>
            <w:r w:rsidRPr="008121D1">
              <w:rPr>
                <w:rFonts w:cs="Arial"/>
                <w:b/>
                <w:bCs/>
                <w:color w:val="FFFFFF"/>
                <w:sz w:val="18"/>
                <w:szCs w:val="18"/>
                <w:lang w:eastAsia="en-AU"/>
              </w:rPr>
              <w:t>excl</w:t>
            </w:r>
            <w:proofErr w:type="spellEnd"/>
            <w:r w:rsidRPr="008121D1">
              <w:rPr>
                <w:rFonts w:cs="Arial"/>
                <w:b/>
                <w:bCs/>
                <w:color w:val="FFFFFF"/>
                <w:sz w:val="18"/>
                <w:szCs w:val="18"/>
                <w:lang w:eastAsia="en-AU"/>
              </w:rPr>
              <w:t xml:space="preserve"> foundation courses)</w:t>
            </w:r>
          </w:p>
        </w:tc>
        <w:tc>
          <w:tcPr>
            <w:tcW w:w="1120" w:type="dxa"/>
            <w:tcBorders>
              <w:top w:val="nil"/>
              <w:left w:val="nil"/>
              <w:bottom w:val="nil"/>
              <w:right w:val="single" w:sz="4" w:space="0" w:color="5E8A00"/>
            </w:tcBorders>
            <w:shd w:val="clear" w:color="000000" w:fill="5E8A00"/>
            <w:noWrap/>
            <w:vAlign w:val="center"/>
            <w:hideMark/>
          </w:tcPr>
          <w:p w:rsidR="008121D1" w:rsidRPr="008121D1" w:rsidRDefault="008121D1" w:rsidP="008121D1">
            <w:pPr>
              <w:spacing w:after="0" w:line="240" w:lineRule="auto"/>
              <w:jc w:val="right"/>
              <w:rPr>
                <w:rFonts w:cs="Arial"/>
                <w:b/>
                <w:bCs/>
                <w:color w:val="FFFFFF"/>
                <w:sz w:val="18"/>
                <w:szCs w:val="18"/>
                <w:lang w:eastAsia="en-AU"/>
              </w:rPr>
            </w:pPr>
            <w:r w:rsidRPr="008121D1">
              <w:rPr>
                <w:rFonts w:cs="Arial"/>
                <w:b/>
                <w:bCs/>
                <w:color w:val="FFFFFF"/>
                <w:sz w:val="18"/>
                <w:szCs w:val="18"/>
                <w:lang w:eastAsia="en-AU"/>
              </w:rPr>
              <w:t xml:space="preserve">288,800 </w:t>
            </w:r>
          </w:p>
        </w:tc>
        <w:tc>
          <w:tcPr>
            <w:tcW w:w="1120" w:type="dxa"/>
            <w:tcBorders>
              <w:top w:val="nil"/>
              <w:left w:val="nil"/>
              <w:bottom w:val="nil"/>
              <w:right w:val="single" w:sz="4" w:space="0" w:color="5E8A00"/>
            </w:tcBorders>
            <w:shd w:val="clear" w:color="000000" w:fill="5E8A00"/>
            <w:noWrap/>
            <w:vAlign w:val="center"/>
            <w:hideMark/>
          </w:tcPr>
          <w:p w:rsidR="008121D1" w:rsidRPr="008121D1" w:rsidRDefault="008121D1" w:rsidP="008121D1">
            <w:pPr>
              <w:spacing w:after="0" w:line="240" w:lineRule="auto"/>
              <w:jc w:val="right"/>
              <w:rPr>
                <w:rFonts w:cs="Arial"/>
                <w:b/>
                <w:bCs/>
                <w:color w:val="FFFFFF"/>
                <w:sz w:val="18"/>
                <w:szCs w:val="18"/>
                <w:lang w:eastAsia="en-AU"/>
              </w:rPr>
            </w:pPr>
            <w:r w:rsidRPr="008121D1">
              <w:rPr>
                <w:rFonts w:cs="Arial"/>
                <w:b/>
                <w:bCs/>
                <w:color w:val="FFFFFF"/>
                <w:sz w:val="18"/>
                <w:szCs w:val="18"/>
                <w:lang w:eastAsia="en-AU"/>
              </w:rPr>
              <w:t xml:space="preserve">384,500 </w:t>
            </w:r>
          </w:p>
        </w:tc>
        <w:tc>
          <w:tcPr>
            <w:tcW w:w="1120" w:type="dxa"/>
            <w:tcBorders>
              <w:top w:val="nil"/>
              <w:left w:val="nil"/>
              <w:bottom w:val="nil"/>
              <w:right w:val="single" w:sz="4" w:space="0" w:color="5E8A00"/>
            </w:tcBorders>
            <w:shd w:val="clear" w:color="000000" w:fill="5E8A00"/>
            <w:noWrap/>
            <w:vAlign w:val="center"/>
            <w:hideMark/>
          </w:tcPr>
          <w:p w:rsidR="008121D1" w:rsidRPr="008121D1" w:rsidRDefault="008121D1" w:rsidP="008121D1">
            <w:pPr>
              <w:spacing w:after="0" w:line="240" w:lineRule="auto"/>
              <w:jc w:val="right"/>
              <w:rPr>
                <w:rFonts w:cs="Arial"/>
                <w:b/>
                <w:bCs/>
                <w:color w:val="FFFFFF"/>
                <w:sz w:val="18"/>
                <w:szCs w:val="18"/>
                <w:lang w:eastAsia="en-AU"/>
              </w:rPr>
            </w:pPr>
            <w:r w:rsidRPr="008121D1">
              <w:rPr>
                <w:rFonts w:cs="Arial"/>
                <w:b/>
                <w:bCs/>
                <w:color w:val="FFFFFF"/>
                <w:sz w:val="18"/>
                <w:szCs w:val="18"/>
                <w:lang w:eastAsia="en-AU"/>
              </w:rPr>
              <w:t xml:space="preserve">302,900 </w:t>
            </w:r>
          </w:p>
        </w:tc>
        <w:tc>
          <w:tcPr>
            <w:tcW w:w="1120" w:type="dxa"/>
            <w:tcBorders>
              <w:top w:val="nil"/>
              <w:left w:val="nil"/>
              <w:bottom w:val="nil"/>
              <w:right w:val="single" w:sz="4" w:space="0" w:color="5E8A00"/>
            </w:tcBorders>
            <w:shd w:val="clear" w:color="000000" w:fill="5E8A00"/>
            <w:noWrap/>
            <w:vAlign w:val="center"/>
            <w:hideMark/>
          </w:tcPr>
          <w:p w:rsidR="008121D1" w:rsidRPr="008121D1" w:rsidRDefault="008121D1" w:rsidP="008121D1">
            <w:pPr>
              <w:spacing w:after="0" w:line="240" w:lineRule="auto"/>
              <w:jc w:val="right"/>
              <w:rPr>
                <w:rFonts w:cs="Arial"/>
                <w:b/>
                <w:bCs/>
                <w:color w:val="FFFFFF"/>
                <w:sz w:val="18"/>
                <w:szCs w:val="18"/>
                <w:lang w:eastAsia="en-AU"/>
              </w:rPr>
            </w:pPr>
            <w:r w:rsidRPr="008121D1">
              <w:rPr>
                <w:rFonts w:cs="Arial"/>
                <w:b/>
                <w:bCs/>
                <w:color w:val="FFFFFF"/>
                <w:sz w:val="18"/>
                <w:szCs w:val="18"/>
                <w:lang w:eastAsia="en-AU"/>
              </w:rPr>
              <w:t>5%</w:t>
            </w:r>
          </w:p>
        </w:tc>
        <w:tc>
          <w:tcPr>
            <w:tcW w:w="1120" w:type="dxa"/>
            <w:tcBorders>
              <w:top w:val="nil"/>
              <w:left w:val="nil"/>
              <w:bottom w:val="nil"/>
              <w:right w:val="single" w:sz="4" w:space="0" w:color="5E8A00"/>
            </w:tcBorders>
            <w:shd w:val="clear" w:color="000000" w:fill="5E8A00"/>
            <w:noWrap/>
            <w:vAlign w:val="center"/>
            <w:hideMark/>
          </w:tcPr>
          <w:p w:rsidR="008121D1" w:rsidRPr="008121D1" w:rsidRDefault="008121D1" w:rsidP="008121D1">
            <w:pPr>
              <w:spacing w:after="0" w:line="240" w:lineRule="auto"/>
              <w:jc w:val="right"/>
              <w:rPr>
                <w:rFonts w:cs="Arial"/>
                <w:b/>
                <w:bCs/>
                <w:color w:val="FFFFFF"/>
                <w:sz w:val="18"/>
                <w:szCs w:val="18"/>
                <w:lang w:eastAsia="en-AU"/>
              </w:rPr>
            </w:pPr>
            <w:r w:rsidRPr="008121D1">
              <w:rPr>
                <w:rFonts w:cs="Arial"/>
                <w:b/>
                <w:bCs/>
                <w:color w:val="FFFFFF"/>
                <w:sz w:val="18"/>
                <w:szCs w:val="18"/>
                <w:lang w:eastAsia="en-AU"/>
              </w:rPr>
              <w:t>-21%</w:t>
            </w:r>
          </w:p>
        </w:tc>
      </w:tr>
    </w:tbl>
    <w:p w:rsidR="00D20582" w:rsidRPr="002324B6" w:rsidRDefault="00D20582" w:rsidP="00D20582">
      <w:pPr>
        <w:spacing w:after="0"/>
        <w:rPr>
          <w:noProof/>
          <w:sz w:val="16"/>
          <w:szCs w:val="16"/>
          <w:lang w:eastAsia="en-AU"/>
        </w:rPr>
      </w:pPr>
      <w:r w:rsidRPr="002324B6">
        <w:rPr>
          <w:noProof/>
          <w:sz w:val="16"/>
          <w:szCs w:val="16"/>
          <w:lang w:eastAsia="en-AU"/>
        </w:rPr>
        <w:t>SoA – Statement of Attainment.</w:t>
      </w:r>
    </w:p>
    <w:p w:rsidR="00E2616D" w:rsidRDefault="00E2616D" w:rsidP="00A9260A">
      <w:pPr>
        <w:pStyle w:val="Heading3"/>
      </w:pPr>
    </w:p>
    <w:p w:rsidR="00D20582" w:rsidRDefault="00D20582" w:rsidP="00D20582">
      <w:pPr>
        <w:pStyle w:val="Caption"/>
        <w:spacing w:after="0"/>
        <w:jc w:val="left"/>
        <w:rPr>
          <w:rFonts w:cs="Arial"/>
        </w:rPr>
      </w:pPr>
      <w:r w:rsidRPr="001F29E3">
        <w:rPr>
          <w:rFonts w:cs="Arial"/>
        </w:rPr>
        <w:t>Table 1.</w:t>
      </w:r>
      <w:r w:rsidR="00EA5ABC">
        <w:rPr>
          <w:rFonts w:cs="Arial"/>
        </w:rPr>
        <w:t>5</w:t>
      </w:r>
      <w:r>
        <w:rPr>
          <w:rFonts w:cs="Arial"/>
        </w:rPr>
        <w:t>.1</w:t>
      </w:r>
      <w:r w:rsidRPr="001F29E3">
        <w:rPr>
          <w:rFonts w:cs="Arial"/>
        </w:rPr>
        <w:t xml:space="preserve">: Government subsidised enrolments </w:t>
      </w:r>
      <w:r>
        <w:rPr>
          <w:rFonts w:cs="Arial"/>
        </w:rPr>
        <w:t xml:space="preserve">(Foundation) </w:t>
      </w:r>
      <w:r w:rsidRPr="001F29E3">
        <w:rPr>
          <w:rFonts w:cs="Arial"/>
        </w:rPr>
        <w:t>by qualification level, 2008–2012</w:t>
      </w:r>
    </w:p>
    <w:tbl>
      <w:tblPr>
        <w:tblW w:w="9520" w:type="dxa"/>
        <w:tblInd w:w="103" w:type="dxa"/>
        <w:tblLook w:val="04A0" w:firstRow="1" w:lastRow="0" w:firstColumn="1" w:lastColumn="0" w:noHBand="0" w:noVBand="1"/>
      </w:tblPr>
      <w:tblGrid>
        <w:gridCol w:w="2800"/>
        <w:gridCol w:w="1120"/>
        <w:gridCol w:w="1120"/>
        <w:gridCol w:w="1120"/>
        <w:gridCol w:w="1120"/>
        <w:gridCol w:w="1120"/>
        <w:gridCol w:w="1120"/>
      </w:tblGrid>
      <w:tr w:rsidR="00D20582" w:rsidRPr="00D20582" w:rsidTr="00D20582">
        <w:trPr>
          <w:trHeight w:val="762"/>
        </w:trPr>
        <w:tc>
          <w:tcPr>
            <w:tcW w:w="2800" w:type="dxa"/>
            <w:tcBorders>
              <w:top w:val="single" w:sz="4" w:space="0" w:color="5E8A00"/>
              <w:left w:val="single" w:sz="4" w:space="0" w:color="5E8A00"/>
              <w:bottom w:val="single" w:sz="4" w:space="0" w:color="5E8A00"/>
              <w:right w:val="single" w:sz="4" w:space="0" w:color="5E8A00"/>
            </w:tcBorders>
            <w:shd w:val="clear" w:color="000000" w:fill="5E8A00"/>
            <w:noWrap/>
            <w:vAlign w:val="center"/>
            <w:hideMark/>
          </w:tcPr>
          <w:p w:rsidR="00D20582" w:rsidRPr="00D20582" w:rsidRDefault="00D20582" w:rsidP="00D20582">
            <w:pPr>
              <w:spacing w:after="0" w:line="240" w:lineRule="auto"/>
              <w:jc w:val="left"/>
              <w:rPr>
                <w:rFonts w:cs="Arial"/>
                <w:b/>
                <w:bCs/>
                <w:color w:val="FFFFFF"/>
                <w:sz w:val="18"/>
                <w:szCs w:val="18"/>
                <w:lang w:eastAsia="en-AU"/>
              </w:rPr>
            </w:pPr>
            <w:r w:rsidRPr="00D20582">
              <w:rPr>
                <w:rFonts w:cs="Arial"/>
                <w:b/>
                <w:bCs/>
                <w:color w:val="FFFFFF"/>
                <w:sz w:val="18"/>
                <w:szCs w:val="18"/>
                <w:lang w:eastAsia="en-AU"/>
              </w:rPr>
              <w:t>Qualification level</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20582" w:rsidRPr="00D20582" w:rsidRDefault="00D20582" w:rsidP="00F034AF">
            <w:pPr>
              <w:spacing w:after="0" w:line="240" w:lineRule="auto"/>
              <w:ind w:firstLineChars="100" w:firstLine="181"/>
              <w:jc w:val="right"/>
              <w:rPr>
                <w:rFonts w:cs="Arial"/>
                <w:b/>
                <w:bCs/>
                <w:color w:val="FFFFFF"/>
                <w:sz w:val="18"/>
                <w:szCs w:val="18"/>
                <w:lang w:eastAsia="en-AU"/>
              </w:rPr>
            </w:pPr>
            <w:r w:rsidRPr="00D20582">
              <w:rPr>
                <w:rFonts w:cs="Arial"/>
                <w:b/>
                <w:bCs/>
                <w:color w:val="FFFFFF"/>
                <w:sz w:val="18"/>
                <w:szCs w:val="18"/>
                <w:lang w:eastAsia="en-AU"/>
              </w:rPr>
              <w:t>2008</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20582" w:rsidRPr="00D20582" w:rsidRDefault="00D20582" w:rsidP="00F034AF">
            <w:pPr>
              <w:spacing w:after="0" w:line="240" w:lineRule="auto"/>
              <w:ind w:firstLineChars="100" w:firstLine="181"/>
              <w:jc w:val="right"/>
              <w:rPr>
                <w:rFonts w:cs="Arial"/>
                <w:b/>
                <w:bCs/>
                <w:color w:val="FFFFFF"/>
                <w:sz w:val="18"/>
                <w:szCs w:val="18"/>
                <w:lang w:eastAsia="en-AU"/>
              </w:rPr>
            </w:pPr>
            <w:r w:rsidRPr="00D20582">
              <w:rPr>
                <w:rFonts w:cs="Arial"/>
                <w:b/>
                <w:bCs/>
                <w:color w:val="FFFFFF"/>
                <w:sz w:val="18"/>
                <w:szCs w:val="18"/>
                <w:lang w:eastAsia="en-AU"/>
              </w:rPr>
              <w:t>2009</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20582" w:rsidRPr="00D20582" w:rsidRDefault="00D20582" w:rsidP="00F034AF">
            <w:pPr>
              <w:spacing w:after="0" w:line="240" w:lineRule="auto"/>
              <w:ind w:firstLineChars="100" w:firstLine="181"/>
              <w:jc w:val="right"/>
              <w:rPr>
                <w:rFonts w:cs="Arial"/>
                <w:b/>
                <w:bCs/>
                <w:color w:val="FFFFFF"/>
                <w:sz w:val="18"/>
                <w:szCs w:val="18"/>
                <w:lang w:eastAsia="en-AU"/>
              </w:rPr>
            </w:pPr>
            <w:r w:rsidRPr="00D20582">
              <w:rPr>
                <w:rFonts w:cs="Arial"/>
                <w:b/>
                <w:bCs/>
                <w:color w:val="FFFFFF"/>
                <w:sz w:val="18"/>
                <w:szCs w:val="18"/>
                <w:lang w:eastAsia="en-AU"/>
              </w:rPr>
              <w:t>2010</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20582" w:rsidRPr="00D20582" w:rsidRDefault="00D20582" w:rsidP="00F034AF">
            <w:pPr>
              <w:spacing w:after="0" w:line="240" w:lineRule="auto"/>
              <w:ind w:firstLineChars="100" w:firstLine="181"/>
              <w:jc w:val="right"/>
              <w:rPr>
                <w:rFonts w:cs="Arial"/>
                <w:b/>
                <w:bCs/>
                <w:color w:val="FFFFFF"/>
                <w:sz w:val="18"/>
                <w:szCs w:val="18"/>
                <w:lang w:eastAsia="en-AU"/>
              </w:rPr>
            </w:pPr>
            <w:r w:rsidRPr="00D20582">
              <w:rPr>
                <w:rFonts w:cs="Arial"/>
                <w:b/>
                <w:bCs/>
                <w:color w:val="FFFFFF"/>
                <w:sz w:val="18"/>
                <w:szCs w:val="18"/>
                <w:lang w:eastAsia="en-AU"/>
              </w:rPr>
              <w:t>2011</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20582" w:rsidRPr="00D20582" w:rsidRDefault="00D20582" w:rsidP="00F034AF">
            <w:pPr>
              <w:spacing w:after="0" w:line="240" w:lineRule="auto"/>
              <w:ind w:firstLineChars="100" w:firstLine="181"/>
              <w:jc w:val="right"/>
              <w:rPr>
                <w:rFonts w:cs="Arial"/>
                <w:b/>
                <w:bCs/>
                <w:color w:val="FFFFFF"/>
                <w:sz w:val="18"/>
                <w:szCs w:val="18"/>
                <w:lang w:eastAsia="en-AU"/>
              </w:rPr>
            </w:pPr>
            <w:r w:rsidRPr="00D20582">
              <w:rPr>
                <w:rFonts w:cs="Arial"/>
                <w:b/>
                <w:bCs/>
                <w:color w:val="FFFFFF"/>
                <w:sz w:val="18"/>
                <w:szCs w:val="18"/>
                <w:lang w:eastAsia="en-AU"/>
              </w:rPr>
              <w:t>2012</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20582" w:rsidRPr="00D20582" w:rsidRDefault="00D20582" w:rsidP="00D20582">
            <w:pPr>
              <w:spacing w:after="0" w:line="240" w:lineRule="auto"/>
              <w:jc w:val="right"/>
              <w:rPr>
                <w:rFonts w:cs="Arial"/>
                <w:b/>
                <w:bCs/>
                <w:color w:val="FFFFFF"/>
                <w:sz w:val="18"/>
                <w:szCs w:val="18"/>
                <w:lang w:eastAsia="en-AU"/>
              </w:rPr>
            </w:pPr>
            <w:r w:rsidRPr="00D20582">
              <w:rPr>
                <w:rFonts w:cs="Arial"/>
                <w:b/>
                <w:bCs/>
                <w:color w:val="FFFFFF"/>
                <w:sz w:val="18"/>
                <w:szCs w:val="18"/>
                <w:lang w:eastAsia="en-AU"/>
              </w:rPr>
              <w:t>% change</w:t>
            </w:r>
            <w:r w:rsidRPr="00D20582">
              <w:rPr>
                <w:rFonts w:cs="Arial"/>
                <w:b/>
                <w:bCs/>
                <w:color w:val="FFFFFF"/>
                <w:sz w:val="18"/>
                <w:szCs w:val="18"/>
                <w:lang w:eastAsia="en-AU"/>
              </w:rPr>
              <w:br/>
              <w:t>2008-2012</w:t>
            </w:r>
          </w:p>
        </w:tc>
      </w:tr>
      <w:tr w:rsidR="00D20582" w:rsidRPr="00D20582" w:rsidTr="00D20582">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D20582" w:rsidRPr="00D20582" w:rsidRDefault="00D20582" w:rsidP="00D20582">
            <w:pPr>
              <w:spacing w:after="0" w:line="240" w:lineRule="auto"/>
              <w:jc w:val="left"/>
              <w:rPr>
                <w:rFonts w:cs="Arial"/>
                <w:color w:val="3E5B00"/>
                <w:sz w:val="18"/>
                <w:szCs w:val="18"/>
                <w:lang w:eastAsia="en-AU"/>
              </w:rPr>
            </w:pPr>
            <w:r w:rsidRPr="00D20582">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22,100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18,500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20,400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39,500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90,600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310%</w:t>
            </w:r>
          </w:p>
        </w:tc>
      </w:tr>
      <w:tr w:rsidR="00D20582" w:rsidRPr="00D20582" w:rsidTr="00D20582">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D20582" w:rsidRPr="00D20582" w:rsidRDefault="00D20582" w:rsidP="00D20582">
            <w:pPr>
              <w:spacing w:after="0" w:line="240" w:lineRule="auto"/>
              <w:jc w:val="left"/>
              <w:rPr>
                <w:rFonts w:cs="Arial"/>
                <w:color w:val="3E5B00"/>
                <w:sz w:val="18"/>
                <w:szCs w:val="18"/>
                <w:lang w:eastAsia="en-AU"/>
              </w:rPr>
            </w:pPr>
            <w:r w:rsidRPr="00D20582">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6,600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6,800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6,900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9,500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17,600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167%</w:t>
            </w:r>
          </w:p>
        </w:tc>
      </w:tr>
      <w:tr w:rsidR="00D20582" w:rsidRPr="00D20582" w:rsidTr="00D20582">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D20582" w:rsidRPr="00D20582" w:rsidRDefault="00D20582" w:rsidP="00D20582">
            <w:pPr>
              <w:spacing w:after="0" w:line="240" w:lineRule="auto"/>
              <w:jc w:val="left"/>
              <w:rPr>
                <w:rFonts w:cs="Arial"/>
                <w:color w:val="3E5B00"/>
                <w:sz w:val="18"/>
                <w:szCs w:val="18"/>
                <w:lang w:eastAsia="en-AU"/>
              </w:rPr>
            </w:pPr>
            <w:r w:rsidRPr="00D20582">
              <w:rPr>
                <w:rFonts w:cs="Arial"/>
                <w:color w:val="3E5B00"/>
                <w:sz w:val="18"/>
                <w:szCs w:val="18"/>
                <w:lang w:eastAsia="en-AU"/>
              </w:rPr>
              <w:t xml:space="preserve">Secondary, </w:t>
            </w:r>
            <w:proofErr w:type="spellStart"/>
            <w:r w:rsidRPr="00D20582">
              <w:rPr>
                <w:rFonts w:cs="Arial"/>
                <w:color w:val="3E5B00"/>
                <w:sz w:val="18"/>
                <w:szCs w:val="18"/>
                <w:lang w:eastAsia="en-AU"/>
              </w:rPr>
              <w:t>SoA</w:t>
            </w:r>
            <w:proofErr w:type="spellEnd"/>
            <w:r w:rsidRPr="00D20582">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2,200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2,600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3,400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4,900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 xml:space="preserve">10,300 </w:t>
            </w:r>
          </w:p>
        </w:tc>
        <w:tc>
          <w:tcPr>
            <w:tcW w:w="1120" w:type="dxa"/>
            <w:tcBorders>
              <w:top w:val="nil"/>
              <w:left w:val="nil"/>
              <w:bottom w:val="single" w:sz="4" w:space="0" w:color="5E8A00"/>
              <w:right w:val="single" w:sz="4" w:space="0" w:color="5E8A00"/>
            </w:tcBorders>
            <w:shd w:val="clear" w:color="auto" w:fill="auto"/>
            <w:noWrap/>
            <w:vAlign w:val="center"/>
            <w:hideMark/>
          </w:tcPr>
          <w:p w:rsidR="00D20582" w:rsidRPr="00D20582" w:rsidRDefault="00D20582" w:rsidP="00D20582">
            <w:pPr>
              <w:spacing w:after="0" w:line="240" w:lineRule="auto"/>
              <w:jc w:val="right"/>
              <w:rPr>
                <w:rFonts w:cs="Arial"/>
                <w:sz w:val="18"/>
                <w:szCs w:val="18"/>
                <w:lang w:eastAsia="en-AU"/>
              </w:rPr>
            </w:pPr>
            <w:r w:rsidRPr="00D20582">
              <w:rPr>
                <w:rFonts w:cs="Arial"/>
                <w:sz w:val="18"/>
                <w:szCs w:val="18"/>
                <w:lang w:eastAsia="en-AU"/>
              </w:rPr>
              <w:t>359%</w:t>
            </w:r>
          </w:p>
        </w:tc>
      </w:tr>
      <w:tr w:rsidR="00D20582" w:rsidRPr="00D20582" w:rsidTr="00D20582">
        <w:trPr>
          <w:trHeight w:val="342"/>
        </w:trPr>
        <w:tc>
          <w:tcPr>
            <w:tcW w:w="2800" w:type="dxa"/>
            <w:tcBorders>
              <w:top w:val="nil"/>
              <w:left w:val="single" w:sz="4" w:space="0" w:color="5E8A00"/>
              <w:bottom w:val="nil"/>
              <w:right w:val="single" w:sz="4" w:space="0" w:color="5E8A00"/>
            </w:tcBorders>
            <w:shd w:val="clear" w:color="000000" w:fill="5E8A00"/>
            <w:noWrap/>
            <w:vAlign w:val="bottom"/>
            <w:hideMark/>
          </w:tcPr>
          <w:p w:rsidR="00D20582" w:rsidRPr="00D20582" w:rsidRDefault="00D20582" w:rsidP="00D20582">
            <w:pPr>
              <w:spacing w:after="0" w:line="240" w:lineRule="auto"/>
              <w:jc w:val="left"/>
              <w:rPr>
                <w:rFonts w:cs="Arial"/>
                <w:b/>
                <w:bCs/>
                <w:color w:val="FFFFFF"/>
                <w:sz w:val="18"/>
                <w:szCs w:val="18"/>
                <w:lang w:eastAsia="en-AU"/>
              </w:rPr>
            </w:pPr>
            <w:r w:rsidRPr="00D20582">
              <w:rPr>
                <w:rFonts w:cs="Arial"/>
                <w:b/>
                <w:bCs/>
                <w:color w:val="FFFFFF"/>
                <w:sz w:val="18"/>
                <w:szCs w:val="18"/>
                <w:lang w:eastAsia="en-AU"/>
              </w:rPr>
              <w:t>Total</w:t>
            </w:r>
          </w:p>
        </w:tc>
        <w:tc>
          <w:tcPr>
            <w:tcW w:w="1120" w:type="dxa"/>
            <w:tcBorders>
              <w:top w:val="nil"/>
              <w:left w:val="nil"/>
              <w:bottom w:val="nil"/>
              <w:right w:val="single" w:sz="4" w:space="0" w:color="5E8A00"/>
            </w:tcBorders>
            <w:shd w:val="clear" w:color="000000" w:fill="5E8A00"/>
            <w:noWrap/>
            <w:vAlign w:val="center"/>
            <w:hideMark/>
          </w:tcPr>
          <w:p w:rsidR="00D20582" w:rsidRPr="00D20582" w:rsidRDefault="00D20582" w:rsidP="00D20582">
            <w:pPr>
              <w:spacing w:after="0" w:line="240" w:lineRule="auto"/>
              <w:jc w:val="right"/>
              <w:rPr>
                <w:rFonts w:cs="Arial"/>
                <w:b/>
                <w:bCs/>
                <w:color w:val="FFFFFF"/>
                <w:sz w:val="18"/>
                <w:szCs w:val="18"/>
                <w:lang w:eastAsia="en-AU"/>
              </w:rPr>
            </w:pPr>
            <w:r w:rsidRPr="00D20582">
              <w:rPr>
                <w:rFonts w:cs="Arial"/>
                <w:b/>
                <w:bCs/>
                <w:color w:val="FFFFFF"/>
                <w:sz w:val="18"/>
                <w:szCs w:val="18"/>
                <w:lang w:eastAsia="en-AU"/>
              </w:rPr>
              <w:t xml:space="preserve">30,900 </w:t>
            </w:r>
          </w:p>
        </w:tc>
        <w:tc>
          <w:tcPr>
            <w:tcW w:w="1120" w:type="dxa"/>
            <w:tcBorders>
              <w:top w:val="nil"/>
              <w:left w:val="nil"/>
              <w:bottom w:val="nil"/>
              <w:right w:val="single" w:sz="4" w:space="0" w:color="5E8A00"/>
            </w:tcBorders>
            <w:shd w:val="clear" w:color="000000" w:fill="5E8A00"/>
            <w:noWrap/>
            <w:vAlign w:val="center"/>
            <w:hideMark/>
          </w:tcPr>
          <w:p w:rsidR="00D20582" w:rsidRPr="00D20582" w:rsidRDefault="00D20582" w:rsidP="00D20582">
            <w:pPr>
              <w:spacing w:after="0" w:line="240" w:lineRule="auto"/>
              <w:jc w:val="right"/>
              <w:rPr>
                <w:rFonts w:cs="Arial"/>
                <w:b/>
                <w:bCs/>
                <w:color w:val="FFFFFF"/>
                <w:sz w:val="18"/>
                <w:szCs w:val="18"/>
                <w:lang w:eastAsia="en-AU"/>
              </w:rPr>
            </w:pPr>
            <w:r w:rsidRPr="00D20582">
              <w:rPr>
                <w:rFonts w:cs="Arial"/>
                <w:b/>
                <w:bCs/>
                <w:color w:val="FFFFFF"/>
                <w:sz w:val="18"/>
                <w:szCs w:val="18"/>
                <w:lang w:eastAsia="en-AU"/>
              </w:rPr>
              <w:t xml:space="preserve">27,900 </w:t>
            </w:r>
          </w:p>
        </w:tc>
        <w:tc>
          <w:tcPr>
            <w:tcW w:w="1120" w:type="dxa"/>
            <w:tcBorders>
              <w:top w:val="nil"/>
              <w:left w:val="nil"/>
              <w:bottom w:val="nil"/>
              <w:right w:val="single" w:sz="4" w:space="0" w:color="5E8A00"/>
            </w:tcBorders>
            <w:shd w:val="clear" w:color="000000" w:fill="5E8A00"/>
            <w:noWrap/>
            <w:vAlign w:val="center"/>
            <w:hideMark/>
          </w:tcPr>
          <w:p w:rsidR="00D20582" w:rsidRPr="00D20582" w:rsidRDefault="00D20582" w:rsidP="00D20582">
            <w:pPr>
              <w:spacing w:after="0" w:line="240" w:lineRule="auto"/>
              <w:jc w:val="right"/>
              <w:rPr>
                <w:rFonts w:cs="Arial"/>
                <w:b/>
                <w:bCs/>
                <w:color w:val="FFFFFF"/>
                <w:sz w:val="18"/>
                <w:szCs w:val="18"/>
                <w:lang w:eastAsia="en-AU"/>
              </w:rPr>
            </w:pPr>
            <w:r w:rsidRPr="00D20582">
              <w:rPr>
                <w:rFonts w:cs="Arial"/>
                <w:b/>
                <w:bCs/>
                <w:color w:val="FFFFFF"/>
                <w:sz w:val="18"/>
                <w:szCs w:val="18"/>
                <w:lang w:eastAsia="en-AU"/>
              </w:rPr>
              <w:t xml:space="preserve">30,700 </w:t>
            </w:r>
          </w:p>
        </w:tc>
        <w:tc>
          <w:tcPr>
            <w:tcW w:w="1120" w:type="dxa"/>
            <w:tcBorders>
              <w:top w:val="nil"/>
              <w:left w:val="nil"/>
              <w:bottom w:val="nil"/>
              <w:right w:val="single" w:sz="4" w:space="0" w:color="5E8A00"/>
            </w:tcBorders>
            <w:shd w:val="clear" w:color="000000" w:fill="5E8A00"/>
            <w:noWrap/>
            <w:vAlign w:val="center"/>
            <w:hideMark/>
          </w:tcPr>
          <w:p w:rsidR="00D20582" w:rsidRPr="00D20582" w:rsidRDefault="00D20582" w:rsidP="00D20582">
            <w:pPr>
              <w:spacing w:after="0" w:line="240" w:lineRule="auto"/>
              <w:jc w:val="right"/>
              <w:rPr>
                <w:rFonts w:cs="Arial"/>
                <w:b/>
                <w:bCs/>
                <w:color w:val="FFFFFF"/>
                <w:sz w:val="18"/>
                <w:szCs w:val="18"/>
                <w:lang w:eastAsia="en-AU"/>
              </w:rPr>
            </w:pPr>
            <w:r w:rsidRPr="00D20582">
              <w:rPr>
                <w:rFonts w:cs="Arial"/>
                <w:b/>
                <w:bCs/>
                <w:color w:val="FFFFFF"/>
                <w:sz w:val="18"/>
                <w:szCs w:val="18"/>
                <w:lang w:eastAsia="en-AU"/>
              </w:rPr>
              <w:t xml:space="preserve">53,900 </w:t>
            </w:r>
          </w:p>
        </w:tc>
        <w:tc>
          <w:tcPr>
            <w:tcW w:w="1120" w:type="dxa"/>
            <w:tcBorders>
              <w:top w:val="nil"/>
              <w:left w:val="nil"/>
              <w:bottom w:val="nil"/>
              <w:right w:val="single" w:sz="4" w:space="0" w:color="5E8A00"/>
            </w:tcBorders>
            <w:shd w:val="clear" w:color="000000" w:fill="5E8A00"/>
            <w:noWrap/>
            <w:vAlign w:val="center"/>
            <w:hideMark/>
          </w:tcPr>
          <w:p w:rsidR="00D20582" w:rsidRPr="00D20582" w:rsidRDefault="00D20582" w:rsidP="00D20582">
            <w:pPr>
              <w:spacing w:after="0" w:line="240" w:lineRule="auto"/>
              <w:jc w:val="right"/>
              <w:rPr>
                <w:rFonts w:cs="Arial"/>
                <w:b/>
                <w:bCs/>
                <w:color w:val="FFFFFF"/>
                <w:sz w:val="18"/>
                <w:szCs w:val="18"/>
                <w:lang w:eastAsia="en-AU"/>
              </w:rPr>
            </w:pPr>
            <w:r w:rsidRPr="00D20582">
              <w:rPr>
                <w:rFonts w:cs="Arial"/>
                <w:b/>
                <w:bCs/>
                <w:color w:val="FFFFFF"/>
                <w:sz w:val="18"/>
                <w:szCs w:val="18"/>
                <w:lang w:eastAsia="en-AU"/>
              </w:rPr>
              <w:t xml:space="preserve">118,500 </w:t>
            </w:r>
          </w:p>
        </w:tc>
        <w:tc>
          <w:tcPr>
            <w:tcW w:w="1120" w:type="dxa"/>
            <w:tcBorders>
              <w:top w:val="nil"/>
              <w:left w:val="nil"/>
              <w:bottom w:val="nil"/>
              <w:right w:val="single" w:sz="4" w:space="0" w:color="5E8A00"/>
            </w:tcBorders>
            <w:shd w:val="clear" w:color="000000" w:fill="5E8A00"/>
            <w:noWrap/>
            <w:vAlign w:val="center"/>
            <w:hideMark/>
          </w:tcPr>
          <w:p w:rsidR="00D20582" w:rsidRPr="00D20582" w:rsidRDefault="00D20582" w:rsidP="00D20582">
            <w:pPr>
              <w:spacing w:after="0" w:line="240" w:lineRule="auto"/>
              <w:jc w:val="right"/>
              <w:rPr>
                <w:rFonts w:cs="Arial"/>
                <w:b/>
                <w:bCs/>
                <w:color w:val="FFFFFF"/>
                <w:sz w:val="18"/>
                <w:szCs w:val="18"/>
                <w:lang w:eastAsia="en-AU"/>
              </w:rPr>
            </w:pPr>
            <w:r w:rsidRPr="00D20582">
              <w:rPr>
                <w:rFonts w:cs="Arial"/>
                <w:b/>
                <w:bCs/>
                <w:color w:val="FFFFFF"/>
                <w:sz w:val="18"/>
                <w:szCs w:val="18"/>
                <w:lang w:eastAsia="en-AU"/>
              </w:rPr>
              <w:t>283%</w:t>
            </w:r>
          </w:p>
        </w:tc>
      </w:tr>
    </w:tbl>
    <w:p w:rsidR="00D20582" w:rsidRPr="002324B6" w:rsidRDefault="00D20582" w:rsidP="00D20582">
      <w:pPr>
        <w:spacing w:after="0"/>
        <w:rPr>
          <w:noProof/>
          <w:sz w:val="16"/>
          <w:szCs w:val="16"/>
          <w:lang w:eastAsia="en-AU"/>
        </w:rPr>
      </w:pPr>
      <w:r w:rsidRPr="002324B6">
        <w:rPr>
          <w:noProof/>
          <w:sz w:val="16"/>
          <w:szCs w:val="16"/>
          <w:lang w:eastAsia="en-AU"/>
        </w:rPr>
        <w:t>SoA – Statement of Attainment.</w:t>
      </w:r>
    </w:p>
    <w:p w:rsidR="00D20582" w:rsidRDefault="00D20582" w:rsidP="00D20582"/>
    <w:p w:rsidR="00D827F6" w:rsidRDefault="00D827F6" w:rsidP="00D827F6">
      <w:pPr>
        <w:pStyle w:val="Caption"/>
        <w:spacing w:after="0"/>
      </w:pPr>
      <w:r w:rsidRPr="001F29E3">
        <w:t>Table 1.</w:t>
      </w:r>
      <w:r w:rsidR="00EA5ABC">
        <w:t>5</w:t>
      </w:r>
      <w:r>
        <w:t>.2</w:t>
      </w:r>
      <w:r w:rsidRPr="001F29E3">
        <w:t xml:space="preserve">: Government subsidised enrolments </w:t>
      </w:r>
      <w:r>
        <w:t xml:space="preserve">(Foundation) </w:t>
      </w:r>
      <w:r w:rsidRPr="001F29E3">
        <w:t>by qualification level, Q</w:t>
      </w:r>
      <w:r>
        <w:t>2</w:t>
      </w:r>
      <w:r w:rsidRPr="001F29E3">
        <w:t xml:space="preserve"> 201</w:t>
      </w:r>
      <w:r>
        <w:t>1, Q2 2012</w:t>
      </w:r>
      <w:r w:rsidRPr="001F29E3">
        <w:t xml:space="preserve"> and Q</w:t>
      </w:r>
      <w:r>
        <w:t>2</w:t>
      </w:r>
      <w:r w:rsidRPr="001F29E3">
        <w:t xml:space="preserve"> 2013</w:t>
      </w:r>
    </w:p>
    <w:tbl>
      <w:tblPr>
        <w:tblW w:w="8400" w:type="dxa"/>
        <w:tblInd w:w="103" w:type="dxa"/>
        <w:tblLook w:val="04A0" w:firstRow="1" w:lastRow="0" w:firstColumn="1" w:lastColumn="0" w:noHBand="0" w:noVBand="1"/>
      </w:tblPr>
      <w:tblGrid>
        <w:gridCol w:w="2800"/>
        <w:gridCol w:w="1120"/>
        <w:gridCol w:w="1120"/>
        <w:gridCol w:w="1120"/>
        <w:gridCol w:w="1120"/>
        <w:gridCol w:w="1120"/>
      </w:tblGrid>
      <w:tr w:rsidR="00D827F6" w:rsidRPr="00D827F6" w:rsidTr="00D827F6">
        <w:trPr>
          <w:trHeight w:val="762"/>
        </w:trPr>
        <w:tc>
          <w:tcPr>
            <w:tcW w:w="2800" w:type="dxa"/>
            <w:tcBorders>
              <w:top w:val="single" w:sz="4" w:space="0" w:color="5E8A00"/>
              <w:left w:val="single" w:sz="4" w:space="0" w:color="5E8A00"/>
              <w:bottom w:val="single" w:sz="4" w:space="0" w:color="5E8A00"/>
              <w:right w:val="single" w:sz="4" w:space="0" w:color="5E8A00"/>
            </w:tcBorders>
            <w:shd w:val="clear" w:color="000000" w:fill="5E8A00"/>
            <w:noWrap/>
            <w:vAlign w:val="center"/>
            <w:hideMark/>
          </w:tcPr>
          <w:p w:rsidR="00D827F6" w:rsidRPr="00D827F6" w:rsidRDefault="00D827F6" w:rsidP="00D827F6">
            <w:pPr>
              <w:spacing w:after="0" w:line="240" w:lineRule="auto"/>
              <w:jc w:val="left"/>
              <w:rPr>
                <w:rFonts w:cs="Arial"/>
                <w:b/>
                <w:bCs/>
                <w:color w:val="FFFFFF"/>
                <w:sz w:val="18"/>
                <w:szCs w:val="18"/>
                <w:lang w:eastAsia="en-AU"/>
              </w:rPr>
            </w:pPr>
            <w:r w:rsidRPr="00D827F6">
              <w:rPr>
                <w:rFonts w:cs="Arial"/>
                <w:b/>
                <w:bCs/>
                <w:color w:val="FFFFFF"/>
                <w:sz w:val="18"/>
                <w:szCs w:val="18"/>
                <w:lang w:eastAsia="en-AU"/>
              </w:rPr>
              <w:t>Qualification level</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827F6" w:rsidRPr="00D827F6" w:rsidRDefault="00D827F6" w:rsidP="00F034AF">
            <w:pPr>
              <w:spacing w:after="0" w:line="240" w:lineRule="auto"/>
              <w:ind w:firstLineChars="100" w:firstLine="181"/>
              <w:jc w:val="right"/>
              <w:rPr>
                <w:rFonts w:cs="Arial"/>
                <w:b/>
                <w:bCs/>
                <w:color w:val="FFFFFF"/>
                <w:sz w:val="18"/>
                <w:szCs w:val="18"/>
                <w:lang w:eastAsia="en-AU"/>
              </w:rPr>
            </w:pPr>
            <w:r w:rsidRPr="00D827F6">
              <w:rPr>
                <w:rFonts w:cs="Arial"/>
                <w:b/>
                <w:bCs/>
                <w:color w:val="FFFFFF"/>
                <w:sz w:val="18"/>
                <w:szCs w:val="18"/>
                <w:lang w:eastAsia="en-AU"/>
              </w:rPr>
              <w:t>Q2 2011</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827F6" w:rsidRPr="00D827F6" w:rsidRDefault="00D827F6" w:rsidP="00F034AF">
            <w:pPr>
              <w:spacing w:after="0" w:line="240" w:lineRule="auto"/>
              <w:ind w:firstLineChars="100" w:firstLine="181"/>
              <w:jc w:val="right"/>
              <w:rPr>
                <w:rFonts w:cs="Arial"/>
                <w:b/>
                <w:bCs/>
                <w:color w:val="FFFFFF"/>
                <w:sz w:val="18"/>
                <w:szCs w:val="18"/>
                <w:lang w:eastAsia="en-AU"/>
              </w:rPr>
            </w:pPr>
            <w:r w:rsidRPr="00D827F6">
              <w:rPr>
                <w:rFonts w:cs="Arial"/>
                <w:b/>
                <w:bCs/>
                <w:color w:val="FFFFFF"/>
                <w:sz w:val="18"/>
                <w:szCs w:val="18"/>
                <w:lang w:eastAsia="en-AU"/>
              </w:rPr>
              <w:t>Q2 2012</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827F6" w:rsidRPr="00D827F6" w:rsidRDefault="00D827F6" w:rsidP="00F034AF">
            <w:pPr>
              <w:spacing w:after="0" w:line="240" w:lineRule="auto"/>
              <w:ind w:firstLineChars="100" w:firstLine="181"/>
              <w:jc w:val="right"/>
              <w:rPr>
                <w:rFonts w:cs="Arial"/>
                <w:b/>
                <w:bCs/>
                <w:color w:val="FFFFFF"/>
                <w:sz w:val="18"/>
                <w:szCs w:val="18"/>
                <w:lang w:eastAsia="en-AU"/>
              </w:rPr>
            </w:pPr>
            <w:r w:rsidRPr="00D827F6">
              <w:rPr>
                <w:rFonts w:cs="Arial"/>
                <w:b/>
                <w:bCs/>
                <w:color w:val="FFFFFF"/>
                <w:sz w:val="18"/>
                <w:szCs w:val="18"/>
                <w:lang w:eastAsia="en-AU"/>
              </w:rPr>
              <w:t>Q2 2013</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827F6" w:rsidRPr="00D827F6" w:rsidRDefault="00D827F6" w:rsidP="00F034AF">
            <w:pPr>
              <w:spacing w:after="0" w:line="240" w:lineRule="auto"/>
              <w:ind w:firstLineChars="100" w:firstLine="181"/>
              <w:jc w:val="right"/>
              <w:rPr>
                <w:rFonts w:cs="Arial"/>
                <w:b/>
                <w:bCs/>
                <w:color w:val="FFFFFF"/>
                <w:sz w:val="18"/>
                <w:szCs w:val="18"/>
                <w:lang w:eastAsia="en-AU"/>
              </w:rPr>
            </w:pPr>
            <w:r w:rsidRPr="00D827F6">
              <w:rPr>
                <w:rFonts w:cs="Arial"/>
                <w:b/>
                <w:bCs/>
                <w:color w:val="FFFFFF"/>
                <w:sz w:val="18"/>
                <w:szCs w:val="18"/>
                <w:lang w:eastAsia="en-AU"/>
              </w:rPr>
              <w:t>% change</w:t>
            </w:r>
            <w:r w:rsidRPr="00D827F6">
              <w:rPr>
                <w:rFonts w:cs="Arial"/>
                <w:b/>
                <w:bCs/>
                <w:color w:val="FFFFFF"/>
                <w:sz w:val="18"/>
                <w:szCs w:val="18"/>
                <w:lang w:eastAsia="en-AU"/>
              </w:rPr>
              <w:br/>
              <w:t>Q2 2011-Q2 2013 </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827F6" w:rsidRPr="00D827F6" w:rsidRDefault="00D827F6" w:rsidP="00F034AF">
            <w:pPr>
              <w:spacing w:after="0" w:line="240" w:lineRule="auto"/>
              <w:ind w:firstLineChars="100" w:firstLine="181"/>
              <w:jc w:val="right"/>
              <w:rPr>
                <w:rFonts w:cs="Arial"/>
                <w:b/>
                <w:bCs/>
                <w:color w:val="FFFFFF"/>
                <w:sz w:val="18"/>
                <w:szCs w:val="18"/>
                <w:lang w:eastAsia="en-AU"/>
              </w:rPr>
            </w:pPr>
            <w:r w:rsidRPr="00D827F6">
              <w:rPr>
                <w:rFonts w:cs="Arial"/>
                <w:b/>
                <w:bCs/>
                <w:color w:val="FFFFFF"/>
                <w:sz w:val="18"/>
                <w:szCs w:val="18"/>
                <w:lang w:eastAsia="en-AU"/>
              </w:rPr>
              <w:t>% change</w:t>
            </w:r>
            <w:r w:rsidRPr="00D827F6">
              <w:rPr>
                <w:rFonts w:cs="Arial"/>
                <w:b/>
                <w:bCs/>
                <w:color w:val="FFFFFF"/>
                <w:sz w:val="18"/>
                <w:szCs w:val="18"/>
                <w:lang w:eastAsia="en-AU"/>
              </w:rPr>
              <w:br/>
              <w:t>Q2 2012-Q2 2013</w:t>
            </w:r>
          </w:p>
        </w:tc>
      </w:tr>
      <w:tr w:rsidR="00D827F6" w:rsidRPr="00D827F6" w:rsidTr="00D827F6">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D827F6" w:rsidRPr="00D827F6" w:rsidRDefault="00D827F6" w:rsidP="00D827F6">
            <w:pPr>
              <w:spacing w:after="0" w:line="240" w:lineRule="auto"/>
              <w:jc w:val="left"/>
              <w:rPr>
                <w:rFonts w:cs="Arial"/>
                <w:color w:val="3E5B00"/>
                <w:sz w:val="18"/>
                <w:szCs w:val="18"/>
                <w:lang w:eastAsia="en-AU"/>
              </w:rPr>
            </w:pPr>
            <w:r w:rsidRPr="00D827F6">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 xml:space="preserve">22,900 </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 xml:space="preserve">57,100 </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 xml:space="preserve">77,500 </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239%</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36%</w:t>
            </w:r>
          </w:p>
        </w:tc>
      </w:tr>
      <w:tr w:rsidR="00D827F6" w:rsidRPr="00D827F6" w:rsidTr="00D827F6">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D827F6" w:rsidRPr="00D827F6" w:rsidRDefault="00D827F6" w:rsidP="00D827F6">
            <w:pPr>
              <w:spacing w:after="0" w:line="240" w:lineRule="auto"/>
              <w:jc w:val="left"/>
              <w:rPr>
                <w:rFonts w:cs="Arial"/>
                <w:color w:val="3E5B00"/>
                <w:sz w:val="18"/>
                <w:szCs w:val="18"/>
                <w:lang w:eastAsia="en-AU"/>
              </w:rPr>
            </w:pPr>
            <w:r w:rsidRPr="00D827F6">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 xml:space="preserve">6,000 </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 xml:space="preserve">10,100 </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 xml:space="preserve">13,700 </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128%</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36%</w:t>
            </w:r>
          </w:p>
        </w:tc>
      </w:tr>
      <w:tr w:rsidR="00D827F6" w:rsidRPr="00D827F6" w:rsidTr="00D827F6">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D827F6" w:rsidRPr="00D827F6" w:rsidRDefault="00D827F6" w:rsidP="00D827F6">
            <w:pPr>
              <w:spacing w:after="0" w:line="240" w:lineRule="auto"/>
              <w:jc w:val="left"/>
              <w:rPr>
                <w:rFonts w:cs="Arial"/>
                <w:color w:val="3E5B00"/>
                <w:sz w:val="18"/>
                <w:szCs w:val="18"/>
                <w:lang w:eastAsia="en-AU"/>
              </w:rPr>
            </w:pPr>
            <w:r w:rsidRPr="00D827F6">
              <w:rPr>
                <w:rFonts w:cs="Arial"/>
                <w:color w:val="3E5B00"/>
                <w:sz w:val="18"/>
                <w:szCs w:val="18"/>
                <w:lang w:eastAsia="en-AU"/>
              </w:rPr>
              <w:t xml:space="preserve">Secondary, </w:t>
            </w:r>
            <w:proofErr w:type="spellStart"/>
            <w:r w:rsidRPr="00D827F6">
              <w:rPr>
                <w:rFonts w:cs="Arial"/>
                <w:color w:val="3E5B00"/>
                <w:sz w:val="18"/>
                <w:szCs w:val="18"/>
                <w:lang w:eastAsia="en-AU"/>
              </w:rPr>
              <w:t>SoA</w:t>
            </w:r>
            <w:proofErr w:type="spellEnd"/>
            <w:r w:rsidRPr="00D827F6">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 xml:space="preserve">2,700 </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 xml:space="preserve">6,500 </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 xml:space="preserve">4,800 </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80%</w:t>
            </w:r>
          </w:p>
        </w:tc>
        <w:tc>
          <w:tcPr>
            <w:tcW w:w="1120" w:type="dxa"/>
            <w:tcBorders>
              <w:top w:val="nil"/>
              <w:left w:val="nil"/>
              <w:bottom w:val="single" w:sz="4" w:space="0" w:color="5E8A00"/>
              <w:right w:val="single" w:sz="4" w:space="0" w:color="5E8A00"/>
            </w:tcBorders>
            <w:shd w:val="clear" w:color="auto" w:fill="auto"/>
            <w:noWrap/>
            <w:vAlign w:val="center"/>
            <w:hideMark/>
          </w:tcPr>
          <w:p w:rsidR="00D827F6" w:rsidRPr="00D827F6" w:rsidRDefault="00D827F6" w:rsidP="00D827F6">
            <w:pPr>
              <w:spacing w:after="0" w:line="240" w:lineRule="auto"/>
              <w:jc w:val="right"/>
              <w:rPr>
                <w:rFonts w:cs="Arial"/>
                <w:sz w:val="18"/>
                <w:szCs w:val="18"/>
                <w:lang w:eastAsia="en-AU"/>
              </w:rPr>
            </w:pPr>
            <w:r w:rsidRPr="00D827F6">
              <w:rPr>
                <w:rFonts w:cs="Arial"/>
                <w:sz w:val="18"/>
                <w:szCs w:val="18"/>
                <w:lang w:eastAsia="en-AU"/>
              </w:rPr>
              <w:t>-25%</w:t>
            </w:r>
          </w:p>
        </w:tc>
      </w:tr>
      <w:tr w:rsidR="00D827F6" w:rsidRPr="00D827F6" w:rsidTr="00D827F6">
        <w:trPr>
          <w:trHeight w:val="342"/>
        </w:trPr>
        <w:tc>
          <w:tcPr>
            <w:tcW w:w="2800" w:type="dxa"/>
            <w:tcBorders>
              <w:top w:val="nil"/>
              <w:left w:val="single" w:sz="4" w:space="0" w:color="5E8A00"/>
              <w:bottom w:val="nil"/>
              <w:right w:val="single" w:sz="4" w:space="0" w:color="5E8A00"/>
            </w:tcBorders>
            <w:shd w:val="clear" w:color="000000" w:fill="5E8A00"/>
            <w:noWrap/>
            <w:vAlign w:val="bottom"/>
            <w:hideMark/>
          </w:tcPr>
          <w:p w:rsidR="00D827F6" w:rsidRPr="00D827F6" w:rsidRDefault="00D827F6" w:rsidP="00D827F6">
            <w:pPr>
              <w:spacing w:after="0" w:line="240" w:lineRule="auto"/>
              <w:jc w:val="left"/>
              <w:rPr>
                <w:rFonts w:cs="Arial"/>
                <w:b/>
                <w:bCs/>
                <w:color w:val="FFFFFF"/>
                <w:sz w:val="18"/>
                <w:szCs w:val="18"/>
                <w:lang w:eastAsia="en-AU"/>
              </w:rPr>
            </w:pPr>
            <w:r w:rsidRPr="00D827F6">
              <w:rPr>
                <w:rFonts w:cs="Arial"/>
                <w:b/>
                <w:bCs/>
                <w:color w:val="FFFFFF"/>
                <w:sz w:val="18"/>
                <w:szCs w:val="18"/>
                <w:lang w:eastAsia="en-AU"/>
              </w:rPr>
              <w:t>Total</w:t>
            </w:r>
          </w:p>
        </w:tc>
        <w:tc>
          <w:tcPr>
            <w:tcW w:w="1120" w:type="dxa"/>
            <w:tcBorders>
              <w:top w:val="nil"/>
              <w:left w:val="nil"/>
              <w:bottom w:val="nil"/>
              <w:right w:val="single" w:sz="4" w:space="0" w:color="5E8A00"/>
            </w:tcBorders>
            <w:shd w:val="clear" w:color="000000" w:fill="5E8A00"/>
            <w:noWrap/>
            <w:vAlign w:val="center"/>
            <w:hideMark/>
          </w:tcPr>
          <w:p w:rsidR="00D827F6" w:rsidRPr="00D827F6" w:rsidRDefault="00D827F6" w:rsidP="00D827F6">
            <w:pPr>
              <w:spacing w:after="0" w:line="240" w:lineRule="auto"/>
              <w:jc w:val="right"/>
              <w:rPr>
                <w:rFonts w:cs="Arial"/>
                <w:b/>
                <w:bCs/>
                <w:color w:val="FFFFFF"/>
                <w:sz w:val="18"/>
                <w:szCs w:val="18"/>
                <w:lang w:eastAsia="en-AU"/>
              </w:rPr>
            </w:pPr>
            <w:r w:rsidRPr="00D827F6">
              <w:rPr>
                <w:rFonts w:cs="Arial"/>
                <w:b/>
                <w:bCs/>
                <w:color w:val="FFFFFF"/>
                <w:sz w:val="18"/>
                <w:szCs w:val="18"/>
                <w:lang w:eastAsia="en-AU"/>
              </w:rPr>
              <w:t xml:space="preserve">31,600 </w:t>
            </w:r>
          </w:p>
        </w:tc>
        <w:tc>
          <w:tcPr>
            <w:tcW w:w="1120" w:type="dxa"/>
            <w:tcBorders>
              <w:top w:val="nil"/>
              <w:left w:val="nil"/>
              <w:bottom w:val="nil"/>
              <w:right w:val="single" w:sz="4" w:space="0" w:color="5E8A00"/>
            </w:tcBorders>
            <w:shd w:val="clear" w:color="000000" w:fill="5E8A00"/>
            <w:noWrap/>
            <w:vAlign w:val="center"/>
            <w:hideMark/>
          </w:tcPr>
          <w:p w:rsidR="00D827F6" w:rsidRPr="00D827F6" w:rsidRDefault="00D827F6" w:rsidP="00D827F6">
            <w:pPr>
              <w:spacing w:after="0" w:line="240" w:lineRule="auto"/>
              <w:jc w:val="right"/>
              <w:rPr>
                <w:rFonts w:cs="Arial"/>
                <w:b/>
                <w:bCs/>
                <w:color w:val="FFFFFF"/>
                <w:sz w:val="18"/>
                <w:szCs w:val="18"/>
                <w:lang w:eastAsia="en-AU"/>
              </w:rPr>
            </w:pPr>
            <w:r w:rsidRPr="00D827F6">
              <w:rPr>
                <w:rFonts w:cs="Arial"/>
                <w:b/>
                <w:bCs/>
                <w:color w:val="FFFFFF"/>
                <w:sz w:val="18"/>
                <w:szCs w:val="18"/>
                <w:lang w:eastAsia="en-AU"/>
              </w:rPr>
              <w:t xml:space="preserve">73,600 </w:t>
            </w:r>
          </w:p>
        </w:tc>
        <w:tc>
          <w:tcPr>
            <w:tcW w:w="1120" w:type="dxa"/>
            <w:tcBorders>
              <w:top w:val="nil"/>
              <w:left w:val="nil"/>
              <w:bottom w:val="nil"/>
              <w:right w:val="single" w:sz="4" w:space="0" w:color="5E8A00"/>
            </w:tcBorders>
            <w:shd w:val="clear" w:color="000000" w:fill="5E8A00"/>
            <w:noWrap/>
            <w:vAlign w:val="center"/>
            <w:hideMark/>
          </w:tcPr>
          <w:p w:rsidR="00D827F6" w:rsidRPr="00D827F6" w:rsidRDefault="00D827F6" w:rsidP="00D827F6">
            <w:pPr>
              <w:spacing w:after="0" w:line="240" w:lineRule="auto"/>
              <w:jc w:val="right"/>
              <w:rPr>
                <w:rFonts w:cs="Arial"/>
                <w:b/>
                <w:bCs/>
                <w:color w:val="FFFFFF"/>
                <w:sz w:val="18"/>
                <w:szCs w:val="18"/>
                <w:lang w:eastAsia="en-AU"/>
              </w:rPr>
            </w:pPr>
            <w:r w:rsidRPr="00D827F6">
              <w:rPr>
                <w:rFonts w:cs="Arial"/>
                <w:b/>
                <w:bCs/>
                <w:color w:val="FFFFFF"/>
                <w:sz w:val="18"/>
                <w:szCs w:val="18"/>
                <w:lang w:eastAsia="en-AU"/>
              </w:rPr>
              <w:t xml:space="preserve">96,100 </w:t>
            </w:r>
          </w:p>
        </w:tc>
        <w:tc>
          <w:tcPr>
            <w:tcW w:w="1120" w:type="dxa"/>
            <w:tcBorders>
              <w:top w:val="nil"/>
              <w:left w:val="nil"/>
              <w:bottom w:val="nil"/>
              <w:right w:val="single" w:sz="4" w:space="0" w:color="5E8A00"/>
            </w:tcBorders>
            <w:shd w:val="clear" w:color="000000" w:fill="5E8A00"/>
            <w:noWrap/>
            <w:vAlign w:val="center"/>
            <w:hideMark/>
          </w:tcPr>
          <w:p w:rsidR="00D827F6" w:rsidRPr="00D827F6" w:rsidRDefault="00D827F6" w:rsidP="00D827F6">
            <w:pPr>
              <w:spacing w:after="0" w:line="240" w:lineRule="auto"/>
              <w:jc w:val="right"/>
              <w:rPr>
                <w:rFonts w:cs="Arial"/>
                <w:b/>
                <w:bCs/>
                <w:color w:val="FFFFFF"/>
                <w:sz w:val="18"/>
                <w:szCs w:val="18"/>
                <w:lang w:eastAsia="en-AU"/>
              </w:rPr>
            </w:pPr>
            <w:r w:rsidRPr="00D827F6">
              <w:rPr>
                <w:rFonts w:cs="Arial"/>
                <w:b/>
                <w:bCs/>
                <w:color w:val="FFFFFF"/>
                <w:sz w:val="18"/>
                <w:szCs w:val="18"/>
                <w:lang w:eastAsia="en-AU"/>
              </w:rPr>
              <w:t>204%</w:t>
            </w:r>
          </w:p>
        </w:tc>
        <w:tc>
          <w:tcPr>
            <w:tcW w:w="1120" w:type="dxa"/>
            <w:tcBorders>
              <w:top w:val="nil"/>
              <w:left w:val="nil"/>
              <w:bottom w:val="nil"/>
              <w:right w:val="single" w:sz="4" w:space="0" w:color="5E8A00"/>
            </w:tcBorders>
            <w:shd w:val="clear" w:color="000000" w:fill="5E8A00"/>
            <w:noWrap/>
            <w:vAlign w:val="center"/>
            <w:hideMark/>
          </w:tcPr>
          <w:p w:rsidR="00D827F6" w:rsidRPr="00D827F6" w:rsidRDefault="00D827F6" w:rsidP="00D827F6">
            <w:pPr>
              <w:spacing w:after="0" w:line="240" w:lineRule="auto"/>
              <w:jc w:val="right"/>
              <w:rPr>
                <w:rFonts w:cs="Arial"/>
                <w:b/>
                <w:bCs/>
                <w:color w:val="FFFFFF"/>
                <w:sz w:val="18"/>
                <w:szCs w:val="18"/>
                <w:lang w:eastAsia="en-AU"/>
              </w:rPr>
            </w:pPr>
            <w:r w:rsidRPr="00D827F6">
              <w:rPr>
                <w:rFonts w:cs="Arial"/>
                <w:b/>
                <w:bCs/>
                <w:color w:val="FFFFFF"/>
                <w:sz w:val="18"/>
                <w:szCs w:val="18"/>
                <w:lang w:eastAsia="en-AU"/>
              </w:rPr>
              <w:t>31%</w:t>
            </w:r>
          </w:p>
        </w:tc>
      </w:tr>
    </w:tbl>
    <w:p w:rsidR="00E2616D" w:rsidRPr="001F29E3" w:rsidRDefault="00D827F6" w:rsidP="00D168D3">
      <w:r w:rsidRPr="002324B6">
        <w:rPr>
          <w:noProof/>
          <w:sz w:val="16"/>
          <w:szCs w:val="16"/>
          <w:lang w:eastAsia="en-AU"/>
        </w:rPr>
        <w:t>SoA – Statement of Attainment.</w:t>
      </w:r>
      <w:r w:rsidR="008603E7" w:rsidRPr="001F29E3">
        <w:t xml:space="preserve"> </w:t>
      </w:r>
    </w:p>
    <w:p w:rsidR="00351166" w:rsidRPr="001F29E3" w:rsidRDefault="00351166" w:rsidP="00A9260A">
      <w:pPr>
        <w:pStyle w:val="Heading3"/>
      </w:pPr>
      <w:r w:rsidRPr="001F29E3">
        <w:br w:type="page"/>
      </w:r>
      <w:r w:rsidR="0055106F" w:rsidRPr="001F29E3">
        <w:lastRenderedPageBreak/>
        <w:t>Vocational Training</w:t>
      </w:r>
      <w:r w:rsidRPr="001F29E3">
        <w:t xml:space="preserve"> Delivery by Qualification Level, TAFE Domestic </w:t>
      </w:r>
      <w:r w:rsidR="00362E51" w:rsidRPr="001F29E3">
        <w:t>Fee for Service</w:t>
      </w:r>
      <w:r w:rsidRPr="001F29E3">
        <w:t xml:space="preserve"> Enrolments</w:t>
      </w:r>
    </w:p>
    <w:p w:rsidR="00351166" w:rsidRDefault="00351166" w:rsidP="00A9260A">
      <w:pPr>
        <w:pStyle w:val="Caption"/>
        <w:rPr>
          <w:rFonts w:cs="Arial"/>
        </w:rPr>
      </w:pPr>
    </w:p>
    <w:tbl>
      <w:tblPr>
        <w:tblStyle w:val="TableGrid"/>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none" w:sz="0" w:space="0" w:color="auto"/>
          <w:insideV w:val="none" w:sz="0" w:space="0" w:color="auto"/>
        </w:tblBorders>
        <w:tblLook w:val="04A0" w:firstRow="1" w:lastRow="0" w:firstColumn="1" w:lastColumn="0" w:noHBand="0" w:noVBand="1"/>
      </w:tblPr>
      <w:tblGrid>
        <w:gridCol w:w="9288"/>
      </w:tblGrid>
      <w:tr w:rsidR="001C1759" w:rsidRPr="006332D3" w:rsidTr="008603E7">
        <w:trPr>
          <w:tblHeader/>
        </w:trPr>
        <w:tc>
          <w:tcPr>
            <w:tcW w:w="9288" w:type="dxa"/>
          </w:tcPr>
          <w:p w:rsidR="001C1759" w:rsidRDefault="001C1759" w:rsidP="001C1759">
            <w:pPr>
              <w:pStyle w:val="Heading3"/>
              <w:jc w:val="left"/>
              <w:outlineLvl w:val="2"/>
            </w:pPr>
            <w:r w:rsidRPr="006332D3">
              <w:t>Key Points</w:t>
            </w:r>
          </w:p>
          <w:p w:rsidR="00D168D3" w:rsidRPr="00D168D3" w:rsidRDefault="00D168D3" w:rsidP="00D168D3"/>
          <w:p w:rsidR="001C1759" w:rsidRPr="002D4D82" w:rsidRDefault="001C1759" w:rsidP="00872830">
            <w:pPr>
              <w:pStyle w:val="ListBullet"/>
              <w:numPr>
                <w:ilvl w:val="0"/>
                <w:numId w:val="13"/>
              </w:numPr>
              <w:ind w:left="397" w:right="113" w:hanging="284"/>
              <w:rPr>
                <w:rFonts w:cs="Arial"/>
              </w:rPr>
            </w:pPr>
            <w:r w:rsidRPr="00535B58">
              <w:rPr>
                <w:rFonts w:cs="Arial"/>
              </w:rPr>
              <w:t xml:space="preserve">Proportionally, </w:t>
            </w:r>
            <w:r w:rsidR="00F604D5">
              <w:rPr>
                <w:rFonts w:cs="Arial"/>
              </w:rPr>
              <w:t xml:space="preserve">enrolments in </w:t>
            </w:r>
            <w:r w:rsidR="0052721E">
              <w:rPr>
                <w:rFonts w:cs="Arial"/>
              </w:rPr>
              <w:t>C</w:t>
            </w:r>
            <w:r w:rsidRPr="00535B58">
              <w:rPr>
                <w:rFonts w:cs="Arial"/>
              </w:rPr>
              <w:t xml:space="preserve">ertificate </w:t>
            </w:r>
            <w:r w:rsidR="00872830">
              <w:rPr>
                <w:rFonts w:cs="Arial"/>
              </w:rPr>
              <w:t>I-II</w:t>
            </w:r>
            <w:r w:rsidRPr="00535B58">
              <w:rPr>
                <w:rFonts w:cs="Arial"/>
              </w:rPr>
              <w:t xml:space="preserve"> </w:t>
            </w:r>
            <w:r w:rsidR="002D4D82">
              <w:rPr>
                <w:rFonts w:cs="Arial"/>
              </w:rPr>
              <w:t>(non-Foundation) were</w:t>
            </w:r>
            <w:r w:rsidRPr="00535B58">
              <w:rPr>
                <w:rFonts w:cs="Arial"/>
              </w:rPr>
              <w:t xml:space="preserve"> the largest qualification group </w:t>
            </w:r>
            <w:r>
              <w:rPr>
                <w:rFonts w:cs="Arial"/>
              </w:rPr>
              <w:t xml:space="preserve">amongst TAFE domestic fee for service enrolments </w:t>
            </w:r>
            <w:r w:rsidRPr="00535B58">
              <w:rPr>
                <w:rFonts w:cs="Arial"/>
              </w:rPr>
              <w:t xml:space="preserve">across Australian </w:t>
            </w:r>
            <w:r>
              <w:rPr>
                <w:rFonts w:cs="Arial"/>
              </w:rPr>
              <w:t>Qualification Framework courses</w:t>
            </w:r>
            <w:r w:rsidR="00F604D5">
              <w:rPr>
                <w:rFonts w:cs="Arial"/>
              </w:rPr>
              <w:t>.</w:t>
            </w:r>
          </w:p>
        </w:tc>
      </w:tr>
    </w:tbl>
    <w:p w:rsidR="001C1759" w:rsidRDefault="001C1759" w:rsidP="001C1759"/>
    <w:p w:rsidR="00351166" w:rsidRDefault="00351166" w:rsidP="002F7717">
      <w:pPr>
        <w:pStyle w:val="Caption"/>
        <w:spacing w:after="0"/>
        <w:jc w:val="left"/>
        <w:rPr>
          <w:rFonts w:cs="Arial"/>
        </w:rPr>
      </w:pPr>
      <w:r w:rsidRPr="001F29E3">
        <w:rPr>
          <w:rFonts w:cs="Arial"/>
        </w:rPr>
        <w:t>Table 1.</w:t>
      </w:r>
      <w:r w:rsidR="00EA5ABC">
        <w:rPr>
          <w:rFonts w:cs="Arial"/>
        </w:rPr>
        <w:t>6</w:t>
      </w:r>
      <w:r w:rsidR="006D4F92">
        <w:rPr>
          <w:rFonts w:cs="Arial"/>
        </w:rPr>
        <w:t>.1</w:t>
      </w:r>
      <w:r w:rsidRPr="001F29E3">
        <w:rPr>
          <w:rFonts w:cs="Arial"/>
        </w:rPr>
        <w:t xml:space="preserve">: TAFE domestic </w:t>
      </w:r>
      <w:r w:rsidR="00221A72" w:rsidRPr="001F29E3">
        <w:rPr>
          <w:rFonts w:cs="Arial"/>
        </w:rPr>
        <w:t>f</w:t>
      </w:r>
      <w:r w:rsidR="00362E51" w:rsidRPr="001F29E3">
        <w:rPr>
          <w:rFonts w:cs="Arial"/>
        </w:rPr>
        <w:t xml:space="preserve">ee for </w:t>
      </w:r>
      <w:r w:rsidR="00221A72" w:rsidRPr="001F29E3">
        <w:rPr>
          <w:rFonts w:cs="Arial"/>
        </w:rPr>
        <w:t>s</w:t>
      </w:r>
      <w:r w:rsidR="00362E51" w:rsidRPr="001F29E3">
        <w:rPr>
          <w:rFonts w:cs="Arial"/>
        </w:rPr>
        <w:t>ervice</w:t>
      </w:r>
      <w:r w:rsidRPr="001F29E3">
        <w:rPr>
          <w:rFonts w:cs="Arial"/>
        </w:rPr>
        <w:t xml:space="preserve"> enrolments </w:t>
      </w:r>
      <w:r w:rsidR="00147BA5">
        <w:rPr>
          <w:rFonts w:cs="Arial"/>
        </w:rPr>
        <w:t xml:space="preserve">(non-Foundation) </w:t>
      </w:r>
      <w:r w:rsidRPr="001F29E3">
        <w:rPr>
          <w:rFonts w:cs="Arial"/>
        </w:rPr>
        <w:t>by qualification level (AQF1+), 2008–2012</w:t>
      </w:r>
    </w:p>
    <w:tbl>
      <w:tblPr>
        <w:tblW w:w="9520" w:type="dxa"/>
        <w:tblInd w:w="103" w:type="dxa"/>
        <w:tblLook w:val="04A0" w:firstRow="1" w:lastRow="0" w:firstColumn="1" w:lastColumn="0" w:noHBand="0" w:noVBand="1"/>
      </w:tblPr>
      <w:tblGrid>
        <w:gridCol w:w="2800"/>
        <w:gridCol w:w="1120"/>
        <w:gridCol w:w="1120"/>
        <w:gridCol w:w="1120"/>
        <w:gridCol w:w="1120"/>
        <w:gridCol w:w="1120"/>
        <w:gridCol w:w="1120"/>
      </w:tblGrid>
      <w:tr w:rsidR="00147BA5" w:rsidRPr="00147BA5" w:rsidTr="00147BA5">
        <w:trPr>
          <w:trHeight w:val="762"/>
        </w:trPr>
        <w:tc>
          <w:tcPr>
            <w:tcW w:w="2800" w:type="dxa"/>
            <w:tcBorders>
              <w:top w:val="single" w:sz="4" w:space="0" w:color="5E8A00"/>
              <w:left w:val="single" w:sz="4" w:space="0" w:color="5E8A00"/>
              <w:bottom w:val="single" w:sz="4" w:space="0" w:color="5E8A00"/>
              <w:right w:val="single" w:sz="4" w:space="0" w:color="5E8A00"/>
            </w:tcBorders>
            <w:shd w:val="clear" w:color="000000" w:fill="5E8A00"/>
            <w:noWrap/>
            <w:vAlign w:val="center"/>
            <w:hideMark/>
          </w:tcPr>
          <w:p w:rsidR="00147BA5" w:rsidRPr="00147BA5" w:rsidRDefault="00147BA5" w:rsidP="00147BA5">
            <w:pPr>
              <w:spacing w:after="0" w:line="240" w:lineRule="auto"/>
              <w:jc w:val="left"/>
              <w:rPr>
                <w:rFonts w:cs="Arial"/>
                <w:b/>
                <w:bCs/>
                <w:color w:val="FFFFFF"/>
                <w:sz w:val="18"/>
                <w:szCs w:val="18"/>
                <w:lang w:eastAsia="en-AU"/>
              </w:rPr>
            </w:pPr>
            <w:r w:rsidRPr="00147BA5">
              <w:rPr>
                <w:rFonts w:cs="Arial"/>
                <w:b/>
                <w:bCs/>
                <w:color w:val="FFFFFF"/>
                <w:sz w:val="18"/>
                <w:szCs w:val="18"/>
                <w:lang w:eastAsia="en-AU"/>
              </w:rPr>
              <w:t>Qualification level</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47BA5" w:rsidRPr="00147BA5" w:rsidRDefault="00147BA5" w:rsidP="00F034AF">
            <w:pPr>
              <w:spacing w:after="0" w:line="240" w:lineRule="auto"/>
              <w:ind w:firstLineChars="100" w:firstLine="181"/>
              <w:jc w:val="right"/>
              <w:rPr>
                <w:rFonts w:cs="Arial"/>
                <w:b/>
                <w:bCs/>
                <w:color w:val="FFFFFF"/>
                <w:sz w:val="18"/>
                <w:szCs w:val="18"/>
                <w:lang w:eastAsia="en-AU"/>
              </w:rPr>
            </w:pPr>
            <w:r w:rsidRPr="00147BA5">
              <w:rPr>
                <w:rFonts w:cs="Arial"/>
                <w:b/>
                <w:bCs/>
                <w:color w:val="FFFFFF"/>
                <w:sz w:val="18"/>
                <w:szCs w:val="18"/>
                <w:lang w:eastAsia="en-AU"/>
              </w:rPr>
              <w:t>2008</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47BA5" w:rsidRPr="00147BA5" w:rsidRDefault="00147BA5" w:rsidP="00F034AF">
            <w:pPr>
              <w:spacing w:after="0" w:line="240" w:lineRule="auto"/>
              <w:ind w:firstLineChars="100" w:firstLine="181"/>
              <w:jc w:val="right"/>
              <w:rPr>
                <w:rFonts w:cs="Arial"/>
                <w:b/>
                <w:bCs/>
                <w:color w:val="FFFFFF"/>
                <w:sz w:val="18"/>
                <w:szCs w:val="18"/>
                <w:lang w:eastAsia="en-AU"/>
              </w:rPr>
            </w:pPr>
            <w:r w:rsidRPr="00147BA5">
              <w:rPr>
                <w:rFonts w:cs="Arial"/>
                <w:b/>
                <w:bCs/>
                <w:color w:val="FFFFFF"/>
                <w:sz w:val="18"/>
                <w:szCs w:val="18"/>
                <w:lang w:eastAsia="en-AU"/>
              </w:rPr>
              <w:t>2009</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47BA5" w:rsidRPr="00147BA5" w:rsidRDefault="00147BA5" w:rsidP="00F034AF">
            <w:pPr>
              <w:spacing w:after="0" w:line="240" w:lineRule="auto"/>
              <w:ind w:firstLineChars="100" w:firstLine="181"/>
              <w:jc w:val="right"/>
              <w:rPr>
                <w:rFonts w:cs="Arial"/>
                <w:b/>
                <w:bCs/>
                <w:color w:val="FFFFFF"/>
                <w:sz w:val="18"/>
                <w:szCs w:val="18"/>
                <w:lang w:eastAsia="en-AU"/>
              </w:rPr>
            </w:pPr>
            <w:r w:rsidRPr="00147BA5">
              <w:rPr>
                <w:rFonts w:cs="Arial"/>
                <w:b/>
                <w:bCs/>
                <w:color w:val="FFFFFF"/>
                <w:sz w:val="18"/>
                <w:szCs w:val="18"/>
                <w:lang w:eastAsia="en-AU"/>
              </w:rPr>
              <w:t>2010</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47BA5" w:rsidRPr="00147BA5" w:rsidRDefault="00147BA5" w:rsidP="00F034AF">
            <w:pPr>
              <w:spacing w:after="0" w:line="240" w:lineRule="auto"/>
              <w:ind w:firstLineChars="100" w:firstLine="181"/>
              <w:jc w:val="right"/>
              <w:rPr>
                <w:rFonts w:cs="Arial"/>
                <w:b/>
                <w:bCs/>
                <w:color w:val="FFFFFF"/>
                <w:sz w:val="18"/>
                <w:szCs w:val="18"/>
                <w:lang w:eastAsia="en-AU"/>
              </w:rPr>
            </w:pPr>
            <w:r w:rsidRPr="00147BA5">
              <w:rPr>
                <w:rFonts w:cs="Arial"/>
                <w:b/>
                <w:bCs/>
                <w:color w:val="FFFFFF"/>
                <w:sz w:val="18"/>
                <w:szCs w:val="18"/>
                <w:lang w:eastAsia="en-AU"/>
              </w:rPr>
              <w:t>2011</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47BA5" w:rsidRPr="00147BA5" w:rsidRDefault="00147BA5" w:rsidP="00F034AF">
            <w:pPr>
              <w:spacing w:after="0" w:line="240" w:lineRule="auto"/>
              <w:ind w:firstLineChars="100" w:firstLine="181"/>
              <w:jc w:val="right"/>
              <w:rPr>
                <w:rFonts w:cs="Arial"/>
                <w:b/>
                <w:bCs/>
                <w:color w:val="FFFFFF"/>
                <w:sz w:val="18"/>
                <w:szCs w:val="18"/>
                <w:lang w:eastAsia="en-AU"/>
              </w:rPr>
            </w:pPr>
            <w:r w:rsidRPr="00147BA5">
              <w:rPr>
                <w:rFonts w:cs="Arial"/>
                <w:b/>
                <w:bCs/>
                <w:color w:val="FFFFFF"/>
                <w:sz w:val="18"/>
                <w:szCs w:val="18"/>
                <w:lang w:eastAsia="en-AU"/>
              </w:rPr>
              <w:t>2012</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147BA5" w:rsidRPr="00147BA5" w:rsidRDefault="00147BA5" w:rsidP="00147BA5">
            <w:pPr>
              <w:spacing w:after="0" w:line="240" w:lineRule="auto"/>
              <w:jc w:val="right"/>
              <w:rPr>
                <w:rFonts w:cs="Arial"/>
                <w:b/>
                <w:bCs/>
                <w:color w:val="FFFFFF"/>
                <w:sz w:val="18"/>
                <w:szCs w:val="18"/>
                <w:lang w:eastAsia="en-AU"/>
              </w:rPr>
            </w:pPr>
            <w:r w:rsidRPr="00147BA5">
              <w:rPr>
                <w:rFonts w:cs="Arial"/>
                <w:b/>
                <w:bCs/>
                <w:color w:val="FFFFFF"/>
                <w:sz w:val="18"/>
                <w:szCs w:val="18"/>
                <w:lang w:eastAsia="en-AU"/>
              </w:rPr>
              <w:t>% change</w:t>
            </w:r>
            <w:r w:rsidRPr="00147BA5">
              <w:rPr>
                <w:rFonts w:cs="Arial"/>
                <w:b/>
                <w:bCs/>
                <w:color w:val="FFFFFF"/>
                <w:sz w:val="18"/>
                <w:szCs w:val="18"/>
                <w:lang w:eastAsia="en-AU"/>
              </w:rPr>
              <w:br/>
              <w:t>2008-2012</w:t>
            </w:r>
          </w:p>
        </w:tc>
      </w:tr>
      <w:tr w:rsidR="00147BA5" w:rsidRPr="00147BA5" w:rsidTr="00147BA5">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147BA5" w:rsidRPr="00147BA5" w:rsidRDefault="00147BA5" w:rsidP="00147BA5">
            <w:pPr>
              <w:spacing w:after="0" w:line="240" w:lineRule="auto"/>
              <w:jc w:val="left"/>
              <w:rPr>
                <w:rFonts w:cs="Arial"/>
                <w:color w:val="3E5B00"/>
                <w:sz w:val="18"/>
                <w:szCs w:val="18"/>
                <w:lang w:eastAsia="en-AU"/>
              </w:rPr>
            </w:pPr>
            <w:r w:rsidRPr="00147BA5">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33,200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41,200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44,200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43,200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46,300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39%</w:t>
            </w:r>
          </w:p>
        </w:tc>
      </w:tr>
      <w:tr w:rsidR="00147BA5" w:rsidRPr="00147BA5" w:rsidTr="00147BA5">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147BA5" w:rsidRPr="00147BA5" w:rsidRDefault="00147BA5" w:rsidP="00147BA5">
            <w:pPr>
              <w:spacing w:after="0" w:line="240" w:lineRule="auto"/>
              <w:jc w:val="left"/>
              <w:rPr>
                <w:rFonts w:cs="Arial"/>
                <w:color w:val="3E5B00"/>
                <w:sz w:val="18"/>
                <w:szCs w:val="18"/>
                <w:lang w:eastAsia="en-AU"/>
              </w:rPr>
            </w:pPr>
            <w:r w:rsidRPr="00147BA5">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38,300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41,200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40,500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40,900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52,900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38%</w:t>
            </w:r>
          </w:p>
        </w:tc>
      </w:tr>
      <w:tr w:rsidR="00147BA5" w:rsidRPr="00147BA5" w:rsidTr="00147BA5">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147BA5" w:rsidRPr="00147BA5" w:rsidRDefault="00147BA5" w:rsidP="00147BA5">
            <w:pPr>
              <w:spacing w:after="0" w:line="240" w:lineRule="auto"/>
              <w:jc w:val="left"/>
              <w:rPr>
                <w:rFonts w:cs="Arial"/>
                <w:color w:val="3E5B00"/>
                <w:sz w:val="18"/>
                <w:szCs w:val="18"/>
                <w:lang w:eastAsia="en-AU"/>
              </w:rPr>
            </w:pPr>
            <w:r w:rsidRPr="00147BA5">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7,300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8,000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8,300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8,500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10,200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39%</w:t>
            </w:r>
          </w:p>
        </w:tc>
      </w:tr>
      <w:tr w:rsidR="00147BA5" w:rsidRPr="00147BA5" w:rsidTr="00147BA5">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147BA5" w:rsidRPr="00147BA5" w:rsidRDefault="00147BA5" w:rsidP="00147BA5">
            <w:pPr>
              <w:spacing w:after="0" w:line="240" w:lineRule="auto"/>
              <w:jc w:val="left"/>
              <w:rPr>
                <w:rFonts w:cs="Arial"/>
                <w:color w:val="3E5B00"/>
                <w:sz w:val="18"/>
                <w:szCs w:val="18"/>
                <w:lang w:eastAsia="en-AU"/>
              </w:rPr>
            </w:pPr>
            <w:r w:rsidRPr="00147BA5">
              <w:rPr>
                <w:rFonts w:cs="Arial"/>
                <w:color w:val="3E5B00"/>
                <w:sz w:val="18"/>
                <w:szCs w:val="18"/>
                <w:lang w:eastAsia="en-AU"/>
              </w:rPr>
              <w:t>Higher Education</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750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1,000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1,300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1,400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 xml:space="preserve">1,600 </w:t>
            </w:r>
          </w:p>
        </w:tc>
        <w:tc>
          <w:tcPr>
            <w:tcW w:w="1120" w:type="dxa"/>
            <w:tcBorders>
              <w:top w:val="nil"/>
              <w:left w:val="nil"/>
              <w:bottom w:val="single" w:sz="4" w:space="0" w:color="5E8A00"/>
              <w:right w:val="single" w:sz="4" w:space="0" w:color="5E8A00"/>
            </w:tcBorders>
            <w:shd w:val="clear" w:color="auto" w:fill="auto"/>
            <w:noWrap/>
            <w:vAlign w:val="center"/>
            <w:hideMark/>
          </w:tcPr>
          <w:p w:rsidR="00147BA5" w:rsidRPr="00147BA5" w:rsidRDefault="00147BA5" w:rsidP="00147BA5">
            <w:pPr>
              <w:spacing w:after="0" w:line="240" w:lineRule="auto"/>
              <w:jc w:val="right"/>
              <w:rPr>
                <w:rFonts w:cs="Arial"/>
                <w:sz w:val="18"/>
                <w:szCs w:val="18"/>
                <w:lang w:eastAsia="en-AU"/>
              </w:rPr>
            </w:pPr>
            <w:r w:rsidRPr="00147BA5">
              <w:rPr>
                <w:rFonts w:cs="Arial"/>
                <w:sz w:val="18"/>
                <w:szCs w:val="18"/>
                <w:lang w:eastAsia="en-AU"/>
              </w:rPr>
              <w:t>118%</w:t>
            </w:r>
          </w:p>
        </w:tc>
      </w:tr>
      <w:tr w:rsidR="00147BA5" w:rsidRPr="00147BA5" w:rsidTr="00147BA5">
        <w:trPr>
          <w:trHeight w:val="342"/>
        </w:trPr>
        <w:tc>
          <w:tcPr>
            <w:tcW w:w="2800" w:type="dxa"/>
            <w:tcBorders>
              <w:top w:val="nil"/>
              <w:left w:val="single" w:sz="4" w:space="0" w:color="5E8A00"/>
              <w:bottom w:val="nil"/>
              <w:right w:val="single" w:sz="4" w:space="0" w:color="5E8A00"/>
            </w:tcBorders>
            <w:shd w:val="clear" w:color="000000" w:fill="5E8A00"/>
            <w:noWrap/>
            <w:vAlign w:val="bottom"/>
            <w:hideMark/>
          </w:tcPr>
          <w:p w:rsidR="00147BA5" w:rsidRPr="00147BA5" w:rsidRDefault="00147BA5" w:rsidP="00147BA5">
            <w:pPr>
              <w:spacing w:after="0" w:line="240" w:lineRule="auto"/>
              <w:jc w:val="left"/>
              <w:rPr>
                <w:rFonts w:cs="Arial"/>
                <w:b/>
                <w:bCs/>
                <w:color w:val="FFFFFF"/>
                <w:sz w:val="18"/>
                <w:szCs w:val="18"/>
                <w:lang w:eastAsia="en-AU"/>
              </w:rPr>
            </w:pPr>
            <w:r w:rsidRPr="00147BA5">
              <w:rPr>
                <w:rFonts w:cs="Arial"/>
                <w:b/>
                <w:bCs/>
                <w:color w:val="FFFFFF"/>
                <w:sz w:val="18"/>
                <w:szCs w:val="18"/>
                <w:lang w:eastAsia="en-AU"/>
              </w:rPr>
              <w:t>Total (</w:t>
            </w:r>
            <w:proofErr w:type="spellStart"/>
            <w:r w:rsidRPr="00147BA5">
              <w:rPr>
                <w:rFonts w:cs="Arial"/>
                <w:b/>
                <w:bCs/>
                <w:color w:val="FFFFFF"/>
                <w:sz w:val="18"/>
                <w:szCs w:val="18"/>
                <w:lang w:eastAsia="en-AU"/>
              </w:rPr>
              <w:t>excl</w:t>
            </w:r>
            <w:proofErr w:type="spellEnd"/>
            <w:r w:rsidRPr="00147BA5">
              <w:rPr>
                <w:rFonts w:cs="Arial"/>
                <w:b/>
                <w:bCs/>
                <w:color w:val="FFFFFF"/>
                <w:sz w:val="18"/>
                <w:szCs w:val="18"/>
                <w:lang w:eastAsia="en-AU"/>
              </w:rPr>
              <w:t xml:space="preserve"> foundation courses)</w:t>
            </w:r>
          </w:p>
        </w:tc>
        <w:tc>
          <w:tcPr>
            <w:tcW w:w="1120" w:type="dxa"/>
            <w:tcBorders>
              <w:top w:val="single" w:sz="4" w:space="0" w:color="5E8A00"/>
              <w:left w:val="nil"/>
              <w:bottom w:val="nil"/>
              <w:right w:val="single" w:sz="4" w:space="0" w:color="5E8A00"/>
            </w:tcBorders>
            <w:shd w:val="clear" w:color="000000" w:fill="5E8A00"/>
            <w:noWrap/>
            <w:vAlign w:val="center"/>
            <w:hideMark/>
          </w:tcPr>
          <w:p w:rsidR="00147BA5" w:rsidRPr="00147BA5" w:rsidRDefault="00147BA5" w:rsidP="00147BA5">
            <w:pPr>
              <w:spacing w:after="0" w:line="240" w:lineRule="auto"/>
              <w:jc w:val="right"/>
              <w:rPr>
                <w:rFonts w:cs="Arial"/>
                <w:b/>
                <w:bCs/>
                <w:color w:val="FFFFFF"/>
                <w:sz w:val="18"/>
                <w:szCs w:val="18"/>
                <w:lang w:eastAsia="en-AU"/>
              </w:rPr>
            </w:pPr>
            <w:r w:rsidRPr="00147BA5">
              <w:rPr>
                <w:rFonts w:cs="Arial"/>
                <w:b/>
                <w:bCs/>
                <w:color w:val="FFFFFF"/>
                <w:sz w:val="18"/>
                <w:szCs w:val="18"/>
                <w:lang w:eastAsia="en-AU"/>
              </w:rPr>
              <w:t xml:space="preserve">79,500 </w:t>
            </w:r>
          </w:p>
        </w:tc>
        <w:tc>
          <w:tcPr>
            <w:tcW w:w="1120" w:type="dxa"/>
            <w:tcBorders>
              <w:top w:val="single" w:sz="4" w:space="0" w:color="5E8A00"/>
              <w:left w:val="nil"/>
              <w:bottom w:val="nil"/>
              <w:right w:val="single" w:sz="4" w:space="0" w:color="5E8A00"/>
            </w:tcBorders>
            <w:shd w:val="clear" w:color="000000" w:fill="5E8A00"/>
            <w:noWrap/>
            <w:vAlign w:val="center"/>
            <w:hideMark/>
          </w:tcPr>
          <w:p w:rsidR="00147BA5" w:rsidRPr="00147BA5" w:rsidRDefault="00147BA5" w:rsidP="00147BA5">
            <w:pPr>
              <w:spacing w:after="0" w:line="240" w:lineRule="auto"/>
              <w:jc w:val="right"/>
              <w:rPr>
                <w:rFonts w:cs="Arial"/>
                <w:b/>
                <w:bCs/>
                <w:color w:val="FFFFFF"/>
                <w:sz w:val="18"/>
                <w:szCs w:val="18"/>
                <w:lang w:eastAsia="en-AU"/>
              </w:rPr>
            </w:pPr>
            <w:r w:rsidRPr="00147BA5">
              <w:rPr>
                <w:rFonts w:cs="Arial"/>
                <w:b/>
                <w:bCs/>
                <w:color w:val="FFFFFF"/>
                <w:sz w:val="18"/>
                <w:szCs w:val="18"/>
                <w:lang w:eastAsia="en-AU"/>
              </w:rPr>
              <w:t xml:space="preserve">91,400 </w:t>
            </w:r>
          </w:p>
        </w:tc>
        <w:tc>
          <w:tcPr>
            <w:tcW w:w="1120" w:type="dxa"/>
            <w:tcBorders>
              <w:top w:val="single" w:sz="4" w:space="0" w:color="5E8A00"/>
              <w:left w:val="nil"/>
              <w:bottom w:val="nil"/>
              <w:right w:val="single" w:sz="4" w:space="0" w:color="5E8A00"/>
            </w:tcBorders>
            <w:shd w:val="clear" w:color="000000" w:fill="5E8A00"/>
            <w:noWrap/>
            <w:vAlign w:val="center"/>
            <w:hideMark/>
          </w:tcPr>
          <w:p w:rsidR="00147BA5" w:rsidRPr="00147BA5" w:rsidRDefault="00147BA5" w:rsidP="00147BA5">
            <w:pPr>
              <w:spacing w:after="0" w:line="240" w:lineRule="auto"/>
              <w:jc w:val="right"/>
              <w:rPr>
                <w:rFonts w:cs="Arial"/>
                <w:b/>
                <w:bCs/>
                <w:color w:val="FFFFFF"/>
                <w:sz w:val="18"/>
                <w:szCs w:val="18"/>
                <w:lang w:eastAsia="en-AU"/>
              </w:rPr>
            </w:pPr>
            <w:r w:rsidRPr="00147BA5">
              <w:rPr>
                <w:rFonts w:cs="Arial"/>
                <w:b/>
                <w:bCs/>
                <w:color w:val="FFFFFF"/>
                <w:sz w:val="18"/>
                <w:szCs w:val="18"/>
                <w:lang w:eastAsia="en-AU"/>
              </w:rPr>
              <w:t xml:space="preserve">94,300 </w:t>
            </w:r>
          </w:p>
        </w:tc>
        <w:tc>
          <w:tcPr>
            <w:tcW w:w="1120" w:type="dxa"/>
            <w:tcBorders>
              <w:top w:val="single" w:sz="4" w:space="0" w:color="5E8A00"/>
              <w:left w:val="nil"/>
              <w:bottom w:val="nil"/>
              <w:right w:val="single" w:sz="4" w:space="0" w:color="5E8A00"/>
            </w:tcBorders>
            <w:shd w:val="clear" w:color="000000" w:fill="5E8A00"/>
            <w:noWrap/>
            <w:vAlign w:val="center"/>
            <w:hideMark/>
          </w:tcPr>
          <w:p w:rsidR="00147BA5" w:rsidRPr="00147BA5" w:rsidRDefault="00147BA5" w:rsidP="00147BA5">
            <w:pPr>
              <w:spacing w:after="0" w:line="240" w:lineRule="auto"/>
              <w:jc w:val="right"/>
              <w:rPr>
                <w:rFonts w:cs="Arial"/>
                <w:b/>
                <w:bCs/>
                <w:color w:val="FFFFFF"/>
                <w:sz w:val="18"/>
                <w:szCs w:val="18"/>
                <w:lang w:eastAsia="en-AU"/>
              </w:rPr>
            </w:pPr>
            <w:r w:rsidRPr="00147BA5">
              <w:rPr>
                <w:rFonts w:cs="Arial"/>
                <w:b/>
                <w:bCs/>
                <w:color w:val="FFFFFF"/>
                <w:sz w:val="18"/>
                <w:szCs w:val="18"/>
                <w:lang w:eastAsia="en-AU"/>
              </w:rPr>
              <w:t xml:space="preserve">94,100 </w:t>
            </w:r>
          </w:p>
        </w:tc>
        <w:tc>
          <w:tcPr>
            <w:tcW w:w="1120" w:type="dxa"/>
            <w:tcBorders>
              <w:top w:val="single" w:sz="4" w:space="0" w:color="5E8A00"/>
              <w:left w:val="nil"/>
              <w:bottom w:val="nil"/>
              <w:right w:val="single" w:sz="4" w:space="0" w:color="5E8A00"/>
            </w:tcBorders>
            <w:shd w:val="clear" w:color="000000" w:fill="5E8A00"/>
            <w:noWrap/>
            <w:vAlign w:val="center"/>
            <w:hideMark/>
          </w:tcPr>
          <w:p w:rsidR="00147BA5" w:rsidRPr="00147BA5" w:rsidRDefault="00147BA5" w:rsidP="00147BA5">
            <w:pPr>
              <w:spacing w:after="0" w:line="240" w:lineRule="auto"/>
              <w:jc w:val="right"/>
              <w:rPr>
                <w:rFonts w:cs="Arial"/>
                <w:b/>
                <w:bCs/>
                <w:color w:val="FFFFFF"/>
                <w:sz w:val="18"/>
                <w:szCs w:val="18"/>
                <w:lang w:eastAsia="en-AU"/>
              </w:rPr>
            </w:pPr>
            <w:r w:rsidRPr="00147BA5">
              <w:rPr>
                <w:rFonts w:cs="Arial"/>
                <w:b/>
                <w:bCs/>
                <w:color w:val="FFFFFF"/>
                <w:sz w:val="18"/>
                <w:szCs w:val="18"/>
                <w:lang w:eastAsia="en-AU"/>
              </w:rPr>
              <w:t xml:space="preserve">110,900 </w:t>
            </w:r>
          </w:p>
        </w:tc>
        <w:tc>
          <w:tcPr>
            <w:tcW w:w="1120" w:type="dxa"/>
            <w:tcBorders>
              <w:top w:val="single" w:sz="4" w:space="0" w:color="5E8A00"/>
              <w:left w:val="nil"/>
              <w:bottom w:val="nil"/>
              <w:right w:val="single" w:sz="4" w:space="0" w:color="5E8A00"/>
            </w:tcBorders>
            <w:shd w:val="clear" w:color="000000" w:fill="5E8A00"/>
            <w:noWrap/>
            <w:vAlign w:val="center"/>
            <w:hideMark/>
          </w:tcPr>
          <w:p w:rsidR="00147BA5" w:rsidRPr="00147BA5" w:rsidRDefault="00147BA5" w:rsidP="00147BA5">
            <w:pPr>
              <w:spacing w:after="0" w:line="240" w:lineRule="auto"/>
              <w:jc w:val="right"/>
              <w:rPr>
                <w:rFonts w:cs="Arial"/>
                <w:b/>
                <w:bCs/>
                <w:color w:val="FFFFFF"/>
                <w:sz w:val="18"/>
                <w:szCs w:val="18"/>
                <w:lang w:eastAsia="en-AU"/>
              </w:rPr>
            </w:pPr>
            <w:r w:rsidRPr="00147BA5">
              <w:rPr>
                <w:rFonts w:cs="Arial"/>
                <w:b/>
                <w:bCs/>
                <w:color w:val="FFFFFF"/>
                <w:sz w:val="18"/>
                <w:szCs w:val="18"/>
                <w:lang w:eastAsia="en-AU"/>
              </w:rPr>
              <w:t>39%</w:t>
            </w:r>
          </w:p>
        </w:tc>
      </w:tr>
    </w:tbl>
    <w:p w:rsidR="00147BA5" w:rsidRDefault="00147BA5" w:rsidP="00351166">
      <w:pPr>
        <w:rPr>
          <w:rFonts w:cs="Arial"/>
        </w:rPr>
      </w:pPr>
    </w:p>
    <w:p w:rsidR="006D4F92" w:rsidRPr="001F29E3" w:rsidRDefault="00EA5ABC" w:rsidP="002F7717">
      <w:pPr>
        <w:pStyle w:val="Caption"/>
        <w:spacing w:after="0"/>
        <w:jc w:val="left"/>
        <w:rPr>
          <w:rFonts w:cs="Arial"/>
        </w:rPr>
      </w:pPr>
      <w:r>
        <w:rPr>
          <w:rFonts w:cs="Arial"/>
        </w:rPr>
        <w:t>Table 1.6</w:t>
      </w:r>
      <w:r w:rsidR="006D4F92">
        <w:rPr>
          <w:rFonts w:cs="Arial"/>
        </w:rPr>
        <w:t>.2</w:t>
      </w:r>
      <w:r w:rsidR="006D4F92" w:rsidRPr="001F29E3">
        <w:rPr>
          <w:rFonts w:cs="Arial"/>
        </w:rPr>
        <w:t xml:space="preserve">: TAFE domestic fee for service enrolments </w:t>
      </w:r>
      <w:r w:rsidR="00C92185">
        <w:rPr>
          <w:rFonts w:cs="Arial"/>
        </w:rPr>
        <w:t xml:space="preserve">(non-Foundation) </w:t>
      </w:r>
      <w:r w:rsidR="006D4F92" w:rsidRPr="001F29E3">
        <w:rPr>
          <w:rFonts w:cs="Arial"/>
        </w:rPr>
        <w:t>by qualification level (AQF1+), Q</w:t>
      </w:r>
      <w:r w:rsidR="00A7403E">
        <w:rPr>
          <w:rFonts w:cs="Arial"/>
        </w:rPr>
        <w:t>2</w:t>
      </w:r>
      <w:r w:rsidR="006D4F92" w:rsidRPr="001F29E3">
        <w:rPr>
          <w:rFonts w:cs="Arial"/>
        </w:rPr>
        <w:t xml:space="preserve"> 201</w:t>
      </w:r>
      <w:r w:rsidR="00A7403E">
        <w:rPr>
          <w:rFonts w:cs="Arial"/>
        </w:rPr>
        <w:t>1, Q2 2012</w:t>
      </w:r>
      <w:r w:rsidR="006D4F92" w:rsidRPr="001F29E3">
        <w:rPr>
          <w:rFonts w:cs="Arial"/>
        </w:rPr>
        <w:t xml:space="preserve"> and Q</w:t>
      </w:r>
      <w:r w:rsidR="00A7403E">
        <w:rPr>
          <w:rFonts w:cs="Arial"/>
        </w:rPr>
        <w:t>2</w:t>
      </w:r>
      <w:r w:rsidR="006D4F92" w:rsidRPr="001F29E3">
        <w:rPr>
          <w:rFonts w:cs="Arial"/>
        </w:rPr>
        <w:t xml:space="preserve"> 2013</w:t>
      </w:r>
    </w:p>
    <w:tbl>
      <w:tblPr>
        <w:tblW w:w="8400" w:type="dxa"/>
        <w:tblInd w:w="103" w:type="dxa"/>
        <w:tblLook w:val="04A0" w:firstRow="1" w:lastRow="0" w:firstColumn="1" w:lastColumn="0" w:noHBand="0" w:noVBand="1"/>
      </w:tblPr>
      <w:tblGrid>
        <w:gridCol w:w="2800"/>
        <w:gridCol w:w="1120"/>
        <w:gridCol w:w="1120"/>
        <w:gridCol w:w="1120"/>
        <w:gridCol w:w="1120"/>
        <w:gridCol w:w="1120"/>
      </w:tblGrid>
      <w:tr w:rsidR="00C92185" w:rsidRPr="00C92185" w:rsidTr="00C92185">
        <w:trPr>
          <w:trHeight w:val="762"/>
        </w:trPr>
        <w:tc>
          <w:tcPr>
            <w:tcW w:w="2800" w:type="dxa"/>
            <w:tcBorders>
              <w:top w:val="single" w:sz="4" w:space="0" w:color="5E8A00"/>
              <w:left w:val="single" w:sz="4" w:space="0" w:color="5E8A00"/>
              <w:bottom w:val="single" w:sz="4" w:space="0" w:color="5E8A00"/>
              <w:right w:val="single" w:sz="4" w:space="0" w:color="5E8A00"/>
            </w:tcBorders>
            <w:shd w:val="clear" w:color="000000" w:fill="5E8A00"/>
            <w:noWrap/>
            <w:vAlign w:val="center"/>
            <w:hideMark/>
          </w:tcPr>
          <w:p w:rsidR="00C92185" w:rsidRPr="00C92185" w:rsidRDefault="00C92185" w:rsidP="00C92185">
            <w:pPr>
              <w:spacing w:after="0" w:line="240" w:lineRule="auto"/>
              <w:jc w:val="left"/>
              <w:rPr>
                <w:rFonts w:cs="Arial"/>
                <w:b/>
                <w:bCs/>
                <w:color w:val="FFFFFF"/>
                <w:sz w:val="18"/>
                <w:szCs w:val="18"/>
                <w:lang w:eastAsia="en-AU"/>
              </w:rPr>
            </w:pPr>
            <w:r w:rsidRPr="00C92185">
              <w:rPr>
                <w:rFonts w:cs="Arial"/>
                <w:b/>
                <w:bCs/>
                <w:color w:val="FFFFFF"/>
                <w:sz w:val="18"/>
                <w:szCs w:val="18"/>
                <w:lang w:eastAsia="en-AU"/>
              </w:rPr>
              <w:t>Qualification level</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C92185" w:rsidRPr="00C92185" w:rsidRDefault="00C92185" w:rsidP="00F034AF">
            <w:pPr>
              <w:spacing w:after="0" w:line="240" w:lineRule="auto"/>
              <w:ind w:firstLineChars="100" w:firstLine="181"/>
              <w:jc w:val="right"/>
              <w:rPr>
                <w:rFonts w:cs="Arial"/>
                <w:b/>
                <w:bCs/>
                <w:color w:val="FFFFFF"/>
                <w:sz w:val="18"/>
                <w:szCs w:val="18"/>
                <w:lang w:eastAsia="en-AU"/>
              </w:rPr>
            </w:pPr>
            <w:r w:rsidRPr="00C92185">
              <w:rPr>
                <w:rFonts w:cs="Arial"/>
                <w:b/>
                <w:bCs/>
                <w:color w:val="FFFFFF"/>
                <w:sz w:val="18"/>
                <w:szCs w:val="18"/>
                <w:lang w:eastAsia="en-AU"/>
              </w:rPr>
              <w:t>Q2 2011</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C92185" w:rsidRPr="00C92185" w:rsidRDefault="00C92185" w:rsidP="00F034AF">
            <w:pPr>
              <w:spacing w:after="0" w:line="240" w:lineRule="auto"/>
              <w:ind w:firstLineChars="100" w:firstLine="181"/>
              <w:jc w:val="right"/>
              <w:rPr>
                <w:rFonts w:cs="Arial"/>
                <w:b/>
                <w:bCs/>
                <w:color w:val="FFFFFF"/>
                <w:sz w:val="18"/>
                <w:szCs w:val="18"/>
                <w:lang w:eastAsia="en-AU"/>
              </w:rPr>
            </w:pPr>
            <w:r w:rsidRPr="00C92185">
              <w:rPr>
                <w:rFonts w:cs="Arial"/>
                <w:b/>
                <w:bCs/>
                <w:color w:val="FFFFFF"/>
                <w:sz w:val="18"/>
                <w:szCs w:val="18"/>
                <w:lang w:eastAsia="en-AU"/>
              </w:rPr>
              <w:t>Q2 2012</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C92185" w:rsidRPr="00C92185" w:rsidRDefault="00C92185" w:rsidP="00F034AF">
            <w:pPr>
              <w:spacing w:after="0" w:line="240" w:lineRule="auto"/>
              <w:ind w:firstLineChars="100" w:firstLine="181"/>
              <w:jc w:val="right"/>
              <w:rPr>
                <w:rFonts w:cs="Arial"/>
                <w:b/>
                <w:bCs/>
                <w:color w:val="FFFFFF"/>
                <w:sz w:val="18"/>
                <w:szCs w:val="18"/>
                <w:lang w:eastAsia="en-AU"/>
              </w:rPr>
            </w:pPr>
            <w:r w:rsidRPr="00C92185">
              <w:rPr>
                <w:rFonts w:cs="Arial"/>
                <w:b/>
                <w:bCs/>
                <w:color w:val="FFFFFF"/>
                <w:sz w:val="18"/>
                <w:szCs w:val="18"/>
                <w:lang w:eastAsia="en-AU"/>
              </w:rPr>
              <w:t>Q2 2013</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 change</w:t>
            </w:r>
            <w:r w:rsidRPr="00C92185">
              <w:rPr>
                <w:rFonts w:cs="Arial"/>
                <w:b/>
                <w:bCs/>
                <w:color w:val="FFFFFF"/>
                <w:sz w:val="18"/>
                <w:szCs w:val="18"/>
                <w:lang w:eastAsia="en-AU"/>
              </w:rPr>
              <w:br/>
              <w:t>Q2 2011-Q2 2013 </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 change</w:t>
            </w:r>
            <w:r w:rsidRPr="00C92185">
              <w:rPr>
                <w:rFonts w:cs="Arial"/>
                <w:b/>
                <w:bCs/>
                <w:color w:val="FFFFFF"/>
                <w:sz w:val="18"/>
                <w:szCs w:val="18"/>
                <w:lang w:eastAsia="en-AU"/>
              </w:rPr>
              <w:br/>
              <w:t>Q2 2012-Q2 2013</w:t>
            </w:r>
          </w:p>
        </w:tc>
      </w:tr>
      <w:tr w:rsidR="00C92185" w:rsidRPr="00C92185" w:rsidTr="00C92185">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C92185" w:rsidRPr="00C92185" w:rsidRDefault="00C92185" w:rsidP="00C92185">
            <w:pPr>
              <w:spacing w:after="0" w:line="240" w:lineRule="auto"/>
              <w:jc w:val="left"/>
              <w:rPr>
                <w:rFonts w:cs="Arial"/>
                <w:color w:val="3E5B00"/>
                <w:sz w:val="18"/>
                <w:szCs w:val="18"/>
                <w:lang w:eastAsia="en-AU"/>
              </w:rPr>
            </w:pPr>
            <w:r w:rsidRPr="00C92185">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25,200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27,100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24,200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-4%</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-10%</w:t>
            </w:r>
          </w:p>
        </w:tc>
      </w:tr>
      <w:tr w:rsidR="00C92185" w:rsidRPr="00C92185" w:rsidTr="00C92185">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C92185" w:rsidRPr="00C92185" w:rsidRDefault="00C92185" w:rsidP="00C92185">
            <w:pPr>
              <w:spacing w:after="0" w:line="240" w:lineRule="auto"/>
              <w:jc w:val="left"/>
              <w:rPr>
                <w:rFonts w:cs="Arial"/>
                <w:color w:val="3E5B00"/>
                <w:sz w:val="18"/>
                <w:szCs w:val="18"/>
                <w:lang w:eastAsia="en-AU"/>
              </w:rPr>
            </w:pPr>
            <w:r w:rsidRPr="00C92185">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22,100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27,200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23,300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6%</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-14%</w:t>
            </w:r>
          </w:p>
        </w:tc>
      </w:tr>
      <w:tr w:rsidR="00C92185" w:rsidRPr="00C92185" w:rsidTr="00C92185">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C92185" w:rsidRPr="00C92185" w:rsidRDefault="00C92185" w:rsidP="00C92185">
            <w:pPr>
              <w:spacing w:after="0" w:line="240" w:lineRule="auto"/>
              <w:jc w:val="left"/>
              <w:rPr>
                <w:rFonts w:cs="Arial"/>
                <w:color w:val="3E5B00"/>
                <w:sz w:val="18"/>
                <w:szCs w:val="18"/>
                <w:lang w:eastAsia="en-AU"/>
              </w:rPr>
            </w:pPr>
            <w:r w:rsidRPr="00C92185">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5,200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6,800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6,800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31%</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0%</w:t>
            </w:r>
          </w:p>
        </w:tc>
      </w:tr>
      <w:tr w:rsidR="00C92185" w:rsidRPr="00C92185" w:rsidTr="00C92185">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C92185" w:rsidRPr="00C92185" w:rsidRDefault="00C92185" w:rsidP="00C92185">
            <w:pPr>
              <w:spacing w:after="0" w:line="240" w:lineRule="auto"/>
              <w:jc w:val="left"/>
              <w:rPr>
                <w:rFonts w:cs="Arial"/>
                <w:color w:val="3E5B00"/>
                <w:sz w:val="18"/>
                <w:szCs w:val="18"/>
                <w:lang w:eastAsia="en-AU"/>
              </w:rPr>
            </w:pPr>
            <w:r w:rsidRPr="00C92185">
              <w:rPr>
                <w:rFonts w:cs="Arial"/>
                <w:color w:val="3E5B00"/>
                <w:sz w:val="18"/>
                <w:szCs w:val="18"/>
                <w:lang w:eastAsia="en-AU"/>
              </w:rPr>
              <w:t>Higher Education</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1,300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1,400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1,300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2%</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-4%</w:t>
            </w:r>
          </w:p>
        </w:tc>
      </w:tr>
      <w:tr w:rsidR="00C92185" w:rsidRPr="00C92185" w:rsidTr="00C92185">
        <w:trPr>
          <w:trHeight w:val="342"/>
        </w:trPr>
        <w:tc>
          <w:tcPr>
            <w:tcW w:w="2800" w:type="dxa"/>
            <w:tcBorders>
              <w:top w:val="nil"/>
              <w:left w:val="single" w:sz="4" w:space="0" w:color="5E8A00"/>
              <w:bottom w:val="nil"/>
              <w:right w:val="single" w:sz="4" w:space="0" w:color="5E8A00"/>
            </w:tcBorders>
            <w:shd w:val="clear" w:color="000000" w:fill="5E8A00"/>
            <w:noWrap/>
            <w:vAlign w:val="bottom"/>
            <w:hideMark/>
          </w:tcPr>
          <w:p w:rsidR="00C92185" w:rsidRPr="00C92185" w:rsidRDefault="00C92185" w:rsidP="00C92185">
            <w:pPr>
              <w:spacing w:after="0" w:line="240" w:lineRule="auto"/>
              <w:jc w:val="left"/>
              <w:rPr>
                <w:rFonts w:cs="Arial"/>
                <w:b/>
                <w:bCs/>
                <w:color w:val="FFFFFF"/>
                <w:sz w:val="18"/>
                <w:szCs w:val="18"/>
                <w:lang w:eastAsia="en-AU"/>
              </w:rPr>
            </w:pPr>
            <w:r w:rsidRPr="00C92185">
              <w:rPr>
                <w:rFonts w:cs="Arial"/>
                <w:b/>
                <w:bCs/>
                <w:color w:val="FFFFFF"/>
                <w:sz w:val="18"/>
                <w:szCs w:val="18"/>
                <w:lang w:eastAsia="en-AU"/>
              </w:rPr>
              <w:t>Total (</w:t>
            </w:r>
            <w:proofErr w:type="spellStart"/>
            <w:r w:rsidRPr="00C92185">
              <w:rPr>
                <w:rFonts w:cs="Arial"/>
                <w:b/>
                <w:bCs/>
                <w:color w:val="FFFFFF"/>
                <w:sz w:val="18"/>
                <w:szCs w:val="18"/>
                <w:lang w:eastAsia="en-AU"/>
              </w:rPr>
              <w:t>excl</w:t>
            </w:r>
            <w:proofErr w:type="spellEnd"/>
            <w:r w:rsidRPr="00C92185">
              <w:rPr>
                <w:rFonts w:cs="Arial"/>
                <w:b/>
                <w:bCs/>
                <w:color w:val="FFFFFF"/>
                <w:sz w:val="18"/>
                <w:szCs w:val="18"/>
                <w:lang w:eastAsia="en-AU"/>
              </w:rPr>
              <w:t xml:space="preserve"> foundation courses)</w:t>
            </w:r>
          </w:p>
        </w:tc>
        <w:tc>
          <w:tcPr>
            <w:tcW w:w="1120" w:type="dxa"/>
            <w:tcBorders>
              <w:top w:val="nil"/>
              <w:left w:val="nil"/>
              <w:bottom w:val="nil"/>
              <w:right w:val="single" w:sz="4" w:space="0" w:color="5E8A00"/>
            </w:tcBorders>
            <w:shd w:val="clear" w:color="000000" w:fill="5E8A00"/>
            <w:noWrap/>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 xml:space="preserve">53,666 </w:t>
            </w:r>
          </w:p>
        </w:tc>
        <w:tc>
          <w:tcPr>
            <w:tcW w:w="1120" w:type="dxa"/>
            <w:tcBorders>
              <w:top w:val="nil"/>
              <w:left w:val="nil"/>
              <w:bottom w:val="nil"/>
              <w:right w:val="single" w:sz="4" w:space="0" w:color="5E8A00"/>
            </w:tcBorders>
            <w:shd w:val="clear" w:color="000000" w:fill="5E8A00"/>
            <w:noWrap/>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 xml:space="preserve">62,370 </w:t>
            </w:r>
          </w:p>
        </w:tc>
        <w:tc>
          <w:tcPr>
            <w:tcW w:w="1120" w:type="dxa"/>
            <w:tcBorders>
              <w:top w:val="nil"/>
              <w:left w:val="nil"/>
              <w:bottom w:val="nil"/>
              <w:right w:val="single" w:sz="4" w:space="0" w:color="5E8A00"/>
            </w:tcBorders>
            <w:shd w:val="clear" w:color="000000" w:fill="5E8A00"/>
            <w:noWrap/>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 xml:space="preserve">55,606 </w:t>
            </w:r>
          </w:p>
        </w:tc>
        <w:tc>
          <w:tcPr>
            <w:tcW w:w="1120" w:type="dxa"/>
            <w:tcBorders>
              <w:top w:val="nil"/>
              <w:left w:val="nil"/>
              <w:bottom w:val="nil"/>
              <w:right w:val="single" w:sz="4" w:space="0" w:color="5E8A00"/>
            </w:tcBorders>
            <w:shd w:val="clear" w:color="000000" w:fill="5E8A00"/>
            <w:noWrap/>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4%</w:t>
            </w:r>
          </w:p>
        </w:tc>
        <w:tc>
          <w:tcPr>
            <w:tcW w:w="1120" w:type="dxa"/>
            <w:tcBorders>
              <w:top w:val="nil"/>
              <w:left w:val="nil"/>
              <w:bottom w:val="nil"/>
              <w:right w:val="single" w:sz="4" w:space="0" w:color="5E8A00"/>
            </w:tcBorders>
            <w:shd w:val="clear" w:color="000000" w:fill="5E8A00"/>
            <w:noWrap/>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-11%</w:t>
            </w:r>
          </w:p>
        </w:tc>
      </w:tr>
    </w:tbl>
    <w:p w:rsidR="006D4F92" w:rsidRPr="001F29E3" w:rsidRDefault="006D4F92" w:rsidP="00351166">
      <w:pPr>
        <w:rPr>
          <w:rFonts w:cs="Arial"/>
        </w:rPr>
      </w:pPr>
    </w:p>
    <w:p w:rsidR="00C92185" w:rsidRDefault="00C92185" w:rsidP="00C92185">
      <w:pPr>
        <w:pStyle w:val="Caption"/>
        <w:spacing w:after="0"/>
        <w:jc w:val="left"/>
        <w:rPr>
          <w:rFonts w:cs="Arial"/>
        </w:rPr>
      </w:pPr>
      <w:r w:rsidRPr="001F29E3">
        <w:rPr>
          <w:rFonts w:cs="Arial"/>
        </w:rPr>
        <w:t>Table 1.</w:t>
      </w:r>
      <w:r w:rsidR="00EA5ABC">
        <w:rPr>
          <w:rFonts w:cs="Arial"/>
        </w:rPr>
        <w:t>7</w:t>
      </w:r>
      <w:r>
        <w:rPr>
          <w:rFonts w:cs="Arial"/>
        </w:rPr>
        <w:t>.1</w:t>
      </w:r>
      <w:r w:rsidRPr="001F29E3">
        <w:rPr>
          <w:rFonts w:cs="Arial"/>
        </w:rPr>
        <w:t xml:space="preserve">: TAFE domestic fee for service enrolments </w:t>
      </w:r>
      <w:r>
        <w:rPr>
          <w:rFonts w:cs="Arial"/>
        </w:rPr>
        <w:t xml:space="preserve">(Foundation) </w:t>
      </w:r>
      <w:r w:rsidRPr="001F29E3">
        <w:rPr>
          <w:rFonts w:cs="Arial"/>
        </w:rPr>
        <w:t xml:space="preserve">by qualification level (AQF1+), </w:t>
      </w:r>
      <w:r w:rsidR="006B7941">
        <w:rPr>
          <w:rFonts w:cs="Arial"/>
        </w:rPr>
        <w:br/>
      </w:r>
      <w:r w:rsidRPr="001F29E3">
        <w:rPr>
          <w:rFonts w:cs="Arial"/>
        </w:rPr>
        <w:t>2008–2012</w:t>
      </w:r>
    </w:p>
    <w:tbl>
      <w:tblPr>
        <w:tblW w:w="9520" w:type="dxa"/>
        <w:tblInd w:w="103" w:type="dxa"/>
        <w:tblLook w:val="04A0" w:firstRow="1" w:lastRow="0" w:firstColumn="1" w:lastColumn="0" w:noHBand="0" w:noVBand="1"/>
      </w:tblPr>
      <w:tblGrid>
        <w:gridCol w:w="2800"/>
        <w:gridCol w:w="1120"/>
        <w:gridCol w:w="1120"/>
        <w:gridCol w:w="1120"/>
        <w:gridCol w:w="1120"/>
        <w:gridCol w:w="1120"/>
        <w:gridCol w:w="1120"/>
      </w:tblGrid>
      <w:tr w:rsidR="00C92185" w:rsidRPr="00C92185" w:rsidTr="00C92185">
        <w:trPr>
          <w:trHeight w:val="762"/>
        </w:trPr>
        <w:tc>
          <w:tcPr>
            <w:tcW w:w="2800" w:type="dxa"/>
            <w:tcBorders>
              <w:top w:val="single" w:sz="4" w:space="0" w:color="5E8A00"/>
              <w:left w:val="single" w:sz="4" w:space="0" w:color="5E8A00"/>
              <w:bottom w:val="single" w:sz="4" w:space="0" w:color="5E8A00"/>
              <w:right w:val="single" w:sz="4" w:space="0" w:color="5E8A00"/>
            </w:tcBorders>
            <w:shd w:val="clear" w:color="000000" w:fill="5E8A00"/>
            <w:noWrap/>
            <w:vAlign w:val="center"/>
            <w:hideMark/>
          </w:tcPr>
          <w:p w:rsidR="00C92185" w:rsidRPr="00C92185" w:rsidRDefault="00C92185" w:rsidP="00C92185">
            <w:pPr>
              <w:spacing w:after="0" w:line="240" w:lineRule="auto"/>
              <w:jc w:val="left"/>
              <w:rPr>
                <w:rFonts w:cs="Arial"/>
                <w:b/>
                <w:bCs/>
                <w:color w:val="FFFFFF"/>
                <w:sz w:val="18"/>
                <w:szCs w:val="18"/>
                <w:lang w:eastAsia="en-AU"/>
              </w:rPr>
            </w:pPr>
            <w:r w:rsidRPr="00C92185">
              <w:rPr>
                <w:rFonts w:cs="Arial"/>
                <w:b/>
                <w:bCs/>
                <w:color w:val="FFFFFF"/>
                <w:sz w:val="18"/>
                <w:szCs w:val="18"/>
                <w:lang w:eastAsia="en-AU"/>
              </w:rPr>
              <w:t>Qualification level</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C92185" w:rsidRPr="00C92185" w:rsidRDefault="00C92185" w:rsidP="00F034AF">
            <w:pPr>
              <w:spacing w:after="0" w:line="240" w:lineRule="auto"/>
              <w:ind w:firstLineChars="100" w:firstLine="181"/>
              <w:jc w:val="right"/>
              <w:rPr>
                <w:rFonts w:cs="Arial"/>
                <w:b/>
                <w:bCs/>
                <w:color w:val="FFFFFF"/>
                <w:sz w:val="18"/>
                <w:szCs w:val="18"/>
                <w:lang w:eastAsia="en-AU"/>
              </w:rPr>
            </w:pPr>
            <w:r w:rsidRPr="00C92185">
              <w:rPr>
                <w:rFonts w:cs="Arial"/>
                <w:b/>
                <w:bCs/>
                <w:color w:val="FFFFFF"/>
                <w:sz w:val="18"/>
                <w:szCs w:val="18"/>
                <w:lang w:eastAsia="en-AU"/>
              </w:rPr>
              <w:t>2008</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C92185" w:rsidRPr="00C92185" w:rsidRDefault="00C92185" w:rsidP="00F034AF">
            <w:pPr>
              <w:spacing w:after="0" w:line="240" w:lineRule="auto"/>
              <w:ind w:firstLineChars="100" w:firstLine="181"/>
              <w:jc w:val="right"/>
              <w:rPr>
                <w:rFonts w:cs="Arial"/>
                <w:b/>
                <w:bCs/>
                <w:color w:val="FFFFFF"/>
                <w:sz w:val="18"/>
                <w:szCs w:val="18"/>
                <w:lang w:eastAsia="en-AU"/>
              </w:rPr>
            </w:pPr>
            <w:r w:rsidRPr="00C92185">
              <w:rPr>
                <w:rFonts w:cs="Arial"/>
                <w:b/>
                <w:bCs/>
                <w:color w:val="FFFFFF"/>
                <w:sz w:val="18"/>
                <w:szCs w:val="18"/>
                <w:lang w:eastAsia="en-AU"/>
              </w:rPr>
              <w:t>2009</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C92185" w:rsidRPr="00C92185" w:rsidRDefault="00C92185" w:rsidP="00F034AF">
            <w:pPr>
              <w:spacing w:after="0" w:line="240" w:lineRule="auto"/>
              <w:ind w:firstLineChars="100" w:firstLine="181"/>
              <w:jc w:val="right"/>
              <w:rPr>
                <w:rFonts w:cs="Arial"/>
                <w:b/>
                <w:bCs/>
                <w:color w:val="FFFFFF"/>
                <w:sz w:val="18"/>
                <w:szCs w:val="18"/>
                <w:lang w:eastAsia="en-AU"/>
              </w:rPr>
            </w:pPr>
            <w:r w:rsidRPr="00C92185">
              <w:rPr>
                <w:rFonts w:cs="Arial"/>
                <w:b/>
                <w:bCs/>
                <w:color w:val="FFFFFF"/>
                <w:sz w:val="18"/>
                <w:szCs w:val="18"/>
                <w:lang w:eastAsia="en-AU"/>
              </w:rPr>
              <w:t>2010</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C92185" w:rsidRPr="00C92185" w:rsidRDefault="00C92185" w:rsidP="00F034AF">
            <w:pPr>
              <w:spacing w:after="0" w:line="240" w:lineRule="auto"/>
              <w:ind w:firstLineChars="100" w:firstLine="181"/>
              <w:jc w:val="right"/>
              <w:rPr>
                <w:rFonts w:cs="Arial"/>
                <w:b/>
                <w:bCs/>
                <w:color w:val="FFFFFF"/>
                <w:sz w:val="18"/>
                <w:szCs w:val="18"/>
                <w:lang w:eastAsia="en-AU"/>
              </w:rPr>
            </w:pPr>
            <w:r w:rsidRPr="00C92185">
              <w:rPr>
                <w:rFonts w:cs="Arial"/>
                <w:b/>
                <w:bCs/>
                <w:color w:val="FFFFFF"/>
                <w:sz w:val="18"/>
                <w:szCs w:val="18"/>
                <w:lang w:eastAsia="en-AU"/>
              </w:rPr>
              <w:t>2011</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C92185" w:rsidRPr="00C92185" w:rsidRDefault="00C92185" w:rsidP="00F034AF">
            <w:pPr>
              <w:spacing w:after="0" w:line="240" w:lineRule="auto"/>
              <w:ind w:firstLineChars="100" w:firstLine="181"/>
              <w:jc w:val="right"/>
              <w:rPr>
                <w:rFonts w:cs="Arial"/>
                <w:b/>
                <w:bCs/>
                <w:color w:val="FFFFFF"/>
                <w:sz w:val="18"/>
                <w:szCs w:val="18"/>
                <w:lang w:eastAsia="en-AU"/>
              </w:rPr>
            </w:pPr>
            <w:r w:rsidRPr="00C92185">
              <w:rPr>
                <w:rFonts w:cs="Arial"/>
                <w:b/>
                <w:bCs/>
                <w:color w:val="FFFFFF"/>
                <w:sz w:val="18"/>
                <w:szCs w:val="18"/>
                <w:lang w:eastAsia="en-AU"/>
              </w:rPr>
              <w:t>2012</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 change</w:t>
            </w:r>
            <w:r w:rsidRPr="00C92185">
              <w:rPr>
                <w:rFonts w:cs="Arial"/>
                <w:b/>
                <w:bCs/>
                <w:color w:val="FFFFFF"/>
                <w:sz w:val="18"/>
                <w:szCs w:val="18"/>
                <w:lang w:eastAsia="en-AU"/>
              </w:rPr>
              <w:br/>
              <w:t>2008-2012</w:t>
            </w:r>
          </w:p>
        </w:tc>
      </w:tr>
      <w:tr w:rsidR="00C92185" w:rsidRPr="00C92185" w:rsidTr="00C92185">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C92185" w:rsidRPr="00C92185" w:rsidRDefault="00C92185" w:rsidP="00C92185">
            <w:pPr>
              <w:spacing w:after="0" w:line="240" w:lineRule="auto"/>
              <w:jc w:val="left"/>
              <w:rPr>
                <w:rFonts w:cs="Arial"/>
                <w:color w:val="3E5B00"/>
                <w:sz w:val="18"/>
                <w:szCs w:val="18"/>
                <w:lang w:eastAsia="en-AU"/>
              </w:rPr>
            </w:pPr>
            <w:r w:rsidRPr="00C92185">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8,100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7,200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7,300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6,300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11,500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42%</w:t>
            </w:r>
          </w:p>
        </w:tc>
      </w:tr>
      <w:tr w:rsidR="00C92185" w:rsidRPr="00C92185" w:rsidTr="00C92185">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C92185" w:rsidRPr="00C92185" w:rsidRDefault="00C92185" w:rsidP="00C92185">
            <w:pPr>
              <w:spacing w:after="0" w:line="240" w:lineRule="auto"/>
              <w:jc w:val="left"/>
              <w:rPr>
                <w:rFonts w:cs="Arial"/>
                <w:color w:val="3E5B00"/>
                <w:sz w:val="18"/>
                <w:szCs w:val="18"/>
                <w:lang w:eastAsia="en-AU"/>
              </w:rPr>
            </w:pPr>
            <w:r w:rsidRPr="00C92185">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1,700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2,200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2,100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1,900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 xml:space="preserve">2,500 </w:t>
            </w:r>
          </w:p>
        </w:tc>
        <w:tc>
          <w:tcPr>
            <w:tcW w:w="1120" w:type="dxa"/>
            <w:tcBorders>
              <w:top w:val="nil"/>
              <w:left w:val="nil"/>
              <w:bottom w:val="single" w:sz="4" w:space="0" w:color="5E8A00"/>
              <w:right w:val="single" w:sz="4" w:space="0" w:color="5E8A00"/>
            </w:tcBorders>
            <w:shd w:val="clear" w:color="auto" w:fill="auto"/>
            <w:noWrap/>
            <w:vAlign w:val="center"/>
            <w:hideMark/>
          </w:tcPr>
          <w:p w:rsidR="00C92185" w:rsidRPr="00C92185" w:rsidRDefault="00C92185" w:rsidP="00C92185">
            <w:pPr>
              <w:spacing w:after="0" w:line="240" w:lineRule="auto"/>
              <w:jc w:val="right"/>
              <w:rPr>
                <w:rFonts w:cs="Arial"/>
                <w:sz w:val="18"/>
                <w:szCs w:val="18"/>
                <w:lang w:eastAsia="en-AU"/>
              </w:rPr>
            </w:pPr>
            <w:r w:rsidRPr="00C92185">
              <w:rPr>
                <w:rFonts w:cs="Arial"/>
                <w:sz w:val="18"/>
                <w:szCs w:val="18"/>
                <w:lang w:eastAsia="en-AU"/>
              </w:rPr>
              <w:t>40%</w:t>
            </w:r>
          </w:p>
        </w:tc>
      </w:tr>
      <w:tr w:rsidR="00C92185" w:rsidRPr="00C92185" w:rsidTr="00C92185">
        <w:trPr>
          <w:trHeight w:val="342"/>
        </w:trPr>
        <w:tc>
          <w:tcPr>
            <w:tcW w:w="2800" w:type="dxa"/>
            <w:tcBorders>
              <w:top w:val="nil"/>
              <w:left w:val="single" w:sz="4" w:space="0" w:color="5E8A00"/>
              <w:bottom w:val="nil"/>
              <w:right w:val="single" w:sz="4" w:space="0" w:color="5E8A00"/>
            </w:tcBorders>
            <w:shd w:val="clear" w:color="000000" w:fill="5E8A00"/>
            <w:noWrap/>
            <w:vAlign w:val="bottom"/>
            <w:hideMark/>
          </w:tcPr>
          <w:p w:rsidR="00C92185" w:rsidRPr="00C92185" w:rsidRDefault="00C92185" w:rsidP="00C92185">
            <w:pPr>
              <w:spacing w:after="0" w:line="240" w:lineRule="auto"/>
              <w:jc w:val="left"/>
              <w:rPr>
                <w:rFonts w:cs="Arial"/>
                <w:b/>
                <w:bCs/>
                <w:color w:val="FFFFFF"/>
                <w:sz w:val="18"/>
                <w:szCs w:val="18"/>
                <w:lang w:eastAsia="en-AU"/>
              </w:rPr>
            </w:pPr>
            <w:r w:rsidRPr="00C92185">
              <w:rPr>
                <w:rFonts w:cs="Arial"/>
                <w:b/>
                <w:bCs/>
                <w:color w:val="FFFFFF"/>
                <w:sz w:val="18"/>
                <w:szCs w:val="18"/>
                <w:lang w:eastAsia="en-AU"/>
              </w:rPr>
              <w:t>Total</w:t>
            </w:r>
          </w:p>
        </w:tc>
        <w:tc>
          <w:tcPr>
            <w:tcW w:w="1120" w:type="dxa"/>
            <w:tcBorders>
              <w:top w:val="nil"/>
              <w:left w:val="nil"/>
              <w:bottom w:val="nil"/>
              <w:right w:val="single" w:sz="4" w:space="0" w:color="5E8A00"/>
            </w:tcBorders>
            <w:shd w:val="clear" w:color="000000" w:fill="5E8A00"/>
            <w:noWrap/>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 xml:space="preserve">9,900 </w:t>
            </w:r>
          </w:p>
        </w:tc>
        <w:tc>
          <w:tcPr>
            <w:tcW w:w="1120" w:type="dxa"/>
            <w:tcBorders>
              <w:top w:val="nil"/>
              <w:left w:val="nil"/>
              <w:bottom w:val="nil"/>
              <w:right w:val="single" w:sz="4" w:space="0" w:color="5E8A00"/>
            </w:tcBorders>
            <w:shd w:val="clear" w:color="000000" w:fill="5E8A00"/>
            <w:noWrap/>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 xml:space="preserve">9,400 </w:t>
            </w:r>
          </w:p>
        </w:tc>
        <w:tc>
          <w:tcPr>
            <w:tcW w:w="1120" w:type="dxa"/>
            <w:tcBorders>
              <w:top w:val="nil"/>
              <w:left w:val="nil"/>
              <w:bottom w:val="nil"/>
              <w:right w:val="single" w:sz="4" w:space="0" w:color="5E8A00"/>
            </w:tcBorders>
            <w:shd w:val="clear" w:color="000000" w:fill="5E8A00"/>
            <w:noWrap/>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 xml:space="preserve">9,400 </w:t>
            </w:r>
          </w:p>
        </w:tc>
        <w:tc>
          <w:tcPr>
            <w:tcW w:w="1120" w:type="dxa"/>
            <w:tcBorders>
              <w:top w:val="nil"/>
              <w:left w:val="nil"/>
              <w:bottom w:val="nil"/>
              <w:right w:val="single" w:sz="4" w:space="0" w:color="5E8A00"/>
            </w:tcBorders>
            <w:shd w:val="clear" w:color="000000" w:fill="5E8A00"/>
            <w:noWrap/>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 xml:space="preserve">8,100 </w:t>
            </w:r>
          </w:p>
        </w:tc>
        <w:tc>
          <w:tcPr>
            <w:tcW w:w="1120" w:type="dxa"/>
            <w:tcBorders>
              <w:top w:val="nil"/>
              <w:left w:val="nil"/>
              <w:bottom w:val="nil"/>
              <w:right w:val="single" w:sz="4" w:space="0" w:color="5E8A00"/>
            </w:tcBorders>
            <w:shd w:val="clear" w:color="000000" w:fill="5E8A00"/>
            <w:noWrap/>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 xml:space="preserve">13,900 </w:t>
            </w:r>
          </w:p>
        </w:tc>
        <w:tc>
          <w:tcPr>
            <w:tcW w:w="1120" w:type="dxa"/>
            <w:tcBorders>
              <w:top w:val="nil"/>
              <w:left w:val="nil"/>
              <w:bottom w:val="nil"/>
              <w:right w:val="single" w:sz="4" w:space="0" w:color="5E8A00"/>
            </w:tcBorders>
            <w:shd w:val="clear" w:color="000000" w:fill="5E8A00"/>
            <w:noWrap/>
            <w:vAlign w:val="center"/>
            <w:hideMark/>
          </w:tcPr>
          <w:p w:rsidR="00C92185" w:rsidRPr="00C92185" w:rsidRDefault="00C92185" w:rsidP="00C92185">
            <w:pPr>
              <w:spacing w:after="0" w:line="240" w:lineRule="auto"/>
              <w:jc w:val="right"/>
              <w:rPr>
                <w:rFonts w:cs="Arial"/>
                <w:b/>
                <w:bCs/>
                <w:color w:val="FFFFFF"/>
                <w:sz w:val="18"/>
                <w:szCs w:val="18"/>
                <w:lang w:eastAsia="en-AU"/>
              </w:rPr>
            </w:pPr>
            <w:r w:rsidRPr="00C92185">
              <w:rPr>
                <w:rFonts w:cs="Arial"/>
                <w:b/>
                <w:bCs/>
                <w:color w:val="FFFFFF"/>
                <w:sz w:val="18"/>
                <w:szCs w:val="18"/>
                <w:lang w:eastAsia="en-AU"/>
              </w:rPr>
              <w:t>41%</w:t>
            </w:r>
          </w:p>
        </w:tc>
      </w:tr>
    </w:tbl>
    <w:p w:rsidR="00C92185" w:rsidRDefault="00C92185" w:rsidP="002F7717">
      <w:pPr>
        <w:jc w:val="left"/>
        <w:rPr>
          <w:rFonts w:cs="Arial"/>
        </w:rPr>
      </w:pPr>
    </w:p>
    <w:p w:rsidR="00592C57" w:rsidRDefault="00592C57">
      <w:pPr>
        <w:spacing w:after="0" w:line="240" w:lineRule="auto"/>
        <w:jc w:val="left"/>
        <w:rPr>
          <w:rFonts w:cs="Arial"/>
        </w:rPr>
      </w:pPr>
    </w:p>
    <w:p w:rsidR="00592C57" w:rsidRPr="001F29E3" w:rsidRDefault="00EA5ABC" w:rsidP="00592C57">
      <w:pPr>
        <w:pStyle w:val="Caption"/>
        <w:spacing w:after="0"/>
        <w:jc w:val="left"/>
        <w:rPr>
          <w:rFonts w:cs="Arial"/>
        </w:rPr>
      </w:pPr>
      <w:r>
        <w:rPr>
          <w:rFonts w:cs="Arial"/>
        </w:rPr>
        <w:t>Table 1.7</w:t>
      </w:r>
      <w:r w:rsidR="00592C57">
        <w:rPr>
          <w:rFonts w:cs="Arial"/>
        </w:rPr>
        <w:t>.2</w:t>
      </w:r>
      <w:r w:rsidR="00592C57" w:rsidRPr="001F29E3">
        <w:rPr>
          <w:rFonts w:cs="Arial"/>
        </w:rPr>
        <w:t xml:space="preserve">: TAFE domestic fee for service enrolments </w:t>
      </w:r>
      <w:r w:rsidR="00592C57">
        <w:rPr>
          <w:rFonts w:cs="Arial"/>
        </w:rPr>
        <w:t xml:space="preserve">(Foundation) </w:t>
      </w:r>
      <w:r w:rsidR="00592C57" w:rsidRPr="001F29E3">
        <w:rPr>
          <w:rFonts w:cs="Arial"/>
        </w:rPr>
        <w:t xml:space="preserve">by qualification level (AQF1+), </w:t>
      </w:r>
      <w:r w:rsidR="006B7941">
        <w:rPr>
          <w:rFonts w:cs="Arial"/>
        </w:rPr>
        <w:br/>
      </w:r>
      <w:r w:rsidR="00592C57" w:rsidRPr="001F29E3">
        <w:rPr>
          <w:rFonts w:cs="Arial"/>
        </w:rPr>
        <w:t>Q</w:t>
      </w:r>
      <w:r w:rsidR="00592C57">
        <w:rPr>
          <w:rFonts w:cs="Arial"/>
        </w:rPr>
        <w:t>2</w:t>
      </w:r>
      <w:r w:rsidR="00592C57" w:rsidRPr="001F29E3">
        <w:rPr>
          <w:rFonts w:cs="Arial"/>
        </w:rPr>
        <w:t xml:space="preserve"> 201</w:t>
      </w:r>
      <w:r w:rsidR="00592C57">
        <w:rPr>
          <w:rFonts w:cs="Arial"/>
        </w:rPr>
        <w:t>1, Q2 2012</w:t>
      </w:r>
      <w:r w:rsidR="00592C57" w:rsidRPr="001F29E3">
        <w:rPr>
          <w:rFonts w:cs="Arial"/>
        </w:rPr>
        <w:t xml:space="preserve"> and Q</w:t>
      </w:r>
      <w:r w:rsidR="00592C57">
        <w:rPr>
          <w:rFonts w:cs="Arial"/>
        </w:rPr>
        <w:t>2</w:t>
      </w:r>
      <w:r w:rsidR="00592C57" w:rsidRPr="001F29E3">
        <w:rPr>
          <w:rFonts w:cs="Arial"/>
        </w:rPr>
        <w:t xml:space="preserve"> 2013</w:t>
      </w:r>
    </w:p>
    <w:tbl>
      <w:tblPr>
        <w:tblW w:w="8400" w:type="dxa"/>
        <w:tblInd w:w="103" w:type="dxa"/>
        <w:tblLook w:val="04A0" w:firstRow="1" w:lastRow="0" w:firstColumn="1" w:lastColumn="0" w:noHBand="0" w:noVBand="1"/>
      </w:tblPr>
      <w:tblGrid>
        <w:gridCol w:w="2800"/>
        <w:gridCol w:w="1120"/>
        <w:gridCol w:w="1120"/>
        <w:gridCol w:w="1120"/>
        <w:gridCol w:w="1120"/>
        <w:gridCol w:w="1120"/>
      </w:tblGrid>
      <w:tr w:rsidR="00592C57" w:rsidRPr="00592C57" w:rsidTr="00592C57">
        <w:trPr>
          <w:trHeight w:val="762"/>
        </w:trPr>
        <w:tc>
          <w:tcPr>
            <w:tcW w:w="2800" w:type="dxa"/>
            <w:tcBorders>
              <w:top w:val="single" w:sz="4" w:space="0" w:color="5E8A00"/>
              <w:left w:val="single" w:sz="4" w:space="0" w:color="5E8A00"/>
              <w:bottom w:val="single" w:sz="4" w:space="0" w:color="5E8A00"/>
              <w:right w:val="single" w:sz="4" w:space="0" w:color="5E8A00"/>
            </w:tcBorders>
            <w:shd w:val="clear" w:color="000000" w:fill="5E8A00"/>
            <w:noWrap/>
            <w:vAlign w:val="center"/>
            <w:hideMark/>
          </w:tcPr>
          <w:p w:rsidR="00592C57" w:rsidRPr="00592C57" w:rsidRDefault="00592C57" w:rsidP="00592C57">
            <w:pPr>
              <w:spacing w:after="0" w:line="240" w:lineRule="auto"/>
              <w:jc w:val="left"/>
              <w:rPr>
                <w:rFonts w:cs="Arial"/>
                <w:b/>
                <w:bCs/>
                <w:color w:val="FFFFFF"/>
                <w:sz w:val="18"/>
                <w:szCs w:val="18"/>
                <w:lang w:eastAsia="en-AU"/>
              </w:rPr>
            </w:pPr>
            <w:r w:rsidRPr="00592C57">
              <w:rPr>
                <w:rFonts w:cs="Arial"/>
                <w:b/>
                <w:bCs/>
                <w:color w:val="FFFFFF"/>
                <w:sz w:val="18"/>
                <w:szCs w:val="18"/>
                <w:lang w:eastAsia="en-AU"/>
              </w:rPr>
              <w:t>Qualification level</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592C57" w:rsidRPr="00592C57" w:rsidRDefault="00592C57" w:rsidP="00F034AF">
            <w:pPr>
              <w:spacing w:after="0" w:line="240" w:lineRule="auto"/>
              <w:ind w:firstLineChars="100" w:firstLine="181"/>
              <w:jc w:val="right"/>
              <w:rPr>
                <w:rFonts w:cs="Arial"/>
                <w:b/>
                <w:bCs/>
                <w:color w:val="FFFFFF"/>
                <w:sz w:val="18"/>
                <w:szCs w:val="18"/>
                <w:lang w:eastAsia="en-AU"/>
              </w:rPr>
            </w:pPr>
            <w:r w:rsidRPr="00592C57">
              <w:rPr>
                <w:rFonts w:cs="Arial"/>
                <w:b/>
                <w:bCs/>
                <w:color w:val="FFFFFF"/>
                <w:sz w:val="18"/>
                <w:szCs w:val="18"/>
                <w:lang w:eastAsia="en-AU"/>
              </w:rPr>
              <w:t>Q2 2011</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592C57" w:rsidRPr="00592C57" w:rsidRDefault="00592C57" w:rsidP="00F034AF">
            <w:pPr>
              <w:spacing w:after="0" w:line="240" w:lineRule="auto"/>
              <w:ind w:firstLineChars="100" w:firstLine="181"/>
              <w:jc w:val="right"/>
              <w:rPr>
                <w:rFonts w:cs="Arial"/>
                <w:b/>
                <w:bCs/>
                <w:color w:val="FFFFFF"/>
                <w:sz w:val="18"/>
                <w:szCs w:val="18"/>
                <w:lang w:eastAsia="en-AU"/>
              </w:rPr>
            </w:pPr>
            <w:r w:rsidRPr="00592C57">
              <w:rPr>
                <w:rFonts w:cs="Arial"/>
                <w:b/>
                <w:bCs/>
                <w:color w:val="FFFFFF"/>
                <w:sz w:val="18"/>
                <w:szCs w:val="18"/>
                <w:lang w:eastAsia="en-AU"/>
              </w:rPr>
              <w:t>Q2 2012</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592C57" w:rsidRPr="00592C57" w:rsidRDefault="00592C57" w:rsidP="00F034AF">
            <w:pPr>
              <w:spacing w:after="0" w:line="240" w:lineRule="auto"/>
              <w:ind w:firstLineChars="100" w:firstLine="181"/>
              <w:jc w:val="right"/>
              <w:rPr>
                <w:rFonts w:cs="Arial"/>
                <w:b/>
                <w:bCs/>
                <w:color w:val="FFFFFF"/>
                <w:sz w:val="18"/>
                <w:szCs w:val="18"/>
                <w:lang w:eastAsia="en-AU"/>
              </w:rPr>
            </w:pPr>
            <w:r w:rsidRPr="00592C57">
              <w:rPr>
                <w:rFonts w:cs="Arial"/>
                <w:b/>
                <w:bCs/>
                <w:color w:val="FFFFFF"/>
                <w:sz w:val="18"/>
                <w:szCs w:val="18"/>
                <w:lang w:eastAsia="en-AU"/>
              </w:rPr>
              <w:t>Q2 2013</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592C57" w:rsidRPr="00592C57" w:rsidRDefault="00592C57" w:rsidP="00592C57">
            <w:pPr>
              <w:spacing w:after="0" w:line="240" w:lineRule="auto"/>
              <w:jc w:val="right"/>
              <w:rPr>
                <w:rFonts w:cs="Arial"/>
                <w:b/>
                <w:bCs/>
                <w:color w:val="FFFFFF"/>
                <w:sz w:val="18"/>
                <w:szCs w:val="18"/>
                <w:lang w:eastAsia="en-AU"/>
              </w:rPr>
            </w:pPr>
            <w:r w:rsidRPr="00592C57">
              <w:rPr>
                <w:rFonts w:cs="Arial"/>
                <w:b/>
                <w:bCs/>
                <w:color w:val="FFFFFF"/>
                <w:sz w:val="18"/>
                <w:szCs w:val="18"/>
                <w:lang w:eastAsia="en-AU"/>
              </w:rPr>
              <w:t>% change</w:t>
            </w:r>
            <w:r w:rsidRPr="00592C57">
              <w:rPr>
                <w:rFonts w:cs="Arial"/>
                <w:b/>
                <w:bCs/>
                <w:color w:val="FFFFFF"/>
                <w:sz w:val="18"/>
                <w:szCs w:val="18"/>
                <w:lang w:eastAsia="en-AU"/>
              </w:rPr>
              <w:br/>
              <w:t>Q2 2011-Q2 2013 </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592C57" w:rsidRPr="00592C57" w:rsidRDefault="00592C57" w:rsidP="00592C57">
            <w:pPr>
              <w:spacing w:after="0" w:line="240" w:lineRule="auto"/>
              <w:jc w:val="right"/>
              <w:rPr>
                <w:rFonts w:cs="Arial"/>
                <w:b/>
                <w:bCs/>
                <w:color w:val="FFFFFF"/>
                <w:sz w:val="18"/>
                <w:szCs w:val="18"/>
                <w:lang w:eastAsia="en-AU"/>
              </w:rPr>
            </w:pPr>
            <w:r w:rsidRPr="00592C57">
              <w:rPr>
                <w:rFonts w:cs="Arial"/>
                <w:b/>
                <w:bCs/>
                <w:color w:val="FFFFFF"/>
                <w:sz w:val="18"/>
                <w:szCs w:val="18"/>
                <w:lang w:eastAsia="en-AU"/>
              </w:rPr>
              <w:t>% change</w:t>
            </w:r>
            <w:r w:rsidRPr="00592C57">
              <w:rPr>
                <w:rFonts w:cs="Arial"/>
                <w:b/>
                <w:bCs/>
                <w:color w:val="FFFFFF"/>
                <w:sz w:val="18"/>
                <w:szCs w:val="18"/>
                <w:lang w:eastAsia="en-AU"/>
              </w:rPr>
              <w:br/>
              <w:t>Q2 2012-Q2 2013</w:t>
            </w:r>
          </w:p>
        </w:tc>
      </w:tr>
      <w:tr w:rsidR="00592C57" w:rsidRPr="00592C57" w:rsidTr="00592C57">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592C57" w:rsidRPr="00592C57" w:rsidRDefault="00592C57" w:rsidP="00592C57">
            <w:pPr>
              <w:spacing w:after="0" w:line="240" w:lineRule="auto"/>
              <w:jc w:val="left"/>
              <w:rPr>
                <w:rFonts w:cs="Arial"/>
                <w:color w:val="3E5B00"/>
                <w:sz w:val="18"/>
                <w:szCs w:val="18"/>
                <w:lang w:eastAsia="en-AU"/>
              </w:rPr>
            </w:pPr>
            <w:r w:rsidRPr="00592C57">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592C57" w:rsidRPr="00592C57" w:rsidRDefault="00592C57" w:rsidP="00592C57">
            <w:pPr>
              <w:spacing w:after="0" w:line="240" w:lineRule="auto"/>
              <w:jc w:val="right"/>
              <w:rPr>
                <w:rFonts w:cs="Arial"/>
                <w:sz w:val="18"/>
                <w:szCs w:val="18"/>
                <w:lang w:eastAsia="en-AU"/>
              </w:rPr>
            </w:pPr>
            <w:r w:rsidRPr="00592C57">
              <w:rPr>
                <w:rFonts w:cs="Arial"/>
                <w:sz w:val="18"/>
                <w:szCs w:val="18"/>
                <w:lang w:eastAsia="en-AU"/>
              </w:rPr>
              <w:t xml:space="preserve">3,500 </w:t>
            </w:r>
          </w:p>
        </w:tc>
        <w:tc>
          <w:tcPr>
            <w:tcW w:w="1120" w:type="dxa"/>
            <w:tcBorders>
              <w:top w:val="nil"/>
              <w:left w:val="nil"/>
              <w:bottom w:val="single" w:sz="4" w:space="0" w:color="5E8A00"/>
              <w:right w:val="single" w:sz="4" w:space="0" w:color="5E8A00"/>
            </w:tcBorders>
            <w:shd w:val="clear" w:color="auto" w:fill="auto"/>
            <w:noWrap/>
            <w:vAlign w:val="center"/>
            <w:hideMark/>
          </w:tcPr>
          <w:p w:rsidR="00592C57" w:rsidRPr="00592C57" w:rsidRDefault="00592C57" w:rsidP="00592C57">
            <w:pPr>
              <w:spacing w:after="0" w:line="240" w:lineRule="auto"/>
              <w:jc w:val="right"/>
              <w:rPr>
                <w:rFonts w:cs="Arial"/>
                <w:sz w:val="18"/>
                <w:szCs w:val="18"/>
                <w:lang w:eastAsia="en-AU"/>
              </w:rPr>
            </w:pPr>
            <w:r w:rsidRPr="00592C57">
              <w:rPr>
                <w:rFonts w:cs="Arial"/>
                <w:sz w:val="18"/>
                <w:szCs w:val="18"/>
                <w:lang w:eastAsia="en-AU"/>
              </w:rPr>
              <w:t xml:space="preserve">6,700 </w:t>
            </w:r>
          </w:p>
        </w:tc>
        <w:tc>
          <w:tcPr>
            <w:tcW w:w="1120" w:type="dxa"/>
            <w:tcBorders>
              <w:top w:val="nil"/>
              <w:left w:val="nil"/>
              <w:bottom w:val="single" w:sz="4" w:space="0" w:color="5E8A00"/>
              <w:right w:val="single" w:sz="4" w:space="0" w:color="5E8A00"/>
            </w:tcBorders>
            <w:shd w:val="clear" w:color="auto" w:fill="auto"/>
            <w:noWrap/>
            <w:vAlign w:val="center"/>
            <w:hideMark/>
          </w:tcPr>
          <w:p w:rsidR="00592C57" w:rsidRPr="00592C57" w:rsidRDefault="00592C57" w:rsidP="00592C57">
            <w:pPr>
              <w:spacing w:after="0" w:line="240" w:lineRule="auto"/>
              <w:jc w:val="right"/>
              <w:rPr>
                <w:rFonts w:cs="Arial"/>
                <w:sz w:val="18"/>
                <w:szCs w:val="18"/>
                <w:lang w:eastAsia="en-AU"/>
              </w:rPr>
            </w:pPr>
            <w:r w:rsidRPr="00592C57">
              <w:rPr>
                <w:rFonts w:cs="Arial"/>
                <w:sz w:val="18"/>
                <w:szCs w:val="18"/>
                <w:lang w:eastAsia="en-AU"/>
              </w:rPr>
              <w:t xml:space="preserve">7,400 </w:t>
            </w:r>
          </w:p>
        </w:tc>
        <w:tc>
          <w:tcPr>
            <w:tcW w:w="1120" w:type="dxa"/>
            <w:tcBorders>
              <w:top w:val="nil"/>
              <w:left w:val="nil"/>
              <w:bottom w:val="single" w:sz="4" w:space="0" w:color="5E8A00"/>
              <w:right w:val="single" w:sz="4" w:space="0" w:color="5E8A00"/>
            </w:tcBorders>
            <w:shd w:val="clear" w:color="auto" w:fill="auto"/>
            <w:noWrap/>
            <w:vAlign w:val="center"/>
            <w:hideMark/>
          </w:tcPr>
          <w:p w:rsidR="00592C57" w:rsidRPr="00592C57" w:rsidRDefault="00592C57" w:rsidP="00592C57">
            <w:pPr>
              <w:spacing w:after="0" w:line="240" w:lineRule="auto"/>
              <w:jc w:val="right"/>
              <w:rPr>
                <w:rFonts w:cs="Arial"/>
                <w:sz w:val="18"/>
                <w:szCs w:val="18"/>
                <w:lang w:eastAsia="en-AU"/>
              </w:rPr>
            </w:pPr>
            <w:r w:rsidRPr="00592C57">
              <w:rPr>
                <w:rFonts w:cs="Arial"/>
                <w:sz w:val="18"/>
                <w:szCs w:val="18"/>
                <w:lang w:eastAsia="en-AU"/>
              </w:rPr>
              <w:t>112%</w:t>
            </w:r>
          </w:p>
        </w:tc>
        <w:tc>
          <w:tcPr>
            <w:tcW w:w="1120" w:type="dxa"/>
            <w:tcBorders>
              <w:top w:val="nil"/>
              <w:left w:val="nil"/>
              <w:bottom w:val="single" w:sz="4" w:space="0" w:color="5E8A00"/>
              <w:right w:val="single" w:sz="4" w:space="0" w:color="5E8A00"/>
            </w:tcBorders>
            <w:shd w:val="clear" w:color="auto" w:fill="auto"/>
            <w:noWrap/>
            <w:vAlign w:val="center"/>
            <w:hideMark/>
          </w:tcPr>
          <w:p w:rsidR="00592C57" w:rsidRPr="00592C57" w:rsidRDefault="00592C57" w:rsidP="00592C57">
            <w:pPr>
              <w:spacing w:after="0" w:line="240" w:lineRule="auto"/>
              <w:jc w:val="right"/>
              <w:rPr>
                <w:rFonts w:cs="Arial"/>
                <w:sz w:val="18"/>
                <w:szCs w:val="18"/>
                <w:lang w:eastAsia="en-AU"/>
              </w:rPr>
            </w:pPr>
            <w:r w:rsidRPr="00592C57">
              <w:rPr>
                <w:rFonts w:cs="Arial"/>
                <w:sz w:val="18"/>
                <w:szCs w:val="18"/>
                <w:lang w:eastAsia="en-AU"/>
              </w:rPr>
              <w:t>11%</w:t>
            </w:r>
          </w:p>
        </w:tc>
      </w:tr>
      <w:tr w:rsidR="00592C57" w:rsidRPr="00592C57" w:rsidTr="00592C57">
        <w:trPr>
          <w:trHeight w:val="342"/>
        </w:trPr>
        <w:tc>
          <w:tcPr>
            <w:tcW w:w="2800" w:type="dxa"/>
            <w:tcBorders>
              <w:top w:val="nil"/>
              <w:left w:val="single" w:sz="4" w:space="0" w:color="5E8A00"/>
              <w:bottom w:val="single" w:sz="4" w:space="0" w:color="5E8A00"/>
              <w:right w:val="single" w:sz="4" w:space="0" w:color="5E8A00"/>
            </w:tcBorders>
            <w:shd w:val="clear" w:color="000000" w:fill="FFFFFF"/>
            <w:noWrap/>
            <w:vAlign w:val="bottom"/>
            <w:hideMark/>
          </w:tcPr>
          <w:p w:rsidR="00592C57" w:rsidRPr="00592C57" w:rsidRDefault="00592C57" w:rsidP="00592C57">
            <w:pPr>
              <w:spacing w:after="0" w:line="240" w:lineRule="auto"/>
              <w:jc w:val="left"/>
              <w:rPr>
                <w:rFonts w:cs="Arial"/>
                <w:color w:val="3E5B00"/>
                <w:sz w:val="18"/>
                <w:szCs w:val="18"/>
                <w:lang w:eastAsia="en-AU"/>
              </w:rPr>
            </w:pPr>
            <w:r w:rsidRPr="00592C57">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592C57" w:rsidRPr="00592C57" w:rsidRDefault="00592C57" w:rsidP="00592C57">
            <w:pPr>
              <w:spacing w:after="0" w:line="240" w:lineRule="auto"/>
              <w:jc w:val="right"/>
              <w:rPr>
                <w:rFonts w:cs="Arial"/>
                <w:sz w:val="18"/>
                <w:szCs w:val="18"/>
                <w:lang w:eastAsia="en-AU"/>
              </w:rPr>
            </w:pPr>
            <w:r w:rsidRPr="00592C57">
              <w:rPr>
                <w:rFonts w:cs="Arial"/>
                <w:sz w:val="18"/>
                <w:szCs w:val="18"/>
                <w:lang w:eastAsia="en-AU"/>
              </w:rPr>
              <w:t xml:space="preserve">1,000 </w:t>
            </w:r>
          </w:p>
        </w:tc>
        <w:tc>
          <w:tcPr>
            <w:tcW w:w="1120" w:type="dxa"/>
            <w:tcBorders>
              <w:top w:val="nil"/>
              <w:left w:val="nil"/>
              <w:bottom w:val="single" w:sz="4" w:space="0" w:color="5E8A00"/>
              <w:right w:val="single" w:sz="4" w:space="0" w:color="5E8A00"/>
            </w:tcBorders>
            <w:shd w:val="clear" w:color="auto" w:fill="auto"/>
            <w:noWrap/>
            <w:vAlign w:val="center"/>
            <w:hideMark/>
          </w:tcPr>
          <w:p w:rsidR="00592C57" w:rsidRPr="00592C57" w:rsidRDefault="00592C57" w:rsidP="00592C57">
            <w:pPr>
              <w:spacing w:after="0" w:line="240" w:lineRule="auto"/>
              <w:jc w:val="right"/>
              <w:rPr>
                <w:rFonts w:cs="Arial"/>
                <w:sz w:val="18"/>
                <w:szCs w:val="18"/>
                <w:lang w:eastAsia="en-AU"/>
              </w:rPr>
            </w:pPr>
            <w:r w:rsidRPr="00592C57">
              <w:rPr>
                <w:rFonts w:cs="Arial"/>
                <w:sz w:val="18"/>
                <w:szCs w:val="18"/>
                <w:lang w:eastAsia="en-AU"/>
              </w:rPr>
              <w:t xml:space="preserve">1,500 </w:t>
            </w:r>
          </w:p>
        </w:tc>
        <w:tc>
          <w:tcPr>
            <w:tcW w:w="1120" w:type="dxa"/>
            <w:tcBorders>
              <w:top w:val="nil"/>
              <w:left w:val="nil"/>
              <w:bottom w:val="single" w:sz="4" w:space="0" w:color="5E8A00"/>
              <w:right w:val="single" w:sz="4" w:space="0" w:color="5E8A00"/>
            </w:tcBorders>
            <w:shd w:val="clear" w:color="auto" w:fill="auto"/>
            <w:noWrap/>
            <w:vAlign w:val="center"/>
            <w:hideMark/>
          </w:tcPr>
          <w:p w:rsidR="00592C57" w:rsidRPr="00592C57" w:rsidRDefault="00592C57" w:rsidP="00592C57">
            <w:pPr>
              <w:spacing w:after="0" w:line="240" w:lineRule="auto"/>
              <w:jc w:val="right"/>
              <w:rPr>
                <w:rFonts w:cs="Arial"/>
                <w:sz w:val="18"/>
                <w:szCs w:val="18"/>
                <w:lang w:eastAsia="en-AU"/>
              </w:rPr>
            </w:pPr>
            <w:r w:rsidRPr="00592C57">
              <w:rPr>
                <w:rFonts w:cs="Arial"/>
                <w:sz w:val="18"/>
                <w:szCs w:val="18"/>
                <w:lang w:eastAsia="en-AU"/>
              </w:rPr>
              <w:t xml:space="preserve">1,600 </w:t>
            </w:r>
          </w:p>
        </w:tc>
        <w:tc>
          <w:tcPr>
            <w:tcW w:w="1120" w:type="dxa"/>
            <w:tcBorders>
              <w:top w:val="nil"/>
              <w:left w:val="nil"/>
              <w:bottom w:val="single" w:sz="4" w:space="0" w:color="5E8A00"/>
              <w:right w:val="single" w:sz="4" w:space="0" w:color="5E8A00"/>
            </w:tcBorders>
            <w:shd w:val="clear" w:color="auto" w:fill="auto"/>
            <w:noWrap/>
            <w:vAlign w:val="center"/>
            <w:hideMark/>
          </w:tcPr>
          <w:p w:rsidR="00592C57" w:rsidRPr="00592C57" w:rsidRDefault="00592C57" w:rsidP="00592C57">
            <w:pPr>
              <w:spacing w:after="0" w:line="240" w:lineRule="auto"/>
              <w:jc w:val="right"/>
              <w:rPr>
                <w:rFonts w:cs="Arial"/>
                <w:sz w:val="18"/>
                <w:szCs w:val="18"/>
                <w:lang w:eastAsia="en-AU"/>
              </w:rPr>
            </w:pPr>
            <w:r w:rsidRPr="00592C57">
              <w:rPr>
                <w:rFonts w:cs="Arial"/>
                <w:sz w:val="18"/>
                <w:szCs w:val="18"/>
                <w:lang w:eastAsia="en-AU"/>
              </w:rPr>
              <w:t>54%</w:t>
            </w:r>
          </w:p>
        </w:tc>
        <w:tc>
          <w:tcPr>
            <w:tcW w:w="1120" w:type="dxa"/>
            <w:tcBorders>
              <w:top w:val="nil"/>
              <w:left w:val="nil"/>
              <w:bottom w:val="single" w:sz="4" w:space="0" w:color="5E8A00"/>
              <w:right w:val="single" w:sz="4" w:space="0" w:color="5E8A00"/>
            </w:tcBorders>
            <w:shd w:val="clear" w:color="auto" w:fill="auto"/>
            <w:noWrap/>
            <w:vAlign w:val="center"/>
            <w:hideMark/>
          </w:tcPr>
          <w:p w:rsidR="00592C57" w:rsidRPr="00592C57" w:rsidRDefault="00592C57" w:rsidP="00592C57">
            <w:pPr>
              <w:spacing w:after="0" w:line="240" w:lineRule="auto"/>
              <w:jc w:val="right"/>
              <w:rPr>
                <w:rFonts w:cs="Arial"/>
                <w:sz w:val="18"/>
                <w:szCs w:val="18"/>
                <w:lang w:eastAsia="en-AU"/>
              </w:rPr>
            </w:pPr>
            <w:r w:rsidRPr="00592C57">
              <w:rPr>
                <w:rFonts w:cs="Arial"/>
                <w:sz w:val="18"/>
                <w:szCs w:val="18"/>
                <w:lang w:eastAsia="en-AU"/>
              </w:rPr>
              <w:t>9%</w:t>
            </w:r>
          </w:p>
        </w:tc>
      </w:tr>
      <w:tr w:rsidR="00592C57" w:rsidRPr="00592C57" w:rsidTr="00592C57">
        <w:trPr>
          <w:trHeight w:val="342"/>
        </w:trPr>
        <w:tc>
          <w:tcPr>
            <w:tcW w:w="2800" w:type="dxa"/>
            <w:tcBorders>
              <w:top w:val="nil"/>
              <w:left w:val="single" w:sz="4" w:space="0" w:color="5E8A00"/>
              <w:bottom w:val="nil"/>
              <w:right w:val="single" w:sz="4" w:space="0" w:color="5E8A00"/>
            </w:tcBorders>
            <w:shd w:val="clear" w:color="000000" w:fill="5E8A00"/>
            <w:noWrap/>
            <w:vAlign w:val="bottom"/>
            <w:hideMark/>
          </w:tcPr>
          <w:p w:rsidR="00592C57" w:rsidRPr="00592C57" w:rsidRDefault="00592C57" w:rsidP="00592C57">
            <w:pPr>
              <w:spacing w:after="0" w:line="240" w:lineRule="auto"/>
              <w:jc w:val="left"/>
              <w:rPr>
                <w:rFonts w:cs="Arial"/>
                <w:b/>
                <w:bCs/>
                <w:color w:val="FFFFFF"/>
                <w:sz w:val="18"/>
                <w:szCs w:val="18"/>
                <w:lang w:eastAsia="en-AU"/>
              </w:rPr>
            </w:pPr>
            <w:r w:rsidRPr="00592C57">
              <w:rPr>
                <w:rFonts w:cs="Arial"/>
                <w:b/>
                <w:bCs/>
                <w:color w:val="FFFFFF"/>
                <w:sz w:val="18"/>
                <w:szCs w:val="18"/>
                <w:lang w:eastAsia="en-AU"/>
              </w:rPr>
              <w:t>Total</w:t>
            </w:r>
          </w:p>
        </w:tc>
        <w:tc>
          <w:tcPr>
            <w:tcW w:w="1120" w:type="dxa"/>
            <w:tcBorders>
              <w:top w:val="nil"/>
              <w:left w:val="nil"/>
              <w:bottom w:val="nil"/>
              <w:right w:val="single" w:sz="4" w:space="0" w:color="5E8A00"/>
            </w:tcBorders>
            <w:shd w:val="clear" w:color="000000" w:fill="5E8A00"/>
            <w:noWrap/>
            <w:vAlign w:val="center"/>
            <w:hideMark/>
          </w:tcPr>
          <w:p w:rsidR="00592C57" w:rsidRPr="00592C57" w:rsidRDefault="00592C57" w:rsidP="00592C57">
            <w:pPr>
              <w:spacing w:after="0" w:line="240" w:lineRule="auto"/>
              <w:jc w:val="right"/>
              <w:rPr>
                <w:rFonts w:cs="Arial"/>
                <w:b/>
                <w:bCs/>
                <w:color w:val="FFFFFF"/>
                <w:sz w:val="18"/>
                <w:szCs w:val="18"/>
                <w:lang w:eastAsia="en-AU"/>
              </w:rPr>
            </w:pPr>
            <w:r w:rsidRPr="00592C57">
              <w:rPr>
                <w:rFonts w:cs="Arial"/>
                <w:b/>
                <w:bCs/>
                <w:color w:val="FFFFFF"/>
                <w:sz w:val="18"/>
                <w:szCs w:val="18"/>
                <w:lang w:eastAsia="en-AU"/>
              </w:rPr>
              <w:t xml:space="preserve">4,545 </w:t>
            </w:r>
          </w:p>
        </w:tc>
        <w:tc>
          <w:tcPr>
            <w:tcW w:w="1120" w:type="dxa"/>
            <w:tcBorders>
              <w:top w:val="nil"/>
              <w:left w:val="nil"/>
              <w:bottom w:val="nil"/>
              <w:right w:val="single" w:sz="4" w:space="0" w:color="5E8A00"/>
            </w:tcBorders>
            <w:shd w:val="clear" w:color="000000" w:fill="5E8A00"/>
            <w:noWrap/>
            <w:vAlign w:val="center"/>
            <w:hideMark/>
          </w:tcPr>
          <w:p w:rsidR="00592C57" w:rsidRPr="00592C57" w:rsidRDefault="00592C57" w:rsidP="00592C57">
            <w:pPr>
              <w:spacing w:after="0" w:line="240" w:lineRule="auto"/>
              <w:jc w:val="right"/>
              <w:rPr>
                <w:rFonts w:cs="Arial"/>
                <w:b/>
                <w:bCs/>
                <w:color w:val="FFFFFF"/>
                <w:sz w:val="18"/>
                <w:szCs w:val="18"/>
                <w:lang w:eastAsia="en-AU"/>
              </w:rPr>
            </w:pPr>
            <w:r w:rsidRPr="00592C57">
              <w:rPr>
                <w:rFonts w:cs="Arial"/>
                <w:b/>
                <w:bCs/>
                <w:color w:val="FFFFFF"/>
                <w:sz w:val="18"/>
                <w:szCs w:val="18"/>
                <w:lang w:eastAsia="en-AU"/>
              </w:rPr>
              <w:t xml:space="preserve">8,159 </w:t>
            </w:r>
          </w:p>
        </w:tc>
        <w:tc>
          <w:tcPr>
            <w:tcW w:w="1120" w:type="dxa"/>
            <w:tcBorders>
              <w:top w:val="nil"/>
              <w:left w:val="nil"/>
              <w:bottom w:val="nil"/>
              <w:right w:val="single" w:sz="4" w:space="0" w:color="5E8A00"/>
            </w:tcBorders>
            <w:shd w:val="clear" w:color="000000" w:fill="5E8A00"/>
            <w:noWrap/>
            <w:vAlign w:val="center"/>
            <w:hideMark/>
          </w:tcPr>
          <w:p w:rsidR="00592C57" w:rsidRPr="00592C57" w:rsidRDefault="00592C57" w:rsidP="00592C57">
            <w:pPr>
              <w:spacing w:after="0" w:line="240" w:lineRule="auto"/>
              <w:jc w:val="right"/>
              <w:rPr>
                <w:rFonts w:cs="Arial"/>
                <w:b/>
                <w:bCs/>
                <w:color w:val="FFFFFF"/>
                <w:sz w:val="18"/>
                <w:szCs w:val="18"/>
                <w:lang w:eastAsia="en-AU"/>
              </w:rPr>
            </w:pPr>
            <w:r w:rsidRPr="00592C57">
              <w:rPr>
                <w:rFonts w:cs="Arial"/>
                <w:b/>
                <w:bCs/>
                <w:color w:val="FFFFFF"/>
                <w:sz w:val="18"/>
                <w:szCs w:val="18"/>
                <w:lang w:eastAsia="en-AU"/>
              </w:rPr>
              <w:t xml:space="preserve">9,026 </w:t>
            </w:r>
          </w:p>
        </w:tc>
        <w:tc>
          <w:tcPr>
            <w:tcW w:w="1120" w:type="dxa"/>
            <w:tcBorders>
              <w:top w:val="nil"/>
              <w:left w:val="nil"/>
              <w:bottom w:val="nil"/>
              <w:right w:val="single" w:sz="4" w:space="0" w:color="5E8A00"/>
            </w:tcBorders>
            <w:shd w:val="clear" w:color="000000" w:fill="5E8A00"/>
            <w:noWrap/>
            <w:vAlign w:val="center"/>
            <w:hideMark/>
          </w:tcPr>
          <w:p w:rsidR="00592C57" w:rsidRPr="00592C57" w:rsidRDefault="00592C57" w:rsidP="00592C57">
            <w:pPr>
              <w:spacing w:after="0" w:line="240" w:lineRule="auto"/>
              <w:jc w:val="right"/>
              <w:rPr>
                <w:rFonts w:cs="Arial"/>
                <w:b/>
                <w:bCs/>
                <w:color w:val="FFFFFF"/>
                <w:sz w:val="18"/>
                <w:szCs w:val="18"/>
                <w:lang w:eastAsia="en-AU"/>
              </w:rPr>
            </w:pPr>
            <w:r w:rsidRPr="00592C57">
              <w:rPr>
                <w:rFonts w:cs="Arial"/>
                <w:b/>
                <w:bCs/>
                <w:color w:val="FFFFFF"/>
                <w:sz w:val="18"/>
                <w:szCs w:val="18"/>
                <w:lang w:eastAsia="en-AU"/>
              </w:rPr>
              <w:t>99%</w:t>
            </w:r>
          </w:p>
        </w:tc>
        <w:tc>
          <w:tcPr>
            <w:tcW w:w="1120" w:type="dxa"/>
            <w:tcBorders>
              <w:top w:val="nil"/>
              <w:left w:val="nil"/>
              <w:bottom w:val="nil"/>
              <w:right w:val="single" w:sz="4" w:space="0" w:color="5E8A00"/>
            </w:tcBorders>
            <w:shd w:val="clear" w:color="000000" w:fill="5E8A00"/>
            <w:noWrap/>
            <w:vAlign w:val="center"/>
            <w:hideMark/>
          </w:tcPr>
          <w:p w:rsidR="00592C57" w:rsidRPr="00592C57" w:rsidRDefault="00592C57" w:rsidP="00592C57">
            <w:pPr>
              <w:spacing w:after="0" w:line="240" w:lineRule="auto"/>
              <w:jc w:val="right"/>
              <w:rPr>
                <w:rFonts w:cs="Arial"/>
                <w:b/>
                <w:bCs/>
                <w:color w:val="FFFFFF"/>
                <w:sz w:val="18"/>
                <w:szCs w:val="18"/>
                <w:lang w:eastAsia="en-AU"/>
              </w:rPr>
            </w:pPr>
            <w:r w:rsidRPr="00592C57">
              <w:rPr>
                <w:rFonts w:cs="Arial"/>
                <w:b/>
                <w:bCs/>
                <w:color w:val="FFFFFF"/>
                <w:sz w:val="18"/>
                <w:szCs w:val="18"/>
                <w:lang w:eastAsia="en-AU"/>
              </w:rPr>
              <w:t>11%</w:t>
            </w:r>
          </w:p>
        </w:tc>
      </w:tr>
    </w:tbl>
    <w:p w:rsidR="002D4C03" w:rsidRPr="006332D3" w:rsidRDefault="002D4C03" w:rsidP="006332D3">
      <w:pPr>
        <w:pStyle w:val="ListBullet"/>
        <w:numPr>
          <w:ilvl w:val="0"/>
          <w:numId w:val="0"/>
        </w:numPr>
        <w:ind w:right="113"/>
        <w:rPr>
          <w:rFonts w:cs="Arial"/>
        </w:rPr>
      </w:pPr>
      <w:r w:rsidRPr="006332D3">
        <w:rPr>
          <w:rFonts w:cs="Arial"/>
        </w:rPr>
        <w:br w:type="page"/>
      </w:r>
    </w:p>
    <w:p w:rsidR="00351166" w:rsidRPr="001F29E3" w:rsidRDefault="0055106F" w:rsidP="00A9260A">
      <w:pPr>
        <w:pStyle w:val="Heading3"/>
      </w:pPr>
      <w:r w:rsidRPr="001F29E3">
        <w:lastRenderedPageBreak/>
        <w:t>Vocational Training</w:t>
      </w:r>
      <w:r w:rsidR="00351166" w:rsidRPr="001F29E3">
        <w:t xml:space="preserve"> Delivery by Qualification Level, Government Subsidised </w:t>
      </w:r>
      <w:r w:rsidR="009E5BB6" w:rsidRPr="001F29E3">
        <w:t xml:space="preserve">Student </w:t>
      </w:r>
      <w:r w:rsidR="002757F4" w:rsidRPr="001F29E3">
        <w:t>C</w:t>
      </w:r>
      <w:r w:rsidR="009E5BB6" w:rsidRPr="001F29E3">
        <w:t xml:space="preserve">ontact </w:t>
      </w:r>
      <w:r w:rsidR="002757F4" w:rsidRPr="001F29E3">
        <w:t>H</w:t>
      </w:r>
      <w:r w:rsidR="009E5BB6" w:rsidRPr="001F29E3">
        <w:t>ours</w:t>
      </w:r>
    </w:p>
    <w:p w:rsidR="00205339" w:rsidRPr="001F29E3" w:rsidRDefault="00205339" w:rsidP="00205339">
      <w:pPr>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205339" w:rsidRPr="001F29E3" w:rsidTr="003A680C">
        <w:trPr>
          <w:trHeight w:val="1047"/>
        </w:trPr>
        <w:tc>
          <w:tcPr>
            <w:tcW w:w="9088" w:type="dxa"/>
          </w:tcPr>
          <w:p w:rsidR="00205339" w:rsidRDefault="00205339" w:rsidP="00205339">
            <w:pPr>
              <w:pStyle w:val="Heading3"/>
            </w:pPr>
            <w:r w:rsidRPr="007A2BA3">
              <w:t>Key Points</w:t>
            </w:r>
          </w:p>
          <w:p w:rsidR="00D168D3" w:rsidRPr="00D168D3" w:rsidRDefault="00D168D3" w:rsidP="00D168D3"/>
          <w:p w:rsidR="00205339" w:rsidRPr="00D756FD" w:rsidRDefault="004529B8" w:rsidP="009C657F">
            <w:pPr>
              <w:pStyle w:val="ListBullet"/>
              <w:numPr>
                <w:ilvl w:val="0"/>
                <w:numId w:val="5"/>
              </w:numPr>
              <w:ind w:right="113"/>
              <w:rPr>
                <w:rFonts w:cs="Arial"/>
              </w:rPr>
            </w:pPr>
            <w:r>
              <w:rPr>
                <w:rFonts w:cs="Arial"/>
              </w:rPr>
              <w:t>G</w:t>
            </w:r>
            <w:r w:rsidR="00205339" w:rsidRPr="007A2BA3">
              <w:rPr>
                <w:rFonts w:cs="Arial"/>
              </w:rPr>
              <w:t xml:space="preserve">overnment subsidised student contact hours at </w:t>
            </w:r>
            <w:r w:rsidR="005F4779">
              <w:rPr>
                <w:rFonts w:cs="Arial"/>
              </w:rPr>
              <w:t>C</w:t>
            </w:r>
            <w:r w:rsidR="00205339" w:rsidRPr="007A2BA3">
              <w:rPr>
                <w:rFonts w:cs="Arial"/>
              </w:rPr>
              <w:t xml:space="preserve">ertificate I to II levels in Q2 2013 </w:t>
            </w:r>
            <w:r>
              <w:rPr>
                <w:rFonts w:cs="Arial"/>
              </w:rPr>
              <w:t>were 19.5 million hours</w:t>
            </w:r>
            <w:r w:rsidR="00D756FD">
              <w:rPr>
                <w:rFonts w:cs="Arial"/>
              </w:rPr>
              <w:t>, 65 per cent of these contact hours were in delivery of foundation courses of study.</w:t>
            </w:r>
          </w:p>
        </w:tc>
      </w:tr>
    </w:tbl>
    <w:p w:rsidR="00205339" w:rsidRDefault="00205339" w:rsidP="002A41B7">
      <w:pPr>
        <w:rPr>
          <w:rFonts w:cs="Arial"/>
        </w:rPr>
      </w:pPr>
    </w:p>
    <w:p w:rsidR="00205339" w:rsidRPr="001F29E3" w:rsidRDefault="00205339" w:rsidP="002A41B7">
      <w:pPr>
        <w:rPr>
          <w:rFonts w:cs="Arial"/>
        </w:rPr>
      </w:pPr>
    </w:p>
    <w:p w:rsidR="00351166" w:rsidRPr="001F29E3" w:rsidRDefault="00351166" w:rsidP="007A2BA3">
      <w:pPr>
        <w:pStyle w:val="Caption"/>
        <w:spacing w:after="0"/>
        <w:jc w:val="left"/>
        <w:rPr>
          <w:rFonts w:cs="Arial"/>
        </w:rPr>
      </w:pPr>
      <w:r w:rsidRPr="001F29E3">
        <w:rPr>
          <w:rFonts w:cs="Arial"/>
        </w:rPr>
        <w:t>Table 1.</w:t>
      </w:r>
      <w:r w:rsidR="00EA5ABC">
        <w:rPr>
          <w:rFonts w:cs="Arial"/>
        </w:rPr>
        <w:t>8</w:t>
      </w:r>
      <w:r w:rsidR="00F9318B">
        <w:rPr>
          <w:rFonts w:cs="Arial"/>
        </w:rPr>
        <w:t>.1</w:t>
      </w:r>
      <w:r w:rsidRPr="001F29E3">
        <w:rPr>
          <w:rFonts w:cs="Arial"/>
        </w:rPr>
        <w:t>:</w:t>
      </w:r>
      <w:r w:rsidR="007D59C7" w:rsidRPr="001F29E3">
        <w:rPr>
          <w:rFonts w:cs="Arial"/>
        </w:rPr>
        <w:t xml:space="preserve"> G</w:t>
      </w:r>
      <w:r w:rsidRPr="001F29E3">
        <w:rPr>
          <w:rFonts w:cs="Arial"/>
        </w:rPr>
        <w:t xml:space="preserve">overnment subsidised </w:t>
      </w:r>
      <w:r w:rsidR="009E5BB6" w:rsidRPr="001F29E3">
        <w:rPr>
          <w:rFonts w:cs="Arial"/>
        </w:rPr>
        <w:t>student contact hours</w:t>
      </w:r>
      <w:r w:rsidRPr="001F29E3">
        <w:rPr>
          <w:rFonts w:cs="Arial"/>
        </w:rPr>
        <w:t xml:space="preserve"> </w:t>
      </w:r>
      <w:r w:rsidR="0013272D" w:rsidRPr="001F29E3">
        <w:rPr>
          <w:rFonts w:cs="Arial"/>
        </w:rPr>
        <w:t xml:space="preserve">(millions) </w:t>
      </w:r>
      <w:r w:rsidRPr="001F29E3">
        <w:rPr>
          <w:rFonts w:cs="Arial"/>
        </w:rPr>
        <w:t>by qualification level, 2008–2012</w:t>
      </w:r>
    </w:p>
    <w:tbl>
      <w:tblPr>
        <w:tblW w:w="9140" w:type="dxa"/>
        <w:tblInd w:w="103" w:type="dxa"/>
        <w:tblLook w:val="04A0" w:firstRow="1" w:lastRow="0" w:firstColumn="1" w:lastColumn="0" w:noHBand="0" w:noVBand="1"/>
      </w:tblPr>
      <w:tblGrid>
        <w:gridCol w:w="2420"/>
        <w:gridCol w:w="1120"/>
        <w:gridCol w:w="1120"/>
        <w:gridCol w:w="1120"/>
        <w:gridCol w:w="1120"/>
        <w:gridCol w:w="1120"/>
        <w:gridCol w:w="1120"/>
      </w:tblGrid>
      <w:tr w:rsidR="007A2BA3" w:rsidRPr="007A2BA3" w:rsidTr="009C657F">
        <w:trPr>
          <w:trHeight w:hRule="exact" w:val="760"/>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7A2BA3" w:rsidRPr="007A2BA3" w:rsidRDefault="007A2BA3" w:rsidP="007A2BA3">
            <w:pPr>
              <w:spacing w:after="0" w:line="240" w:lineRule="auto"/>
              <w:jc w:val="left"/>
              <w:rPr>
                <w:rFonts w:cs="Arial"/>
                <w:b/>
                <w:bCs/>
                <w:color w:val="FFFFFF"/>
                <w:sz w:val="18"/>
                <w:szCs w:val="18"/>
                <w:lang w:eastAsia="en-AU"/>
              </w:rPr>
            </w:pPr>
            <w:r w:rsidRPr="007A2BA3">
              <w:rPr>
                <w:rFonts w:cs="Arial"/>
                <w:b/>
                <w:bCs/>
                <w:color w:val="FFFFFF"/>
                <w:sz w:val="18"/>
                <w:szCs w:val="18"/>
                <w:lang w:eastAsia="en-AU"/>
              </w:rPr>
              <w:t>Qualification level</w:t>
            </w:r>
          </w:p>
        </w:tc>
        <w:tc>
          <w:tcPr>
            <w:tcW w:w="1120" w:type="dxa"/>
            <w:tcBorders>
              <w:top w:val="single" w:sz="4" w:space="0" w:color="5E8A00"/>
              <w:bottom w:val="single" w:sz="4" w:space="0" w:color="5E8A00"/>
            </w:tcBorders>
            <w:shd w:val="clear" w:color="000000" w:fill="5E8A00"/>
            <w:vAlign w:val="center"/>
            <w:hideMark/>
          </w:tcPr>
          <w:p w:rsidR="007A2BA3" w:rsidRPr="007A2BA3" w:rsidRDefault="007A2BA3" w:rsidP="00F034AF">
            <w:pPr>
              <w:spacing w:after="0" w:line="240" w:lineRule="auto"/>
              <w:ind w:firstLineChars="100" w:firstLine="181"/>
              <w:jc w:val="right"/>
              <w:rPr>
                <w:rFonts w:cs="Arial"/>
                <w:b/>
                <w:bCs/>
                <w:color w:val="FFFFFF"/>
                <w:sz w:val="18"/>
                <w:szCs w:val="18"/>
                <w:lang w:eastAsia="en-AU"/>
              </w:rPr>
            </w:pPr>
            <w:r w:rsidRPr="007A2BA3">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7A2BA3" w:rsidRPr="007A2BA3" w:rsidRDefault="007A2BA3" w:rsidP="00F034AF">
            <w:pPr>
              <w:spacing w:after="0" w:line="240" w:lineRule="auto"/>
              <w:ind w:firstLineChars="100" w:firstLine="181"/>
              <w:jc w:val="right"/>
              <w:rPr>
                <w:rFonts w:cs="Arial"/>
                <w:b/>
                <w:bCs/>
                <w:color w:val="FFFFFF"/>
                <w:sz w:val="18"/>
                <w:szCs w:val="18"/>
                <w:lang w:eastAsia="en-AU"/>
              </w:rPr>
            </w:pPr>
            <w:r w:rsidRPr="007A2BA3">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7A2BA3" w:rsidRPr="007A2BA3" w:rsidRDefault="007A2BA3" w:rsidP="00F034AF">
            <w:pPr>
              <w:spacing w:after="0" w:line="240" w:lineRule="auto"/>
              <w:ind w:firstLineChars="100" w:firstLine="181"/>
              <w:jc w:val="right"/>
              <w:rPr>
                <w:rFonts w:cs="Arial"/>
                <w:b/>
                <w:bCs/>
                <w:color w:val="FFFFFF"/>
                <w:sz w:val="18"/>
                <w:szCs w:val="18"/>
                <w:lang w:eastAsia="en-AU"/>
              </w:rPr>
            </w:pPr>
            <w:r w:rsidRPr="007A2BA3">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7A2BA3" w:rsidRPr="007A2BA3" w:rsidRDefault="007A2BA3" w:rsidP="00F034AF">
            <w:pPr>
              <w:spacing w:after="0" w:line="240" w:lineRule="auto"/>
              <w:ind w:firstLineChars="100" w:firstLine="181"/>
              <w:jc w:val="right"/>
              <w:rPr>
                <w:rFonts w:cs="Arial"/>
                <w:b/>
                <w:bCs/>
                <w:color w:val="FFFFFF"/>
                <w:sz w:val="18"/>
                <w:szCs w:val="18"/>
                <w:lang w:eastAsia="en-AU"/>
              </w:rPr>
            </w:pPr>
            <w:r w:rsidRPr="007A2BA3">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7A2BA3" w:rsidRPr="007A2BA3" w:rsidRDefault="007A2BA3" w:rsidP="00F034AF">
            <w:pPr>
              <w:spacing w:after="0" w:line="240" w:lineRule="auto"/>
              <w:ind w:firstLineChars="100" w:firstLine="181"/>
              <w:jc w:val="right"/>
              <w:rPr>
                <w:rFonts w:cs="Arial"/>
                <w:b/>
                <w:bCs/>
                <w:color w:val="FFFFFF"/>
                <w:sz w:val="18"/>
                <w:szCs w:val="18"/>
                <w:lang w:eastAsia="en-AU"/>
              </w:rPr>
            </w:pPr>
            <w:r w:rsidRPr="007A2BA3">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 change</w:t>
            </w:r>
            <w:r w:rsidRPr="007A2BA3">
              <w:rPr>
                <w:rFonts w:cs="Arial"/>
                <w:b/>
                <w:bCs/>
                <w:color w:val="FFFFFF"/>
                <w:sz w:val="18"/>
                <w:szCs w:val="18"/>
                <w:lang w:eastAsia="en-AU"/>
              </w:rPr>
              <w:br/>
              <w:t>2008-2012</w:t>
            </w:r>
          </w:p>
        </w:tc>
      </w:tr>
      <w:tr w:rsidR="007A2BA3" w:rsidRPr="007A2BA3" w:rsidTr="007A2BA3">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7A2BA3" w:rsidRPr="007A2BA3" w:rsidRDefault="007A2BA3" w:rsidP="007A2BA3">
            <w:pPr>
              <w:spacing w:after="0" w:line="240" w:lineRule="auto"/>
              <w:jc w:val="left"/>
              <w:rPr>
                <w:rFonts w:cs="Arial"/>
                <w:color w:val="3E5B00"/>
                <w:sz w:val="18"/>
                <w:szCs w:val="18"/>
                <w:lang w:eastAsia="en-AU"/>
              </w:rPr>
            </w:pPr>
            <w:r w:rsidRPr="007A2BA3">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14.2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15.2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17.5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22.6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27.9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97%</w:t>
            </w:r>
          </w:p>
        </w:tc>
      </w:tr>
      <w:tr w:rsidR="007A2BA3" w:rsidRPr="007A2BA3" w:rsidTr="007A2BA3">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7A2BA3" w:rsidRPr="007A2BA3" w:rsidRDefault="007A2BA3" w:rsidP="007A2BA3">
            <w:pPr>
              <w:spacing w:after="0" w:line="240" w:lineRule="auto"/>
              <w:jc w:val="left"/>
              <w:rPr>
                <w:rFonts w:cs="Arial"/>
                <w:color w:val="3E5B00"/>
                <w:sz w:val="18"/>
                <w:szCs w:val="18"/>
                <w:lang w:eastAsia="en-AU"/>
              </w:rPr>
            </w:pPr>
            <w:r w:rsidRPr="007A2BA3">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44.9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48.8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59.1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81.7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112.8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151%</w:t>
            </w:r>
          </w:p>
        </w:tc>
      </w:tr>
      <w:tr w:rsidR="007A2BA3" w:rsidRPr="007A2BA3" w:rsidTr="007A2BA3">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7A2BA3" w:rsidRPr="007A2BA3" w:rsidRDefault="007A2BA3" w:rsidP="007A2BA3">
            <w:pPr>
              <w:spacing w:after="0" w:line="240" w:lineRule="auto"/>
              <w:jc w:val="left"/>
              <w:rPr>
                <w:rFonts w:cs="Arial"/>
                <w:color w:val="3E5B00"/>
                <w:sz w:val="18"/>
                <w:szCs w:val="18"/>
                <w:lang w:eastAsia="en-AU"/>
              </w:rPr>
            </w:pPr>
            <w:r w:rsidRPr="007A2BA3">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22.9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26.0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30.9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36.2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41.2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79%</w:t>
            </w:r>
          </w:p>
        </w:tc>
      </w:tr>
      <w:tr w:rsidR="007A2BA3" w:rsidRPr="007A2BA3" w:rsidTr="007A2BA3">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7A2BA3" w:rsidRPr="007A2BA3" w:rsidRDefault="007A2BA3" w:rsidP="007A2BA3">
            <w:pPr>
              <w:spacing w:after="0" w:line="240" w:lineRule="auto"/>
              <w:jc w:val="left"/>
              <w:rPr>
                <w:rFonts w:cs="Arial"/>
                <w:color w:val="3E5B00"/>
                <w:sz w:val="18"/>
                <w:szCs w:val="18"/>
                <w:lang w:eastAsia="en-AU"/>
              </w:rPr>
            </w:pPr>
            <w:r w:rsidRPr="007A2BA3">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1.4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1.6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1.6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1.3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1.4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0%</w:t>
            </w:r>
          </w:p>
        </w:tc>
      </w:tr>
      <w:tr w:rsidR="007A2BA3" w:rsidRPr="007A2BA3" w:rsidTr="007A2BA3">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7A2BA3" w:rsidRPr="007A2BA3" w:rsidRDefault="007A2BA3" w:rsidP="007A2BA3">
            <w:pPr>
              <w:spacing w:after="0" w:line="240" w:lineRule="auto"/>
              <w:jc w:val="left"/>
              <w:rPr>
                <w:rFonts w:cs="Arial"/>
                <w:color w:val="3E5B00"/>
                <w:sz w:val="18"/>
                <w:szCs w:val="18"/>
                <w:lang w:eastAsia="en-AU"/>
              </w:rPr>
            </w:pPr>
            <w:r w:rsidRPr="007A2BA3">
              <w:rPr>
                <w:rFonts w:cs="Arial"/>
                <w:color w:val="3E5B00"/>
                <w:sz w:val="18"/>
                <w:szCs w:val="18"/>
                <w:lang w:eastAsia="en-AU"/>
              </w:rPr>
              <w:t xml:space="preserve">Secondary, </w:t>
            </w:r>
            <w:proofErr w:type="spellStart"/>
            <w:r w:rsidRPr="007A2BA3">
              <w:rPr>
                <w:rFonts w:cs="Arial"/>
                <w:color w:val="3E5B00"/>
                <w:sz w:val="18"/>
                <w:szCs w:val="18"/>
                <w:lang w:eastAsia="en-AU"/>
              </w:rPr>
              <w:t>SoA</w:t>
            </w:r>
            <w:proofErr w:type="spellEnd"/>
            <w:r w:rsidRPr="007A2BA3">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3.9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4.0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3.3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5.2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5.5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40%</w:t>
            </w:r>
          </w:p>
        </w:tc>
      </w:tr>
      <w:tr w:rsidR="007A2BA3" w:rsidRPr="007A2BA3" w:rsidTr="007A2BA3">
        <w:trPr>
          <w:trHeight w:hRule="exact" w:val="284"/>
        </w:trPr>
        <w:tc>
          <w:tcPr>
            <w:tcW w:w="2420" w:type="dxa"/>
            <w:tcBorders>
              <w:top w:val="nil"/>
              <w:left w:val="single" w:sz="4" w:space="0" w:color="5E8A00"/>
              <w:bottom w:val="nil"/>
              <w:right w:val="single" w:sz="4" w:space="0" w:color="5E8A00"/>
            </w:tcBorders>
            <w:shd w:val="clear" w:color="000000" w:fill="5E8A00"/>
            <w:noWrap/>
            <w:vAlign w:val="bottom"/>
            <w:hideMark/>
          </w:tcPr>
          <w:p w:rsidR="007A2BA3" w:rsidRPr="007A2BA3" w:rsidRDefault="007A2BA3" w:rsidP="007A2BA3">
            <w:pPr>
              <w:spacing w:after="0" w:line="240" w:lineRule="auto"/>
              <w:jc w:val="left"/>
              <w:rPr>
                <w:rFonts w:cs="Arial"/>
                <w:b/>
                <w:bCs/>
                <w:color w:val="FFFFFF"/>
                <w:sz w:val="18"/>
                <w:szCs w:val="18"/>
                <w:lang w:eastAsia="en-AU"/>
              </w:rPr>
            </w:pPr>
            <w:r w:rsidRPr="007A2BA3">
              <w:rPr>
                <w:rFonts w:cs="Arial"/>
                <w:b/>
                <w:bCs/>
                <w:color w:val="FFFFFF"/>
                <w:sz w:val="18"/>
                <w:szCs w:val="18"/>
                <w:lang w:eastAsia="en-AU"/>
              </w:rPr>
              <w:t>Total</w:t>
            </w:r>
          </w:p>
        </w:tc>
        <w:tc>
          <w:tcPr>
            <w:tcW w:w="1120" w:type="dxa"/>
            <w:tcBorders>
              <w:top w:val="nil"/>
              <w:left w:val="nil"/>
              <w:bottom w:val="nil"/>
              <w:right w:val="single" w:sz="4" w:space="0" w:color="5E8A00"/>
            </w:tcBorders>
            <w:shd w:val="clear" w:color="000000" w:fill="5E8A00"/>
            <w:noWrap/>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 xml:space="preserve">87.4 </w:t>
            </w:r>
          </w:p>
        </w:tc>
        <w:tc>
          <w:tcPr>
            <w:tcW w:w="1120" w:type="dxa"/>
            <w:tcBorders>
              <w:top w:val="nil"/>
              <w:left w:val="nil"/>
              <w:bottom w:val="nil"/>
              <w:right w:val="single" w:sz="4" w:space="0" w:color="5E8A00"/>
            </w:tcBorders>
            <w:shd w:val="clear" w:color="000000" w:fill="5E8A00"/>
            <w:noWrap/>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 xml:space="preserve">95.6 </w:t>
            </w:r>
          </w:p>
        </w:tc>
        <w:tc>
          <w:tcPr>
            <w:tcW w:w="1120" w:type="dxa"/>
            <w:tcBorders>
              <w:top w:val="nil"/>
              <w:left w:val="nil"/>
              <w:bottom w:val="nil"/>
              <w:right w:val="single" w:sz="4" w:space="0" w:color="5E8A00"/>
            </w:tcBorders>
            <w:shd w:val="clear" w:color="000000" w:fill="5E8A00"/>
            <w:noWrap/>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 xml:space="preserve">112.4 </w:t>
            </w:r>
          </w:p>
        </w:tc>
        <w:tc>
          <w:tcPr>
            <w:tcW w:w="1120" w:type="dxa"/>
            <w:tcBorders>
              <w:top w:val="nil"/>
              <w:left w:val="nil"/>
              <w:bottom w:val="nil"/>
              <w:right w:val="single" w:sz="4" w:space="0" w:color="5E8A00"/>
            </w:tcBorders>
            <w:shd w:val="clear" w:color="000000" w:fill="5E8A00"/>
            <w:noWrap/>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 xml:space="preserve">146.9 </w:t>
            </w:r>
          </w:p>
        </w:tc>
        <w:tc>
          <w:tcPr>
            <w:tcW w:w="1120" w:type="dxa"/>
            <w:tcBorders>
              <w:top w:val="nil"/>
              <w:left w:val="nil"/>
              <w:bottom w:val="nil"/>
              <w:right w:val="single" w:sz="4" w:space="0" w:color="5E8A00"/>
            </w:tcBorders>
            <w:shd w:val="clear" w:color="000000" w:fill="5E8A00"/>
            <w:noWrap/>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 xml:space="preserve">188.8 </w:t>
            </w:r>
          </w:p>
        </w:tc>
        <w:tc>
          <w:tcPr>
            <w:tcW w:w="1120" w:type="dxa"/>
            <w:tcBorders>
              <w:top w:val="nil"/>
              <w:left w:val="nil"/>
              <w:bottom w:val="nil"/>
              <w:right w:val="single" w:sz="4" w:space="0" w:color="5E8A00"/>
            </w:tcBorders>
            <w:shd w:val="clear" w:color="000000" w:fill="5E8A00"/>
            <w:noWrap/>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116%</w:t>
            </w:r>
          </w:p>
        </w:tc>
      </w:tr>
    </w:tbl>
    <w:p w:rsidR="00351166" w:rsidRPr="001F29E3" w:rsidRDefault="00351166" w:rsidP="00351166">
      <w:pPr>
        <w:rPr>
          <w:rFonts w:cs="Arial"/>
        </w:rPr>
      </w:pPr>
      <w:proofErr w:type="spellStart"/>
      <w:r w:rsidRPr="001F29E3">
        <w:rPr>
          <w:rFonts w:cs="Arial"/>
          <w:sz w:val="16"/>
          <w:szCs w:val="16"/>
        </w:rPr>
        <w:t>SoA</w:t>
      </w:r>
      <w:proofErr w:type="spellEnd"/>
      <w:r w:rsidR="007E7B89">
        <w:rPr>
          <w:rFonts w:cs="Arial"/>
          <w:sz w:val="16"/>
          <w:szCs w:val="16"/>
        </w:rPr>
        <w:t xml:space="preserve">: </w:t>
      </w:r>
      <w:r w:rsidRPr="001F29E3">
        <w:rPr>
          <w:rFonts w:cs="Arial"/>
          <w:sz w:val="16"/>
          <w:szCs w:val="16"/>
        </w:rPr>
        <w:t>Statement of Attainment</w:t>
      </w:r>
      <w:r w:rsidR="007E7B89">
        <w:rPr>
          <w:rFonts w:cs="Arial"/>
          <w:sz w:val="16"/>
          <w:szCs w:val="16"/>
        </w:rPr>
        <w:t>.</w:t>
      </w:r>
    </w:p>
    <w:p w:rsidR="005D46B9" w:rsidRDefault="005D46B9" w:rsidP="00351166">
      <w:pPr>
        <w:rPr>
          <w:rFonts w:cs="Arial"/>
        </w:rPr>
      </w:pPr>
    </w:p>
    <w:p w:rsidR="00F9318B" w:rsidRPr="001F29E3" w:rsidRDefault="00F9318B" w:rsidP="007A2BA3">
      <w:pPr>
        <w:pStyle w:val="Caption"/>
        <w:spacing w:after="0"/>
        <w:jc w:val="left"/>
        <w:rPr>
          <w:rFonts w:cs="Arial"/>
        </w:rPr>
      </w:pPr>
      <w:r w:rsidRPr="001F29E3">
        <w:rPr>
          <w:rFonts w:cs="Arial"/>
        </w:rPr>
        <w:t>Table 1.</w:t>
      </w:r>
      <w:r w:rsidR="00EA5ABC">
        <w:rPr>
          <w:rFonts w:cs="Arial"/>
        </w:rPr>
        <w:t>8</w:t>
      </w:r>
      <w:r>
        <w:rPr>
          <w:rFonts w:cs="Arial"/>
        </w:rPr>
        <w:t>.2</w:t>
      </w:r>
      <w:r w:rsidRPr="001F29E3">
        <w:rPr>
          <w:rFonts w:cs="Arial"/>
        </w:rPr>
        <w:t>: Government subsidised student contact hours (millions) by qualification level, Q</w:t>
      </w:r>
      <w:r w:rsidR="008210F0">
        <w:rPr>
          <w:rFonts w:cs="Arial"/>
        </w:rPr>
        <w:t>2</w:t>
      </w:r>
      <w:r w:rsidRPr="001F29E3">
        <w:rPr>
          <w:rFonts w:cs="Arial"/>
        </w:rPr>
        <w:t xml:space="preserve"> 201</w:t>
      </w:r>
      <w:r w:rsidR="008210F0">
        <w:rPr>
          <w:rFonts w:cs="Arial"/>
        </w:rPr>
        <w:t xml:space="preserve">1, </w:t>
      </w:r>
      <w:r w:rsidR="008210F0">
        <w:rPr>
          <w:rFonts w:cs="Arial"/>
        </w:rPr>
        <w:br/>
        <w:t>Q2 2012</w:t>
      </w:r>
      <w:r>
        <w:rPr>
          <w:rFonts w:cs="Arial"/>
        </w:rPr>
        <w:t xml:space="preserve"> </w:t>
      </w:r>
      <w:r w:rsidRPr="001F29E3">
        <w:rPr>
          <w:rFonts w:cs="Arial"/>
        </w:rPr>
        <w:t>and Q</w:t>
      </w:r>
      <w:r w:rsidR="008210F0">
        <w:rPr>
          <w:rFonts w:cs="Arial"/>
        </w:rPr>
        <w:t>2</w:t>
      </w:r>
      <w:r w:rsidRPr="001F29E3">
        <w:rPr>
          <w:rFonts w:cs="Arial"/>
        </w:rPr>
        <w:t xml:space="preserve"> 2013</w:t>
      </w:r>
    </w:p>
    <w:tbl>
      <w:tblPr>
        <w:tblW w:w="8020" w:type="dxa"/>
        <w:tblInd w:w="103" w:type="dxa"/>
        <w:tblLook w:val="04A0" w:firstRow="1" w:lastRow="0" w:firstColumn="1" w:lastColumn="0" w:noHBand="0" w:noVBand="1"/>
      </w:tblPr>
      <w:tblGrid>
        <w:gridCol w:w="2420"/>
        <w:gridCol w:w="1120"/>
        <w:gridCol w:w="1120"/>
        <w:gridCol w:w="1120"/>
        <w:gridCol w:w="1120"/>
        <w:gridCol w:w="1120"/>
      </w:tblGrid>
      <w:tr w:rsidR="007A2BA3" w:rsidRPr="007A2BA3" w:rsidTr="009C657F">
        <w:trPr>
          <w:trHeight w:hRule="exact" w:val="760"/>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7A2BA3" w:rsidRPr="007A2BA3" w:rsidRDefault="007A2BA3" w:rsidP="007A2BA3">
            <w:pPr>
              <w:spacing w:after="0" w:line="240" w:lineRule="auto"/>
              <w:jc w:val="left"/>
              <w:rPr>
                <w:rFonts w:cs="Arial"/>
                <w:b/>
                <w:bCs/>
                <w:color w:val="FFFFFF"/>
                <w:sz w:val="18"/>
                <w:szCs w:val="18"/>
                <w:lang w:eastAsia="en-AU"/>
              </w:rPr>
            </w:pPr>
            <w:r w:rsidRPr="007A2BA3">
              <w:rPr>
                <w:rFonts w:cs="Arial"/>
                <w:b/>
                <w:bCs/>
                <w:color w:val="FFFFFF"/>
                <w:sz w:val="18"/>
                <w:szCs w:val="18"/>
                <w:lang w:eastAsia="en-AU"/>
              </w:rPr>
              <w:t>Qualification level</w:t>
            </w:r>
          </w:p>
        </w:tc>
        <w:tc>
          <w:tcPr>
            <w:tcW w:w="1120" w:type="dxa"/>
            <w:tcBorders>
              <w:top w:val="single" w:sz="4" w:space="0" w:color="5E8A00"/>
              <w:bottom w:val="single" w:sz="4" w:space="0" w:color="5E8A00"/>
            </w:tcBorders>
            <w:shd w:val="clear" w:color="000000" w:fill="5E8A00"/>
            <w:vAlign w:val="center"/>
            <w:hideMark/>
          </w:tcPr>
          <w:p w:rsidR="007A2BA3" w:rsidRPr="007A2BA3" w:rsidRDefault="007A2BA3" w:rsidP="00F034AF">
            <w:pPr>
              <w:spacing w:after="0" w:line="240" w:lineRule="auto"/>
              <w:ind w:firstLineChars="100" w:firstLine="181"/>
              <w:jc w:val="right"/>
              <w:rPr>
                <w:rFonts w:cs="Arial"/>
                <w:b/>
                <w:bCs/>
                <w:color w:val="FFFFFF"/>
                <w:sz w:val="18"/>
                <w:szCs w:val="18"/>
                <w:lang w:eastAsia="en-AU"/>
              </w:rPr>
            </w:pPr>
            <w:r w:rsidRPr="007A2BA3">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7A2BA3" w:rsidRPr="007A2BA3" w:rsidRDefault="007A2BA3" w:rsidP="00F034AF">
            <w:pPr>
              <w:spacing w:after="0" w:line="240" w:lineRule="auto"/>
              <w:ind w:firstLineChars="100" w:firstLine="181"/>
              <w:jc w:val="right"/>
              <w:rPr>
                <w:rFonts w:cs="Arial"/>
                <w:b/>
                <w:bCs/>
                <w:color w:val="FFFFFF"/>
                <w:sz w:val="18"/>
                <w:szCs w:val="18"/>
                <w:lang w:eastAsia="en-AU"/>
              </w:rPr>
            </w:pPr>
            <w:r w:rsidRPr="007A2BA3">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7A2BA3" w:rsidRPr="007A2BA3" w:rsidRDefault="007A2BA3" w:rsidP="00F034AF">
            <w:pPr>
              <w:spacing w:after="0" w:line="240" w:lineRule="auto"/>
              <w:ind w:firstLineChars="100" w:firstLine="181"/>
              <w:jc w:val="right"/>
              <w:rPr>
                <w:rFonts w:cs="Arial"/>
                <w:b/>
                <w:bCs/>
                <w:color w:val="FFFFFF"/>
                <w:sz w:val="18"/>
                <w:szCs w:val="18"/>
                <w:lang w:eastAsia="en-AU"/>
              </w:rPr>
            </w:pPr>
            <w:r w:rsidRPr="007A2BA3">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 change</w:t>
            </w:r>
            <w:r w:rsidRPr="007A2BA3">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 change</w:t>
            </w:r>
            <w:r w:rsidRPr="007A2BA3">
              <w:rPr>
                <w:rFonts w:cs="Arial"/>
                <w:b/>
                <w:bCs/>
                <w:color w:val="FFFFFF"/>
                <w:sz w:val="18"/>
                <w:szCs w:val="18"/>
                <w:lang w:eastAsia="en-AU"/>
              </w:rPr>
              <w:br/>
              <w:t>Q2 2012-Q2 2013</w:t>
            </w:r>
          </w:p>
        </w:tc>
      </w:tr>
      <w:tr w:rsidR="007A2BA3" w:rsidRPr="007A2BA3" w:rsidTr="007A2BA3">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7A2BA3" w:rsidRPr="007A2BA3" w:rsidRDefault="007A2BA3" w:rsidP="007A2BA3">
            <w:pPr>
              <w:spacing w:after="0" w:line="240" w:lineRule="auto"/>
              <w:jc w:val="left"/>
              <w:rPr>
                <w:rFonts w:cs="Arial"/>
                <w:color w:val="3E5B00"/>
                <w:sz w:val="18"/>
                <w:szCs w:val="18"/>
                <w:lang w:eastAsia="en-AU"/>
              </w:rPr>
            </w:pPr>
            <w:r w:rsidRPr="007A2BA3">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13.8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18.8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19.5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42%</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4%</w:t>
            </w:r>
          </w:p>
        </w:tc>
      </w:tr>
      <w:tr w:rsidR="007A2BA3" w:rsidRPr="007A2BA3" w:rsidTr="007A2BA3">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7A2BA3" w:rsidRPr="007A2BA3" w:rsidRDefault="007A2BA3" w:rsidP="007A2BA3">
            <w:pPr>
              <w:spacing w:after="0" w:line="240" w:lineRule="auto"/>
              <w:jc w:val="left"/>
              <w:rPr>
                <w:rFonts w:cs="Arial"/>
                <w:color w:val="3E5B00"/>
                <w:sz w:val="18"/>
                <w:szCs w:val="18"/>
                <w:lang w:eastAsia="en-AU"/>
              </w:rPr>
            </w:pPr>
            <w:r w:rsidRPr="007A2BA3">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52.8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77.6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69.0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31%</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-11%</w:t>
            </w:r>
          </w:p>
        </w:tc>
      </w:tr>
      <w:tr w:rsidR="007A2BA3" w:rsidRPr="007A2BA3" w:rsidTr="007A2BA3">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7A2BA3" w:rsidRPr="007A2BA3" w:rsidRDefault="007A2BA3" w:rsidP="007A2BA3">
            <w:pPr>
              <w:spacing w:after="0" w:line="240" w:lineRule="auto"/>
              <w:jc w:val="left"/>
              <w:rPr>
                <w:rFonts w:cs="Arial"/>
                <w:color w:val="3E5B00"/>
                <w:sz w:val="18"/>
                <w:szCs w:val="18"/>
                <w:lang w:eastAsia="en-AU"/>
              </w:rPr>
            </w:pPr>
            <w:r w:rsidRPr="007A2BA3">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28.8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34.7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25.8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-10%</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-26%</w:t>
            </w:r>
          </w:p>
        </w:tc>
      </w:tr>
      <w:tr w:rsidR="007A2BA3" w:rsidRPr="007A2BA3" w:rsidTr="007A2BA3">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7A2BA3" w:rsidRPr="007A2BA3" w:rsidRDefault="007A2BA3" w:rsidP="007A2BA3">
            <w:pPr>
              <w:spacing w:after="0" w:line="240" w:lineRule="auto"/>
              <w:jc w:val="left"/>
              <w:rPr>
                <w:rFonts w:cs="Arial"/>
                <w:color w:val="3E5B00"/>
                <w:sz w:val="18"/>
                <w:szCs w:val="18"/>
                <w:lang w:eastAsia="en-AU"/>
              </w:rPr>
            </w:pPr>
            <w:r w:rsidRPr="007A2BA3">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0.6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0.7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0.7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6%</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3%</w:t>
            </w:r>
          </w:p>
        </w:tc>
      </w:tr>
      <w:tr w:rsidR="007A2BA3" w:rsidRPr="007A2BA3" w:rsidTr="009C657F">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7A2BA3" w:rsidRPr="007A2BA3" w:rsidRDefault="007A2BA3" w:rsidP="007A2BA3">
            <w:pPr>
              <w:spacing w:after="0" w:line="240" w:lineRule="auto"/>
              <w:jc w:val="left"/>
              <w:rPr>
                <w:rFonts w:cs="Arial"/>
                <w:color w:val="3E5B00"/>
                <w:sz w:val="18"/>
                <w:szCs w:val="18"/>
                <w:lang w:eastAsia="en-AU"/>
              </w:rPr>
            </w:pPr>
            <w:r w:rsidRPr="007A2BA3">
              <w:rPr>
                <w:rFonts w:cs="Arial"/>
                <w:color w:val="3E5B00"/>
                <w:sz w:val="18"/>
                <w:szCs w:val="18"/>
                <w:lang w:eastAsia="en-AU"/>
              </w:rPr>
              <w:t xml:space="preserve">Secondary, </w:t>
            </w:r>
            <w:proofErr w:type="spellStart"/>
            <w:r w:rsidRPr="007A2BA3">
              <w:rPr>
                <w:rFonts w:cs="Arial"/>
                <w:color w:val="3E5B00"/>
                <w:sz w:val="18"/>
                <w:szCs w:val="18"/>
                <w:lang w:eastAsia="en-AU"/>
              </w:rPr>
              <w:t>SoA</w:t>
            </w:r>
            <w:proofErr w:type="spellEnd"/>
            <w:r w:rsidRPr="007A2BA3">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3.0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4.7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 xml:space="preserve">4.8 </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58%</w:t>
            </w:r>
          </w:p>
        </w:tc>
        <w:tc>
          <w:tcPr>
            <w:tcW w:w="1120" w:type="dxa"/>
            <w:tcBorders>
              <w:top w:val="nil"/>
              <w:left w:val="nil"/>
              <w:bottom w:val="single" w:sz="4" w:space="0" w:color="5E8A00"/>
              <w:right w:val="single" w:sz="4" w:space="0" w:color="5E8A00"/>
            </w:tcBorders>
            <w:shd w:val="clear" w:color="auto" w:fill="auto"/>
            <w:noWrap/>
            <w:vAlign w:val="center"/>
            <w:hideMark/>
          </w:tcPr>
          <w:p w:rsidR="007A2BA3" w:rsidRPr="007A2BA3" w:rsidRDefault="007A2BA3" w:rsidP="007A2BA3">
            <w:pPr>
              <w:spacing w:after="0" w:line="240" w:lineRule="auto"/>
              <w:jc w:val="right"/>
              <w:rPr>
                <w:rFonts w:cs="Arial"/>
                <w:sz w:val="18"/>
                <w:szCs w:val="18"/>
                <w:lang w:eastAsia="en-AU"/>
              </w:rPr>
            </w:pPr>
            <w:r w:rsidRPr="007A2BA3">
              <w:rPr>
                <w:rFonts w:cs="Arial"/>
                <w:sz w:val="18"/>
                <w:szCs w:val="18"/>
                <w:lang w:eastAsia="en-AU"/>
              </w:rPr>
              <w:t>3%</w:t>
            </w:r>
          </w:p>
        </w:tc>
      </w:tr>
      <w:tr w:rsidR="007A2BA3" w:rsidRPr="007A2BA3" w:rsidTr="009C657F">
        <w:trPr>
          <w:trHeight w:hRule="exact" w:val="284"/>
        </w:trPr>
        <w:tc>
          <w:tcPr>
            <w:tcW w:w="2420" w:type="dxa"/>
            <w:tcBorders>
              <w:top w:val="single" w:sz="4" w:space="0" w:color="5E8A00"/>
              <w:left w:val="single" w:sz="4" w:space="0" w:color="5E8A00"/>
              <w:bottom w:val="nil"/>
            </w:tcBorders>
            <w:shd w:val="clear" w:color="000000" w:fill="5E8A00"/>
            <w:noWrap/>
            <w:vAlign w:val="bottom"/>
            <w:hideMark/>
          </w:tcPr>
          <w:p w:rsidR="007A2BA3" w:rsidRPr="007A2BA3" w:rsidRDefault="007A2BA3" w:rsidP="007A2BA3">
            <w:pPr>
              <w:spacing w:after="0" w:line="240" w:lineRule="auto"/>
              <w:jc w:val="left"/>
              <w:rPr>
                <w:rFonts w:cs="Arial"/>
                <w:b/>
                <w:bCs/>
                <w:color w:val="FFFFFF"/>
                <w:sz w:val="18"/>
                <w:szCs w:val="18"/>
                <w:lang w:eastAsia="en-AU"/>
              </w:rPr>
            </w:pPr>
            <w:r w:rsidRPr="007A2BA3">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 xml:space="preserve">99.0 </w:t>
            </w:r>
          </w:p>
        </w:tc>
        <w:tc>
          <w:tcPr>
            <w:tcW w:w="1120" w:type="dxa"/>
            <w:tcBorders>
              <w:top w:val="single" w:sz="4" w:space="0" w:color="5E8A00"/>
              <w:bottom w:val="nil"/>
            </w:tcBorders>
            <w:shd w:val="clear" w:color="000000" w:fill="5E8A00"/>
            <w:noWrap/>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 xml:space="preserve">136.5 </w:t>
            </w:r>
          </w:p>
        </w:tc>
        <w:tc>
          <w:tcPr>
            <w:tcW w:w="1120" w:type="dxa"/>
            <w:tcBorders>
              <w:top w:val="single" w:sz="4" w:space="0" w:color="5E8A00"/>
              <w:bottom w:val="nil"/>
            </w:tcBorders>
            <w:shd w:val="clear" w:color="000000" w:fill="5E8A00"/>
            <w:noWrap/>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 xml:space="preserve">119.7 </w:t>
            </w:r>
          </w:p>
        </w:tc>
        <w:tc>
          <w:tcPr>
            <w:tcW w:w="1120" w:type="dxa"/>
            <w:tcBorders>
              <w:top w:val="single" w:sz="4" w:space="0" w:color="5E8A00"/>
              <w:bottom w:val="nil"/>
            </w:tcBorders>
            <w:shd w:val="clear" w:color="000000" w:fill="5E8A00"/>
            <w:noWrap/>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21%</w:t>
            </w:r>
          </w:p>
        </w:tc>
        <w:tc>
          <w:tcPr>
            <w:tcW w:w="1120" w:type="dxa"/>
            <w:tcBorders>
              <w:top w:val="single" w:sz="4" w:space="0" w:color="5E8A00"/>
              <w:bottom w:val="nil"/>
              <w:right w:val="single" w:sz="4" w:space="0" w:color="5E8A00"/>
            </w:tcBorders>
            <w:shd w:val="clear" w:color="000000" w:fill="5E8A00"/>
            <w:noWrap/>
            <w:vAlign w:val="center"/>
            <w:hideMark/>
          </w:tcPr>
          <w:p w:rsidR="007A2BA3" w:rsidRPr="007A2BA3" w:rsidRDefault="007A2BA3" w:rsidP="007A2BA3">
            <w:pPr>
              <w:spacing w:after="0" w:line="240" w:lineRule="auto"/>
              <w:jc w:val="right"/>
              <w:rPr>
                <w:rFonts w:cs="Arial"/>
                <w:b/>
                <w:bCs/>
                <w:color w:val="FFFFFF"/>
                <w:sz w:val="18"/>
                <w:szCs w:val="18"/>
                <w:lang w:eastAsia="en-AU"/>
              </w:rPr>
            </w:pPr>
            <w:r w:rsidRPr="007A2BA3">
              <w:rPr>
                <w:rFonts w:cs="Arial"/>
                <w:b/>
                <w:bCs/>
                <w:color w:val="FFFFFF"/>
                <w:sz w:val="18"/>
                <w:szCs w:val="18"/>
                <w:lang w:eastAsia="en-AU"/>
              </w:rPr>
              <w:t>-12%</w:t>
            </w:r>
          </w:p>
        </w:tc>
      </w:tr>
    </w:tbl>
    <w:p w:rsidR="007E7B89" w:rsidRPr="007E7B89" w:rsidRDefault="007E7B89" w:rsidP="007E7B89">
      <w:pPr>
        <w:spacing w:after="0"/>
        <w:rPr>
          <w:sz w:val="16"/>
          <w:szCs w:val="16"/>
        </w:rPr>
      </w:pPr>
      <w:proofErr w:type="spellStart"/>
      <w:r w:rsidRPr="007E7B89">
        <w:rPr>
          <w:sz w:val="16"/>
          <w:szCs w:val="16"/>
        </w:rPr>
        <w:t>SoA</w:t>
      </w:r>
      <w:proofErr w:type="spellEnd"/>
      <w:r w:rsidRPr="007E7B89">
        <w:rPr>
          <w:sz w:val="16"/>
          <w:szCs w:val="16"/>
        </w:rPr>
        <w:t>: Statement of Attainment.</w:t>
      </w:r>
    </w:p>
    <w:p w:rsidR="007E7B89" w:rsidRPr="001F29E3" w:rsidRDefault="007E7B89" w:rsidP="00351166">
      <w:pPr>
        <w:rPr>
          <w:rFonts w:cs="Arial"/>
        </w:rPr>
      </w:pPr>
    </w:p>
    <w:p w:rsidR="00351166" w:rsidRPr="001F29E3" w:rsidRDefault="005D46B9" w:rsidP="00DC6F46">
      <w:pPr>
        <w:pStyle w:val="Caption"/>
        <w:spacing w:after="0"/>
        <w:jc w:val="left"/>
        <w:rPr>
          <w:rFonts w:cs="Arial"/>
        </w:rPr>
      </w:pPr>
      <w:r w:rsidRPr="001F29E3">
        <w:rPr>
          <w:rFonts w:cs="Arial"/>
        </w:rPr>
        <w:t>Figure 1.</w:t>
      </w:r>
      <w:r w:rsidR="00EA5ABC">
        <w:rPr>
          <w:rFonts w:cs="Arial"/>
        </w:rPr>
        <w:t>4</w:t>
      </w:r>
      <w:r w:rsidRPr="001F29E3">
        <w:rPr>
          <w:rFonts w:cs="Arial"/>
        </w:rPr>
        <w:t>: Government subsidised student contact hours by qualification level (AQF1+ only), Q</w:t>
      </w:r>
      <w:r w:rsidR="007A2BA3">
        <w:rPr>
          <w:rFonts w:cs="Arial"/>
        </w:rPr>
        <w:t>2</w:t>
      </w:r>
      <w:r w:rsidRPr="001F29E3">
        <w:rPr>
          <w:rFonts w:cs="Arial"/>
        </w:rPr>
        <w:t xml:space="preserve"> 2012 and Q</w:t>
      </w:r>
      <w:r w:rsidR="007A2BA3">
        <w:rPr>
          <w:rFonts w:cs="Arial"/>
        </w:rPr>
        <w:t>2</w:t>
      </w:r>
      <w:r w:rsidRPr="001F29E3">
        <w:rPr>
          <w:rFonts w:cs="Arial"/>
        </w:rPr>
        <w:t xml:space="preserve"> 2013</w:t>
      </w:r>
    </w:p>
    <w:p w:rsidR="005D46B9" w:rsidRDefault="007E7B89" w:rsidP="007A2BA3">
      <w:pPr>
        <w:jc w:val="left"/>
        <w:rPr>
          <w:rFonts w:cs="Arial"/>
        </w:rPr>
      </w:pPr>
      <w:r>
        <w:rPr>
          <w:rFonts w:cs="Arial"/>
          <w:noProof/>
          <w:lang w:eastAsia="en-AU"/>
        </w:rPr>
        <w:drawing>
          <wp:inline distT="0" distB="0" distL="0" distR="0" wp14:anchorId="14E5BCC8" wp14:editId="4C880847">
            <wp:extent cx="5224780" cy="273748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4780" cy="2737485"/>
                    </a:xfrm>
                    <a:prstGeom prst="rect">
                      <a:avLst/>
                    </a:prstGeom>
                    <a:noFill/>
                  </pic:spPr>
                </pic:pic>
              </a:graphicData>
            </a:graphic>
          </wp:inline>
        </w:drawing>
      </w:r>
    </w:p>
    <w:p w:rsidR="00351166" w:rsidRPr="001F29E3" w:rsidRDefault="00351166" w:rsidP="00A9260A">
      <w:pPr>
        <w:pStyle w:val="Heading2"/>
      </w:pPr>
      <w:bookmarkStart w:id="48" w:name="_Toc316542826"/>
      <w:bookmarkStart w:id="49" w:name="_Toc316629589"/>
      <w:bookmarkStart w:id="50" w:name="_Toc317173951"/>
      <w:bookmarkStart w:id="51" w:name="_Toc317174100"/>
      <w:bookmarkStart w:id="52" w:name="_Toc322454239"/>
      <w:bookmarkStart w:id="53" w:name="_Toc366588113"/>
      <w:bookmarkStart w:id="54" w:name="_Toc317174103"/>
      <w:bookmarkStart w:id="55" w:name="_Toc322454242"/>
      <w:r w:rsidRPr="001F29E3">
        <w:lastRenderedPageBreak/>
        <w:t>Age Profile</w:t>
      </w:r>
      <w:bookmarkEnd w:id="48"/>
      <w:bookmarkEnd w:id="49"/>
      <w:bookmarkEnd w:id="50"/>
      <w:bookmarkEnd w:id="51"/>
      <w:bookmarkEnd w:id="52"/>
      <w:bookmarkEnd w:id="53"/>
    </w:p>
    <w:p w:rsidR="00351166" w:rsidRPr="001F29E3" w:rsidRDefault="00351166" w:rsidP="00351166">
      <w:pPr>
        <w:rPr>
          <w:rFonts w:cs="Arial"/>
        </w:rPr>
      </w:pPr>
    </w:p>
    <w:p w:rsidR="00351166" w:rsidRPr="001F29E3" w:rsidRDefault="0055106F" w:rsidP="00A9260A">
      <w:pPr>
        <w:pStyle w:val="Heading3"/>
      </w:pPr>
      <w:r w:rsidRPr="001F29E3">
        <w:t>Vocational Training</w:t>
      </w:r>
      <w:r w:rsidR="00351166" w:rsidRPr="001F29E3">
        <w:t xml:space="preserve"> Delivery by Age Group</w:t>
      </w:r>
    </w:p>
    <w:p w:rsidR="00C45B16" w:rsidRPr="001F29E3" w:rsidRDefault="00351166" w:rsidP="00C45B16">
      <w:pPr>
        <w:rPr>
          <w:rFonts w:cs="Arial"/>
        </w:rPr>
      </w:pPr>
      <w:r w:rsidRPr="001F29E3">
        <w:rPr>
          <w:rFonts w:cs="Arial"/>
        </w:rPr>
        <w:t>To enable the increased workforce participation levels required by the Victorian economy over the next decade, improved engagement with education and training by all age groups is required.</w:t>
      </w:r>
      <w:r w:rsidR="00C45B16" w:rsidRPr="001F29E3">
        <w:rPr>
          <w:rFonts w:cs="Arial"/>
        </w:rPr>
        <w:t xml:space="preserve"> The vocational training system is also focused on accessibility and gender equality, ensuring all Victorians have the same opportunity to succeed in their lives and maintain well-being through education and training. </w:t>
      </w:r>
    </w:p>
    <w:p w:rsidR="008C0A56" w:rsidRDefault="008C0A56" w:rsidP="008C0A56"/>
    <w:p w:rsidR="00351166" w:rsidRPr="001F29E3" w:rsidRDefault="00351166" w:rsidP="00A9260A">
      <w:pPr>
        <w:pStyle w:val="Heading3"/>
      </w:pPr>
      <w:r w:rsidRPr="001F29E3">
        <w:t>Students by Age Group</w:t>
      </w:r>
      <w:r w:rsidR="00595A4F" w:rsidRPr="001F29E3">
        <w:t xml:space="preserve"> in Government Subsidised Training</w:t>
      </w:r>
    </w:p>
    <w:p w:rsidR="003A680C" w:rsidRPr="001F29E3" w:rsidRDefault="003A680C" w:rsidP="003A680C">
      <w:pPr>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3A680C" w:rsidRPr="001F29E3" w:rsidTr="003A680C">
        <w:trPr>
          <w:trHeight w:val="1434"/>
        </w:trPr>
        <w:tc>
          <w:tcPr>
            <w:tcW w:w="7388" w:type="dxa"/>
          </w:tcPr>
          <w:p w:rsidR="003A680C" w:rsidRDefault="003A680C" w:rsidP="003A680C">
            <w:pPr>
              <w:pStyle w:val="Heading3"/>
            </w:pPr>
            <w:r w:rsidRPr="007A27E5">
              <w:t>Key Points</w:t>
            </w:r>
          </w:p>
          <w:p w:rsidR="008C0A56" w:rsidRPr="008C0A56" w:rsidRDefault="008C0A56" w:rsidP="008C0A56"/>
          <w:p w:rsidR="003A680C" w:rsidRDefault="003A680C" w:rsidP="007E0806">
            <w:pPr>
              <w:pStyle w:val="ListBullet"/>
              <w:numPr>
                <w:ilvl w:val="0"/>
                <w:numId w:val="6"/>
              </w:numPr>
              <w:ind w:right="113"/>
              <w:rPr>
                <w:rFonts w:cs="Arial"/>
              </w:rPr>
            </w:pPr>
            <w:r>
              <w:rPr>
                <w:rFonts w:cs="Arial"/>
              </w:rPr>
              <w:t>The number of g</w:t>
            </w:r>
            <w:r w:rsidRPr="007A27E5">
              <w:rPr>
                <w:rFonts w:cs="Arial"/>
              </w:rPr>
              <w:t>overnment subsidised student</w:t>
            </w:r>
            <w:r>
              <w:rPr>
                <w:rFonts w:cs="Arial"/>
              </w:rPr>
              <w:t>s</w:t>
            </w:r>
            <w:r w:rsidRPr="007A27E5">
              <w:rPr>
                <w:rFonts w:cs="Arial"/>
              </w:rPr>
              <w:t xml:space="preserve"> </w:t>
            </w:r>
            <w:r>
              <w:rPr>
                <w:rFonts w:cs="Arial"/>
              </w:rPr>
              <w:t xml:space="preserve">was 307,700 </w:t>
            </w:r>
            <w:r w:rsidRPr="007A27E5">
              <w:rPr>
                <w:rFonts w:cs="Arial"/>
              </w:rPr>
              <w:t>in Q2 2013</w:t>
            </w:r>
            <w:r>
              <w:rPr>
                <w:rFonts w:cs="Arial"/>
              </w:rPr>
              <w:t>. Students aged 15 to 24 accounted for 44 per cent of all government subsidised students.</w:t>
            </w:r>
          </w:p>
          <w:p w:rsidR="003A680C" w:rsidRPr="00D022C6" w:rsidRDefault="007E0806" w:rsidP="007E0806">
            <w:pPr>
              <w:pStyle w:val="ListBullet"/>
              <w:numPr>
                <w:ilvl w:val="0"/>
                <w:numId w:val="6"/>
              </w:numPr>
              <w:ind w:right="113"/>
              <w:rPr>
                <w:rFonts w:cs="Arial"/>
              </w:rPr>
            </w:pPr>
            <w:r>
              <w:rPr>
                <w:rFonts w:cs="Arial"/>
              </w:rPr>
              <w:t>A</w:t>
            </w:r>
            <w:r w:rsidR="003A680C">
              <w:rPr>
                <w:rFonts w:cs="Arial"/>
              </w:rPr>
              <w:t xml:space="preserve">ged 15-19 is the only </w:t>
            </w:r>
            <w:r>
              <w:rPr>
                <w:rFonts w:cs="Arial"/>
              </w:rPr>
              <w:t xml:space="preserve">age </w:t>
            </w:r>
            <w:r w:rsidR="003A680C">
              <w:rPr>
                <w:rFonts w:cs="Arial"/>
              </w:rPr>
              <w:t xml:space="preserve">cohort </w:t>
            </w:r>
            <w:r>
              <w:rPr>
                <w:rFonts w:cs="Arial"/>
              </w:rPr>
              <w:t xml:space="preserve">with student numbers in </w:t>
            </w:r>
            <w:r w:rsidR="003A680C" w:rsidRPr="007A27E5">
              <w:rPr>
                <w:rFonts w:cs="Arial"/>
              </w:rPr>
              <w:t xml:space="preserve">Q2 2013 </w:t>
            </w:r>
            <w:r>
              <w:rPr>
                <w:rFonts w:cs="Arial"/>
              </w:rPr>
              <w:t>lower than the numbers for the same age group in Q2 2011 and Q2 2012.</w:t>
            </w:r>
          </w:p>
        </w:tc>
      </w:tr>
    </w:tbl>
    <w:p w:rsidR="003A680C" w:rsidRDefault="003A680C" w:rsidP="00595A4F">
      <w:pPr>
        <w:rPr>
          <w:rFonts w:cs="Arial"/>
        </w:rPr>
      </w:pPr>
    </w:p>
    <w:p w:rsidR="003A680C" w:rsidRPr="001F29E3" w:rsidRDefault="003A680C" w:rsidP="00595A4F">
      <w:pPr>
        <w:rPr>
          <w:rFonts w:cs="Arial"/>
        </w:rPr>
      </w:pPr>
    </w:p>
    <w:p w:rsidR="00351166" w:rsidRPr="001F29E3" w:rsidRDefault="00351166" w:rsidP="00174D56">
      <w:pPr>
        <w:pStyle w:val="Caption"/>
        <w:spacing w:after="0"/>
        <w:jc w:val="left"/>
        <w:rPr>
          <w:rFonts w:cs="Arial"/>
        </w:rPr>
      </w:pPr>
      <w:r w:rsidRPr="001F29E3">
        <w:rPr>
          <w:rFonts w:cs="Arial"/>
        </w:rPr>
        <w:t>Table 1.</w:t>
      </w:r>
      <w:r w:rsidR="00EA5ABC">
        <w:rPr>
          <w:rFonts w:cs="Arial"/>
        </w:rPr>
        <w:t>9</w:t>
      </w:r>
      <w:r w:rsidR="005F145E">
        <w:rPr>
          <w:rFonts w:cs="Arial"/>
        </w:rPr>
        <w:t>.1</w:t>
      </w:r>
      <w:r w:rsidRPr="001F29E3">
        <w:rPr>
          <w:rFonts w:cs="Arial"/>
        </w:rPr>
        <w:t xml:space="preserve">: </w:t>
      </w:r>
      <w:r w:rsidR="006559F0" w:rsidRPr="001F29E3">
        <w:rPr>
          <w:rFonts w:cs="Arial"/>
        </w:rPr>
        <w:t xml:space="preserve">Government subsidised </w:t>
      </w:r>
      <w:r w:rsidR="005F145E">
        <w:rPr>
          <w:rFonts w:cs="Arial"/>
        </w:rPr>
        <w:t>students by age group, 2008–2012</w:t>
      </w:r>
    </w:p>
    <w:tbl>
      <w:tblPr>
        <w:tblW w:w="9280" w:type="dxa"/>
        <w:tblInd w:w="103" w:type="dxa"/>
        <w:tblLook w:val="04A0" w:firstRow="1" w:lastRow="0" w:firstColumn="1" w:lastColumn="0" w:noHBand="0" w:noVBand="1"/>
      </w:tblPr>
      <w:tblGrid>
        <w:gridCol w:w="2560"/>
        <w:gridCol w:w="1120"/>
        <w:gridCol w:w="1120"/>
        <w:gridCol w:w="1120"/>
        <w:gridCol w:w="1120"/>
        <w:gridCol w:w="1120"/>
        <w:gridCol w:w="1120"/>
      </w:tblGrid>
      <w:tr w:rsidR="008A5F7A" w:rsidRPr="008A5F7A" w:rsidTr="00541B24">
        <w:trPr>
          <w:trHeight w:hRule="exact" w:val="760"/>
        </w:trPr>
        <w:tc>
          <w:tcPr>
            <w:tcW w:w="2560" w:type="dxa"/>
            <w:tcBorders>
              <w:top w:val="single" w:sz="4" w:space="0" w:color="5E8A00"/>
              <w:left w:val="single" w:sz="4" w:space="0" w:color="5E8A00"/>
              <w:bottom w:val="single" w:sz="4" w:space="0" w:color="5E8A00"/>
            </w:tcBorders>
            <w:shd w:val="clear" w:color="000000" w:fill="5E8A00"/>
            <w:noWrap/>
            <w:vAlign w:val="center"/>
            <w:hideMark/>
          </w:tcPr>
          <w:p w:rsidR="008A5F7A" w:rsidRPr="008A5F7A" w:rsidRDefault="008A5F7A" w:rsidP="008A5F7A">
            <w:pPr>
              <w:spacing w:after="0" w:line="240" w:lineRule="auto"/>
              <w:jc w:val="left"/>
              <w:rPr>
                <w:rFonts w:cs="Arial"/>
                <w:b/>
                <w:bCs/>
                <w:color w:val="FFFFFF"/>
                <w:sz w:val="18"/>
                <w:szCs w:val="18"/>
                <w:lang w:eastAsia="en-AU"/>
              </w:rPr>
            </w:pPr>
            <w:r w:rsidRPr="008A5F7A">
              <w:rPr>
                <w:rFonts w:cs="Arial"/>
                <w:b/>
                <w:bCs/>
                <w:color w:val="FFFFFF"/>
                <w:sz w:val="18"/>
                <w:szCs w:val="18"/>
                <w:lang w:eastAsia="en-AU"/>
              </w:rPr>
              <w:t>Age group</w:t>
            </w:r>
          </w:p>
        </w:tc>
        <w:tc>
          <w:tcPr>
            <w:tcW w:w="1120" w:type="dxa"/>
            <w:tcBorders>
              <w:top w:val="single" w:sz="4" w:space="0" w:color="5E8A00"/>
              <w:bottom w:val="single" w:sz="4" w:space="0" w:color="5E8A00"/>
            </w:tcBorders>
            <w:shd w:val="clear" w:color="000000" w:fill="5E8A00"/>
            <w:vAlign w:val="center"/>
            <w:hideMark/>
          </w:tcPr>
          <w:p w:rsidR="008A5F7A" w:rsidRPr="008A5F7A" w:rsidRDefault="008A5F7A" w:rsidP="00F034AF">
            <w:pPr>
              <w:spacing w:after="0" w:line="240" w:lineRule="auto"/>
              <w:ind w:firstLineChars="100" w:firstLine="181"/>
              <w:jc w:val="right"/>
              <w:rPr>
                <w:rFonts w:cs="Arial"/>
                <w:b/>
                <w:bCs/>
                <w:color w:val="FFFFFF"/>
                <w:sz w:val="18"/>
                <w:szCs w:val="18"/>
                <w:lang w:eastAsia="en-AU"/>
              </w:rPr>
            </w:pPr>
            <w:r w:rsidRPr="008A5F7A">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8A5F7A" w:rsidRPr="008A5F7A" w:rsidRDefault="008A5F7A" w:rsidP="00F034AF">
            <w:pPr>
              <w:spacing w:after="0" w:line="240" w:lineRule="auto"/>
              <w:ind w:firstLineChars="100" w:firstLine="181"/>
              <w:jc w:val="right"/>
              <w:rPr>
                <w:rFonts w:cs="Arial"/>
                <w:b/>
                <w:bCs/>
                <w:color w:val="FFFFFF"/>
                <w:sz w:val="18"/>
                <w:szCs w:val="18"/>
                <w:lang w:eastAsia="en-AU"/>
              </w:rPr>
            </w:pPr>
            <w:r w:rsidRPr="008A5F7A">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8A5F7A" w:rsidRPr="008A5F7A" w:rsidRDefault="008A5F7A" w:rsidP="00F034AF">
            <w:pPr>
              <w:spacing w:after="0" w:line="240" w:lineRule="auto"/>
              <w:ind w:firstLineChars="100" w:firstLine="181"/>
              <w:jc w:val="right"/>
              <w:rPr>
                <w:rFonts w:cs="Arial"/>
                <w:b/>
                <w:bCs/>
                <w:color w:val="FFFFFF"/>
                <w:sz w:val="18"/>
                <w:szCs w:val="18"/>
                <w:lang w:eastAsia="en-AU"/>
              </w:rPr>
            </w:pPr>
            <w:r w:rsidRPr="008A5F7A">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8A5F7A" w:rsidRPr="008A5F7A" w:rsidRDefault="008A5F7A" w:rsidP="00F034AF">
            <w:pPr>
              <w:spacing w:after="0" w:line="240" w:lineRule="auto"/>
              <w:ind w:firstLineChars="100" w:firstLine="181"/>
              <w:jc w:val="right"/>
              <w:rPr>
                <w:rFonts w:cs="Arial"/>
                <w:b/>
                <w:bCs/>
                <w:color w:val="FFFFFF"/>
                <w:sz w:val="18"/>
                <w:szCs w:val="18"/>
                <w:lang w:eastAsia="en-AU"/>
              </w:rPr>
            </w:pPr>
            <w:r w:rsidRPr="008A5F7A">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8A5F7A" w:rsidRPr="008A5F7A" w:rsidRDefault="008A5F7A" w:rsidP="00F034AF">
            <w:pPr>
              <w:spacing w:after="0" w:line="240" w:lineRule="auto"/>
              <w:ind w:firstLineChars="100" w:firstLine="181"/>
              <w:jc w:val="right"/>
              <w:rPr>
                <w:rFonts w:cs="Arial"/>
                <w:b/>
                <w:bCs/>
                <w:color w:val="FFFFFF"/>
                <w:sz w:val="18"/>
                <w:szCs w:val="18"/>
                <w:lang w:eastAsia="en-AU"/>
              </w:rPr>
            </w:pPr>
            <w:r w:rsidRPr="008A5F7A">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 change</w:t>
            </w:r>
            <w:r w:rsidRPr="008A5F7A">
              <w:rPr>
                <w:rFonts w:cs="Arial"/>
                <w:b/>
                <w:bCs/>
                <w:color w:val="FFFFFF"/>
                <w:sz w:val="18"/>
                <w:szCs w:val="18"/>
                <w:lang w:eastAsia="en-AU"/>
              </w:rPr>
              <w:br/>
              <w:t>2008-2012</w:t>
            </w:r>
          </w:p>
        </w:tc>
      </w:tr>
      <w:tr w:rsidR="008A5F7A" w:rsidRPr="008A5F7A" w:rsidTr="008A5F7A">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8A5F7A" w:rsidRPr="008A5F7A" w:rsidRDefault="008A5F7A" w:rsidP="008A5F7A">
            <w:pPr>
              <w:spacing w:after="0" w:line="240" w:lineRule="auto"/>
              <w:jc w:val="left"/>
              <w:rPr>
                <w:rFonts w:cs="Arial"/>
                <w:color w:val="3E5B00"/>
                <w:sz w:val="18"/>
                <w:szCs w:val="18"/>
                <w:lang w:eastAsia="en-AU"/>
              </w:rPr>
            </w:pPr>
            <w:r w:rsidRPr="008A5F7A">
              <w:rPr>
                <w:rFonts w:cs="Arial"/>
                <w:color w:val="3E5B00"/>
                <w:sz w:val="18"/>
                <w:szCs w:val="18"/>
                <w:lang w:eastAsia="en-AU"/>
              </w:rPr>
              <w:t>15 to 19</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74,400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76,000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88,300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108,700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120,500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62%</w:t>
            </w:r>
          </w:p>
        </w:tc>
      </w:tr>
      <w:tr w:rsidR="008A5F7A" w:rsidRPr="008A5F7A" w:rsidTr="008A5F7A">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8A5F7A" w:rsidRPr="008A5F7A" w:rsidRDefault="008A5F7A" w:rsidP="008A5F7A">
            <w:pPr>
              <w:spacing w:after="0" w:line="240" w:lineRule="auto"/>
              <w:jc w:val="left"/>
              <w:rPr>
                <w:rFonts w:cs="Arial"/>
                <w:color w:val="3E5B00"/>
                <w:sz w:val="18"/>
                <w:szCs w:val="18"/>
                <w:lang w:eastAsia="en-AU"/>
              </w:rPr>
            </w:pPr>
            <w:r w:rsidRPr="008A5F7A">
              <w:rPr>
                <w:rFonts w:cs="Arial"/>
                <w:color w:val="3E5B00"/>
                <w:sz w:val="18"/>
                <w:szCs w:val="18"/>
                <w:lang w:eastAsia="en-AU"/>
              </w:rPr>
              <w:t>20 to 24</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58,800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59,200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71,400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87,800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100,900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72%</w:t>
            </w:r>
          </w:p>
        </w:tc>
      </w:tr>
      <w:tr w:rsidR="008A5F7A" w:rsidRPr="008A5F7A" w:rsidTr="008A5F7A">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8A5F7A" w:rsidRPr="008A5F7A" w:rsidRDefault="008A5F7A" w:rsidP="008A5F7A">
            <w:pPr>
              <w:spacing w:after="0" w:line="240" w:lineRule="auto"/>
              <w:jc w:val="left"/>
              <w:rPr>
                <w:rFonts w:cs="Arial"/>
                <w:color w:val="3E5B00"/>
                <w:sz w:val="18"/>
                <w:szCs w:val="18"/>
                <w:lang w:eastAsia="en-AU"/>
              </w:rPr>
            </w:pPr>
            <w:r w:rsidRPr="008A5F7A">
              <w:rPr>
                <w:rFonts w:cs="Arial"/>
                <w:color w:val="3E5B00"/>
                <w:sz w:val="18"/>
                <w:szCs w:val="18"/>
                <w:lang w:eastAsia="en-AU"/>
              </w:rPr>
              <w:t>25 to 44</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99,700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102,400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112,600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148,500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180,200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81%</w:t>
            </w:r>
          </w:p>
        </w:tc>
      </w:tr>
      <w:tr w:rsidR="008A5F7A" w:rsidRPr="008A5F7A" w:rsidTr="008A5F7A">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8A5F7A" w:rsidRPr="008A5F7A" w:rsidRDefault="008A5F7A" w:rsidP="008A5F7A">
            <w:pPr>
              <w:spacing w:after="0" w:line="240" w:lineRule="auto"/>
              <w:jc w:val="left"/>
              <w:rPr>
                <w:rFonts w:cs="Arial"/>
                <w:color w:val="3E5B00"/>
                <w:sz w:val="18"/>
                <w:szCs w:val="18"/>
                <w:lang w:eastAsia="en-AU"/>
              </w:rPr>
            </w:pPr>
            <w:r w:rsidRPr="008A5F7A">
              <w:rPr>
                <w:rFonts w:cs="Arial"/>
                <w:color w:val="3E5B00"/>
                <w:sz w:val="18"/>
                <w:szCs w:val="18"/>
                <w:lang w:eastAsia="en-AU"/>
              </w:rPr>
              <w:t>45 to 64</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51,100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52,900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60,200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77,100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96,400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89%</w:t>
            </w:r>
          </w:p>
        </w:tc>
      </w:tr>
      <w:tr w:rsidR="008A5F7A" w:rsidRPr="008A5F7A" w:rsidTr="00541B24">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8A5F7A" w:rsidRPr="008A5F7A" w:rsidRDefault="008A5F7A" w:rsidP="008A5F7A">
            <w:pPr>
              <w:spacing w:after="0" w:line="240" w:lineRule="auto"/>
              <w:jc w:val="left"/>
              <w:rPr>
                <w:rFonts w:cs="Arial"/>
                <w:color w:val="3E5B00"/>
                <w:sz w:val="18"/>
                <w:szCs w:val="18"/>
                <w:lang w:eastAsia="en-AU"/>
              </w:rPr>
            </w:pPr>
            <w:r w:rsidRPr="008A5F7A">
              <w:rPr>
                <w:rFonts w:cs="Arial"/>
                <w:color w:val="3E5B00"/>
                <w:sz w:val="18"/>
                <w:szCs w:val="18"/>
                <w:lang w:eastAsia="en-AU"/>
              </w:rPr>
              <w:t>Under 15, over 64, not stated</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10,700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9,200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6,700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8,100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11,800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10%</w:t>
            </w:r>
          </w:p>
        </w:tc>
      </w:tr>
      <w:tr w:rsidR="008A5F7A" w:rsidRPr="008A5F7A" w:rsidTr="00541B24">
        <w:trPr>
          <w:trHeight w:hRule="exact" w:val="284"/>
        </w:trPr>
        <w:tc>
          <w:tcPr>
            <w:tcW w:w="2560" w:type="dxa"/>
            <w:tcBorders>
              <w:top w:val="single" w:sz="4" w:space="0" w:color="5E8A00"/>
              <w:left w:val="single" w:sz="4" w:space="0" w:color="5E8A00"/>
              <w:bottom w:val="nil"/>
            </w:tcBorders>
            <w:shd w:val="clear" w:color="000000" w:fill="5E8A00"/>
            <w:noWrap/>
            <w:vAlign w:val="center"/>
            <w:hideMark/>
          </w:tcPr>
          <w:p w:rsidR="008A5F7A" w:rsidRPr="008A5F7A" w:rsidRDefault="008A5F7A" w:rsidP="008A5F7A">
            <w:pPr>
              <w:spacing w:after="0" w:line="240" w:lineRule="auto"/>
              <w:jc w:val="left"/>
              <w:rPr>
                <w:rFonts w:cs="Arial"/>
                <w:b/>
                <w:bCs/>
                <w:color w:val="FFFFFF"/>
                <w:sz w:val="18"/>
                <w:szCs w:val="18"/>
                <w:lang w:eastAsia="en-AU"/>
              </w:rPr>
            </w:pPr>
            <w:r w:rsidRPr="008A5F7A">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 xml:space="preserve">294,700 </w:t>
            </w:r>
          </w:p>
        </w:tc>
        <w:tc>
          <w:tcPr>
            <w:tcW w:w="1120" w:type="dxa"/>
            <w:tcBorders>
              <w:top w:val="single" w:sz="4" w:space="0" w:color="5E8A00"/>
              <w:bottom w:val="nil"/>
            </w:tcBorders>
            <w:shd w:val="clear" w:color="000000" w:fill="5E8A00"/>
            <w:noWrap/>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 xml:space="preserve">299,600 </w:t>
            </w:r>
          </w:p>
        </w:tc>
        <w:tc>
          <w:tcPr>
            <w:tcW w:w="1120" w:type="dxa"/>
            <w:tcBorders>
              <w:top w:val="single" w:sz="4" w:space="0" w:color="5E8A00"/>
              <w:bottom w:val="nil"/>
            </w:tcBorders>
            <w:shd w:val="clear" w:color="000000" w:fill="5E8A00"/>
            <w:noWrap/>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 xml:space="preserve">339,200 </w:t>
            </w:r>
          </w:p>
        </w:tc>
        <w:tc>
          <w:tcPr>
            <w:tcW w:w="1120" w:type="dxa"/>
            <w:tcBorders>
              <w:top w:val="single" w:sz="4" w:space="0" w:color="5E8A00"/>
              <w:bottom w:val="nil"/>
            </w:tcBorders>
            <w:shd w:val="clear" w:color="000000" w:fill="5E8A00"/>
            <w:noWrap/>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 xml:space="preserve">430,300 </w:t>
            </w:r>
          </w:p>
        </w:tc>
        <w:tc>
          <w:tcPr>
            <w:tcW w:w="1120" w:type="dxa"/>
            <w:tcBorders>
              <w:top w:val="single" w:sz="4" w:space="0" w:color="5E8A00"/>
              <w:bottom w:val="nil"/>
            </w:tcBorders>
            <w:shd w:val="clear" w:color="000000" w:fill="5E8A00"/>
            <w:noWrap/>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 xml:space="preserve">509,800 </w:t>
            </w:r>
          </w:p>
        </w:tc>
        <w:tc>
          <w:tcPr>
            <w:tcW w:w="1120" w:type="dxa"/>
            <w:tcBorders>
              <w:top w:val="single" w:sz="4" w:space="0" w:color="5E8A00"/>
              <w:bottom w:val="nil"/>
              <w:right w:val="single" w:sz="4" w:space="0" w:color="5E8A00"/>
            </w:tcBorders>
            <w:shd w:val="clear" w:color="000000" w:fill="5E8A00"/>
            <w:noWrap/>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73%</w:t>
            </w:r>
          </w:p>
        </w:tc>
      </w:tr>
    </w:tbl>
    <w:p w:rsidR="00351166" w:rsidRDefault="00351166" w:rsidP="00351166">
      <w:pPr>
        <w:rPr>
          <w:rFonts w:cs="Arial"/>
        </w:rPr>
      </w:pPr>
    </w:p>
    <w:p w:rsidR="005F145E" w:rsidRPr="001F29E3" w:rsidRDefault="005F145E" w:rsidP="00174D56">
      <w:pPr>
        <w:pStyle w:val="Caption"/>
        <w:spacing w:after="0"/>
        <w:jc w:val="left"/>
        <w:rPr>
          <w:rFonts w:cs="Arial"/>
        </w:rPr>
      </w:pPr>
      <w:r w:rsidRPr="001F29E3">
        <w:rPr>
          <w:rFonts w:cs="Arial"/>
        </w:rPr>
        <w:t>Table 1.</w:t>
      </w:r>
      <w:r w:rsidR="00EA5ABC">
        <w:rPr>
          <w:rFonts w:cs="Arial"/>
        </w:rPr>
        <w:t>9</w:t>
      </w:r>
      <w:r>
        <w:rPr>
          <w:rFonts w:cs="Arial"/>
        </w:rPr>
        <w:t>.2</w:t>
      </w:r>
      <w:r w:rsidRPr="001F29E3">
        <w:rPr>
          <w:rFonts w:cs="Arial"/>
        </w:rPr>
        <w:t xml:space="preserve">: Government subsidised students by age group, </w:t>
      </w:r>
      <w:r>
        <w:rPr>
          <w:rFonts w:cs="Arial"/>
        </w:rPr>
        <w:t xml:space="preserve">Q2 2011, </w:t>
      </w:r>
      <w:r w:rsidRPr="001F29E3">
        <w:rPr>
          <w:rFonts w:cs="Arial"/>
        </w:rPr>
        <w:t>Q</w:t>
      </w:r>
      <w:r>
        <w:rPr>
          <w:rFonts w:cs="Arial"/>
        </w:rPr>
        <w:t>2</w:t>
      </w:r>
      <w:r w:rsidRPr="001F29E3">
        <w:rPr>
          <w:rFonts w:cs="Arial"/>
        </w:rPr>
        <w:t xml:space="preserve"> 2012 and Q</w:t>
      </w:r>
      <w:r>
        <w:rPr>
          <w:rFonts w:cs="Arial"/>
        </w:rPr>
        <w:t>2</w:t>
      </w:r>
      <w:r w:rsidRPr="001F29E3">
        <w:rPr>
          <w:rFonts w:cs="Arial"/>
        </w:rPr>
        <w:t xml:space="preserve"> 2013</w:t>
      </w:r>
    </w:p>
    <w:tbl>
      <w:tblPr>
        <w:tblW w:w="8160" w:type="dxa"/>
        <w:tblInd w:w="103" w:type="dxa"/>
        <w:tblLook w:val="04A0" w:firstRow="1" w:lastRow="0" w:firstColumn="1" w:lastColumn="0" w:noHBand="0" w:noVBand="1"/>
      </w:tblPr>
      <w:tblGrid>
        <w:gridCol w:w="2560"/>
        <w:gridCol w:w="1120"/>
        <w:gridCol w:w="1120"/>
        <w:gridCol w:w="1120"/>
        <w:gridCol w:w="1120"/>
        <w:gridCol w:w="1120"/>
      </w:tblGrid>
      <w:tr w:rsidR="008A5F7A" w:rsidRPr="008A5F7A" w:rsidTr="00541B24">
        <w:trPr>
          <w:trHeight w:hRule="exact" w:val="760"/>
        </w:trPr>
        <w:tc>
          <w:tcPr>
            <w:tcW w:w="2560" w:type="dxa"/>
            <w:tcBorders>
              <w:top w:val="single" w:sz="4" w:space="0" w:color="5E8A00"/>
              <w:left w:val="single" w:sz="4" w:space="0" w:color="5E8A00"/>
              <w:bottom w:val="single" w:sz="4" w:space="0" w:color="5E8A00"/>
            </w:tcBorders>
            <w:shd w:val="clear" w:color="000000" w:fill="5E8A00"/>
            <w:noWrap/>
            <w:vAlign w:val="center"/>
            <w:hideMark/>
          </w:tcPr>
          <w:p w:rsidR="008A5F7A" w:rsidRPr="008A5F7A" w:rsidRDefault="008A5F7A" w:rsidP="008A5F7A">
            <w:pPr>
              <w:spacing w:after="0" w:line="240" w:lineRule="auto"/>
              <w:jc w:val="left"/>
              <w:rPr>
                <w:rFonts w:cs="Arial"/>
                <w:b/>
                <w:bCs/>
                <w:color w:val="FFFFFF"/>
                <w:sz w:val="18"/>
                <w:szCs w:val="18"/>
                <w:lang w:eastAsia="en-AU"/>
              </w:rPr>
            </w:pPr>
            <w:r w:rsidRPr="008A5F7A">
              <w:rPr>
                <w:rFonts w:cs="Arial"/>
                <w:b/>
                <w:bCs/>
                <w:color w:val="FFFFFF"/>
                <w:sz w:val="18"/>
                <w:szCs w:val="18"/>
                <w:lang w:eastAsia="en-AU"/>
              </w:rPr>
              <w:t>Age group</w:t>
            </w:r>
          </w:p>
        </w:tc>
        <w:tc>
          <w:tcPr>
            <w:tcW w:w="1120" w:type="dxa"/>
            <w:tcBorders>
              <w:top w:val="single" w:sz="4" w:space="0" w:color="5E8A00"/>
              <w:bottom w:val="single" w:sz="4" w:space="0" w:color="5E8A00"/>
            </w:tcBorders>
            <w:shd w:val="clear" w:color="000000" w:fill="5E8A00"/>
            <w:noWrap/>
            <w:vAlign w:val="center"/>
            <w:hideMark/>
          </w:tcPr>
          <w:p w:rsidR="008A5F7A" w:rsidRPr="008A5F7A" w:rsidRDefault="008A5F7A" w:rsidP="00F034AF">
            <w:pPr>
              <w:spacing w:after="0" w:line="240" w:lineRule="auto"/>
              <w:ind w:firstLineChars="100" w:firstLine="181"/>
              <w:jc w:val="left"/>
              <w:rPr>
                <w:rFonts w:cs="Arial"/>
                <w:b/>
                <w:bCs/>
                <w:color w:val="FFFFFF"/>
                <w:sz w:val="18"/>
                <w:szCs w:val="18"/>
                <w:lang w:eastAsia="en-AU"/>
              </w:rPr>
            </w:pPr>
            <w:r w:rsidRPr="008A5F7A">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noWrap/>
            <w:vAlign w:val="center"/>
            <w:hideMark/>
          </w:tcPr>
          <w:p w:rsidR="008A5F7A" w:rsidRPr="008A5F7A" w:rsidRDefault="008A5F7A" w:rsidP="00F034AF">
            <w:pPr>
              <w:spacing w:after="0" w:line="240" w:lineRule="auto"/>
              <w:ind w:firstLineChars="100" w:firstLine="181"/>
              <w:jc w:val="left"/>
              <w:rPr>
                <w:rFonts w:cs="Arial"/>
                <w:b/>
                <w:bCs/>
                <w:color w:val="FFFFFF"/>
                <w:sz w:val="18"/>
                <w:szCs w:val="18"/>
                <w:lang w:eastAsia="en-AU"/>
              </w:rPr>
            </w:pPr>
            <w:r w:rsidRPr="008A5F7A">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noWrap/>
            <w:vAlign w:val="center"/>
            <w:hideMark/>
          </w:tcPr>
          <w:p w:rsidR="008A5F7A" w:rsidRPr="008A5F7A" w:rsidRDefault="008A5F7A" w:rsidP="00F034AF">
            <w:pPr>
              <w:spacing w:after="0" w:line="240" w:lineRule="auto"/>
              <w:ind w:firstLineChars="100" w:firstLine="181"/>
              <w:jc w:val="left"/>
              <w:rPr>
                <w:rFonts w:cs="Arial"/>
                <w:b/>
                <w:bCs/>
                <w:color w:val="FFFFFF"/>
                <w:sz w:val="18"/>
                <w:szCs w:val="18"/>
                <w:lang w:eastAsia="en-AU"/>
              </w:rPr>
            </w:pPr>
            <w:r w:rsidRPr="008A5F7A">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8A5F7A" w:rsidRPr="008A5F7A" w:rsidRDefault="008A5F7A" w:rsidP="008A5F7A">
            <w:pPr>
              <w:spacing w:after="0" w:line="240" w:lineRule="auto"/>
              <w:jc w:val="center"/>
              <w:rPr>
                <w:rFonts w:cs="Arial"/>
                <w:b/>
                <w:bCs/>
                <w:color w:val="FFFFFF"/>
                <w:sz w:val="18"/>
                <w:szCs w:val="18"/>
                <w:lang w:eastAsia="en-AU"/>
              </w:rPr>
            </w:pPr>
            <w:r w:rsidRPr="008A5F7A">
              <w:rPr>
                <w:rFonts w:cs="Arial"/>
                <w:b/>
                <w:bCs/>
                <w:color w:val="FFFFFF"/>
                <w:sz w:val="18"/>
                <w:szCs w:val="18"/>
                <w:lang w:eastAsia="en-AU"/>
              </w:rPr>
              <w:t>% change</w:t>
            </w:r>
            <w:r w:rsidRPr="008A5F7A">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8A5F7A" w:rsidRPr="008A5F7A" w:rsidRDefault="008A5F7A" w:rsidP="008A5F7A">
            <w:pPr>
              <w:spacing w:after="0" w:line="240" w:lineRule="auto"/>
              <w:jc w:val="center"/>
              <w:rPr>
                <w:rFonts w:cs="Arial"/>
                <w:b/>
                <w:bCs/>
                <w:color w:val="FFFFFF"/>
                <w:sz w:val="18"/>
                <w:szCs w:val="18"/>
                <w:lang w:eastAsia="en-AU"/>
              </w:rPr>
            </w:pPr>
            <w:r w:rsidRPr="008A5F7A">
              <w:rPr>
                <w:rFonts w:cs="Arial"/>
                <w:b/>
                <w:bCs/>
                <w:color w:val="FFFFFF"/>
                <w:sz w:val="18"/>
                <w:szCs w:val="18"/>
                <w:lang w:eastAsia="en-AU"/>
              </w:rPr>
              <w:t>% change</w:t>
            </w:r>
            <w:r w:rsidRPr="008A5F7A">
              <w:rPr>
                <w:rFonts w:cs="Arial"/>
                <w:b/>
                <w:bCs/>
                <w:color w:val="FFFFFF"/>
                <w:sz w:val="18"/>
                <w:szCs w:val="18"/>
                <w:lang w:eastAsia="en-AU"/>
              </w:rPr>
              <w:br/>
              <w:t>Q2 2012-Q2 2013</w:t>
            </w:r>
          </w:p>
        </w:tc>
      </w:tr>
      <w:tr w:rsidR="008A5F7A" w:rsidRPr="008A5F7A" w:rsidTr="008A5F7A">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8A5F7A" w:rsidRPr="008A5F7A" w:rsidRDefault="008A5F7A" w:rsidP="008A5F7A">
            <w:pPr>
              <w:spacing w:after="0" w:line="240" w:lineRule="auto"/>
              <w:jc w:val="left"/>
              <w:rPr>
                <w:rFonts w:cs="Arial"/>
                <w:color w:val="3E5B00"/>
                <w:sz w:val="18"/>
                <w:szCs w:val="18"/>
                <w:lang w:eastAsia="en-AU"/>
              </w:rPr>
            </w:pPr>
            <w:r w:rsidRPr="008A5F7A">
              <w:rPr>
                <w:rFonts w:cs="Arial"/>
                <w:color w:val="3E5B00"/>
                <w:sz w:val="18"/>
                <w:szCs w:val="18"/>
                <w:lang w:eastAsia="en-AU"/>
              </w:rPr>
              <w:t>15 to 19</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70,800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87,300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69,000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-2%</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-21%</w:t>
            </w:r>
          </w:p>
        </w:tc>
      </w:tr>
      <w:tr w:rsidR="008A5F7A" w:rsidRPr="008A5F7A" w:rsidTr="008A5F7A">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8A5F7A" w:rsidRPr="008A5F7A" w:rsidRDefault="008A5F7A" w:rsidP="008A5F7A">
            <w:pPr>
              <w:spacing w:after="0" w:line="240" w:lineRule="auto"/>
              <w:jc w:val="left"/>
              <w:rPr>
                <w:rFonts w:cs="Arial"/>
                <w:color w:val="3E5B00"/>
                <w:sz w:val="18"/>
                <w:szCs w:val="18"/>
                <w:lang w:eastAsia="en-AU"/>
              </w:rPr>
            </w:pPr>
            <w:r w:rsidRPr="008A5F7A">
              <w:rPr>
                <w:rFonts w:cs="Arial"/>
                <w:color w:val="3E5B00"/>
                <w:sz w:val="18"/>
                <w:szCs w:val="18"/>
                <w:lang w:eastAsia="en-AU"/>
              </w:rPr>
              <w:t>20 to 24</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60,900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76,700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67,500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11%</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-12%</w:t>
            </w:r>
          </w:p>
        </w:tc>
      </w:tr>
      <w:tr w:rsidR="008A5F7A" w:rsidRPr="008A5F7A" w:rsidTr="008A5F7A">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8A5F7A" w:rsidRPr="008A5F7A" w:rsidRDefault="008A5F7A" w:rsidP="008A5F7A">
            <w:pPr>
              <w:spacing w:after="0" w:line="240" w:lineRule="auto"/>
              <w:jc w:val="left"/>
              <w:rPr>
                <w:rFonts w:cs="Arial"/>
                <w:color w:val="3E5B00"/>
                <w:sz w:val="18"/>
                <w:szCs w:val="18"/>
                <w:lang w:eastAsia="en-AU"/>
              </w:rPr>
            </w:pPr>
            <w:r w:rsidRPr="008A5F7A">
              <w:rPr>
                <w:rFonts w:cs="Arial"/>
                <w:color w:val="3E5B00"/>
                <w:sz w:val="18"/>
                <w:szCs w:val="18"/>
                <w:lang w:eastAsia="en-AU"/>
              </w:rPr>
              <w:t>25 to 44</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88,300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122,500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108,700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23%</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-11%</w:t>
            </w:r>
          </w:p>
        </w:tc>
      </w:tr>
      <w:tr w:rsidR="008A5F7A" w:rsidRPr="008A5F7A" w:rsidTr="008A5F7A">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8A5F7A" w:rsidRPr="008A5F7A" w:rsidRDefault="008A5F7A" w:rsidP="008A5F7A">
            <w:pPr>
              <w:spacing w:after="0" w:line="240" w:lineRule="auto"/>
              <w:jc w:val="left"/>
              <w:rPr>
                <w:rFonts w:cs="Arial"/>
                <w:color w:val="3E5B00"/>
                <w:sz w:val="18"/>
                <w:szCs w:val="18"/>
                <w:lang w:eastAsia="en-AU"/>
              </w:rPr>
            </w:pPr>
            <w:r w:rsidRPr="008A5F7A">
              <w:rPr>
                <w:rFonts w:cs="Arial"/>
                <w:color w:val="3E5B00"/>
                <w:sz w:val="18"/>
                <w:szCs w:val="18"/>
                <w:lang w:eastAsia="en-AU"/>
              </w:rPr>
              <w:t>45 to 64</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44,100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63,600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56,200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27%</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-12%</w:t>
            </w:r>
          </w:p>
        </w:tc>
      </w:tr>
      <w:tr w:rsidR="008A5F7A" w:rsidRPr="008A5F7A" w:rsidTr="00541B24">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8A5F7A" w:rsidRPr="008A5F7A" w:rsidRDefault="008A5F7A" w:rsidP="008A5F7A">
            <w:pPr>
              <w:spacing w:after="0" w:line="240" w:lineRule="auto"/>
              <w:jc w:val="left"/>
              <w:rPr>
                <w:rFonts w:cs="Arial"/>
                <w:color w:val="3E5B00"/>
                <w:sz w:val="18"/>
                <w:szCs w:val="18"/>
                <w:lang w:eastAsia="en-AU"/>
              </w:rPr>
            </w:pPr>
            <w:r w:rsidRPr="008A5F7A">
              <w:rPr>
                <w:rFonts w:cs="Arial"/>
                <w:color w:val="3E5B00"/>
                <w:sz w:val="18"/>
                <w:szCs w:val="18"/>
                <w:lang w:eastAsia="en-AU"/>
              </w:rPr>
              <w:t>Under 15, over 64, not stated</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3,900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6,900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 xml:space="preserve">6,300 </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62%</w:t>
            </w:r>
          </w:p>
        </w:tc>
        <w:tc>
          <w:tcPr>
            <w:tcW w:w="1120" w:type="dxa"/>
            <w:tcBorders>
              <w:top w:val="nil"/>
              <w:left w:val="nil"/>
              <w:bottom w:val="single" w:sz="4" w:space="0" w:color="5E8A00"/>
              <w:right w:val="single" w:sz="4" w:space="0" w:color="5E8A00"/>
            </w:tcBorders>
            <w:shd w:val="clear" w:color="auto" w:fill="auto"/>
            <w:noWrap/>
            <w:vAlign w:val="center"/>
            <w:hideMark/>
          </w:tcPr>
          <w:p w:rsidR="008A5F7A" w:rsidRPr="008A5F7A" w:rsidRDefault="008A5F7A" w:rsidP="008A5F7A">
            <w:pPr>
              <w:spacing w:after="0" w:line="240" w:lineRule="auto"/>
              <w:jc w:val="right"/>
              <w:rPr>
                <w:rFonts w:cs="Arial"/>
                <w:sz w:val="18"/>
                <w:szCs w:val="18"/>
                <w:lang w:eastAsia="en-AU"/>
              </w:rPr>
            </w:pPr>
            <w:r w:rsidRPr="008A5F7A">
              <w:rPr>
                <w:rFonts w:cs="Arial"/>
                <w:sz w:val="18"/>
                <w:szCs w:val="18"/>
                <w:lang w:eastAsia="en-AU"/>
              </w:rPr>
              <w:t>-8%</w:t>
            </w:r>
          </w:p>
        </w:tc>
      </w:tr>
      <w:tr w:rsidR="008A5F7A" w:rsidRPr="008A5F7A" w:rsidTr="00541B24">
        <w:trPr>
          <w:trHeight w:hRule="exact" w:val="284"/>
        </w:trPr>
        <w:tc>
          <w:tcPr>
            <w:tcW w:w="2560" w:type="dxa"/>
            <w:tcBorders>
              <w:top w:val="single" w:sz="4" w:space="0" w:color="5E8A00"/>
              <w:left w:val="single" w:sz="4" w:space="0" w:color="5E8A00"/>
              <w:bottom w:val="nil"/>
            </w:tcBorders>
            <w:shd w:val="clear" w:color="000000" w:fill="5E8A00"/>
            <w:noWrap/>
            <w:vAlign w:val="center"/>
            <w:hideMark/>
          </w:tcPr>
          <w:p w:rsidR="008A5F7A" w:rsidRPr="008A5F7A" w:rsidRDefault="008A5F7A" w:rsidP="008A5F7A">
            <w:pPr>
              <w:spacing w:after="0" w:line="240" w:lineRule="auto"/>
              <w:jc w:val="left"/>
              <w:rPr>
                <w:rFonts w:cs="Arial"/>
                <w:b/>
                <w:bCs/>
                <w:color w:val="FFFFFF"/>
                <w:sz w:val="18"/>
                <w:szCs w:val="18"/>
                <w:lang w:eastAsia="en-AU"/>
              </w:rPr>
            </w:pPr>
            <w:r w:rsidRPr="008A5F7A">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 xml:space="preserve">268,000 </w:t>
            </w:r>
          </w:p>
        </w:tc>
        <w:tc>
          <w:tcPr>
            <w:tcW w:w="1120" w:type="dxa"/>
            <w:tcBorders>
              <w:top w:val="single" w:sz="4" w:space="0" w:color="5E8A00"/>
              <w:bottom w:val="nil"/>
            </w:tcBorders>
            <w:shd w:val="clear" w:color="000000" w:fill="5E8A00"/>
            <w:noWrap/>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 xml:space="preserve">356,900 </w:t>
            </w:r>
          </w:p>
        </w:tc>
        <w:tc>
          <w:tcPr>
            <w:tcW w:w="1120" w:type="dxa"/>
            <w:tcBorders>
              <w:top w:val="single" w:sz="4" w:space="0" w:color="5E8A00"/>
              <w:bottom w:val="nil"/>
            </w:tcBorders>
            <w:shd w:val="clear" w:color="000000" w:fill="5E8A00"/>
            <w:noWrap/>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 xml:space="preserve">307,700 </w:t>
            </w:r>
          </w:p>
        </w:tc>
        <w:tc>
          <w:tcPr>
            <w:tcW w:w="1120" w:type="dxa"/>
            <w:tcBorders>
              <w:top w:val="single" w:sz="4" w:space="0" w:color="5E8A00"/>
              <w:bottom w:val="nil"/>
            </w:tcBorders>
            <w:shd w:val="clear" w:color="000000" w:fill="5E8A00"/>
            <w:noWrap/>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15%</w:t>
            </w:r>
          </w:p>
        </w:tc>
        <w:tc>
          <w:tcPr>
            <w:tcW w:w="1120" w:type="dxa"/>
            <w:tcBorders>
              <w:top w:val="single" w:sz="4" w:space="0" w:color="5E8A00"/>
              <w:bottom w:val="nil"/>
              <w:right w:val="single" w:sz="4" w:space="0" w:color="5E8A00"/>
            </w:tcBorders>
            <w:shd w:val="clear" w:color="000000" w:fill="5E8A00"/>
            <w:noWrap/>
            <w:vAlign w:val="center"/>
            <w:hideMark/>
          </w:tcPr>
          <w:p w:rsidR="008A5F7A" w:rsidRPr="008A5F7A" w:rsidRDefault="008A5F7A" w:rsidP="008A5F7A">
            <w:pPr>
              <w:spacing w:after="0" w:line="240" w:lineRule="auto"/>
              <w:jc w:val="right"/>
              <w:rPr>
                <w:rFonts w:cs="Arial"/>
                <w:b/>
                <w:bCs/>
                <w:color w:val="FFFFFF"/>
                <w:sz w:val="18"/>
                <w:szCs w:val="18"/>
                <w:lang w:eastAsia="en-AU"/>
              </w:rPr>
            </w:pPr>
            <w:r w:rsidRPr="008A5F7A">
              <w:rPr>
                <w:rFonts w:cs="Arial"/>
                <w:b/>
                <w:bCs/>
                <w:color w:val="FFFFFF"/>
                <w:sz w:val="18"/>
                <w:szCs w:val="18"/>
                <w:lang w:eastAsia="en-AU"/>
              </w:rPr>
              <w:t>-14%</w:t>
            </w:r>
          </w:p>
        </w:tc>
      </w:tr>
    </w:tbl>
    <w:p w:rsidR="005F145E" w:rsidRPr="001F29E3" w:rsidRDefault="005F145E" w:rsidP="005F145E">
      <w:pPr>
        <w:jc w:val="left"/>
        <w:rPr>
          <w:rFonts w:cs="Arial"/>
        </w:rPr>
      </w:pPr>
    </w:p>
    <w:p w:rsidR="00351166" w:rsidRPr="001F29E3" w:rsidRDefault="00351166" w:rsidP="00351166">
      <w:pPr>
        <w:rPr>
          <w:rFonts w:cs="Arial"/>
        </w:rPr>
      </w:pPr>
    </w:p>
    <w:p w:rsidR="00AB275E" w:rsidRDefault="00351166" w:rsidP="00A9260A">
      <w:pPr>
        <w:pStyle w:val="Heading3"/>
      </w:pPr>
      <w:r w:rsidRPr="001F29E3">
        <w:br w:type="page"/>
      </w:r>
    </w:p>
    <w:p w:rsidR="00351166" w:rsidRPr="001F29E3" w:rsidRDefault="00351166" w:rsidP="00A9260A">
      <w:pPr>
        <w:pStyle w:val="Heading3"/>
      </w:pPr>
      <w:r w:rsidRPr="001F29E3">
        <w:lastRenderedPageBreak/>
        <w:t xml:space="preserve">TAFE </w:t>
      </w:r>
      <w:r w:rsidR="002757F4" w:rsidRPr="001F29E3">
        <w:t>D</w:t>
      </w:r>
      <w:r w:rsidRPr="001F29E3">
        <w:t xml:space="preserve">omestic </w:t>
      </w:r>
      <w:r w:rsidR="00362E51" w:rsidRPr="001F29E3">
        <w:t>Fee for Service</w:t>
      </w:r>
      <w:r w:rsidRPr="001F29E3">
        <w:t xml:space="preserve"> Students by Age Group</w:t>
      </w:r>
    </w:p>
    <w:p w:rsidR="00351166" w:rsidRDefault="00351166" w:rsidP="00351166">
      <w:pPr>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F624F2" w:rsidRPr="001F29E3" w:rsidTr="00F624F2">
        <w:trPr>
          <w:trHeight w:val="1467"/>
        </w:trPr>
        <w:tc>
          <w:tcPr>
            <w:tcW w:w="9088" w:type="dxa"/>
          </w:tcPr>
          <w:p w:rsidR="00F624F2" w:rsidRDefault="00F624F2" w:rsidP="008C0A56">
            <w:pPr>
              <w:pStyle w:val="Heading3"/>
            </w:pPr>
            <w:r w:rsidRPr="001F29E3">
              <w:br w:type="page"/>
              <w:t>Key Points</w:t>
            </w:r>
          </w:p>
          <w:p w:rsidR="008C0A56" w:rsidRPr="001F29E3" w:rsidRDefault="008C0A56" w:rsidP="008C0A56"/>
          <w:p w:rsidR="00F624F2" w:rsidRDefault="00F624F2" w:rsidP="00F624F2">
            <w:pPr>
              <w:pStyle w:val="ListBullet"/>
              <w:numPr>
                <w:ilvl w:val="0"/>
                <w:numId w:val="7"/>
              </w:numPr>
              <w:ind w:right="113"/>
              <w:rPr>
                <w:rFonts w:cs="Arial"/>
              </w:rPr>
            </w:pPr>
            <w:r>
              <w:rPr>
                <w:rFonts w:cs="Arial"/>
              </w:rPr>
              <w:t>The number of students enrolled in TAFE domestic fee for service at AQF Level 1 and above was 56,200 in Q2 2013. Forty per cent of students were aged between 15 and 24</w:t>
            </w:r>
            <w:r w:rsidR="008C0A56">
              <w:rPr>
                <w:rFonts w:cs="Arial"/>
              </w:rPr>
              <w:t xml:space="preserve"> years</w:t>
            </w:r>
            <w:r>
              <w:rPr>
                <w:rFonts w:cs="Arial"/>
              </w:rPr>
              <w:t>.</w:t>
            </w:r>
          </w:p>
          <w:p w:rsidR="00F624F2" w:rsidRPr="00D022C6" w:rsidRDefault="00F624F2" w:rsidP="004566D8">
            <w:pPr>
              <w:pStyle w:val="ListBullet"/>
              <w:numPr>
                <w:ilvl w:val="0"/>
                <w:numId w:val="7"/>
              </w:numPr>
              <w:ind w:right="113"/>
              <w:rPr>
                <w:rFonts w:cs="Arial"/>
              </w:rPr>
            </w:pPr>
            <w:r>
              <w:rPr>
                <w:rFonts w:cs="Arial"/>
              </w:rPr>
              <w:t xml:space="preserve">Similar to the </w:t>
            </w:r>
            <w:r w:rsidR="004566D8">
              <w:rPr>
                <w:rFonts w:cs="Arial"/>
              </w:rPr>
              <w:t xml:space="preserve">trend </w:t>
            </w:r>
            <w:r>
              <w:rPr>
                <w:rFonts w:cs="Arial"/>
              </w:rPr>
              <w:t xml:space="preserve">in government subsidised provision, </w:t>
            </w:r>
            <w:r w:rsidR="004566D8">
              <w:rPr>
                <w:rFonts w:cs="Arial"/>
              </w:rPr>
              <w:t xml:space="preserve">aged 15-19 is the only age cohort with student numbers in </w:t>
            </w:r>
            <w:r w:rsidR="004566D8" w:rsidRPr="007A27E5">
              <w:rPr>
                <w:rFonts w:cs="Arial"/>
              </w:rPr>
              <w:t xml:space="preserve">Q2 2013 </w:t>
            </w:r>
            <w:r w:rsidR="004566D8">
              <w:rPr>
                <w:rFonts w:cs="Arial"/>
              </w:rPr>
              <w:t>lower than the corresponding numbers in Q2 2011 and Q2 2012.</w:t>
            </w:r>
          </w:p>
        </w:tc>
      </w:tr>
    </w:tbl>
    <w:p w:rsidR="00F624F2" w:rsidRDefault="00F624F2" w:rsidP="00F624F2">
      <w:pPr>
        <w:rPr>
          <w:rFonts w:cs="Arial"/>
        </w:rPr>
      </w:pPr>
    </w:p>
    <w:p w:rsidR="00F624F2" w:rsidRDefault="00F624F2" w:rsidP="00F624F2">
      <w:pPr>
        <w:rPr>
          <w:rFonts w:cs="Arial"/>
        </w:rPr>
      </w:pPr>
    </w:p>
    <w:p w:rsidR="00351166" w:rsidRPr="001F29E3" w:rsidRDefault="00351166" w:rsidP="00F624F2">
      <w:pPr>
        <w:pStyle w:val="Caption"/>
        <w:spacing w:after="0"/>
        <w:jc w:val="left"/>
        <w:rPr>
          <w:rFonts w:cs="Arial"/>
        </w:rPr>
      </w:pPr>
      <w:r w:rsidRPr="001F29E3">
        <w:rPr>
          <w:rFonts w:cs="Arial"/>
        </w:rPr>
        <w:t>Table 1.</w:t>
      </w:r>
      <w:r w:rsidR="004D1F77">
        <w:rPr>
          <w:rFonts w:cs="Arial"/>
        </w:rPr>
        <w:t>10</w:t>
      </w:r>
      <w:r w:rsidR="003C19A6">
        <w:rPr>
          <w:rFonts w:cs="Arial"/>
        </w:rPr>
        <w:t>.1</w:t>
      </w:r>
      <w:r w:rsidRPr="001F29E3">
        <w:rPr>
          <w:rFonts w:cs="Arial"/>
        </w:rPr>
        <w:t xml:space="preserve">: </w:t>
      </w:r>
      <w:r w:rsidR="00E05A50" w:rsidRPr="001F29E3">
        <w:rPr>
          <w:rFonts w:cs="Arial"/>
        </w:rPr>
        <w:t>TAFE domestic fee for service</w:t>
      </w:r>
      <w:r w:rsidR="003C19A6">
        <w:rPr>
          <w:rFonts w:cs="Arial"/>
        </w:rPr>
        <w:t xml:space="preserve"> (AQF1+)</w:t>
      </w:r>
      <w:r w:rsidR="00E05A50" w:rsidRPr="001F29E3">
        <w:rPr>
          <w:rFonts w:cs="Arial"/>
        </w:rPr>
        <w:t xml:space="preserve">: </w:t>
      </w:r>
      <w:r w:rsidRPr="001F29E3">
        <w:rPr>
          <w:rFonts w:cs="Arial"/>
        </w:rPr>
        <w:t>students by age group, 2008–2012</w:t>
      </w:r>
    </w:p>
    <w:tbl>
      <w:tblPr>
        <w:tblW w:w="9280" w:type="dxa"/>
        <w:tblInd w:w="103" w:type="dxa"/>
        <w:tblLook w:val="04A0" w:firstRow="1" w:lastRow="0" w:firstColumn="1" w:lastColumn="0" w:noHBand="0" w:noVBand="1"/>
      </w:tblPr>
      <w:tblGrid>
        <w:gridCol w:w="2560"/>
        <w:gridCol w:w="1120"/>
        <w:gridCol w:w="1120"/>
        <w:gridCol w:w="1120"/>
        <w:gridCol w:w="1120"/>
        <w:gridCol w:w="1120"/>
        <w:gridCol w:w="1120"/>
      </w:tblGrid>
      <w:tr w:rsidR="00BC4F64" w:rsidRPr="00BC4F64" w:rsidTr="00A40263">
        <w:trPr>
          <w:trHeight w:hRule="exact" w:val="760"/>
        </w:trPr>
        <w:tc>
          <w:tcPr>
            <w:tcW w:w="2560" w:type="dxa"/>
            <w:tcBorders>
              <w:top w:val="single" w:sz="4" w:space="0" w:color="5E8A00"/>
              <w:left w:val="single" w:sz="4" w:space="0" w:color="5E8A00"/>
              <w:bottom w:val="single" w:sz="4" w:space="0" w:color="5E8A00"/>
            </w:tcBorders>
            <w:shd w:val="clear" w:color="000000" w:fill="5E8A00"/>
            <w:noWrap/>
            <w:vAlign w:val="center"/>
            <w:hideMark/>
          </w:tcPr>
          <w:p w:rsidR="00BC4F64" w:rsidRPr="00BC4F64" w:rsidRDefault="00BC4F64" w:rsidP="00BC4F64">
            <w:pPr>
              <w:spacing w:after="0" w:line="240" w:lineRule="auto"/>
              <w:jc w:val="left"/>
              <w:rPr>
                <w:rFonts w:cs="Arial"/>
                <w:b/>
                <w:bCs/>
                <w:color w:val="FFFFFF"/>
                <w:sz w:val="18"/>
                <w:szCs w:val="18"/>
                <w:lang w:eastAsia="en-AU"/>
              </w:rPr>
            </w:pPr>
            <w:r w:rsidRPr="00BC4F64">
              <w:rPr>
                <w:rFonts w:cs="Arial"/>
                <w:b/>
                <w:bCs/>
                <w:color w:val="FFFFFF"/>
                <w:sz w:val="18"/>
                <w:szCs w:val="18"/>
                <w:lang w:eastAsia="en-AU"/>
              </w:rPr>
              <w:t>Age group</w:t>
            </w:r>
          </w:p>
        </w:tc>
        <w:tc>
          <w:tcPr>
            <w:tcW w:w="1120" w:type="dxa"/>
            <w:tcBorders>
              <w:top w:val="single" w:sz="4" w:space="0" w:color="5E8A00"/>
              <w:bottom w:val="single" w:sz="4" w:space="0" w:color="5E8A00"/>
            </w:tcBorders>
            <w:shd w:val="clear" w:color="000000" w:fill="5E8A00"/>
            <w:vAlign w:val="center"/>
            <w:hideMark/>
          </w:tcPr>
          <w:p w:rsidR="00BC4F64" w:rsidRPr="00BC4F64" w:rsidRDefault="00BC4F64" w:rsidP="00F034AF">
            <w:pPr>
              <w:spacing w:after="0" w:line="240" w:lineRule="auto"/>
              <w:ind w:firstLineChars="100" w:firstLine="181"/>
              <w:jc w:val="right"/>
              <w:rPr>
                <w:rFonts w:cs="Arial"/>
                <w:b/>
                <w:bCs/>
                <w:color w:val="FFFFFF"/>
                <w:sz w:val="18"/>
                <w:szCs w:val="18"/>
                <w:lang w:eastAsia="en-AU"/>
              </w:rPr>
            </w:pPr>
            <w:r w:rsidRPr="00BC4F64">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BC4F64" w:rsidRPr="00BC4F64" w:rsidRDefault="00BC4F64" w:rsidP="00F034AF">
            <w:pPr>
              <w:spacing w:after="0" w:line="240" w:lineRule="auto"/>
              <w:ind w:firstLineChars="100" w:firstLine="181"/>
              <w:jc w:val="right"/>
              <w:rPr>
                <w:rFonts w:cs="Arial"/>
                <w:b/>
                <w:bCs/>
                <w:color w:val="FFFFFF"/>
                <w:sz w:val="18"/>
                <w:szCs w:val="18"/>
                <w:lang w:eastAsia="en-AU"/>
              </w:rPr>
            </w:pPr>
            <w:r w:rsidRPr="00BC4F64">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BC4F64" w:rsidRPr="00BC4F64" w:rsidRDefault="00BC4F64" w:rsidP="00F034AF">
            <w:pPr>
              <w:spacing w:after="0" w:line="240" w:lineRule="auto"/>
              <w:ind w:firstLineChars="100" w:firstLine="181"/>
              <w:jc w:val="right"/>
              <w:rPr>
                <w:rFonts w:cs="Arial"/>
                <w:b/>
                <w:bCs/>
                <w:color w:val="FFFFFF"/>
                <w:sz w:val="18"/>
                <w:szCs w:val="18"/>
                <w:lang w:eastAsia="en-AU"/>
              </w:rPr>
            </w:pPr>
            <w:r w:rsidRPr="00BC4F64">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BC4F64" w:rsidRPr="00BC4F64" w:rsidRDefault="00BC4F64" w:rsidP="00F034AF">
            <w:pPr>
              <w:spacing w:after="0" w:line="240" w:lineRule="auto"/>
              <w:ind w:firstLineChars="100" w:firstLine="181"/>
              <w:jc w:val="right"/>
              <w:rPr>
                <w:rFonts w:cs="Arial"/>
                <w:b/>
                <w:bCs/>
                <w:color w:val="FFFFFF"/>
                <w:sz w:val="18"/>
                <w:szCs w:val="18"/>
                <w:lang w:eastAsia="en-AU"/>
              </w:rPr>
            </w:pPr>
            <w:r w:rsidRPr="00BC4F64">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BC4F64" w:rsidRPr="00BC4F64" w:rsidRDefault="00BC4F64" w:rsidP="00F034AF">
            <w:pPr>
              <w:spacing w:after="0" w:line="240" w:lineRule="auto"/>
              <w:ind w:firstLineChars="100" w:firstLine="181"/>
              <w:jc w:val="right"/>
              <w:rPr>
                <w:rFonts w:cs="Arial"/>
                <w:b/>
                <w:bCs/>
                <w:color w:val="FFFFFF"/>
                <w:sz w:val="18"/>
                <w:szCs w:val="18"/>
                <w:lang w:eastAsia="en-AU"/>
              </w:rPr>
            </w:pPr>
            <w:r w:rsidRPr="00BC4F64">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 change</w:t>
            </w:r>
            <w:r w:rsidRPr="00BC4F64">
              <w:rPr>
                <w:rFonts w:cs="Arial"/>
                <w:b/>
                <w:bCs/>
                <w:color w:val="FFFFFF"/>
                <w:sz w:val="18"/>
                <w:szCs w:val="18"/>
                <w:lang w:eastAsia="en-AU"/>
              </w:rPr>
              <w:br/>
              <w:t>2008-2012</w:t>
            </w:r>
          </w:p>
        </w:tc>
      </w:tr>
      <w:tr w:rsidR="00BC4F64" w:rsidRPr="00BC4F64" w:rsidTr="00BC4F64">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BC4F64" w:rsidRPr="00BC4F64" w:rsidRDefault="00BC4F64" w:rsidP="00BC4F64">
            <w:pPr>
              <w:spacing w:after="0" w:line="240" w:lineRule="auto"/>
              <w:jc w:val="left"/>
              <w:rPr>
                <w:rFonts w:cs="Arial"/>
                <w:color w:val="3E5B00"/>
                <w:sz w:val="18"/>
                <w:szCs w:val="18"/>
                <w:lang w:eastAsia="en-AU"/>
              </w:rPr>
            </w:pPr>
            <w:r w:rsidRPr="00BC4F64">
              <w:rPr>
                <w:rFonts w:cs="Arial"/>
                <w:color w:val="3E5B00"/>
                <w:sz w:val="18"/>
                <w:szCs w:val="18"/>
                <w:lang w:eastAsia="en-AU"/>
              </w:rPr>
              <w:t>15 to 19</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22,900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26,400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28,800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28,300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28,900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26%</w:t>
            </w:r>
          </w:p>
        </w:tc>
      </w:tr>
      <w:tr w:rsidR="00BC4F64" w:rsidRPr="00BC4F64" w:rsidTr="00BC4F64">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BC4F64" w:rsidRPr="00BC4F64" w:rsidRDefault="00BC4F64" w:rsidP="00BC4F64">
            <w:pPr>
              <w:spacing w:after="0" w:line="240" w:lineRule="auto"/>
              <w:jc w:val="left"/>
              <w:rPr>
                <w:rFonts w:cs="Arial"/>
                <w:color w:val="3E5B00"/>
                <w:sz w:val="18"/>
                <w:szCs w:val="18"/>
                <w:lang w:eastAsia="en-AU"/>
              </w:rPr>
            </w:pPr>
            <w:r w:rsidRPr="00BC4F64">
              <w:rPr>
                <w:rFonts w:cs="Arial"/>
                <w:color w:val="3E5B00"/>
                <w:sz w:val="18"/>
                <w:szCs w:val="18"/>
                <w:lang w:eastAsia="en-AU"/>
              </w:rPr>
              <w:t>20 to 24</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9,300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11,100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11,400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10,300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11,600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25%</w:t>
            </w:r>
          </w:p>
        </w:tc>
      </w:tr>
      <w:tr w:rsidR="00BC4F64" w:rsidRPr="00BC4F64" w:rsidTr="00BC4F64">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BC4F64" w:rsidRPr="00BC4F64" w:rsidRDefault="00BC4F64" w:rsidP="00BC4F64">
            <w:pPr>
              <w:spacing w:after="0" w:line="240" w:lineRule="auto"/>
              <w:jc w:val="left"/>
              <w:rPr>
                <w:rFonts w:cs="Arial"/>
                <w:color w:val="3E5B00"/>
                <w:sz w:val="18"/>
                <w:szCs w:val="18"/>
                <w:lang w:eastAsia="en-AU"/>
              </w:rPr>
            </w:pPr>
            <w:r w:rsidRPr="00BC4F64">
              <w:rPr>
                <w:rFonts w:cs="Arial"/>
                <w:color w:val="3E5B00"/>
                <w:sz w:val="18"/>
                <w:szCs w:val="18"/>
                <w:lang w:eastAsia="en-AU"/>
              </w:rPr>
              <w:t>25 to 44</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29,700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34,800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34,500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34,100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40,600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37%</w:t>
            </w:r>
          </w:p>
        </w:tc>
      </w:tr>
      <w:tr w:rsidR="00BC4F64" w:rsidRPr="00BC4F64" w:rsidTr="00BC4F64">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BC4F64" w:rsidRPr="00BC4F64" w:rsidRDefault="00BC4F64" w:rsidP="00BC4F64">
            <w:pPr>
              <w:spacing w:after="0" w:line="240" w:lineRule="auto"/>
              <w:jc w:val="left"/>
              <w:rPr>
                <w:rFonts w:cs="Arial"/>
                <w:color w:val="3E5B00"/>
                <w:sz w:val="18"/>
                <w:szCs w:val="18"/>
                <w:lang w:eastAsia="en-AU"/>
              </w:rPr>
            </w:pPr>
            <w:r w:rsidRPr="00BC4F64">
              <w:rPr>
                <w:rFonts w:cs="Arial"/>
                <w:color w:val="3E5B00"/>
                <w:sz w:val="18"/>
                <w:szCs w:val="18"/>
                <w:lang w:eastAsia="en-AU"/>
              </w:rPr>
              <w:t>45 to 64</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16,500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18,400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19,300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19,500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22,100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34%</w:t>
            </w:r>
          </w:p>
        </w:tc>
      </w:tr>
      <w:tr w:rsidR="00BC4F64" w:rsidRPr="00BC4F64" w:rsidTr="00A40263">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BC4F64" w:rsidRPr="00BC4F64" w:rsidRDefault="00BC4F64" w:rsidP="00BC4F64">
            <w:pPr>
              <w:spacing w:after="0" w:line="240" w:lineRule="auto"/>
              <w:jc w:val="left"/>
              <w:rPr>
                <w:rFonts w:cs="Arial"/>
                <w:color w:val="3E5B00"/>
                <w:sz w:val="18"/>
                <w:szCs w:val="18"/>
                <w:lang w:eastAsia="en-AU"/>
              </w:rPr>
            </w:pPr>
            <w:r w:rsidRPr="00BC4F64">
              <w:rPr>
                <w:rFonts w:cs="Arial"/>
                <w:color w:val="3E5B00"/>
                <w:sz w:val="18"/>
                <w:szCs w:val="18"/>
                <w:lang w:eastAsia="en-AU"/>
              </w:rPr>
              <w:t>Under 15, over 64, not stated</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2,000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2,400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2,100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2,100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2,000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-3%</w:t>
            </w:r>
          </w:p>
        </w:tc>
      </w:tr>
      <w:tr w:rsidR="00BC4F64" w:rsidRPr="00BC4F64" w:rsidTr="00A40263">
        <w:trPr>
          <w:trHeight w:hRule="exact" w:val="284"/>
        </w:trPr>
        <w:tc>
          <w:tcPr>
            <w:tcW w:w="2560" w:type="dxa"/>
            <w:tcBorders>
              <w:top w:val="single" w:sz="4" w:space="0" w:color="5E8A00"/>
              <w:left w:val="single" w:sz="4" w:space="0" w:color="5E8A00"/>
              <w:bottom w:val="nil"/>
            </w:tcBorders>
            <w:shd w:val="clear" w:color="000000" w:fill="5E8A00"/>
            <w:noWrap/>
            <w:vAlign w:val="center"/>
            <w:hideMark/>
          </w:tcPr>
          <w:p w:rsidR="00BC4F64" w:rsidRPr="00BC4F64" w:rsidRDefault="00BC4F64" w:rsidP="00BC4F64">
            <w:pPr>
              <w:spacing w:after="0" w:line="240" w:lineRule="auto"/>
              <w:jc w:val="left"/>
              <w:rPr>
                <w:rFonts w:cs="Arial"/>
                <w:b/>
                <w:bCs/>
                <w:color w:val="FFFFFF"/>
                <w:sz w:val="18"/>
                <w:szCs w:val="18"/>
                <w:lang w:eastAsia="en-AU"/>
              </w:rPr>
            </w:pPr>
            <w:r w:rsidRPr="00BC4F64">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 xml:space="preserve">80,400 </w:t>
            </w:r>
          </w:p>
        </w:tc>
        <w:tc>
          <w:tcPr>
            <w:tcW w:w="1120" w:type="dxa"/>
            <w:tcBorders>
              <w:top w:val="single" w:sz="4" w:space="0" w:color="5E8A00"/>
              <w:bottom w:val="nil"/>
            </w:tcBorders>
            <w:shd w:val="clear" w:color="000000" w:fill="5E8A00"/>
            <w:noWrap/>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 xml:space="preserve">93,100 </w:t>
            </w:r>
          </w:p>
        </w:tc>
        <w:tc>
          <w:tcPr>
            <w:tcW w:w="1120" w:type="dxa"/>
            <w:tcBorders>
              <w:top w:val="single" w:sz="4" w:space="0" w:color="5E8A00"/>
              <w:bottom w:val="nil"/>
            </w:tcBorders>
            <w:shd w:val="clear" w:color="000000" w:fill="5E8A00"/>
            <w:noWrap/>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 xml:space="preserve">96,000 </w:t>
            </w:r>
          </w:p>
        </w:tc>
        <w:tc>
          <w:tcPr>
            <w:tcW w:w="1120" w:type="dxa"/>
            <w:tcBorders>
              <w:top w:val="single" w:sz="4" w:space="0" w:color="5E8A00"/>
              <w:bottom w:val="nil"/>
            </w:tcBorders>
            <w:shd w:val="clear" w:color="000000" w:fill="5E8A00"/>
            <w:noWrap/>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 xml:space="preserve">94,200 </w:t>
            </w:r>
          </w:p>
        </w:tc>
        <w:tc>
          <w:tcPr>
            <w:tcW w:w="1120" w:type="dxa"/>
            <w:tcBorders>
              <w:top w:val="single" w:sz="4" w:space="0" w:color="5E8A00"/>
              <w:bottom w:val="nil"/>
            </w:tcBorders>
            <w:shd w:val="clear" w:color="000000" w:fill="5E8A00"/>
            <w:noWrap/>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 xml:space="preserve">105,200 </w:t>
            </w:r>
          </w:p>
        </w:tc>
        <w:tc>
          <w:tcPr>
            <w:tcW w:w="1120" w:type="dxa"/>
            <w:tcBorders>
              <w:top w:val="single" w:sz="4" w:space="0" w:color="5E8A00"/>
              <w:bottom w:val="nil"/>
              <w:right w:val="single" w:sz="4" w:space="0" w:color="5E8A00"/>
            </w:tcBorders>
            <w:shd w:val="clear" w:color="000000" w:fill="5E8A00"/>
            <w:noWrap/>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31%</w:t>
            </w:r>
          </w:p>
        </w:tc>
      </w:tr>
    </w:tbl>
    <w:p w:rsidR="00351166" w:rsidRPr="008C0A56" w:rsidRDefault="00351166" w:rsidP="00A9260A">
      <w:pPr>
        <w:pStyle w:val="Caption"/>
        <w:rPr>
          <w:rFonts w:cs="Arial"/>
          <w:color w:val="auto"/>
        </w:rPr>
      </w:pPr>
    </w:p>
    <w:p w:rsidR="003C19A6" w:rsidRPr="001F29E3" w:rsidRDefault="003C19A6" w:rsidP="003C19A6">
      <w:pPr>
        <w:pStyle w:val="Caption"/>
        <w:spacing w:after="0"/>
        <w:jc w:val="left"/>
        <w:rPr>
          <w:rFonts w:cs="Arial"/>
        </w:rPr>
      </w:pPr>
      <w:r w:rsidRPr="001F29E3">
        <w:rPr>
          <w:rFonts w:cs="Arial"/>
        </w:rPr>
        <w:t>Table 1.</w:t>
      </w:r>
      <w:r w:rsidR="004D1F77">
        <w:rPr>
          <w:rFonts w:cs="Arial"/>
        </w:rPr>
        <w:t>10</w:t>
      </w:r>
      <w:r>
        <w:rPr>
          <w:rFonts w:cs="Arial"/>
        </w:rPr>
        <w:t>.</w:t>
      </w:r>
      <w:r w:rsidR="00BC4F64">
        <w:rPr>
          <w:rFonts w:cs="Arial"/>
        </w:rPr>
        <w:t>2</w:t>
      </w:r>
      <w:r w:rsidRPr="001F29E3">
        <w:rPr>
          <w:rFonts w:cs="Arial"/>
        </w:rPr>
        <w:t>: TAFE domestic fee for service</w:t>
      </w:r>
      <w:r>
        <w:rPr>
          <w:rFonts w:cs="Arial"/>
        </w:rPr>
        <w:t xml:space="preserve"> (AQF1+)</w:t>
      </w:r>
      <w:r w:rsidRPr="001F29E3">
        <w:rPr>
          <w:rFonts w:cs="Arial"/>
        </w:rPr>
        <w:t xml:space="preserve">: students by age group, </w:t>
      </w:r>
      <w:r w:rsidR="00BC4F64">
        <w:rPr>
          <w:rFonts w:cs="Arial"/>
        </w:rPr>
        <w:t xml:space="preserve">Q2 2011, </w:t>
      </w:r>
      <w:r w:rsidR="00BC4F64" w:rsidRPr="001F29E3">
        <w:rPr>
          <w:rFonts w:cs="Arial"/>
        </w:rPr>
        <w:t>Q</w:t>
      </w:r>
      <w:r w:rsidR="00BC4F64">
        <w:rPr>
          <w:rFonts w:cs="Arial"/>
        </w:rPr>
        <w:t>2</w:t>
      </w:r>
      <w:r w:rsidR="00BC4F64" w:rsidRPr="001F29E3">
        <w:rPr>
          <w:rFonts w:cs="Arial"/>
        </w:rPr>
        <w:t xml:space="preserve"> 2012 </w:t>
      </w:r>
      <w:r w:rsidR="00DD2751">
        <w:rPr>
          <w:rFonts w:cs="Arial"/>
        </w:rPr>
        <w:br/>
      </w:r>
      <w:r w:rsidR="00BC4F64" w:rsidRPr="001F29E3">
        <w:rPr>
          <w:rFonts w:cs="Arial"/>
        </w:rPr>
        <w:t>and Q</w:t>
      </w:r>
      <w:r w:rsidR="00BC4F64">
        <w:rPr>
          <w:rFonts w:cs="Arial"/>
        </w:rPr>
        <w:t>2</w:t>
      </w:r>
      <w:r w:rsidR="00BC4F64" w:rsidRPr="001F29E3">
        <w:rPr>
          <w:rFonts w:cs="Arial"/>
        </w:rPr>
        <w:t xml:space="preserve"> 2013</w:t>
      </w:r>
    </w:p>
    <w:tbl>
      <w:tblPr>
        <w:tblW w:w="8160" w:type="dxa"/>
        <w:tblInd w:w="103" w:type="dxa"/>
        <w:tblLook w:val="04A0" w:firstRow="1" w:lastRow="0" w:firstColumn="1" w:lastColumn="0" w:noHBand="0" w:noVBand="1"/>
      </w:tblPr>
      <w:tblGrid>
        <w:gridCol w:w="2560"/>
        <w:gridCol w:w="1120"/>
        <w:gridCol w:w="1120"/>
        <w:gridCol w:w="1120"/>
        <w:gridCol w:w="1120"/>
        <w:gridCol w:w="1120"/>
      </w:tblGrid>
      <w:tr w:rsidR="00BC4F64" w:rsidRPr="00BC4F64" w:rsidTr="00A40263">
        <w:trPr>
          <w:trHeight w:hRule="exact" w:val="760"/>
        </w:trPr>
        <w:tc>
          <w:tcPr>
            <w:tcW w:w="2560" w:type="dxa"/>
            <w:tcBorders>
              <w:top w:val="single" w:sz="4" w:space="0" w:color="5E8A00"/>
              <w:left w:val="single" w:sz="4" w:space="0" w:color="5E8A00"/>
              <w:bottom w:val="single" w:sz="4" w:space="0" w:color="5E8A00"/>
            </w:tcBorders>
            <w:shd w:val="clear" w:color="000000" w:fill="5E8A00"/>
            <w:noWrap/>
            <w:vAlign w:val="center"/>
            <w:hideMark/>
          </w:tcPr>
          <w:p w:rsidR="00BC4F64" w:rsidRPr="00BC4F64" w:rsidRDefault="00BC4F64" w:rsidP="00BC4F64">
            <w:pPr>
              <w:spacing w:after="0" w:line="240" w:lineRule="auto"/>
              <w:jc w:val="left"/>
              <w:rPr>
                <w:rFonts w:cs="Arial"/>
                <w:b/>
                <w:bCs/>
                <w:color w:val="FFFFFF"/>
                <w:sz w:val="18"/>
                <w:szCs w:val="18"/>
                <w:lang w:eastAsia="en-AU"/>
              </w:rPr>
            </w:pPr>
            <w:r w:rsidRPr="00BC4F64">
              <w:rPr>
                <w:rFonts w:cs="Arial"/>
                <w:b/>
                <w:bCs/>
                <w:color w:val="FFFFFF"/>
                <w:sz w:val="18"/>
                <w:szCs w:val="18"/>
                <w:lang w:eastAsia="en-AU"/>
              </w:rPr>
              <w:t>Age group</w:t>
            </w:r>
          </w:p>
        </w:tc>
        <w:tc>
          <w:tcPr>
            <w:tcW w:w="1120" w:type="dxa"/>
            <w:tcBorders>
              <w:top w:val="single" w:sz="4" w:space="0" w:color="5E8A00"/>
              <w:bottom w:val="single" w:sz="4" w:space="0" w:color="5E8A00"/>
            </w:tcBorders>
            <w:shd w:val="clear" w:color="000000" w:fill="5E8A00"/>
            <w:noWrap/>
            <w:vAlign w:val="center"/>
            <w:hideMark/>
          </w:tcPr>
          <w:p w:rsidR="00BC4F64" w:rsidRPr="00BC4F64" w:rsidRDefault="00BC4F64" w:rsidP="00F034AF">
            <w:pPr>
              <w:spacing w:after="0" w:line="240" w:lineRule="auto"/>
              <w:ind w:firstLineChars="100" w:firstLine="181"/>
              <w:jc w:val="left"/>
              <w:rPr>
                <w:rFonts w:cs="Arial"/>
                <w:b/>
                <w:bCs/>
                <w:color w:val="FFFFFF"/>
                <w:sz w:val="18"/>
                <w:szCs w:val="18"/>
                <w:lang w:eastAsia="en-AU"/>
              </w:rPr>
            </w:pPr>
            <w:r w:rsidRPr="00BC4F64">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noWrap/>
            <w:vAlign w:val="center"/>
            <w:hideMark/>
          </w:tcPr>
          <w:p w:rsidR="00BC4F64" w:rsidRPr="00BC4F64" w:rsidRDefault="00BC4F64" w:rsidP="00F034AF">
            <w:pPr>
              <w:spacing w:after="0" w:line="240" w:lineRule="auto"/>
              <w:ind w:firstLineChars="100" w:firstLine="181"/>
              <w:jc w:val="left"/>
              <w:rPr>
                <w:rFonts w:cs="Arial"/>
                <w:b/>
                <w:bCs/>
                <w:color w:val="FFFFFF"/>
                <w:sz w:val="18"/>
                <w:szCs w:val="18"/>
                <w:lang w:eastAsia="en-AU"/>
              </w:rPr>
            </w:pPr>
            <w:r w:rsidRPr="00BC4F64">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noWrap/>
            <w:vAlign w:val="center"/>
            <w:hideMark/>
          </w:tcPr>
          <w:p w:rsidR="00BC4F64" w:rsidRPr="00BC4F64" w:rsidRDefault="00BC4F64" w:rsidP="00F034AF">
            <w:pPr>
              <w:spacing w:after="0" w:line="240" w:lineRule="auto"/>
              <w:ind w:firstLineChars="100" w:firstLine="181"/>
              <w:jc w:val="left"/>
              <w:rPr>
                <w:rFonts w:cs="Arial"/>
                <w:b/>
                <w:bCs/>
                <w:color w:val="FFFFFF"/>
                <w:sz w:val="18"/>
                <w:szCs w:val="18"/>
                <w:lang w:eastAsia="en-AU"/>
              </w:rPr>
            </w:pPr>
            <w:r w:rsidRPr="00BC4F64">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 change</w:t>
            </w:r>
            <w:r w:rsidRPr="00BC4F64">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 change</w:t>
            </w:r>
            <w:r w:rsidRPr="00BC4F64">
              <w:rPr>
                <w:rFonts w:cs="Arial"/>
                <w:b/>
                <w:bCs/>
                <w:color w:val="FFFFFF"/>
                <w:sz w:val="18"/>
                <w:szCs w:val="18"/>
                <w:lang w:eastAsia="en-AU"/>
              </w:rPr>
              <w:br/>
              <w:t>Q2 2012-Q2 2013</w:t>
            </w:r>
          </w:p>
        </w:tc>
      </w:tr>
      <w:tr w:rsidR="00BC4F64" w:rsidRPr="00BC4F64" w:rsidTr="00BC4F64">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BC4F64" w:rsidRPr="00BC4F64" w:rsidRDefault="00BC4F64" w:rsidP="00BC4F64">
            <w:pPr>
              <w:spacing w:after="0" w:line="240" w:lineRule="auto"/>
              <w:jc w:val="left"/>
              <w:rPr>
                <w:rFonts w:cs="Arial"/>
                <w:color w:val="3E5B00"/>
                <w:sz w:val="18"/>
                <w:szCs w:val="18"/>
                <w:lang w:eastAsia="en-AU"/>
              </w:rPr>
            </w:pPr>
            <w:r w:rsidRPr="00BC4F64">
              <w:rPr>
                <w:rFonts w:cs="Arial"/>
                <w:color w:val="3E5B00"/>
                <w:sz w:val="18"/>
                <w:szCs w:val="18"/>
                <w:lang w:eastAsia="en-AU"/>
              </w:rPr>
              <w:t>15 to 19</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20,000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19,500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15,900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-20%</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-18%</w:t>
            </w:r>
          </w:p>
        </w:tc>
      </w:tr>
      <w:tr w:rsidR="00BC4F64" w:rsidRPr="00BC4F64" w:rsidTr="00BC4F64">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BC4F64" w:rsidRPr="00BC4F64" w:rsidRDefault="00BC4F64" w:rsidP="00BC4F64">
            <w:pPr>
              <w:spacing w:after="0" w:line="240" w:lineRule="auto"/>
              <w:jc w:val="left"/>
              <w:rPr>
                <w:rFonts w:cs="Arial"/>
                <w:color w:val="3E5B00"/>
                <w:sz w:val="18"/>
                <w:szCs w:val="18"/>
                <w:lang w:eastAsia="en-AU"/>
              </w:rPr>
            </w:pPr>
            <w:r w:rsidRPr="00BC4F64">
              <w:rPr>
                <w:rFonts w:cs="Arial"/>
                <w:color w:val="3E5B00"/>
                <w:sz w:val="18"/>
                <w:szCs w:val="18"/>
                <w:lang w:eastAsia="en-AU"/>
              </w:rPr>
              <w:t>20 to 24</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6,300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7,000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6,500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3%</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-8%</w:t>
            </w:r>
          </w:p>
        </w:tc>
      </w:tr>
      <w:tr w:rsidR="00BC4F64" w:rsidRPr="00BC4F64" w:rsidTr="00BC4F64">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BC4F64" w:rsidRPr="00BC4F64" w:rsidRDefault="00BC4F64" w:rsidP="00BC4F64">
            <w:pPr>
              <w:spacing w:after="0" w:line="240" w:lineRule="auto"/>
              <w:jc w:val="left"/>
              <w:rPr>
                <w:rFonts w:cs="Arial"/>
                <w:color w:val="3E5B00"/>
                <w:sz w:val="18"/>
                <w:szCs w:val="18"/>
                <w:lang w:eastAsia="en-AU"/>
              </w:rPr>
            </w:pPr>
            <w:r w:rsidRPr="00BC4F64">
              <w:rPr>
                <w:rFonts w:cs="Arial"/>
                <w:color w:val="3E5B00"/>
                <w:sz w:val="18"/>
                <w:szCs w:val="18"/>
                <w:lang w:eastAsia="en-AU"/>
              </w:rPr>
              <w:t>25 to 44</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18,000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22,900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22,000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23%</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-4%</w:t>
            </w:r>
          </w:p>
        </w:tc>
      </w:tr>
      <w:tr w:rsidR="00BC4F64" w:rsidRPr="00BC4F64" w:rsidTr="00BC4F64">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BC4F64" w:rsidRPr="00BC4F64" w:rsidRDefault="00BC4F64" w:rsidP="00BC4F64">
            <w:pPr>
              <w:spacing w:after="0" w:line="240" w:lineRule="auto"/>
              <w:jc w:val="left"/>
              <w:rPr>
                <w:rFonts w:cs="Arial"/>
                <w:color w:val="3E5B00"/>
                <w:sz w:val="18"/>
                <w:szCs w:val="18"/>
                <w:lang w:eastAsia="en-AU"/>
              </w:rPr>
            </w:pPr>
            <w:r w:rsidRPr="00BC4F64">
              <w:rPr>
                <w:rFonts w:cs="Arial"/>
                <w:color w:val="3E5B00"/>
                <w:sz w:val="18"/>
                <w:szCs w:val="18"/>
                <w:lang w:eastAsia="en-AU"/>
              </w:rPr>
              <w:t>45 to 64</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9,600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12,200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11,000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15%</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-10%</w:t>
            </w:r>
          </w:p>
        </w:tc>
      </w:tr>
      <w:tr w:rsidR="00BC4F64" w:rsidRPr="00BC4F64" w:rsidTr="00A40263">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center"/>
            <w:hideMark/>
          </w:tcPr>
          <w:p w:rsidR="00BC4F64" w:rsidRPr="00BC4F64" w:rsidRDefault="00BC4F64" w:rsidP="00BC4F64">
            <w:pPr>
              <w:spacing w:after="0" w:line="240" w:lineRule="auto"/>
              <w:jc w:val="left"/>
              <w:rPr>
                <w:rFonts w:cs="Arial"/>
                <w:color w:val="3E5B00"/>
                <w:sz w:val="18"/>
                <w:szCs w:val="18"/>
                <w:lang w:eastAsia="en-AU"/>
              </w:rPr>
            </w:pPr>
            <w:r w:rsidRPr="00BC4F64">
              <w:rPr>
                <w:rFonts w:cs="Arial"/>
                <w:color w:val="3E5B00"/>
                <w:sz w:val="18"/>
                <w:szCs w:val="18"/>
                <w:lang w:eastAsia="en-AU"/>
              </w:rPr>
              <w:t>Under 15, over 64, not stated</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950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900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 xml:space="preserve">800 </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-18%</w:t>
            </w:r>
          </w:p>
        </w:tc>
        <w:tc>
          <w:tcPr>
            <w:tcW w:w="1120" w:type="dxa"/>
            <w:tcBorders>
              <w:top w:val="nil"/>
              <w:left w:val="nil"/>
              <w:bottom w:val="single" w:sz="4" w:space="0" w:color="5E8A00"/>
              <w:right w:val="single" w:sz="4" w:space="0" w:color="5E8A00"/>
            </w:tcBorders>
            <w:shd w:val="clear" w:color="auto" w:fill="auto"/>
            <w:noWrap/>
            <w:vAlign w:val="center"/>
            <w:hideMark/>
          </w:tcPr>
          <w:p w:rsidR="00BC4F64" w:rsidRPr="00BC4F64" w:rsidRDefault="00BC4F64" w:rsidP="00BC4F64">
            <w:pPr>
              <w:spacing w:after="0" w:line="240" w:lineRule="auto"/>
              <w:jc w:val="right"/>
              <w:rPr>
                <w:rFonts w:cs="Arial"/>
                <w:sz w:val="18"/>
                <w:szCs w:val="18"/>
                <w:lang w:eastAsia="en-AU"/>
              </w:rPr>
            </w:pPr>
            <w:r w:rsidRPr="00BC4F64">
              <w:rPr>
                <w:rFonts w:cs="Arial"/>
                <w:sz w:val="18"/>
                <w:szCs w:val="18"/>
                <w:lang w:eastAsia="en-AU"/>
              </w:rPr>
              <w:t>-12%</w:t>
            </w:r>
          </w:p>
        </w:tc>
      </w:tr>
      <w:tr w:rsidR="00BC4F64" w:rsidRPr="00BC4F64" w:rsidTr="00A40263">
        <w:trPr>
          <w:trHeight w:hRule="exact" w:val="284"/>
        </w:trPr>
        <w:tc>
          <w:tcPr>
            <w:tcW w:w="2560" w:type="dxa"/>
            <w:tcBorders>
              <w:top w:val="single" w:sz="4" w:space="0" w:color="5E8A00"/>
              <w:left w:val="single" w:sz="4" w:space="0" w:color="5E8A00"/>
              <w:bottom w:val="nil"/>
            </w:tcBorders>
            <w:shd w:val="clear" w:color="000000" w:fill="5E8A00"/>
            <w:noWrap/>
            <w:vAlign w:val="center"/>
            <w:hideMark/>
          </w:tcPr>
          <w:p w:rsidR="00BC4F64" w:rsidRPr="00BC4F64" w:rsidRDefault="00BC4F64" w:rsidP="00BC4F64">
            <w:pPr>
              <w:spacing w:after="0" w:line="240" w:lineRule="auto"/>
              <w:jc w:val="left"/>
              <w:rPr>
                <w:rFonts w:cs="Arial"/>
                <w:b/>
                <w:bCs/>
                <w:color w:val="FFFFFF"/>
                <w:sz w:val="18"/>
                <w:szCs w:val="18"/>
                <w:lang w:eastAsia="en-AU"/>
              </w:rPr>
            </w:pPr>
            <w:r w:rsidRPr="00BC4F64">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 xml:space="preserve">54,800 </w:t>
            </w:r>
          </w:p>
        </w:tc>
        <w:tc>
          <w:tcPr>
            <w:tcW w:w="1120" w:type="dxa"/>
            <w:tcBorders>
              <w:top w:val="single" w:sz="4" w:space="0" w:color="5E8A00"/>
              <w:bottom w:val="nil"/>
            </w:tcBorders>
            <w:shd w:val="clear" w:color="000000" w:fill="5E8A00"/>
            <w:noWrap/>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 xml:space="preserve">62,500 </w:t>
            </w:r>
          </w:p>
        </w:tc>
        <w:tc>
          <w:tcPr>
            <w:tcW w:w="1120" w:type="dxa"/>
            <w:tcBorders>
              <w:top w:val="single" w:sz="4" w:space="0" w:color="5E8A00"/>
              <w:bottom w:val="nil"/>
            </w:tcBorders>
            <w:shd w:val="clear" w:color="000000" w:fill="5E8A00"/>
            <w:noWrap/>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 xml:space="preserve">56,200 </w:t>
            </w:r>
          </w:p>
        </w:tc>
        <w:tc>
          <w:tcPr>
            <w:tcW w:w="1120" w:type="dxa"/>
            <w:tcBorders>
              <w:top w:val="single" w:sz="4" w:space="0" w:color="5E8A00"/>
              <w:bottom w:val="nil"/>
            </w:tcBorders>
            <w:shd w:val="clear" w:color="000000" w:fill="5E8A00"/>
            <w:noWrap/>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3%</w:t>
            </w:r>
          </w:p>
        </w:tc>
        <w:tc>
          <w:tcPr>
            <w:tcW w:w="1120" w:type="dxa"/>
            <w:tcBorders>
              <w:top w:val="single" w:sz="4" w:space="0" w:color="5E8A00"/>
              <w:bottom w:val="nil"/>
              <w:right w:val="single" w:sz="4" w:space="0" w:color="5E8A00"/>
            </w:tcBorders>
            <w:shd w:val="clear" w:color="000000" w:fill="5E8A00"/>
            <w:noWrap/>
            <w:vAlign w:val="center"/>
            <w:hideMark/>
          </w:tcPr>
          <w:p w:rsidR="00BC4F64" w:rsidRPr="00BC4F64" w:rsidRDefault="00BC4F64" w:rsidP="00BC4F64">
            <w:pPr>
              <w:spacing w:after="0" w:line="240" w:lineRule="auto"/>
              <w:jc w:val="right"/>
              <w:rPr>
                <w:rFonts w:cs="Arial"/>
                <w:b/>
                <w:bCs/>
                <w:color w:val="FFFFFF"/>
                <w:sz w:val="18"/>
                <w:szCs w:val="18"/>
                <w:lang w:eastAsia="en-AU"/>
              </w:rPr>
            </w:pPr>
            <w:r w:rsidRPr="00BC4F64">
              <w:rPr>
                <w:rFonts w:cs="Arial"/>
                <w:b/>
                <w:bCs/>
                <w:color w:val="FFFFFF"/>
                <w:sz w:val="18"/>
                <w:szCs w:val="18"/>
                <w:lang w:eastAsia="en-AU"/>
              </w:rPr>
              <w:t>-10%</w:t>
            </w:r>
          </w:p>
        </w:tc>
      </w:tr>
    </w:tbl>
    <w:p w:rsidR="003C19A6" w:rsidRPr="003C19A6" w:rsidRDefault="003C19A6" w:rsidP="003C19A6"/>
    <w:p w:rsidR="00F624F2" w:rsidRDefault="00F624F2">
      <w:pPr>
        <w:spacing w:after="0" w:line="240" w:lineRule="auto"/>
        <w:jc w:val="left"/>
        <w:rPr>
          <w:rFonts w:cs="Arial"/>
          <w:bCs/>
          <w:iCs/>
          <w:color w:val="76923C" w:themeColor="accent3" w:themeShade="BF"/>
          <w:sz w:val="28"/>
          <w:szCs w:val="28"/>
        </w:rPr>
      </w:pPr>
      <w:bookmarkStart w:id="56" w:name="_Toc338854120"/>
      <w:r>
        <w:br w:type="page"/>
      </w:r>
    </w:p>
    <w:p w:rsidR="00EE6BD1" w:rsidRPr="001F29E3" w:rsidRDefault="00B66680" w:rsidP="00EE6BD1">
      <w:pPr>
        <w:pStyle w:val="Heading2"/>
      </w:pPr>
      <w:bookmarkStart w:id="57" w:name="_Toc366588114"/>
      <w:bookmarkEnd w:id="56"/>
      <w:r>
        <w:lastRenderedPageBreak/>
        <w:t>Government Subsidised Regional A</w:t>
      </w:r>
      <w:r w:rsidR="00EE6BD1" w:rsidRPr="001F29E3">
        <w:t>ctivity</w:t>
      </w:r>
      <w:bookmarkEnd w:id="57"/>
    </w:p>
    <w:p w:rsidR="00EE6BD1" w:rsidRPr="00FC7DCE" w:rsidRDefault="00EE6BD1" w:rsidP="00EE6BD1">
      <w:pPr>
        <w:jc w:val="left"/>
        <w:rPr>
          <w:rFonts w:cs="Arial"/>
          <w:bCs/>
        </w:rPr>
      </w:pPr>
    </w:p>
    <w:p w:rsidR="00DB5345" w:rsidRPr="001F29E3" w:rsidRDefault="00001AF8" w:rsidP="00DB5345">
      <w:pPr>
        <w:jc w:val="left"/>
        <w:rPr>
          <w:rFonts w:cs="Arial"/>
        </w:rPr>
      </w:pPr>
      <w:r>
        <w:rPr>
          <w:rFonts w:cs="Arial"/>
        </w:rPr>
        <w:t>G</w:t>
      </w:r>
      <w:r w:rsidR="00DA7582" w:rsidRPr="00022B50">
        <w:rPr>
          <w:rFonts w:cs="Arial"/>
        </w:rPr>
        <w:t>overnment subsidised enrolment</w:t>
      </w:r>
      <w:r w:rsidR="00DB5345" w:rsidRPr="00022B50">
        <w:rPr>
          <w:rFonts w:cs="Arial"/>
        </w:rPr>
        <w:t xml:space="preserve"> number</w:t>
      </w:r>
      <w:r w:rsidR="00752D53" w:rsidRPr="00022B50">
        <w:rPr>
          <w:rFonts w:cs="Arial"/>
        </w:rPr>
        <w:t>s are presented for</w:t>
      </w:r>
      <w:r w:rsidR="00DA7582" w:rsidRPr="00022B50">
        <w:rPr>
          <w:rFonts w:cs="Arial"/>
        </w:rPr>
        <w:t xml:space="preserve"> the four departmental regions</w:t>
      </w:r>
      <w:r>
        <w:rPr>
          <w:rFonts w:cs="Arial"/>
        </w:rPr>
        <w:t xml:space="preserve"> f</w:t>
      </w:r>
      <w:r w:rsidRPr="00022B50">
        <w:rPr>
          <w:rFonts w:cs="Arial"/>
        </w:rPr>
        <w:t>or the purpose of providing an overview of regional training activity</w:t>
      </w:r>
      <w:r>
        <w:rPr>
          <w:rFonts w:cs="Arial"/>
        </w:rPr>
        <w:t xml:space="preserve">. </w:t>
      </w:r>
      <w:r w:rsidR="000A1C0E">
        <w:rPr>
          <w:rFonts w:cs="Arial"/>
        </w:rPr>
        <w:t>In t</w:t>
      </w:r>
      <w:r>
        <w:rPr>
          <w:rFonts w:cs="Arial"/>
        </w:rPr>
        <w:t xml:space="preserve">his </w:t>
      </w:r>
      <w:r w:rsidR="00DA7582" w:rsidRPr="00022B50">
        <w:rPr>
          <w:rFonts w:cs="Arial"/>
        </w:rPr>
        <w:t>report</w:t>
      </w:r>
      <w:r>
        <w:rPr>
          <w:rFonts w:cs="Arial"/>
        </w:rPr>
        <w:t xml:space="preserve"> </w:t>
      </w:r>
      <w:r w:rsidR="00932A44" w:rsidRPr="00022B50">
        <w:rPr>
          <w:rFonts w:cs="Arial"/>
        </w:rPr>
        <w:t xml:space="preserve">government subsidised enrolments are further disaggregated into </w:t>
      </w:r>
      <w:r w:rsidR="00A326AF">
        <w:rPr>
          <w:rFonts w:cs="Arial"/>
        </w:rPr>
        <w:t xml:space="preserve">nine regional areas </w:t>
      </w:r>
      <w:r w:rsidR="00467F90" w:rsidRPr="00022B50">
        <w:rPr>
          <w:rFonts w:cs="Arial"/>
        </w:rPr>
        <w:t>to provide</w:t>
      </w:r>
      <w:r w:rsidR="000A1C0E">
        <w:rPr>
          <w:rFonts w:cs="Arial"/>
        </w:rPr>
        <w:t xml:space="preserve"> more granular </w:t>
      </w:r>
      <w:r w:rsidR="00561677">
        <w:rPr>
          <w:rFonts w:cs="Arial"/>
        </w:rPr>
        <w:t>level of detail on</w:t>
      </w:r>
      <w:r w:rsidR="000A1C0E">
        <w:rPr>
          <w:rFonts w:cs="Arial"/>
        </w:rPr>
        <w:t xml:space="preserve"> training activity</w:t>
      </w:r>
      <w:r w:rsidR="00EB6FFA" w:rsidRPr="00022B50">
        <w:rPr>
          <w:rFonts w:cs="Arial"/>
        </w:rPr>
        <w:t>.</w:t>
      </w:r>
    </w:p>
    <w:p w:rsidR="00932A44" w:rsidRPr="001F29E3" w:rsidRDefault="00DB5345" w:rsidP="00DB5345">
      <w:pPr>
        <w:jc w:val="left"/>
        <w:rPr>
          <w:rFonts w:cs="Arial"/>
        </w:rPr>
      </w:pPr>
      <w:r w:rsidRPr="001F29E3">
        <w:rPr>
          <w:rFonts w:cs="Arial"/>
        </w:rPr>
        <w:t>South-Western departmental region comprises Barwon South</w:t>
      </w:r>
      <w:r w:rsidR="00467F90" w:rsidRPr="001F29E3">
        <w:rPr>
          <w:rFonts w:cs="Arial"/>
        </w:rPr>
        <w:t xml:space="preserve"> </w:t>
      </w:r>
      <w:r w:rsidRPr="001F29E3">
        <w:rPr>
          <w:rFonts w:cs="Arial"/>
        </w:rPr>
        <w:t>West, Grampians and Western Metropolitan regional areas.</w:t>
      </w:r>
      <w:r w:rsidR="002C240D" w:rsidRPr="001F29E3">
        <w:rPr>
          <w:rFonts w:cs="Arial"/>
        </w:rPr>
        <w:t xml:space="preserve"> </w:t>
      </w:r>
      <w:r w:rsidRPr="001F29E3">
        <w:rPr>
          <w:rFonts w:cs="Arial"/>
        </w:rPr>
        <w:t xml:space="preserve">North-Western departmental region comprises Loddon </w:t>
      </w:r>
      <w:proofErr w:type="spellStart"/>
      <w:r w:rsidRPr="001F29E3">
        <w:rPr>
          <w:rFonts w:cs="Arial"/>
        </w:rPr>
        <w:t>Mallee</w:t>
      </w:r>
      <w:proofErr w:type="spellEnd"/>
      <w:r w:rsidRPr="001F29E3">
        <w:rPr>
          <w:rFonts w:cs="Arial"/>
        </w:rPr>
        <w:t xml:space="preserve"> and Northern</w:t>
      </w:r>
      <w:r w:rsidR="00DA7582" w:rsidRPr="001F29E3">
        <w:rPr>
          <w:rFonts w:cs="Arial"/>
        </w:rPr>
        <w:t xml:space="preserve"> </w:t>
      </w:r>
      <w:r w:rsidRPr="001F29E3">
        <w:rPr>
          <w:rFonts w:cs="Arial"/>
        </w:rPr>
        <w:t>Metropolitan regional areas. North-Eastern departmental region comprises Hume and Eastern Metropolitan regional areas. South-Eastern departmental region comprises Gippsland and Southern Metropolitan regional areas.</w:t>
      </w:r>
    </w:p>
    <w:p w:rsidR="00204000" w:rsidRDefault="00FC7DCE" w:rsidP="00932A44">
      <w:pPr>
        <w:rPr>
          <w:rFonts w:cs="Arial"/>
        </w:rPr>
      </w:pPr>
      <w:r>
        <w:rPr>
          <w:rFonts w:cs="Arial"/>
        </w:rPr>
        <w:t xml:space="preserve">Enrolment figures presented in this section refer to delivery activity at the regional level and do not necessarily reflect local participation. </w:t>
      </w:r>
    </w:p>
    <w:p w:rsidR="00FC7DCE" w:rsidRDefault="00FC7DCE" w:rsidP="00932A44">
      <w:pPr>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224561" w:rsidRPr="001F29E3" w:rsidTr="007F6FCA">
        <w:trPr>
          <w:trHeight w:val="495"/>
        </w:trPr>
        <w:tc>
          <w:tcPr>
            <w:tcW w:w="9088" w:type="dxa"/>
          </w:tcPr>
          <w:p w:rsidR="00224561" w:rsidRDefault="00224561" w:rsidP="007F6FCA">
            <w:pPr>
              <w:pStyle w:val="Heading3"/>
            </w:pPr>
            <w:r w:rsidRPr="00A77D23">
              <w:t>Key Points</w:t>
            </w:r>
          </w:p>
          <w:p w:rsidR="00A326AF" w:rsidRPr="00A326AF" w:rsidRDefault="00A326AF" w:rsidP="00A326AF"/>
          <w:p w:rsidR="00224561" w:rsidRPr="00A77D23" w:rsidRDefault="00561677" w:rsidP="007F6FCA">
            <w:pPr>
              <w:pStyle w:val="ListBullet"/>
              <w:numPr>
                <w:ilvl w:val="0"/>
                <w:numId w:val="14"/>
              </w:numPr>
              <w:ind w:right="113"/>
              <w:jc w:val="left"/>
              <w:rPr>
                <w:rFonts w:cs="Arial"/>
              </w:rPr>
            </w:pPr>
            <w:r>
              <w:rPr>
                <w:rFonts w:cs="Arial"/>
              </w:rPr>
              <w:t>Similar to the overall state-wide trend, g</w:t>
            </w:r>
            <w:r w:rsidR="00224561" w:rsidRPr="00A77D23">
              <w:rPr>
                <w:rFonts w:cs="Arial"/>
              </w:rPr>
              <w:t>overnment subsidised enrolment</w:t>
            </w:r>
            <w:r w:rsidR="00B66680">
              <w:rPr>
                <w:rFonts w:cs="Arial"/>
              </w:rPr>
              <w:t xml:space="preserve"> numbers across four department administrative</w:t>
            </w:r>
            <w:r w:rsidR="00224561" w:rsidRPr="00A77D23">
              <w:rPr>
                <w:rFonts w:cs="Arial"/>
              </w:rPr>
              <w:t xml:space="preserve"> regions </w:t>
            </w:r>
            <w:r w:rsidR="00013913">
              <w:rPr>
                <w:rFonts w:cs="Arial"/>
              </w:rPr>
              <w:t xml:space="preserve">(delivery location) </w:t>
            </w:r>
            <w:r w:rsidR="00224561" w:rsidRPr="00A77D23">
              <w:rPr>
                <w:rFonts w:cs="Arial"/>
              </w:rPr>
              <w:t xml:space="preserve">in Q2 2013 </w:t>
            </w:r>
            <w:r>
              <w:rPr>
                <w:rFonts w:cs="Arial"/>
              </w:rPr>
              <w:t xml:space="preserve">were lower </w:t>
            </w:r>
            <w:r w:rsidR="00224561" w:rsidRPr="00A77D23">
              <w:rPr>
                <w:rFonts w:cs="Arial"/>
              </w:rPr>
              <w:t>compared to Q1 2012</w:t>
            </w:r>
            <w:r>
              <w:rPr>
                <w:rFonts w:cs="Arial"/>
              </w:rPr>
              <w:t>, but higher compared to Q2 2011</w:t>
            </w:r>
            <w:r w:rsidR="00224561" w:rsidRPr="00A77D23">
              <w:rPr>
                <w:rFonts w:cs="Arial"/>
              </w:rPr>
              <w:t xml:space="preserve">.  </w:t>
            </w:r>
          </w:p>
          <w:p w:rsidR="00224561" w:rsidRPr="00A77D23" w:rsidRDefault="00224561" w:rsidP="007F6FCA">
            <w:pPr>
              <w:pStyle w:val="ListBullet"/>
              <w:numPr>
                <w:ilvl w:val="0"/>
                <w:numId w:val="14"/>
              </w:numPr>
              <w:ind w:right="113"/>
              <w:jc w:val="left"/>
              <w:rPr>
                <w:rFonts w:cs="Arial"/>
              </w:rPr>
            </w:pPr>
            <w:r w:rsidRPr="00A77D23">
              <w:rPr>
                <w:rFonts w:cs="Arial"/>
              </w:rPr>
              <w:t xml:space="preserve">Further disaggregation of regions’ data into nine regional areas, </w:t>
            </w:r>
            <w:r w:rsidR="00013913">
              <w:rPr>
                <w:rFonts w:cs="Arial"/>
              </w:rPr>
              <w:t xml:space="preserve">the </w:t>
            </w:r>
            <w:r w:rsidRPr="00A77D23">
              <w:rPr>
                <w:rFonts w:cs="Arial"/>
              </w:rPr>
              <w:t xml:space="preserve">Q2 2013 data show </w:t>
            </w:r>
            <w:r w:rsidR="00013913">
              <w:rPr>
                <w:rFonts w:cs="Arial"/>
              </w:rPr>
              <w:t xml:space="preserve">three regional areas experiencing different enrolment trends compared to the state-wide picture: </w:t>
            </w:r>
            <w:r w:rsidRPr="00A77D23">
              <w:rPr>
                <w:rFonts w:cs="Arial"/>
              </w:rPr>
              <w:t>Hume regional area has a 30 per cent increase in government subsidised enrolments compared to Q2 2012 and 89 pe</w:t>
            </w:r>
            <w:r w:rsidR="0032113A">
              <w:rPr>
                <w:rFonts w:cs="Arial"/>
              </w:rPr>
              <w:t>r cent increase compared to Q2 2</w:t>
            </w:r>
            <w:r w:rsidRPr="00A77D23">
              <w:rPr>
                <w:rFonts w:cs="Arial"/>
              </w:rPr>
              <w:t>011. However, the results for Gippsland and Eastern Metropolitan regional areas in Q2 2013 were lower than those in Q2 2011 and Q2 2012.</w:t>
            </w:r>
          </w:p>
          <w:p w:rsidR="00224561" w:rsidRPr="00A77D23" w:rsidRDefault="00224561" w:rsidP="007F6FCA">
            <w:pPr>
              <w:pStyle w:val="ListBullet"/>
              <w:numPr>
                <w:ilvl w:val="0"/>
                <w:numId w:val="14"/>
              </w:numPr>
              <w:ind w:right="113"/>
              <w:jc w:val="left"/>
              <w:rPr>
                <w:rFonts w:cs="Arial"/>
              </w:rPr>
            </w:pPr>
            <w:r w:rsidRPr="00A77D23">
              <w:rPr>
                <w:rFonts w:cs="Arial"/>
              </w:rPr>
              <w:t>The growth in government subsidised enrolments in Hume in Q2 2013 has occurred across all Australian Qualification Levels: Certificate I to II (up 40 per cent), Certificate III to IV (up 32 per cent) and Diploma &amp; Above (up 3 per cent) compared to Q2 2012. The large increase in enrolments in Hume regional area was associated with:</w:t>
            </w:r>
          </w:p>
          <w:p w:rsidR="00224561" w:rsidRPr="00A77D23" w:rsidRDefault="00224561" w:rsidP="00537FFC">
            <w:pPr>
              <w:pStyle w:val="ListBullet"/>
              <w:numPr>
                <w:ilvl w:val="1"/>
                <w:numId w:val="14"/>
              </w:numPr>
              <w:ind w:left="859" w:right="113" w:hanging="425"/>
              <w:jc w:val="left"/>
              <w:rPr>
                <w:rFonts w:cs="Arial"/>
              </w:rPr>
            </w:pPr>
            <w:r w:rsidRPr="00A77D23">
              <w:rPr>
                <w:rFonts w:cs="Arial"/>
              </w:rPr>
              <w:t xml:space="preserve">Increase in course enrolments at Certificate I to II levels that was mainly driven by a significant increase in foundation skills courses (up 165 per cent, from 2,300 in Q2 2012 to 6,000 in Q2 2013). </w:t>
            </w:r>
          </w:p>
          <w:p w:rsidR="00224561" w:rsidRPr="00A77D23" w:rsidRDefault="00224561" w:rsidP="00537FFC">
            <w:pPr>
              <w:pStyle w:val="ListBullet"/>
              <w:numPr>
                <w:ilvl w:val="1"/>
                <w:numId w:val="14"/>
              </w:numPr>
              <w:ind w:left="859" w:right="113" w:hanging="425"/>
              <w:jc w:val="left"/>
              <w:rPr>
                <w:rFonts w:cs="Arial"/>
              </w:rPr>
            </w:pPr>
            <w:r w:rsidRPr="00A77D23">
              <w:rPr>
                <w:rFonts w:cs="Arial"/>
              </w:rPr>
              <w:t xml:space="preserve">Enrolments that have been increasing from Q2 2011, Q2 2012 to Q2 2013 are found in industry sectors, such as: </w:t>
            </w:r>
          </w:p>
          <w:p w:rsidR="00224561" w:rsidRPr="00A77D23" w:rsidRDefault="00224561" w:rsidP="00537FFC">
            <w:pPr>
              <w:pStyle w:val="ListBullet"/>
              <w:numPr>
                <w:ilvl w:val="2"/>
                <w:numId w:val="14"/>
              </w:numPr>
              <w:ind w:left="1284" w:right="113" w:hanging="425"/>
              <w:jc w:val="left"/>
              <w:rPr>
                <w:rFonts w:cs="Arial"/>
              </w:rPr>
            </w:pPr>
            <w:r w:rsidRPr="00A77D23">
              <w:rPr>
                <w:rFonts w:cs="Arial"/>
              </w:rPr>
              <w:t xml:space="preserve">Education and Training (from 250 in Q2 2011 to 2,100 in Q2 2013); </w:t>
            </w:r>
          </w:p>
          <w:p w:rsidR="00224561" w:rsidRPr="00A77D23" w:rsidRDefault="00224561" w:rsidP="00537FFC">
            <w:pPr>
              <w:pStyle w:val="ListBullet"/>
              <w:numPr>
                <w:ilvl w:val="2"/>
                <w:numId w:val="14"/>
              </w:numPr>
              <w:ind w:left="1284" w:right="113" w:hanging="425"/>
              <w:jc w:val="left"/>
              <w:rPr>
                <w:rFonts w:cs="Arial"/>
              </w:rPr>
            </w:pPr>
            <w:r w:rsidRPr="00A77D23">
              <w:rPr>
                <w:rFonts w:cs="Arial"/>
              </w:rPr>
              <w:t>Health Care and Social Assistance (from 2,400 in Q2 2011 to 3,900 in Q2 2013);</w:t>
            </w:r>
          </w:p>
          <w:p w:rsidR="00224561" w:rsidRPr="00A77D23" w:rsidRDefault="00224561" w:rsidP="00537FFC">
            <w:pPr>
              <w:pStyle w:val="ListBullet"/>
              <w:numPr>
                <w:ilvl w:val="2"/>
                <w:numId w:val="14"/>
              </w:numPr>
              <w:ind w:left="1284" w:right="113" w:hanging="425"/>
              <w:jc w:val="left"/>
              <w:rPr>
                <w:rFonts w:cs="Arial"/>
              </w:rPr>
            </w:pPr>
            <w:r w:rsidRPr="00A77D23">
              <w:rPr>
                <w:rFonts w:cs="Arial"/>
              </w:rPr>
              <w:t>Manufacturing (from 2,3</w:t>
            </w:r>
            <w:r w:rsidR="001258F3">
              <w:rPr>
                <w:rFonts w:cs="Arial"/>
              </w:rPr>
              <w:t>0</w:t>
            </w:r>
            <w:r w:rsidRPr="00A77D23">
              <w:rPr>
                <w:rFonts w:cs="Arial"/>
              </w:rPr>
              <w:t xml:space="preserve">0 </w:t>
            </w:r>
            <w:r w:rsidR="001258F3">
              <w:rPr>
                <w:rFonts w:cs="Arial"/>
              </w:rPr>
              <w:t>in Q2 2011 to 2,600 in Q2 2013).</w:t>
            </w:r>
          </w:p>
          <w:p w:rsidR="00224561" w:rsidRPr="00A77D23" w:rsidRDefault="00224561" w:rsidP="00537FFC">
            <w:pPr>
              <w:pStyle w:val="ListBullet"/>
              <w:numPr>
                <w:ilvl w:val="2"/>
                <w:numId w:val="14"/>
              </w:numPr>
              <w:ind w:left="1284" w:right="113" w:hanging="425"/>
              <w:jc w:val="left"/>
              <w:rPr>
                <w:rFonts w:cs="Arial"/>
              </w:rPr>
            </w:pPr>
            <w:r w:rsidRPr="00A77D23">
              <w:rPr>
                <w:rFonts w:cs="Arial"/>
              </w:rPr>
              <w:t>Transport, Postal and Warehousing (from 950 in Q2 2011 to 1,600 in Q2 2013);</w:t>
            </w:r>
          </w:p>
          <w:p w:rsidR="00224561" w:rsidRDefault="00224561" w:rsidP="00224561">
            <w:pPr>
              <w:pStyle w:val="ListBullet"/>
              <w:numPr>
                <w:ilvl w:val="0"/>
                <w:numId w:val="14"/>
              </w:numPr>
              <w:ind w:right="113"/>
              <w:jc w:val="left"/>
              <w:rPr>
                <w:rFonts w:cs="Arial"/>
              </w:rPr>
            </w:pPr>
            <w:r w:rsidRPr="00A77D23">
              <w:rPr>
                <w:rFonts w:cs="Arial"/>
              </w:rPr>
              <w:t>Government subsidised enrolments in Gippsland regional area in Q2 2013 w</w:t>
            </w:r>
            <w:r>
              <w:rPr>
                <w:rFonts w:cs="Arial"/>
              </w:rPr>
              <w:t>ere</w:t>
            </w:r>
            <w:r w:rsidRPr="00A77D23">
              <w:rPr>
                <w:rFonts w:cs="Arial"/>
              </w:rPr>
              <w:t xml:space="preserve"> 19 per cent lower than Q2 2011 and 25 per cent lower than Q2 2012. The decline</w:t>
            </w:r>
            <w:r>
              <w:rPr>
                <w:rFonts w:cs="Arial"/>
              </w:rPr>
              <w:t>s</w:t>
            </w:r>
            <w:r w:rsidRPr="00A77D23">
              <w:rPr>
                <w:rFonts w:cs="Arial"/>
              </w:rPr>
              <w:t xml:space="preserve"> in enrolments were across almost all industry sectors, except Transport, Postal and Warehousing which has increased from 160 in Q2 2011 to 590 in Q2 2013.</w:t>
            </w:r>
            <w:r>
              <w:rPr>
                <w:rFonts w:cs="Arial"/>
              </w:rPr>
              <w:t xml:space="preserve"> </w:t>
            </w:r>
          </w:p>
          <w:p w:rsidR="00224561" w:rsidRPr="00A77D23" w:rsidRDefault="00224561" w:rsidP="00224561">
            <w:pPr>
              <w:pStyle w:val="ListBullet"/>
              <w:numPr>
                <w:ilvl w:val="0"/>
                <w:numId w:val="14"/>
              </w:numPr>
              <w:ind w:right="113"/>
              <w:jc w:val="left"/>
              <w:rPr>
                <w:rFonts w:cs="Arial"/>
              </w:rPr>
            </w:pPr>
            <w:r w:rsidRPr="00A77D23">
              <w:rPr>
                <w:rFonts w:cs="Arial"/>
              </w:rPr>
              <w:t xml:space="preserve">Government subsidised enrolments in </w:t>
            </w:r>
            <w:r>
              <w:rPr>
                <w:rFonts w:cs="Arial"/>
              </w:rPr>
              <w:t xml:space="preserve">Eastern Metropolitan </w:t>
            </w:r>
            <w:r w:rsidRPr="00A77D23">
              <w:rPr>
                <w:rFonts w:cs="Arial"/>
              </w:rPr>
              <w:t>regional area in Q2 2013 w</w:t>
            </w:r>
            <w:r>
              <w:rPr>
                <w:rFonts w:cs="Arial"/>
              </w:rPr>
              <w:t>ere</w:t>
            </w:r>
            <w:r w:rsidRPr="00A77D23">
              <w:rPr>
                <w:rFonts w:cs="Arial"/>
              </w:rPr>
              <w:t xml:space="preserve"> 9 per cent lower than Q2 2011 and </w:t>
            </w:r>
            <w:r>
              <w:rPr>
                <w:rFonts w:cs="Arial"/>
              </w:rPr>
              <w:t>18</w:t>
            </w:r>
            <w:r w:rsidRPr="00A77D23">
              <w:rPr>
                <w:rFonts w:cs="Arial"/>
              </w:rPr>
              <w:t xml:space="preserve"> per cent lower than Q2 2012. The decline</w:t>
            </w:r>
            <w:r>
              <w:rPr>
                <w:rFonts w:cs="Arial"/>
              </w:rPr>
              <w:t>s</w:t>
            </w:r>
            <w:r w:rsidRPr="00A77D23">
              <w:rPr>
                <w:rFonts w:cs="Arial"/>
              </w:rPr>
              <w:t xml:space="preserve"> in enrolments were across all industry sectors</w:t>
            </w:r>
            <w:r>
              <w:rPr>
                <w:rFonts w:cs="Arial"/>
              </w:rPr>
              <w:t>.</w:t>
            </w:r>
          </w:p>
        </w:tc>
      </w:tr>
    </w:tbl>
    <w:p w:rsidR="00224561" w:rsidRPr="001F29E3" w:rsidRDefault="00224561" w:rsidP="00224561">
      <w:pPr>
        <w:jc w:val="left"/>
        <w:rPr>
          <w:rFonts w:cs="Arial"/>
        </w:rPr>
      </w:pPr>
      <w:r w:rsidRPr="001F29E3">
        <w:rPr>
          <w:rFonts w:cs="Arial"/>
          <w:b/>
          <w:bCs/>
        </w:rPr>
        <w:br w:type="page"/>
      </w:r>
    </w:p>
    <w:p w:rsidR="00224561" w:rsidRDefault="00224561" w:rsidP="00932A44">
      <w:pPr>
        <w:rPr>
          <w:rFonts w:cs="Arial"/>
        </w:rPr>
      </w:pPr>
    </w:p>
    <w:p w:rsidR="00204000" w:rsidRPr="001F29E3" w:rsidRDefault="00204000" w:rsidP="00156A0D">
      <w:pPr>
        <w:pStyle w:val="Caption"/>
        <w:spacing w:after="0"/>
        <w:jc w:val="left"/>
        <w:rPr>
          <w:rFonts w:cs="Arial"/>
        </w:rPr>
      </w:pPr>
      <w:r w:rsidRPr="001F29E3">
        <w:rPr>
          <w:rFonts w:cs="Arial"/>
        </w:rPr>
        <w:t>Table 1.</w:t>
      </w:r>
      <w:r w:rsidR="00022B50">
        <w:rPr>
          <w:rFonts w:cs="Arial"/>
        </w:rPr>
        <w:t>1</w:t>
      </w:r>
      <w:r w:rsidR="004D1F77">
        <w:rPr>
          <w:rFonts w:cs="Arial"/>
        </w:rPr>
        <w:t>1</w:t>
      </w:r>
      <w:r w:rsidR="00001AF8">
        <w:rPr>
          <w:rFonts w:cs="Arial"/>
        </w:rPr>
        <w:t>.1</w:t>
      </w:r>
      <w:r w:rsidRPr="001F29E3">
        <w:rPr>
          <w:rFonts w:cs="Arial"/>
        </w:rPr>
        <w:t>: Government subsidised enrolments by</w:t>
      </w:r>
      <w:r w:rsidR="00156A0D">
        <w:rPr>
          <w:rFonts w:cs="Arial"/>
        </w:rPr>
        <w:t xml:space="preserve"> departmental region, 2008–2012</w:t>
      </w:r>
    </w:p>
    <w:tbl>
      <w:tblPr>
        <w:tblW w:w="8660" w:type="dxa"/>
        <w:tblInd w:w="103" w:type="dxa"/>
        <w:tblLook w:val="04A0" w:firstRow="1" w:lastRow="0" w:firstColumn="1" w:lastColumn="0" w:noHBand="0" w:noVBand="1"/>
      </w:tblPr>
      <w:tblGrid>
        <w:gridCol w:w="1960"/>
        <w:gridCol w:w="1120"/>
        <w:gridCol w:w="1120"/>
        <w:gridCol w:w="1120"/>
        <w:gridCol w:w="1120"/>
        <w:gridCol w:w="1100"/>
        <w:gridCol w:w="1120"/>
      </w:tblGrid>
      <w:tr w:rsidR="00156A0D" w:rsidRPr="00156A0D" w:rsidTr="002A1A81">
        <w:trPr>
          <w:trHeight w:hRule="exact" w:val="760"/>
        </w:trPr>
        <w:tc>
          <w:tcPr>
            <w:tcW w:w="1960" w:type="dxa"/>
            <w:tcBorders>
              <w:top w:val="single" w:sz="4" w:space="0" w:color="5E8A00"/>
              <w:left w:val="single" w:sz="4" w:space="0" w:color="5E8A00"/>
              <w:bottom w:val="single" w:sz="4" w:space="0" w:color="5E8A00"/>
            </w:tcBorders>
            <w:shd w:val="clear" w:color="000000" w:fill="5E8A00"/>
            <w:vAlign w:val="center"/>
            <w:hideMark/>
          </w:tcPr>
          <w:p w:rsidR="00156A0D" w:rsidRPr="00156A0D" w:rsidRDefault="00156A0D" w:rsidP="00156A0D">
            <w:pPr>
              <w:spacing w:after="0" w:line="240" w:lineRule="auto"/>
              <w:jc w:val="left"/>
              <w:rPr>
                <w:rFonts w:cs="Arial"/>
                <w:b/>
                <w:bCs/>
                <w:color w:val="FFFFFF"/>
                <w:sz w:val="18"/>
                <w:szCs w:val="18"/>
                <w:lang w:eastAsia="en-AU"/>
              </w:rPr>
            </w:pPr>
            <w:r w:rsidRPr="00156A0D">
              <w:rPr>
                <w:rFonts w:cs="Arial"/>
                <w:b/>
                <w:bCs/>
                <w:color w:val="FFFFFF"/>
                <w:sz w:val="18"/>
                <w:szCs w:val="18"/>
                <w:lang w:eastAsia="en-AU"/>
              </w:rPr>
              <w:t>Delivery Location</w:t>
            </w:r>
          </w:p>
        </w:tc>
        <w:tc>
          <w:tcPr>
            <w:tcW w:w="1120" w:type="dxa"/>
            <w:tcBorders>
              <w:top w:val="single" w:sz="4" w:space="0" w:color="5E8A00"/>
              <w:bottom w:val="single" w:sz="4" w:space="0" w:color="5E8A00"/>
            </w:tcBorders>
            <w:shd w:val="clear" w:color="000000" w:fill="5E8A00"/>
            <w:vAlign w:val="center"/>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2011</w:t>
            </w:r>
          </w:p>
        </w:tc>
        <w:tc>
          <w:tcPr>
            <w:tcW w:w="1100" w:type="dxa"/>
            <w:tcBorders>
              <w:top w:val="single" w:sz="4" w:space="0" w:color="5E8A00"/>
              <w:bottom w:val="single" w:sz="4" w:space="0" w:color="5E8A00"/>
            </w:tcBorders>
            <w:shd w:val="clear" w:color="000000" w:fill="5E8A00"/>
            <w:vAlign w:val="center"/>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 change</w:t>
            </w:r>
            <w:r w:rsidRPr="00156A0D">
              <w:rPr>
                <w:rFonts w:cs="Arial"/>
                <w:b/>
                <w:bCs/>
                <w:color w:val="FFFFFF"/>
                <w:sz w:val="18"/>
                <w:szCs w:val="18"/>
                <w:lang w:eastAsia="en-AU"/>
              </w:rPr>
              <w:br/>
              <w:t>2008-2012</w:t>
            </w:r>
          </w:p>
        </w:tc>
      </w:tr>
      <w:tr w:rsidR="00156A0D" w:rsidRPr="00156A0D" w:rsidTr="00156A0D">
        <w:trPr>
          <w:trHeight w:hRule="exact" w:val="284"/>
        </w:trPr>
        <w:tc>
          <w:tcPr>
            <w:tcW w:w="1960" w:type="dxa"/>
            <w:tcBorders>
              <w:top w:val="nil"/>
              <w:left w:val="single" w:sz="4" w:space="0" w:color="5E8A00"/>
              <w:bottom w:val="single" w:sz="4" w:space="0" w:color="5E8A00"/>
              <w:right w:val="single" w:sz="4" w:space="0" w:color="5E8A00"/>
            </w:tcBorders>
            <w:shd w:val="clear" w:color="000000" w:fill="FFFFFF"/>
            <w:noWrap/>
            <w:vAlign w:val="bottom"/>
            <w:hideMark/>
          </w:tcPr>
          <w:p w:rsidR="00156A0D" w:rsidRPr="00156A0D" w:rsidRDefault="00156A0D" w:rsidP="00156A0D">
            <w:pPr>
              <w:spacing w:after="0" w:line="240" w:lineRule="auto"/>
              <w:jc w:val="left"/>
              <w:rPr>
                <w:rFonts w:cs="Arial"/>
                <w:color w:val="3E5B00"/>
                <w:sz w:val="18"/>
                <w:szCs w:val="18"/>
                <w:lang w:eastAsia="en-AU"/>
              </w:rPr>
            </w:pPr>
            <w:r w:rsidRPr="00156A0D">
              <w:rPr>
                <w:rFonts w:cs="Arial"/>
                <w:color w:val="3E5B00"/>
                <w:sz w:val="18"/>
                <w:szCs w:val="18"/>
                <w:lang w:eastAsia="en-AU"/>
              </w:rPr>
              <w:t>South-Western</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119,600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115,800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139,400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202,900 </w:t>
            </w:r>
          </w:p>
        </w:tc>
        <w:tc>
          <w:tcPr>
            <w:tcW w:w="110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267,800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124%</w:t>
            </w:r>
          </w:p>
        </w:tc>
      </w:tr>
      <w:tr w:rsidR="00156A0D" w:rsidRPr="00156A0D" w:rsidTr="00156A0D">
        <w:trPr>
          <w:trHeight w:hRule="exact" w:val="284"/>
        </w:trPr>
        <w:tc>
          <w:tcPr>
            <w:tcW w:w="1960" w:type="dxa"/>
            <w:tcBorders>
              <w:top w:val="nil"/>
              <w:left w:val="single" w:sz="4" w:space="0" w:color="5E8A00"/>
              <w:bottom w:val="single" w:sz="4" w:space="0" w:color="5E8A00"/>
              <w:right w:val="single" w:sz="4" w:space="0" w:color="5E8A00"/>
            </w:tcBorders>
            <w:shd w:val="clear" w:color="000000" w:fill="FFFFFF"/>
            <w:noWrap/>
            <w:vAlign w:val="bottom"/>
            <w:hideMark/>
          </w:tcPr>
          <w:p w:rsidR="00156A0D" w:rsidRPr="00156A0D" w:rsidRDefault="00156A0D" w:rsidP="00156A0D">
            <w:pPr>
              <w:spacing w:after="0" w:line="240" w:lineRule="auto"/>
              <w:jc w:val="left"/>
              <w:rPr>
                <w:rFonts w:cs="Arial"/>
                <w:color w:val="3E5B00"/>
                <w:sz w:val="18"/>
                <w:szCs w:val="18"/>
                <w:lang w:eastAsia="en-AU"/>
              </w:rPr>
            </w:pPr>
            <w:r w:rsidRPr="00156A0D">
              <w:rPr>
                <w:rFonts w:cs="Arial"/>
                <w:color w:val="3E5B00"/>
                <w:sz w:val="18"/>
                <w:szCs w:val="18"/>
                <w:lang w:eastAsia="en-AU"/>
              </w:rPr>
              <w:t>North-Western</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70,500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80,300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84,700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101,500 </w:t>
            </w:r>
          </w:p>
        </w:tc>
        <w:tc>
          <w:tcPr>
            <w:tcW w:w="110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124,400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77%</w:t>
            </w:r>
          </w:p>
        </w:tc>
      </w:tr>
      <w:tr w:rsidR="00156A0D" w:rsidRPr="00156A0D" w:rsidTr="00156A0D">
        <w:trPr>
          <w:trHeight w:hRule="exact" w:val="284"/>
        </w:trPr>
        <w:tc>
          <w:tcPr>
            <w:tcW w:w="1960" w:type="dxa"/>
            <w:tcBorders>
              <w:top w:val="nil"/>
              <w:left w:val="single" w:sz="4" w:space="0" w:color="5E8A00"/>
              <w:bottom w:val="single" w:sz="4" w:space="0" w:color="5E8A00"/>
              <w:right w:val="single" w:sz="4" w:space="0" w:color="5E8A00"/>
            </w:tcBorders>
            <w:shd w:val="clear" w:color="000000" w:fill="FFFFFF"/>
            <w:noWrap/>
            <w:vAlign w:val="bottom"/>
            <w:hideMark/>
          </w:tcPr>
          <w:p w:rsidR="00156A0D" w:rsidRPr="00156A0D" w:rsidRDefault="00156A0D" w:rsidP="00156A0D">
            <w:pPr>
              <w:spacing w:after="0" w:line="240" w:lineRule="auto"/>
              <w:jc w:val="left"/>
              <w:rPr>
                <w:rFonts w:cs="Arial"/>
                <w:color w:val="3E5B00"/>
                <w:sz w:val="18"/>
                <w:szCs w:val="18"/>
                <w:lang w:eastAsia="en-AU"/>
              </w:rPr>
            </w:pPr>
            <w:r w:rsidRPr="00156A0D">
              <w:rPr>
                <w:rFonts w:cs="Arial"/>
                <w:color w:val="3E5B00"/>
                <w:sz w:val="18"/>
                <w:szCs w:val="18"/>
                <w:lang w:eastAsia="en-AU"/>
              </w:rPr>
              <w:t>North-Eastern</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84,700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78,200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84,800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100,900 </w:t>
            </w:r>
          </w:p>
        </w:tc>
        <w:tc>
          <w:tcPr>
            <w:tcW w:w="110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110,400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30%</w:t>
            </w:r>
          </w:p>
        </w:tc>
      </w:tr>
      <w:tr w:rsidR="00156A0D" w:rsidRPr="00156A0D" w:rsidTr="002A1A81">
        <w:trPr>
          <w:trHeight w:hRule="exact" w:val="284"/>
        </w:trPr>
        <w:tc>
          <w:tcPr>
            <w:tcW w:w="1960" w:type="dxa"/>
            <w:tcBorders>
              <w:top w:val="nil"/>
              <w:left w:val="single" w:sz="4" w:space="0" w:color="5E8A00"/>
              <w:bottom w:val="single" w:sz="4" w:space="0" w:color="5E8A00"/>
              <w:right w:val="single" w:sz="4" w:space="0" w:color="5E8A00"/>
            </w:tcBorders>
            <w:shd w:val="clear" w:color="000000" w:fill="FFFFFF"/>
            <w:noWrap/>
            <w:vAlign w:val="bottom"/>
            <w:hideMark/>
          </w:tcPr>
          <w:p w:rsidR="00156A0D" w:rsidRPr="00156A0D" w:rsidRDefault="00156A0D" w:rsidP="00156A0D">
            <w:pPr>
              <w:spacing w:after="0" w:line="240" w:lineRule="auto"/>
              <w:jc w:val="left"/>
              <w:rPr>
                <w:rFonts w:cs="Arial"/>
                <w:color w:val="3E5B00"/>
                <w:sz w:val="18"/>
                <w:szCs w:val="18"/>
                <w:lang w:eastAsia="en-AU"/>
              </w:rPr>
            </w:pPr>
            <w:r w:rsidRPr="00156A0D">
              <w:rPr>
                <w:rFonts w:cs="Arial"/>
                <w:color w:val="3E5B00"/>
                <w:sz w:val="18"/>
                <w:szCs w:val="18"/>
                <w:lang w:eastAsia="en-AU"/>
              </w:rPr>
              <w:t>South-Eastern</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90,300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90,000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104,300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128,100 </w:t>
            </w:r>
          </w:p>
        </w:tc>
        <w:tc>
          <w:tcPr>
            <w:tcW w:w="110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157,100 </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74%</w:t>
            </w:r>
          </w:p>
        </w:tc>
      </w:tr>
      <w:tr w:rsidR="00156A0D" w:rsidRPr="00156A0D" w:rsidTr="002A1A81">
        <w:trPr>
          <w:trHeight w:hRule="exact" w:val="284"/>
        </w:trPr>
        <w:tc>
          <w:tcPr>
            <w:tcW w:w="1960" w:type="dxa"/>
            <w:tcBorders>
              <w:top w:val="single" w:sz="4" w:space="0" w:color="5E8A00"/>
              <w:left w:val="single" w:sz="4" w:space="0" w:color="5E8A00"/>
              <w:bottom w:val="single" w:sz="4" w:space="0" w:color="5E8A00"/>
            </w:tcBorders>
            <w:shd w:val="clear" w:color="000000" w:fill="5E8A00"/>
            <w:noWrap/>
            <w:vAlign w:val="bottom"/>
            <w:hideMark/>
          </w:tcPr>
          <w:p w:rsidR="00156A0D" w:rsidRPr="00156A0D" w:rsidRDefault="000A5C66" w:rsidP="00156A0D">
            <w:pPr>
              <w:spacing w:after="0" w:line="240" w:lineRule="auto"/>
              <w:jc w:val="left"/>
              <w:rPr>
                <w:rFonts w:cs="Arial"/>
                <w:b/>
                <w:bCs/>
                <w:color w:val="FFFFFF"/>
                <w:sz w:val="18"/>
                <w:szCs w:val="18"/>
                <w:lang w:eastAsia="en-AU"/>
              </w:rPr>
            </w:pPr>
            <w:r>
              <w:rPr>
                <w:rFonts w:cs="Arial"/>
                <w:b/>
                <w:bCs/>
                <w:color w:val="FFFFFF"/>
                <w:sz w:val="18"/>
                <w:szCs w:val="18"/>
                <w:lang w:eastAsia="en-AU"/>
              </w:rPr>
              <w:t>All regions total</w:t>
            </w:r>
          </w:p>
        </w:tc>
        <w:tc>
          <w:tcPr>
            <w:tcW w:w="1120" w:type="dxa"/>
            <w:tcBorders>
              <w:top w:val="single" w:sz="4" w:space="0" w:color="5E8A00"/>
              <w:bottom w:val="single" w:sz="4" w:space="0" w:color="5E8A00"/>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 xml:space="preserve">364,400 </w:t>
            </w:r>
          </w:p>
        </w:tc>
        <w:tc>
          <w:tcPr>
            <w:tcW w:w="1120" w:type="dxa"/>
            <w:tcBorders>
              <w:top w:val="single" w:sz="4" w:space="0" w:color="5E8A00"/>
              <w:bottom w:val="single" w:sz="4" w:space="0" w:color="5E8A00"/>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 xml:space="preserve">363,900 </w:t>
            </w:r>
          </w:p>
        </w:tc>
        <w:tc>
          <w:tcPr>
            <w:tcW w:w="1120" w:type="dxa"/>
            <w:tcBorders>
              <w:top w:val="single" w:sz="4" w:space="0" w:color="5E8A00"/>
              <w:bottom w:val="single" w:sz="4" w:space="0" w:color="5E8A00"/>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 xml:space="preserve">412,600 </w:t>
            </w:r>
          </w:p>
        </w:tc>
        <w:tc>
          <w:tcPr>
            <w:tcW w:w="1120" w:type="dxa"/>
            <w:tcBorders>
              <w:top w:val="single" w:sz="4" w:space="0" w:color="5E8A00"/>
              <w:bottom w:val="single" w:sz="4" w:space="0" w:color="5E8A00"/>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 xml:space="preserve">532,200 </w:t>
            </w:r>
          </w:p>
        </w:tc>
        <w:tc>
          <w:tcPr>
            <w:tcW w:w="1100" w:type="dxa"/>
            <w:tcBorders>
              <w:top w:val="single" w:sz="4" w:space="0" w:color="5E8A00"/>
              <w:bottom w:val="single" w:sz="4" w:space="0" w:color="5E8A00"/>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 xml:space="preserve">656,800 </w:t>
            </w:r>
          </w:p>
        </w:tc>
        <w:tc>
          <w:tcPr>
            <w:tcW w:w="1120" w:type="dxa"/>
            <w:tcBorders>
              <w:top w:val="single" w:sz="4" w:space="0" w:color="5E8A00"/>
              <w:bottom w:val="single" w:sz="4" w:space="0" w:color="5E8A00"/>
              <w:right w:val="single" w:sz="4" w:space="0" w:color="5E8A00"/>
            </w:tcBorders>
            <w:shd w:val="clear" w:color="000000" w:fill="5E8A00"/>
            <w:noWrap/>
            <w:vAlign w:val="bottom"/>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80%</w:t>
            </w:r>
          </w:p>
        </w:tc>
      </w:tr>
      <w:tr w:rsidR="00156A0D" w:rsidRPr="00156A0D" w:rsidTr="002A1A81">
        <w:trPr>
          <w:trHeight w:hRule="exact" w:val="284"/>
        </w:trPr>
        <w:tc>
          <w:tcPr>
            <w:tcW w:w="1960" w:type="dxa"/>
            <w:tcBorders>
              <w:top w:val="single" w:sz="4" w:space="0" w:color="5E8A00"/>
              <w:left w:val="single" w:sz="4" w:space="0" w:color="5E8A00"/>
              <w:bottom w:val="single" w:sz="4" w:space="0" w:color="5E8A00"/>
              <w:right w:val="single" w:sz="4" w:space="0" w:color="5E8A00"/>
            </w:tcBorders>
            <w:shd w:val="clear" w:color="000000" w:fill="FFFFFF"/>
            <w:noWrap/>
            <w:vAlign w:val="bottom"/>
            <w:hideMark/>
          </w:tcPr>
          <w:p w:rsidR="00156A0D" w:rsidRPr="00156A0D" w:rsidRDefault="00156A0D" w:rsidP="00156A0D">
            <w:pPr>
              <w:spacing w:after="0" w:line="240" w:lineRule="auto"/>
              <w:jc w:val="left"/>
              <w:rPr>
                <w:rFonts w:cs="Arial"/>
                <w:color w:val="3E5B00"/>
                <w:sz w:val="18"/>
                <w:szCs w:val="18"/>
                <w:lang w:eastAsia="en-AU"/>
              </w:rPr>
            </w:pPr>
            <w:r w:rsidRPr="00156A0D">
              <w:rPr>
                <w:rFonts w:cs="Arial"/>
                <w:color w:val="3E5B00"/>
                <w:sz w:val="18"/>
                <w:szCs w:val="18"/>
                <w:lang w:eastAsia="en-AU"/>
              </w:rPr>
              <w:t>Other</w:t>
            </w:r>
            <w:r>
              <w:rPr>
                <w:rFonts w:cs="Arial"/>
                <w:color w:val="3E5B00"/>
                <w:sz w:val="18"/>
                <w:szCs w:val="18"/>
                <w:lang w:eastAsia="en-AU"/>
              </w:rPr>
              <w:t>*</w:t>
            </w:r>
          </w:p>
        </w:tc>
        <w:tc>
          <w:tcPr>
            <w:tcW w:w="1120" w:type="dxa"/>
            <w:tcBorders>
              <w:top w:val="single" w:sz="4" w:space="0" w:color="5E8A00"/>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17,400 </w:t>
            </w:r>
          </w:p>
        </w:tc>
        <w:tc>
          <w:tcPr>
            <w:tcW w:w="1120" w:type="dxa"/>
            <w:tcBorders>
              <w:top w:val="single" w:sz="4" w:space="0" w:color="5E8A00"/>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13,400 </w:t>
            </w:r>
          </w:p>
        </w:tc>
        <w:tc>
          <w:tcPr>
            <w:tcW w:w="1120" w:type="dxa"/>
            <w:tcBorders>
              <w:top w:val="single" w:sz="4" w:space="0" w:color="5E8A00"/>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15,100 </w:t>
            </w:r>
          </w:p>
        </w:tc>
        <w:tc>
          <w:tcPr>
            <w:tcW w:w="1120" w:type="dxa"/>
            <w:tcBorders>
              <w:top w:val="single" w:sz="4" w:space="0" w:color="5E8A00"/>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17,600 </w:t>
            </w:r>
          </w:p>
        </w:tc>
        <w:tc>
          <w:tcPr>
            <w:tcW w:w="1100" w:type="dxa"/>
            <w:tcBorders>
              <w:top w:val="single" w:sz="4" w:space="0" w:color="5E8A00"/>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 xml:space="preserve">15,000 </w:t>
            </w:r>
          </w:p>
        </w:tc>
        <w:tc>
          <w:tcPr>
            <w:tcW w:w="1120" w:type="dxa"/>
            <w:tcBorders>
              <w:top w:val="single" w:sz="4" w:space="0" w:color="5E8A00"/>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-13%</w:t>
            </w:r>
          </w:p>
        </w:tc>
      </w:tr>
      <w:tr w:rsidR="00156A0D" w:rsidRPr="00156A0D" w:rsidTr="002A1A81">
        <w:trPr>
          <w:trHeight w:hRule="exact" w:val="284"/>
        </w:trPr>
        <w:tc>
          <w:tcPr>
            <w:tcW w:w="1960" w:type="dxa"/>
            <w:tcBorders>
              <w:top w:val="single" w:sz="4" w:space="0" w:color="5E8A00"/>
              <w:left w:val="single" w:sz="4" w:space="0" w:color="5E8A00"/>
              <w:bottom w:val="nil"/>
            </w:tcBorders>
            <w:shd w:val="clear" w:color="000000" w:fill="5E8A00"/>
            <w:noWrap/>
            <w:vAlign w:val="bottom"/>
            <w:hideMark/>
          </w:tcPr>
          <w:p w:rsidR="00156A0D" w:rsidRPr="00156A0D" w:rsidRDefault="00156A0D" w:rsidP="00156A0D">
            <w:pPr>
              <w:spacing w:after="0" w:line="240" w:lineRule="auto"/>
              <w:jc w:val="left"/>
              <w:rPr>
                <w:rFonts w:cs="Arial"/>
                <w:b/>
                <w:bCs/>
                <w:color w:val="FFFFFF"/>
                <w:sz w:val="18"/>
                <w:szCs w:val="18"/>
                <w:lang w:eastAsia="en-AU"/>
              </w:rPr>
            </w:pPr>
            <w:r w:rsidRPr="00156A0D">
              <w:rPr>
                <w:rFonts w:cs="Arial"/>
                <w:b/>
                <w:bCs/>
                <w:color w:val="FFFFFF"/>
                <w:sz w:val="18"/>
                <w:szCs w:val="18"/>
                <w:lang w:eastAsia="en-AU"/>
              </w:rPr>
              <w:t>Total VET</w:t>
            </w:r>
          </w:p>
        </w:tc>
        <w:tc>
          <w:tcPr>
            <w:tcW w:w="1120" w:type="dxa"/>
            <w:tcBorders>
              <w:top w:val="single" w:sz="4" w:space="0" w:color="5E8A00"/>
              <w:bottom w:val="nil"/>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 xml:space="preserve">381,300 </w:t>
            </w:r>
          </w:p>
        </w:tc>
        <w:tc>
          <w:tcPr>
            <w:tcW w:w="1120" w:type="dxa"/>
            <w:tcBorders>
              <w:top w:val="single" w:sz="4" w:space="0" w:color="5E8A00"/>
              <w:bottom w:val="nil"/>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 xml:space="preserve">376,800 </w:t>
            </w:r>
          </w:p>
        </w:tc>
        <w:tc>
          <w:tcPr>
            <w:tcW w:w="1120" w:type="dxa"/>
            <w:tcBorders>
              <w:top w:val="single" w:sz="4" w:space="0" w:color="5E8A00"/>
              <w:bottom w:val="nil"/>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 xml:space="preserve">426,900 </w:t>
            </w:r>
          </w:p>
        </w:tc>
        <w:tc>
          <w:tcPr>
            <w:tcW w:w="1120" w:type="dxa"/>
            <w:tcBorders>
              <w:top w:val="single" w:sz="4" w:space="0" w:color="5E8A00"/>
              <w:bottom w:val="nil"/>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 xml:space="preserve">548,700 </w:t>
            </w:r>
          </w:p>
        </w:tc>
        <w:tc>
          <w:tcPr>
            <w:tcW w:w="1100" w:type="dxa"/>
            <w:tcBorders>
              <w:top w:val="single" w:sz="4" w:space="0" w:color="5E8A00"/>
              <w:bottom w:val="nil"/>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 xml:space="preserve">670,400 </w:t>
            </w:r>
          </w:p>
        </w:tc>
        <w:tc>
          <w:tcPr>
            <w:tcW w:w="1120" w:type="dxa"/>
            <w:tcBorders>
              <w:top w:val="single" w:sz="4" w:space="0" w:color="5E8A00"/>
              <w:bottom w:val="nil"/>
              <w:right w:val="single" w:sz="4" w:space="0" w:color="5E8A00"/>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76%</w:t>
            </w:r>
          </w:p>
        </w:tc>
      </w:tr>
    </w:tbl>
    <w:p w:rsidR="00EE6BD1" w:rsidRPr="00156A0D" w:rsidRDefault="00156A0D" w:rsidP="00EE6BD1">
      <w:pPr>
        <w:jc w:val="left"/>
        <w:rPr>
          <w:rFonts w:cs="Arial"/>
          <w:bCs/>
          <w:sz w:val="16"/>
          <w:szCs w:val="16"/>
        </w:rPr>
      </w:pPr>
      <w:r w:rsidRPr="00156A0D">
        <w:rPr>
          <w:rFonts w:cs="Arial"/>
          <w:bCs/>
          <w:sz w:val="16"/>
          <w:szCs w:val="16"/>
        </w:rPr>
        <w:t>*Other: online and workplace delivery.</w:t>
      </w:r>
    </w:p>
    <w:p w:rsidR="00E30EDD" w:rsidRDefault="00EE6BD1" w:rsidP="00EE6BD1">
      <w:pPr>
        <w:jc w:val="left"/>
        <w:rPr>
          <w:rFonts w:cs="Arial"/>
        </w:rPr>
      </w:pPr>
      <w:r w:rsidRPr="001F29E3">
        <w:rPr>
          <w:rFonts w:cs="Arial"/>
        </w:rPr>
        <w:t xml:space="preserve"> </w:t>
      </w:r>
    </w:p>
    <w:p w:rsidR="00156A0D" w:rsidRPr="001F29E3" w:rsidRDefault="00156A0D" w:rsidP="00156A0D">
      <w:pPr>
        <w:pStyle w:val="Caption"/>
        <w:spacing w:after="0"/>
        <w:jc w:val="left"/>
        <w:rPr>
          <w:rFonts w:cs="Arial"/>
        </w:rPr>
      </w:pPr>
      <w:r w:rsidRPr="001F29E3">
        <w:rPr>
          <w:rFonts w:cs="Arial"/>
        </w:rPr>
        <w:t>Table 1.</w:t>
      </w:r>
      <w:r>
        <w:rPr>
          <w:rFonts w:cs="Arial"/>
        </w:rPr>
        <w:t>1</w:t>
      </w:r>
      <w:r w:rsidR="004D1F77">
        <w:rPr>
          <w:rFonts w:cs="Arial"/>
        </w:rPr>
        <w:t>1</w:t>
      </w:r>
      <w:r w:rsidR="00001AF8">
        <w:rPr>
          <w:rFonts w:cs="Arial"/>
        </w:rPr>
        <w:t>.2</w:t>
      </w:r>
      <w:r w:rsidRPr="001F29E3">
        <w:rPr>
          <w:rFonts w:cs="Arial"/>
        </w:rPr>
        <w:t xml:space="preserve">: Government subsidised enrolments by departmental region, </w:t>
      </w:r>
      <w:r>
        <w:rPr>
          <w:rFonts w:cs="Arial"/>
        </w:rPr>
        <w:t xml:space="preserve">Q2 2011, </w:t>
      </w:r>
      <w:r w:rsidRPr="001F29E3">
        <w:rPr>
          <w:rFonts w:cs="Arial"/>
        </w:rPr>
        <w:t>Q</w:t>
      </w:r>
      <w:r>
        <w:rPr>
          <w:rFonts w:cs="Arial"/>
        </w:rPr>
        <w:t>2</w:t>
      </w:r>
      <w:r w:rsidRPr="001F29E3">
        <w:rPr>
          <w:rFonts w:cs="Arial"/>
        </w:rPr>
        <w:t xml:space="preserve"> 2012 </w:t>
      </w:r>
      <w:r w:rsidR="0032113A">
        <w:rPr>
          <w:rFonts w:cs="Arial"/>
        </w:rPr>
        <w:br/>
      </w:r>
      <w:r w:rsidRPr="001F29E3">
        <w:rPr>
          <w:rFonts w:cs="Arial"/>
        </w:rPr>
        <w:t>and Q</w:t>
      </w:r>
      <w:r>
        <w:rPr>
          <w:rFonts w:cs="Arial"/>
        </w:rPr>
        <w:t>2</w:t>
      </w:r>
      <w:r w:rsidRPr="001F29E3">
        <w:rPr>
          <w:rFonts w:cs="Arial"/>
        </w:rPr>
        <w:t xml:space="preserve"> 2013</w:t>
      </w:r>
    </w:p>
    <w:tbl>
      <w:tblPr>
        <w:tblW w:w="7944" w:type="dxa"/>
        <w:tblInd w:w="103" w:type="dxa"/>
        <w:tblLook w:val="04A0" w:firstRow="1" w:lastRow="0" w:firstColumn="1" w:lastColumn="0" w:noHBand="0" w:noVBand="1"/>
      </w:tblPr>
      <w:tblGrid>
        <w:gridCol w:w="1960"/>
        <w:gridCol w:w="1120"/>
        <w:gridCol w:w="1120"/>
        <w:gridCol w:w="1120"/>
        <w:gridCol w:w="1348"/>
        <w:gridCol w:w="1276"/>
      </w:tblGrid>
      <w:tr w:rsidR="00156A0D" w:rsidRPr="00156A0D" w:rsidTr="002A1A81">
        <w:trPr>
          <w:trHeight w:hRule="exact" w:val="760"/>
        </w:trPr>
        <w:tc>
          <w:tcPr>
            <w:tcW w:w="1960" w:type="dxa"/>
            <w:tcBorders>
              <w:top w:val="single" w:sz="4" w:space="0" w:color="5E8A00"/>
              <w:left w:val="single" w:sz="4" w:space="0" w:color="5E8A00"/>
              <w:bottom w:val="single" w:sz="4" w:space="0" w:color="5E8A00"/>
            </w:tcBorders>
            <w:shd w:val="clear" w:color="000000" w:fill="5E8A00"/>
            <w:vAlign w:val="center"/>
            <w:hideMark/>
          </w:tcPr>
          <w:p w:rsidR="00156A0D" w:rsidRPr="00156A0D" w:rsidRDefault="00156A0D" w:rsidP="00156A0D">
            <w:pPr>
              <w:spacing w:after="0" w:line="240" w:lineRule="auto"/>
              <w:jc w:val="left"/>
              <w:rPr>
                <w:rFonts w:cs="Arial"/>
                <w:b/>
                <w:bCs/>
                <w:color w:val="FFFFFF"/>
                <w:sz w:val="18"/>
                <w:szCs w:val="18"/>
                <w:lang w:eastAsia="en-AU"/>
              </w:rPr>
            </w:pPr>
            <w:r w:rsidRPr="00156A0D">
              <w:rPr>
                <w:rFonts w:cs="Arial"/>
                <w:b/>
                <w:bCs/>
                <w:color w:val="FFFFFF"/>
                <w:sz w:val="18"/>
                <w:szCs w:val="18"/>
                <w:lang w:eastAsia="en-AU"/>
              </w:rPr>
              <w:t>Delivery Location</w:t>
            </w:r>
          </w:p>
        </w:tc>
        <w:tc>
          <w:tcPr>
            <w:tcW w:w="1120" w:type="dxa"/>
            <w:tcBorders>
              <w:top w:val="single" w:sz="4" w:space="0" w:color="5E8A00"/>
              <w:bottom w:val="single" w:sz="4" w:space="0" w:color="5E8A00"/>
            </w:tcBorders>
            <w:shd w:val="clear" w:color="000000" w:fill="5E8A00"/>
            <w:vAlign w:val="center"/>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Q1 2012</w:t>
            </w:r>
          </w:p>
        </w:tc>
        <w:tc>
          <w:tcPr>
            <w:tcW w:w="1120" w:type="dxa"/>
            <w:tcBorders>
              <w:top w:val="single" w:sz="4" w:space="0" w:color="5E8A00"/>
              <w:bottom w:val="single" w:sz="4" w:space="0" w:color="5E8A00"/>
            </w:tcBorders>
            <w:shd w:val="clear" w:color="000000" w:fill="5E8A00"/>
            <w:vAlign w:val="center"/>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Q1 2013</w:t>
            </w:r>
          </w:p>
        </w:tc>
        <w:tc>
          <w:tcPr>
            <w:tcW w:w="1348" w:type="dxa"/>
            <w:tcBorders>
              <w:top w:val="single" w:sz="4" w:space="0" w:color="5E8A00"/>
              <w:bottom w:val="single" w:sz="4" w:space="0" w:color="5E8A00"/>
            </w:tcBorders>
            <w:shd w:val="clear" w:color="000000" w:fill="5E8A00"/>
            <w:vAlign w:val="center"/>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 change</w:t>
            </w:r>
            <w:r w:rsidRPr="00156A0D">
              <w:rPr>
                <w:rFonts w:cs="Arial"/>
                <w:b/>
                <w:bCs/>
                <w:color w:val="FFFFFF"/>
                <w:sz w:val="18"/>
                <w:szCs w:val="18"/>
                <w:lang w:eastAsia="en-AU"/>
              </w:rPr>
              <w:br/>
              <w:t>Q2 2011-Q1 2013 </w:t>
            </w:r>
          </w:p>
        </w:tc>
        <w:tc>
          <w:tcPr>
            <w:tcW w:w="1276" w:type="dxa"/>
            <w:tcBorders>
              <w:top w:val="single" w:sz="4" w:space="0" w:color="5E8A00"/>
              <w:bottom w:val="single" w:sz="4" w:space="0" w:color="5E8A00"/>
              <w:right w:val="single" w:sz="4" w:space="0" w:color="5E8A00"/>
            </w:tcBorders>
            <w:shd w:val="clear" w:color="000000" w:fill="5E8A00"/>
            <w:vAlign w:val="center"/>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 change</w:t>
            </w:r>
            <w:r w:rsidRPr="00156A0D">
              <w:rPr>
                <w:rFonts w:cs="Arial"/>
                <w:b/>
                <w:bCs/>
                <w:color w:val="FFFFFF"/>
                <w:sz w:val="18"/>
                <w:szCs w:val="18"/>
                <w:lang w:eastAsia="en-AU"/>
              </w:rPr>
              <w:br/>
              <w:t>Q2 2012-Q2 2013</w:t>
            </w:r>
          </w:p>
        </w:tc>
      </w:tr>
      <w:tr w:rsidR="00156A0D" w:rsidRPr="00156A0D" w:rsidTr="002A1A81">
        <w:trPr>
          <w:trHeight w:hRule="exact" w:val="284"/>
        </w:trPr>
        <w:tc>
          <w:tcPr>
            <w:tcW w:w="1960" w:type="dxa"/>
            <w:tcBorders>
              <w:top w:val="nil"/>
              <w:left w:val="single" w:sz="4" w:space="0" w:color="5E8A00"/>
              <w:bottom w:val="single" w:sz="4" w:space="0" w:color="5E8A00"/>
              <w:right w:val="single" w:sz="4" w:space="0" w:color="5E8A00"/>
            </w:tcBorders>
            <w:shd w:val="clear" w:color="000000" w:fill="FFFFFF"/>
            <w:noWrap/>
            <w:vAlign w:val="bottom"/>
            <w:hideMark/>
          </w:tcPr>
          <w:p w:rsidR="00156A0D" w:rsidRPr="00156A0D" w:rsidRDefault="00156A0D" w:rsidP="00156A0D">
            <w:pPr>
              <w:spacing w:after="0" w:line="240" w:lineRule="auto"/>
              <w:jc w:val="left"/>
              <w:rPr>
                <w:rFonts w:cs="Arial"/>
                <w:color w:val="3E5B00"/>
                <w:sz w:val="18"/>
                <w:szCs w:val="18"/>
                <w:lang w:eastAsia="en-AU"/>
              </w:rPr>
            </w:pPr>
            <w:r w:rsidRPr="00156A0D">
              <w:rPr>
                <w:rFonts w:cs="Arial"/>
                <w:color w:val="3E5B00"/>
                <w:sz w:val="18"/>
                <w:szCs w:val="18"/>
                <w:lang w:eastAsia="en-AU"/>
              </w:rPr>
              <w:t>South-Western</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114,900</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183,500</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155,500</w:t>
            </w:r>
          </w:p>
        </w:tc>
        <w:tc>
          <w:tcPr>
            <w:tcW w:w="1348"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35%</w:t>
            </w:r>
          </w:p>
        </w:tc>
        <w:tc>
          <w:tcPr>
            <w:tcW w:w="1276"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-15%</w:t>
            </w:r>
          </w:p>
        </w:tc>
      </w:tr>
      <w:tr w:rsidR="00156A0D" w:rsidRPr="00156A0D" w:rsidTr="002A1A81">
        <w:trPr>
          <w:trHeight w:hRule="exact" w:val="284"/>
        </w:trPr>
        <w:tc>
          <w:tcPr>
            <w:tcW w:w="1960" w:type="dxa"/>
            <w:tcBorders>
              <w:top w:val="nil"/>
              <w:left w:val="single" w:sz="4" w:space="0" w:color="5E8A00"/>
              <w:bottom w:val="single" w:sz="4" w:space="0" w:color="5E8A00"/>
              <w:right w:val="single" w:sz="4" w:space="0" w:color="5E8A00"/>
            </w:tcBorders>
            <w:shd w:val="clear" w:color="000000" w:fill="FFFFFF"/>
            <w:noWrap/>
            <w:vAlign w:val="bottom"/>
            <w:hideMark/>
          </w:tcPr>
          <w:p w:rsidR="00156A0D" w:rsidRPr="00156A0D" w:rsidRDefault="00156A0D" w:rsidP="00156A0D">
            <w:pPr>
              <w:spacing w:after="0" w:line="240" w:lineRule="auto"/>
              <w:jc w:val="left"/>
              <w:rPr>
                <w:rFonts w:cs="Arial"/>
                <w:color w:val="3E5B00"/>
                <w:sz w:val="18"/>
                <w:szCs w:val="18"/>
                <w:lang w:eastAsia="en-AU"/>
              </w:rPr>
            </w:pPr>
            <w:r w:rsidRPr="00156A0D">
              <w:rPr>
                <w:rFonts w:cs="Arial"/>
                <w:color w:val="3E5B00"/>
                <w:sz w:val="18"/>
                <w:szCs w:val="18"/>
                <w:lang w:eastAsia="en-AU"/>
              </w:rPr>
              <w:t>North-Western</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60,900</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83,800</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72,800</w:t>
            </w:r>
          </w:p>
        </w:tc>
        <w:tc>
          <w:tcPr>
            <w:tcW w:w="1348"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20%</w:t>
            </w:r>
          </w:p>
        </w:tc>
        <w:tc>
          <w:tcPr>
            <w:tcW w:w="1276"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-13%</w:t>
            </w:r>
          </w:p>
        </w:tc>
      </w:tr>
      <w:tr w:rsidR="00156A0D" w:rsidRPr="00156A0D" w:rsidTr="002A1A81">
        <w:trPr>
          <w:trHeight w:hRule="exact" w:val="284"/>
        </w:trPr>
        <w:tc>
          <w:tcPr>
            <w:tcW w:w="1960" w:type="dxa"/>
            <w:tcBorders>
              <w:top w:val="nil"/>
              <w:left w:val="single" w:sz="4" w:space="0" w:color="5E8A00"/>
              <w:bottom w:val="single" w:sz="4" w:space="0" w:color="5E8A00"/>
              <w:right w:val="single" w:sz="4" w:space="0" w:color="5E8A00"/>
            </w:tcBorders>
            <w:shd w:val="clear" w:color="000000" w:fill="FFFFFF"/>
            <w:noWrap/>
            <w:vAlign w:val="bottom"/>
            <w:hideMark/>
          </w:tcPr>
          <w:p w:rsidR="00156A0D" w:rsidRPr="00156A0D" w:rsidRDefault="00156A0D" w:rsidP="00156A0D">
            <w:pPr>
              <w:spacing w:after="0" w:line="240" w:lineRule="auto"/>
              <w:jc w:val="left"/>
              <w:rPr>
                <w:rFonts w:cs="Arial"/>
                <w:color w:val="3E5B00"/>
                <w:sz w:val="18"/>
                <w:szCs w:val="18"/>
                <w:lang w:eastAsia="en-AU"/>
              </w:rPr>
            </w:pPr>
            <w:r w:rsidRPr="00156A0D">
              <w:rPr>
                <w:rFonts w:cs="Arial"/>
                <w:color w:val="3E5B00"/>
                <w:sz w:val="18"/>
                <w:szCs w:val="18"/>
                <w:lang w:eastAsia="en-AU"/>
              </w:rPr>
              <w:t>North-Eastern</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65,300</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78,200</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74,300</w:t>
            </w:r>
          </w:p>
        </w:tc>
        <w:tc>
          <w:tcPr>
            <w:tcW w:w="1348"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14%</w:t>
            </w:r>
          </w:p>
        </w:tc>
        <w:tc>
          <w:tcPr>
            <w:tcW w:w="1276"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-5%</w:t>
            </w:r>
          </w:p>
        </w:tc>
      </w:tr>
      <w:tr w:rsidR="00156A0D" w:rsidRPr="00156A0D" w:rsidTr="002A1A81">
        <w:trPr>
          <w:trHeight w:hRule="exact" w:val="284"/>
        </w:trPr>
        <w:tc>
          <w:tcPr>
            <w:tcW w:w="1960" w:type="dxa"/>
            <w:tcBorders>
              <w:top w:val="nil"/>
              <w:left w:val="single" w:sz="4" w:space="0" w:color="5E8A00"/>
              <w:bottom w:val="single" w:sz="4" w:space="0" w:color="5E8A00"/>
              <w:right w:val="single" w:sz="4" w:space="0" w:color="5E8A00"/>
            </w:tcBorders>
            <w:shd w:val="clear" w:color="000000" w:fill="FFFFFF"/>
            <w:noWrap/>
            <w:vAlign w:val="bottom"/>
            <w:hideMark/>
          </w:tcPr>
          <w:p w:rsidR="00156A0D" w:rsidRPr="00156A0D" w:rsidRDefault="00156A0D" w:rsidP="00156A0D">
            <w:pPr>
              <w:spacing w:after="0" w:line="240" w:lineRule="auto"/>
              <w:jc w:val="left"/>
              <w:rPr>
                <w:rFonts w:cs="Arial"/>
                <w:color w:val="3E5B00"/>
                <w:sz w:val="18"/>
                <w:szCs w:val="18"/>
                <w:lang w:eastAsia="en-AU"/>
              </w:rPr>
            </w:pPr>
            <w:r w:rsidRPr="00156A0D">
              <w:rPr>
                <w:rFonts w:cs="Arial"/>
                <w:color w:val="3E5B00"/>
                <w:sz w:val="18"/>
                <w:szCs w:val="18"/>
                <w:lang w:eastAsia="en-AU"/>
              </w:rPr>
              <w:t>South-Eastern</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72,600</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104,400</w:t>
            </w:r>
          </w:p>
        </w:tc>
        <w:tc>
          <w:tcPr>
            <w:tcW w:w="1120"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91,200</w:t>
            </w:r>
          </w:p>
        </w:tc>
        <w:tc>
          <w:tcPr>
            <w:tcW w:w="1348"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26%</w:t>
            </w:r>
          </w:p>
        </w:tc>
        <w:tc>
          <w:tcPr>
            <w:tcW w:w="1276" w:type="dxa"/>
            <w:tcBorders>
              <w:top w:val="nil"/>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-13%</w:t>
            </w:r>
          </w:p>
        </w:tc>
      </w:tr>
      <w:tr w:rsidR="00156A0D" w:rsidRPr="00156A0D" w:rsidTr="002A1A81">
        <w:trPr>
          <w:trHeight w:hRule="exact" w:val="284"/>
        </w:trPr>
        <w:tc>
          <w:tcPr>
            <w:tcW w:w="1960" w:type="dxa"/>
            <w:tcBorders>
              <w:top w:val="single" w:sz="4" w:space="0" w:color="5E8A00"/>
              <w:left w:val="single" w:sz="4" w:space="0" w:color="5E8A00"/>
              <w:bottom w:val="single" w:sz="4" w:space="0" w:color="5E8A00"/>
            </w:tcBorders>
            <w:shd w:val="clear" w:color="000000" w:fill="5E8A00"/>
            <w:noWrap/>
            <w:vAlign w:val="bottom"/>
            <w:hideMark/>
          </w:tcPr>
          <w:p w:rsidR="00156A0D" w:rsidRPr="00156A0D" w:rsidRDefault="000A5C66" w:rsidP="00156A0D">
            <w:pPr>
              <w:spacing w:after="0" w:line="240" w:lineRule="auto"/>
              <w:jc w:val="left"/>
              <w:rPr>
                <w:rFonts w:cs="Arial"/>
                <w:b/>
                <w:bCs/>
                <w:color w:val="FFFFFF"/>
                <w:sz w:val="18"/>
                <w:szCs w:val="18"/>
                <w:lang w:eastAsia="en-AU"/>
              </w:rPr>
            </w:pPr>
            <w:r>
              <w:rPr>
                <w:rFonts w:cs="Arial"/>
                <w:b/>
                <w:bCs/>
                <w:color w:val="FFFFFF"/>
                <w:sz w:val="18"/>
                <w:szCs w:val="18"/>
                <w:lang w:eastAsia="en-AU"/>
              </w:rPr>
              <w:t>All regions total</w:t>
            </w:r>
          </w:p>
        </w:tc>
        <w:tc>
          <w:tcPr>
            <w:tcW w:w="1120" w:type="dxa"/>
            <w:tcBorders>
              <w:top w:val="single" w:sz="4" w:space="0" w:color="5E8A00"/>
              <w:bottom w:val="single" w:sz="4" w:space="0" w:color="5E8A00"/>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313,200</w:t>
            </w:r>
          </w:p>
        </w:tc>
        <w:tc>
          <w:tcPr>
            <w:tcW w:w="1120" w:type="dxa"/>
            <w:tcBorders>
              <w:top w:val="single" w:sz="4" w:space="0" w:color="5E8A00"/>
              <w:bottom w:val="single" w:sz="4" w:space="0" w:color="5E8A00"/>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448,400</w:t>
            </w:r>
          </w:p>
        </w:tc>
        <w:tc>
          <w:tcPr>
            <w:tcW w:w="1120" w:type="dxa"/>
            <w:tcBorders>
              <w:top w:val="single" w:sz="4" w:space="0" w:color="5E8A00"/>
              <w:bottom w:val="single" w:sz="4" w:space="0" w:color="5E8A00"/>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392,200</w:t>
            </w:r>
          </w:p>
        </w:tc>
        <w:tc>
          <w:tcPr>
            <w:tcW w:w="1348" w:type="dxa"/>
            <w:tcBorders>
              <w:top w:val="single" w:sz="4" w:space="0" w:color="5E8A00"/>
              <w:bottom w:val="single" w:sz="4" w:space="0" w:color="5E8A00"/>
            </w:tcBorders>
            <w:shd w:val="clear" w:color="000000" w:fill="5E8A00"/>
            <w:noWrap/>
            <w:vAlign w:val="bottom"/>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25%</w:t>
            </w:r>
          </w:p>
        </w:tc>
        <w:tc>
          <w:tcPr>
            <w:tcW w:w="1276" w:type="dxa"/>
            <w:tcBorders>
              <w:top w:val="single" w:sz="4" w:space="0" w:color="5E8A00"/>
              <w:bottom w:val="single" w:sz="4" w:space="0" w:color="5E8A00"/>
              <w:right w:val="single" w:sz="4" w:space="0" w:color="5E8A00"/>
            </w:tcBorders>
            <w:shd w:val="clear" w:color="000000" w:fill="5E8A00"/>
            <w:noWrap/>
            <w:vAlign w:val="bottom"/>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-13%</w:t>
            </w:r>
          </w:p>
        </w:tc>
      </w:tr>
      <w:tr w:rsidR="00156A0D" w:rsidRPr="00156A0D" w:rsidTr="002A1A81">
        <w:trPr>
          <w:trHeight w:hRule="exact" w:val="284"/>
        </w:trPr>
        <w:tc>
          <w:tcPr>
            <w:tcW w:w="1960" w:type="dxa"/>
            <w:tcBorders>
              <w:top w:val="single" w:sz="4" w:space="0" w:color="5E8A00"/>
              <w:left w:val="single" w:sz="4" w:space="0" w:color="5E8A00"/>
              <w:bottom w:val="single" w:sz="4" w:space="0" w:color="5E8A00"/>
              <w:right w:val="single" w:sz="4" w:space="0" w:color="5E8A00"/>
            </w:tcBorders>
            <w:shd w:val="clear" w:color="000000" w:fill="FFFFFF"/>
            <w:noWrap/>
            <w:vAlign w:val="bottom"/>
            <w:hideMark/>
          </w:tcPr>
          <w:p w:rsidR="00156A0D" w:rsidRPr="00156A0D" w:rsidRDefault="00156A0D" w:rsidP="00156A0D">
            <w:pPr>
              <w:spacing w:after="0" w:line="240" w:lineRule="auto"/>
              <w:jc w:val="left"/>
              <w:rPr>
                <w:rFonts w:cs="Arial"/>
                <w:color w:val="3E5B00"/>
                <w:sz w:val="18"/>
                <w:szCs w:val="18"/>
                <w:lang w:eastAsia="en-AU"/>
              </w:rPr>
            </w:pPr>
            <w:r w:rsidRPr="00156A0D">
              <w:rPr>
                <w:rFonts w:cs="Arial"/>
                <w:color w:val="3E5B00"/>
                <w:sz w:val="18"/>
                <w:szCs w:val="18"/>
                <w:lang w:eastAsia="en-AU"/>
              </w:rPr>
              <w:t>Other</w:t>
            </w:r>
            <w:r>
              <w:rPr>
                <w:rFonts w:cs="Arial"/>
                <w:color w:val="3E5B00"/>
                <w:sz w:val="18"/>
                <w:szCs w:val="18"/>
                <w:lang w:eastAsia="en-AU"/>
              </w:rPr>
              <w:t>*</w:t>
            </w:r>
          </w:p>
        </w:tc>
        <w:tc>
          <w:tcPr>
            <w:tcW w:w="1120" w:type="dxa"/>
            <w:tcBorders>
              <w:top w:val="single" w:sz="4" w:space="0" w:color="5E8A00"/>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7,500</w:t>
            </w:r>
          </w:p>
        </w:tc>
        <w:tc>
          <w:tcPr>
            <w:tcW w:w="1120" w:type="dxa"/>
            <w:tcBorders>
              <w:top w:val="single" w:sz="4" w:space="0" w:color="5E8A00"/>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jc w:val="right"/>
              <w:rPr>
                <w:rFonts w:cs="Arial"/>
                <w:sz w:val="18"/>
                <w:szCs w:val="18"/>
                <w:lang w:eastAsia="en-AU"/>
              </w:rPr>
            </w:pPr>
            <w:r w:rsidRPr="00156A0D">
              <w:rPr>
                <w:rFonts w:cs="Arial"/>
                <w:sz w:val="18"/>
                <w:szCs w:val="18"/>
                <w:lang w:eastAsia="en-AU"/>
              </w:rPr>
              <w:t>10,400</w:t>
            </w:r>
          </w:p>
        </w:tc>
        <w:tc>
          <w:tcPr>
            <w:tcW w:w="1120" w:type="dxa"/>
            <w:tcBorders>
              <w:top w:val="single" w:sz="4" w:space="0" w:color="5E8A00"/>
              <w:left w:val="nil"/>
              <w:bottom w:val="single" w:sz="4" w:space="0" w:color="5E8A00"/>
              <w:right w:val="single" w:sz="4" w:space="0" w:color="5E8A00"/>
            </w:tcBorders>
            <w:shd w:val="clear" w:color="000000" w:fill="FFFFFF"/>
            <w:noWrap/>
            <w:vAlign w:val="bottom"/>
            <w:hideMark/>
          </w:tcPr>
          <w:p w:rsidR="00156A0D" w:rsidRPr="00156A0D" w:rsidRDefault="00156A0D" w:rsidP="00156A0D">
            <w:pPr>
              <w:spacing w:after="0" w:line="240" w:lineRule="auto"/>
              <w:jc w:val="right"/>
              <w:rPr>
                <w:rFonts w:cs="Arial"/>
                <w:color w:val="3E5B00"/>
                <w:sz w:val="18"/>
                <w:szCs w:val="18"/>
                <w:lang w:eastAsia="en-AU"/>
              </w:rPr>
            </w:pPr>
            <w:r w:rsidRPr="00156A0D">
              <w:rPr>
                <w:rFonts w:cs="Arial"/>
                <w:color w:val="3E5B00"/>
                <w:sz w:val="18"/>
                <w:szCs w:val="18"/>
                <w:lang w:eastAsia="en-AU"/>
              </w:rPr>
              <w:t>7,300</w:t>
            </w:r>
          </w:p>
        </w:tc>
        <w:tc>
          <w:tcPr>
            <w:tcW w:w="1348" w:type="dxa"/>
            <w:tcBorders>
              <w:top w:val="single" w:sz="4" w:space="0" w:color="5E8A00"/>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-2%</w:t>
            </w:r>
          </w:p>
        </w:tc>
        <w:tc>
          <w:tcPr>
            <w:tcW w:w="1276" w:type="dxa"/>
            <w:tcBorders>
              <w:top w:val="single" w:sz="4" w:space="0" w:color="5E8A00"/>
              <w:left w:val="nil"/>
              <w:bottom w:val="single" w:sz="4" w:space="0" w:color="5E8A00"/>
              <w:right w:val="single" w:sz="4" w:space="0" w:color="5E8A00"/>
            </w:tcBorders>
            <w:shd w:val="clear" w:color="auto" w:fill="auto"/>
            <w:noWrap/>
            <w:vAlign w:val="bottom"/>
            <w:hideMark/>
          </w:tcPr>
          <w:p w:rsidR="00156A0D" w:rsidRPr="00156A0D" w:rsidRDefault="00156A0D" w:rsidP="00156A0D">
            <w:pPr>
              <w:spacing w:after="0" w:line="240" w:lineRule="auto"/>
              <w:ind w:firstLineChars="100" w:firstLine="180"/>
              <w:jc w:val="right"/>
              <w:rPr>
                <w:rFonts w:cs="Arial"/>
                <w:sz w:val="18"/>
                <w:szCs w:val="18"/>
                <w:lang w:eastAsia="en-AU"/>
              </w:rPr>
            </w:pPr>
            <w:r w:rsidRPr="00156A0D">
              <w:rPr>
                <w:rFonts w:cs="Arial"/>
                <w:sz w:val="18"/>
                <w:szCs w:val="18"/>
                <w:lang w:eastAsia="en-AU"/>
              </w:rPr>
              <w:t>-29%</w:t>
            </w:r>
          </w:p>
        </w:tc>
      </w:tr>
      <w:tr w:rsidR="00156A0D" w:rsidRPr="00156A0D" w:rsidTr="002A1A81">
        <w:trPr>
          <w:trHeight w:hRule="exact" w:val="284"/>
        </w:trPr>
        <w:tc>
          <w:tcPr>
            <w:tcW w:w="1960" w:type="dxa"/>
            <w:tcBorders>
              <w:top w:val="single" w:sz="4" w:space="0" w:color="5E8A00"/>
              <w:left w:val="single" w:sz="4" w:space="0" w:color="5E8A00"/>
              <w:bottom w:val="nil"/>
            </w:tcBorders>
            <w:shd w:val="clear" w:color="000000" w:fill="5E8A00"/>
            <w:noWrap/>
            <w:vAlign w:val="bottom"/>
            <w:hideMark/>
          </w:tcPr>
          <w:p w:rsidR="00156A0D" w:rsidRPr="00156A0D" w:rsidRDefault="00156A0D" w:rsidP="00156A0D">
            <w:pPr>
              <w:spacing w:after="0" w:line="240" w:lineRule="auto"/>
              <w:jc w:val="left"/>
              <w:rPr>
                <w:rFonts w:cs="Arial"/>
                <w:b/>
                <w:bCs/>
                <w:color w:val="FFFFFF"/>
                <w:sz w:val="18"/>
                <w:szCs w:val="18"/>
                <w:lang w:eastAsia="en-AU"/>
              </w:rPr>
            </w:pPr>
            <w:r w:rsidRPr="00156A0D">
              <w:rPr>
                <w:rFonts w:cs="Arial"/>
                <w:b/>
                <w:bCs/>
                <w:color w:val="FFFFFF"/>
                <w:sz w:val="18"/>
                <w:szCs w:val="18"/>
                <w:lang w:eastAsia="en-AU"/>
              </w:rPr>
              <w:t>Total VET</w:t>
            </w:r>
          </w:p>
        </w:tc>
        <w:tc>
          <w:tcPr>
            <w:tcW w:w="1120" w:type="dxa"/>
            <w:tcBorders>
              <w:top w:val="single" w:sz="4" w:space="0" w:color="5E8A00"/>
              <w:bottom w:val="nil"/>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633,600</w:t>
            </w:r>
          </w:p>
        </w:tc>
        <w:tc>
          <w:tcPr>
            <w:tcW w:w="1120" w:type="dxa"/>
            <w:tcBorders>
              <w:top w:val="single" w:sz="4" w:space="0" w:color="5E8A00"/>
              <w:bottom w:val="nil"/>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906,500</w:t>
            </w:r>
          </w:p>
        </w:tc>
        <w:tc>
          <w:tcPr>
            <w:tcW w:w="1120" w:type="dxa"/>
            <w:tcBorders>
              <w:top w:val="single" w:sz="4" w:space="0" w:color="5E8A00"/>
              <w:bottom w:val="nil"/>
            </w:tcBorders>
            <w:shd w:val="clear" w:color="000000" w:fill="5E8A00"/>
            <w:noWrap/>
            <w:vAlign w:val="bottom"/>
            <w:hideMark/>
          </w:tcPr>
          <w:p w:rsidR="00156A0D" w:rsidRPr="00156A0D" w:rsidRDefault="00156A0D" w:rsidP="00156A0D">
            <w:pPr>
              <w:spacing w:after="0" w:line="240" w:lineRule="auto"/>
              <w:jc w:val="right"/>
              <w:rPr>
                <w:rFonts w:cs="Arial"/>
                <w:b/>
                <w:bCs/>
                <w:color w:val="FFFFFF"/>
                <w:sz w:val="18"/>
                <w:szCs w:val="18"/>
                <w:lang w:eastAsia="en-AU"/>
              </w:rPr>
            </w:pPr>
            <w:r w:rsidRPr="00156A0D">
              <w:rPr>
                <w:rFonts w:cs="Arial"/>
                <w:b/>
                <w:bCs/>
                <w:color w:val="FFFFFF"/>
                <w:sz w:val="18"/>
                <w:szCs w:val="18"/>
                <w:lang w:eastAsia="en-AU"/>
              </w:rPr>
              <w:t>791,200</w:t>
            </w:r>
          </w:p>
        </w:tc>
        <w:tc>
          <w:tcPr>
            <w:tcW w:w="1348" w:type="dxa"/>
            <w:tcBorders>
              <w:top w:val="single" w:sz="4" w:space="0" w:color="5E8A00"/>
              <w:bottom w:val="nil"/>
            </w:tcBorders>
            <w:shd w:val="clear" w:color="000000" w:fill="5E8A00"/>
            <w:noWrap/>
            <w:vAlign w:val="bottom"/>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50%</w:t>
            </w:r>
          </w:p>
        </w:tc>
        <w:tc>
          <w:tcPr>
            <w:tcW w:w="1276" w:type="dxa"/>
            <w:tcBorders>
              <w:top w:val="single" w:sz="4" w:space="0" w:color="5E8A00"/>
              <w:bottom w:val="nil"/>
              <w:right w:val="single" w:sz="4" w:space="0" w:color="5E8A00"/>
            </w:tcBorders>
            <w:shd w:val="clear" w:color="000000" w:fill="5E8A00"/>
            <w:noWrap/>
            <w:vAlign w:val="bottom"/>
            <w:hideMark/>
          </w:tcPr>
          <w:p w:rsidR="00156A0D" w:rsidRPr="00156A0D" w:rsidRDefault="00156A0D" w:rsidP="00F034AF">
            <w:pPr>
              <w:spacing w:after="0" w:line="240" w:lineRule="auto"/>
              <w:ind w:firstLineChars="100" w:firstLine="181"/>
              <w:jc w:val="right"/>
              <w:rPr>
                <w:rFonts w:cs="Arial"/>
                <w:b/>
                <w:bCs/>
                <w:color w:val="FFFFFF"/>
                <w:sz w:val="18"/>
                <w:szCs w:val="18"/>
                <w:lang w:eastAsia="en-AU"/>
              </w:rPr>
            </w:pPr>
            <w:r w:rsidRPr="00156A0D">
              <w:rPr>
                <w:rFonts w:cs="Arial"/>
                <w:b/>
                <w:bCs/>
                <w:color w:val="FFFFFF"/>
                <w:sz w:val="18"/>
                <w:szCs w:val="18"/>
                <w:lang w:eastAsia="en-AU"/>
              </w:rPr>
              <w:t>-25%</w:t>
            </w:r>
          </w:p>
        </w:tc>
      </w:tr>
    </w:tbl>
    <w:p w:rsidR="00156A0D" w:rsidRPr="00156A0D" w:rsidRDefault="00156A0D" w:rsidP="00156A0D">
      <w:pPr>
        <w:jc w:val="left"/>
        <w:rPr>
          <w:rFonts w:cs="Arial"/>
          <w:bCs/>
          <w:sz w:val="16"/>
          <w:szCs w:val="16"/>
        </w:rPr>
      </w:pPr>
      <w:r w:rsidRPr="00156A0D">
        <w:rPr>
          <w:rFonts w:cs="Arial"/>
          <w:bCs/>
          <w:sz w:val="16"/>
          <w:szCs w:val="16"/>
        </w:rPr>
        <w:t>*Other: online and workplace delivery.</w:t>
      </w:r>
    </w:p>
    <w:p w:rsidR="00156A0D" w:rsidRPr="001F29E3" w:rsidRDefault="00156A0D" w:rsidP="00EE6BD1">
      <w:pPr>
        <w:jc w:val="left"/>
        <w:rPr>
          <w:rFonts w:cs="Arial"/>
        </w:rPr>
      </w:pPr>
    </w:p>
    <w:p w:rsidR="007A070F" w:rsidRDefault="007A070F">
      <w:pPr>
        <w:spacing w:after="0" w:line="240" w:lineRule="auto"/>
        <w:jc w:val="left"/>
        <w:rPr>
          <w:rFonts w:cs="Arial"/>
          <w:b/>
          <w:bCs/>
          <w:color w:val="76923C" w:themeColor="accent3" w:themeShade="BF"/>
          <w:sz w:val="18"/>
          <w:szCs w:val="16"/>
        </w:rPr>
      </w:pPr>
      <w:r>
        <w:rPr>
          <w:rFonts w:cs="Arial"/>
        </w:rPr>
        <w:br w:type="page"/>
      </w:r>
    </w:p>
    <w:p w:rsidR="00E30EDD" w:rsidRPr="001F29E3" w:rsidRDefault="00E30EDD" w:rsidP="000A1C0E">
      <w:pPr>
        <w:pStyle w:val="Caption"/>
        <w:spacing w:after="0"/>
        <w:jc w:val="left"/>
        <w:rPr>
          <w:rFonts w:cs="Arial"/>
        </w:rPr>
      </w:pPr>
      <w:r w:rsidRPr="001F29E3">
        <w:rPr>
          <w:rFonts w:cs="Arial"/>
        </w:rPr>
        <w:lastRenderedPageBreak/>
        <w:t>Table 1.</w:t>
      </w:r>
      <w:r w:rsidR="00022B50">
        <w:rPr>
          <w:rFonts w:cs="Arial"/>
        </w:rPr>
        <w:t>1</w:t>
      </w:r>
      <w:r w:rsidR="004D1F77">
        <w:rPr>
          <w:rFonts w:cs="Arial"/>
        </w:rPr>
        <w:t>2</w:t>
      </w:r>
      <w:r w:rsidR="000A1C0E">
        <w:rPr>
          <w:rFonts w:cs="Arial"/>
        </w:rPr>
        <w:t>.1</w:t>
      </w:r>
      <w:r w:rsidRPr="001F29E3">
        <w:rPr>
          <w:rFonts w:cs="Arial"/>
        </w:rPr>
        <w:t>: Government subsidised enrolments by regional area, 2008–2012</w:t>
      </w:r>
    </w:p>
    <w:tbl>
      <w:tblPr>
        <w:tblW w:w="8660" w:type="dxa"/>
        <w:tblInd w:w="103" w:type="dxa"/>
        <w:tblLook w:val="04A0" w:firstRow="1" w:lastRow="0" w:firstColumn="1" w:lastColumn="0" w:noHBand="0" w:noVBand="1"/>
      </w:tblPr>
      <w:tblGrid>
        <w:gridCol w:w="2132"/>
        <w:gridCol w:w="1134"/>
        <w:gridCol w:w="992"/>
        <w:gridCol w:w="1062"/>
        <w:gridCol w:w="1120"/>
        <w:gridCol w:w="1100"/>
        <w:gridCol w:w="1120"/>
      </w:tblGrid>
      <w:tr w:rsidR="00FD0A55" w:rsidRPr="00FD0A55" w:rsidTr="00B56F89">
        <w:trPr>
          <w:trHeight w:val="762"/>
        </w:trPr>
        <w:tc>
          <w:tcPr>
            <w:tcW w:w="2132" w:type="dxa"/>
            <w:tcBorders>
              <w:top w:val="single" w:sz="4" w:space="0" w:color="5E8A00"/>
              <w:left w:val="single" w:sz="4" w:space="0" w:color="5E8A00"/>
              <w:bottom w:val="single" w:sz="4" w:space="0" w:color="5E8A00"/>
            </w:tcBorders>
            <w:shd w:val="clear" w:color="000000" w:fill="5E8A00"/>
            <w:noWrap/>
            <w:vAlign w:val="center"/>
            <w:hideMark/>
          </w:tcPr>
          <w:p w:rsidR="00FD0A55" w:rsidRPr="00FD0A55" w:rsidRDefault="00FD0A55" w:rsidP="00FD0A55">
            <w:pPr>
              <w:spacing w:after="0" w:line="240" w:lineRule="auto"/>
              <w:jc w:val="left"/>
              <w:rPr>
                <w:rFonts w:cs="Arial"/>
                <w:b/>
                <w:bCs/>
                <w:color w:val="FFFFFF"/>
                <w:sz w:val="18"/>
                <w:szCs w:val="18"/>
                <w:lang w:eastAsia="en-AU"/>
              </w:rPr>
            </w:pPr>
            <w:r w:rsidRPr="00FD0A55">
              <w:rPr>
                <w:rFonts w:cs="Arial"/>
                <w:b/>
                <w:bCs/>
                <w:color w:val="FFFFFF"/>
                <w:sz w:val="18"/>
                <w:szCs w:val="18"/>
                <w:lang w:eastAsia="en-AU"/>
              </w:rPr>
              <w:t>Delivery Location</w:t>
            </w:r>
          </w:p>
        </w:tc>
        <w:tc>
          <w:tcPr>
            <w:tcW w:w="1134" w:type="dxa"/>
            <w:tcBorders>
              <w:top w:val="single" w:sz="4" w:space="0" w:color="5E8A00"/>
              <w:bottom w:val="single" w:sz="4" w:space="0" w:color="5E8A00"/>
            </w:tcBorders>
            <w:shd w:val="clear" w:color="000000" w:fill="5E8A00"/>
            <w:vAlign w:val="center"/>
            <w:hideMark/>
          </w:tcPr>
          <w:p w:rsidR="00FD0A55" w:rsidRPr="00FD0A55" w:rsidRDefault="00FD0A55" w:rsidP="00F034AF">
            <w:pPr>
              <w:spacing w:after="0" w:line="240" w:lineRule="auto"/>
              <w:ind w:firstLineChars="100" w:firstLine="181"/>
              <w:jc w:val="right"/>
              <w:rPr>
                <w:rFonts w:cs="Arial"/>
                <w:b/>
                <w:bCs/>
                <w:color w:val="FFFFFF"/>
                <w:sz w:val="18"/>
                <w:szCs w:val="18"/>
                <w:lang w:eastAsia="en-AU"/>
              </w:rPr>
            </w:pPr>
            <w:r w:rsidRPr="00FD0A55">
              <w:rPr>
                <w:rFonts w:cs="Arial"/>
                <w:b/>
                <w:bCs/>
                <w:color w:val="FFFFFF"/>
                <w:sz w:val="18"/>
                <w:szCs w:val="18"/>
                <w:lang w:eastAsia="en-AU"/>
              </w:rPr>
              <w:t>2008</w:t>
            </w:r>
          </w:p>
        </w:tc>
        <w:tc>
          <w:tcPr>
            <w:tcW w:w="992" w:type="dxa"/>
            <w:tcBorders>
              <w:top w:val="single" w:sz="4" w:space="0" w:color="5E8A00"/>
              <w:bottom w:val="single" w:sz="4" w:space="0" w:color="5E8A00"/>
            </w:tcBorders>
            <w:shd w:val="clear" w:color="000000" w:fill="5E8A00"/>
            <w:vAlign w:val="center"/>
            <w:hideMark/>
          </w:tcPr>
          <w:p w:rsidR="00FD0A55" w:rsidRPr="00FD0A55" w:rsidRDefault="00FD0A55" w:rsidP="00F034AF">
            <w:pPr>
              <w:spacing w:after="0" w:line="240" w:lineRule="auto"/>
              <w:ind w:firstLineChars="100" w:firstLine="181"/>
              <w:jc w:val="right"/>
              <w:rPr>
                <w:rFonts w:cs="Arial"/>
                <w:b/>
                <w:bCs/>
                <w:color w:val="FFFFFF"/>
                <w:sz w:val="18"/>
                <w:szCs w:val="18"/>
                <w:lang w:eastAsia="en-AU"/>
              </w:rPr>
            </w:pPr>
            <w:r w:rsidRPr="00FD0A55">
              <w:rPr>
                <w:rFonts w:cs="Arial"/>
                <w:b/>
                <w:bCs/>
                <w:color w:val="FFFFFF"/>
                <w:sz w:val="18"/>
                <w:szCs w:val="18"/>
                <w:lang w:eastAsia="en-AU"/>
              </w:rPr>
              <w:t>2009</w:t>
            </w:r>
          </w:p>
        </w:tc>
        <w:tc>
          <w:tcPr>
            <w:tcW w:w="1062" w:type="dxa"/>
            <w:tcBorders>
              <w:top w:val="single" w:sz="4" w:space="0" w:color="5E8A00"/>
              <w:bottom w:val="single" w:sz="4" w:space="0" w:color="5E8A00"/>
            </w:tcBorders>
            <w:shd w:val="clear" w:color="000000" w:fill="5E8A00"/>
            <w:vAlign w:val="center"/>
            <w:hideMark/>
          </w:tcPr>
          <w:p w:rsidR="00FD0A55" w:rsidRPr="00FD0A55" w:rsidRDefault="00FD0A55" w:rsidP="00F034AF">
            <w:pPr>
              <w:spacing w:after="0" w:line="240" w:lineRule="auto"/>
              <w:ind w:firstLineChars="100" w:firstLine="181"/>
              <w:jc w:val="right"/>
              <w:rPr>
                <w:rFonts w:cs="Arial"/>
                <w:b/>
                <w:bCs/>
                <w:color w:val="FFFFFF"/>
                <w:sz w:val="18"/>
                <w:szCs w:val="18"/>
                <w:lang w:eastAsia="en-AU"/>
              </w:rPr>
            </w:pPr>
            <w:r w:rsidRPr="00FD0A55">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FD0A55" w:rsidRPr="00FD0A55" w:rsidRDefault="00FD0A55" w:rsidP="00F034AF">
            <w:pPr>
              <w:spacing w:after="0" w:line="240" w:lineRule="auto"/>
              <w:ind w:firstLineChars="100" w:firstLine="181"/>
              <w:jc w:val="right"/>
              <w:rPr>
                <w:rFonts w:cs="Arial"/>
                <w:b/>
                <w:bCs/>
                <w:color w:val="FFFFFF"/>
                <w:sz w:val="18"/>
                <w:szCs w:val="18"/>
                <w:lang w:eastAsia="en-AU"/>
              </w:rPr>
            </w:pPr>
            <w:r w:rsidRPr="00FD0A55">
              <w:rPr>
                <w:rFonts w:cs="Arial"/>
                <w:b/>
                <w:bCs/>
                <w:color w:val="FFFFFF"/>
                <w:sz w:val="18"/>
                <w:szCs w:val="18"/>
                <w:lang w:eastAsia="en-AU"/>
              </w:rPr>
              <w:t>2011</w:t>
            </w:r>
          </w:p>
        </w:tc>
        <w:tc>
          <w:tcPr>
            <w:tcW w:w="1100" w:type="dxa"/>
            <w:tcBorders>
              <w:top w:val="single" w:sz="4" w:space="0" w:color="5E8A00"/>
              <w:bottom w:val="single" w:sz="4" w:space="0" w:color="5E8A00"/>
            </w:tcBorders>
            <w:shd w:val="clear" w:color="000000" w:fill="5E8A00"/>
            <w:vAlign w:val="center"/>
            <w:hideMark/>
          </w:tcPr>
          <w:p w:rsidR="00FD0A55" w:rsidRPr="00FD0A55" w:rsidRDefault="00FD0A55" w:rsidP="00F034AF">
            <w:pPr>
              <w:spacing w:after="0" w:line="240" w:lineRule="auto"/>
              <w:ind w:firstLineChars="100" w:firstLine="181"/>
              <w:jc w:val="right"/>
              <w:rPr>
                <w:rFonts w:cs="Arial"/>
                <w:b/>
                <w:bCs/>
                <w:color w:val="FFFFFF"/>
                <w:sz w:val="18"/>
                <w:szCs w:val="18"/>
                <w:lang w:eastAsia="en-AU"/>
              </w:rPr>
            </w:pPr>
            <w:r w:rsidRPr="00FD0A55">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 change</w:t>
            </w:r>
            <w:r w:rsidRPr="00FD0A55">
              <w:rPr>
                <w:rFonts w:cs="Arial"/>
                <w:b/>
                <w:bCs/>
                <w:color w:val="FFFFFF"/>
                <w:sz w:val="18"/>
                <w:szCs w:val="18"/>
                <w:lang w:eastAsia="en-AU"/>
              </w:rPr>
              <w:br/>
              <w:t>2008-2012</w:t>
            </w:r>
          </w:p>
        </w:tc>
      </w:tr>
      <w:tr w:rsidR="00FD0A55" w:rsidRPr="00FD0A55" w:rsidTr="00FD0A55">
        <w:trPr>
          <w:trHeight w:hRule="exact" w:val="284"/>
        </w:trPr>
        <w:tc>
          <w:tcPr>
            <w:tcW w:w="2132" w:type="dxa"/>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Barwon South West</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28,800</w:t>
            </w:r>
          </w:p>
        </w:tc>
        <w:tc>
          <w:tcPr>
            <w:tcW w:w="99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31,800</w:t>
            </w:r>
          </w:p>
        </w:tc>
        <w:tc>
          <w:tcPr>
            <w:tcW w:w="106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35,800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50,100</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62,500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117%</w:t>
            </w:r>
          </w:p>
        </w:tc>
      </w:tr>
      <w:tr w:rsidR="00FD0A55" w:rsidRPr="00FD0A55" w:rsidTr="00FD0A55">
        <w:trPr>
          <w:trHeight w:hRule="exact" w:val="284"/>
        </w:trPr>
        <w:tc>
          <w:tcPr>
            <w:tcW w:w="2132" w:type="dxa"/>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Grampians</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14,600</w:t>
            </w:r>
          </w:p>
        </w:tc>
        <w:tc>
          <w:tcPr>
            <w:tcW w:w="99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16,200</w:t>
            </w:r>
          </w:p>
        </w:tc>
        <w:tc>
          <w:tcPr>
            <w:tcW w:w="106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15,000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17,200</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18,900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29%</w:t>
            </w:r>
          </w:p>
        </w:tc>
      </w:tr>
      <w:tr w:rsidR="00FD0A55" w:rsidRPr="00FD0A55" w:rsidTr="00FD0A55">
        <w:trPr>
          <w:trHeight w:hRule="exact" w:val="284"/>
        </w:trPr>
        <w:tc>
          <w:tcPr>
            <w:tcW w:w="2132" w:type="dxa"/>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 xml:space="preserve">Loddon </w:t>
            </w:r>
            <w:proofErr w:type="spellStart"/>
            <w:r w:rsidRPr="00FD0A55">
              <w:rPr>
                <w:rFonts w:cs="Arial"/>
                <w:color w:val="3E5B00"/>
                <w:sz w:val="18"/>
                <w:szCs w:val="18"/>
                <w:lang w:eastAsia="en-AU"/>
              </w:rPr>
              <w:t>Mallee</w:t>
            </w:r>
            <w:proofErr w:type="spellEnd"/>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23,600</w:t>
            </w:r>
          </w:p>
        </w:tc>
        <w:tc>
          <w:tcPr>
            <w:tcW w:w="99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27,900</w:t>
            </w:r>
          </w:p>
        </w:tc>
        <w:tc>
          <w:tcPr>
            <w:tcW w:w="106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28,300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32,800</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37,100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57%</w:t>
            </w:r>
          </w:p>
        </w:tc>
      </w:tr>
      <w:tr w:rsidR="00FD0A55" w:rsidRPr="00FD0A55" w:rsidTr="00FD0A55">
        <w:trPr>
          <w:trHeight w:hRule="exact" w:val="284"/>
        </w:trPr>
        <w:tc>
          <w:tcPr>
            <w:tcW w:w="2132" w:type="dxa"/>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Hume</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29,100</w:t>
            </w:r>
          </w:p>
        </w:tc>
        <w:tc>
          <w:tcPr>
            <w:tcW w:w="99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26,000</w:t>
            </w:r>
          </w:p>
        </w:tc>
        <w:tc>
          <w:tcPr>
            <w:tcW w:w="106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24,700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27,300</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34,400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18%</w:t>
            </w:r>
          </w:p>
        </w:tc>
      </w:tr>
      <w:tr w:rsidR="00FD0A55" w:rsidRPr="00FD0A55" w:rsidTr="00FD0A55">
        <w:trPr>
          <w:trHeight w:hRule="exact" w:val="284"/>
        </w:trPr>
        <w:tc>
          <w:tcPr>
            <w:tcW w:w="2132" w:type="dxa"/>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Gippsland</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26,700</w:t>
            </w:r>
          </w:p>
        </w:tc>
        <w:tc>
          <w:tcPr>
            <w:tcW w:w="99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22,400</w:t>
            </w:r>
          </w:p>
        </w:tc>
        <w:tc>
          <w:tcPr>
            <w:tcW w:w="106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22,500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20,500</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19,700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-26%</w:t>
            </w:r>
          </w:p>
        </w:tc>
      </w:tr>
      <w:tr w:rsidR="00FD0A55" w:rsidRPr="00FD0A55" w:rsidTr="00FD0A55">
        <w:trPr>
          <w:trHeight w:hRule="exact" w:val="284"/>
        </w:trPr>
        <w:tc>
          <w:tcPr>
            <w:tcW w:w="2132" w:type="dxa"/>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Eastern Metropolitan</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55,500</w:t>
            </w:r>
          </w:p>
        </w:tc>
        <w:tc>
          <w:tcPr>
            <w:tcW w:w="99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52,200</w:t>
            </w:r>
          </w:p>
        </w:tc>
        <w:tc>
          <w:tcPr>
            <w:tcW w:w="106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60,100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73,600</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76,000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37%</w:t>
            </w:r>
          </w:p>
        </w:tc>
      </w:tr>
      <w:tr w:rsidR="00FD0A55" w:rsidRPr="00FD0A55" w:rsidTr="00FD0A55">
        <w:trPr>
          <w:trHeight w:hRule="exact" w:val="284"/>
        </w:trPr>
        <w:tc>
          <w:tcPr>
            <w:tcW w:w="2132" w:type="dxa"/>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Western Metropolitan</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76,300</w:t>
            </w:r>
          </w:p>
        </w:tc>
        <w:tc>
          <w:tcPr>
            <w:tcW w:w="99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67,900</w:t>
            </w:r>
          </w:p>
        </w:tc>
        <w:tc>
          <w:tcPr>
            <w:tcW w:w="106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88,600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135,800</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186,400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144%</w:t>
            </w:r>
          </w:p>
        </w:tc>
      </w:tr>
      <w:tr w:rsidR="00FD0A55" w:rsidRPr="00FD0A55" w:rsidTr="00FD0A55">
        <w:trPr>
          <w:trHeight w:hRule="exact" w:val="284"/>
        </w:trPr>
        <w:tc>
          <w:tcPr>
            <w:tcW w:w="2132" w:type="dxa"/>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Southern Metropolitan</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63,600</w:t>
            </w:r>
          </w:p>
        </w:tc>
        <w:tc>
          <w:tcPr>
            <w:tcW w:w="99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67,700</w:t>
            </w:r>
          </w:p>
        </w:tc>
        <w:tc>
          <w:tcPr>
            <w:tcW w:w="106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81,800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107,600</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137,400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116%</w:t>
            </w:r>
          </w:p>
        </w:tc>
      </w:tr>
      <w:tr w:rsidR="00FD0A55" w:rsidRPr="00FD0A55" w:rsidTr="00B56F89">
        <w:trPr>
          <w:trHeight w:hRule="exact" w:val="284"/>
        </w:trPr>
        <w:tc>
          <w:tcPr>
            <w:tcW w:w="2132" w:type="dxa"/>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Northern Metropolitan</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46,900</w:t>
            </w:r>
          </w:p>
        </w:tc>
        <w:tc>
          <w:tcPr>
            <w:tcW w:w="99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52,400</w:t>
            </w:r>
          </w:p>
        </w:tc>
        <w:tc>
          <w:tcPr>
            <w:tcW w:w="1062"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56,400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68,700</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87,300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86%</w:t>
            </w:r>
          </w:p>
        </w:tc>
      </w:tr>
      <w:tr w:rsidR="00FD0A55" w:rsidRPr="00FD0A55" w:rsidTr="00B56F89">
        <w:trPr>
          <w:trHeight w:hRule="exact" w:val="284"/>
        </w:trPr>
        <w:tc>
          <w:tcPr>
            <w:tcW w:w="2132" w:type="dxa"/>
            <w:tcBorders>
              <w:top w:val="single" w:sz="4" w:space="0" w:color="5E8A00"/>
              <w:left w:val="single" w:sz="4" w:space="0" w:color="5E8A00"/>
              <w:bottom w:val="single" w:sz="4" w:space="0" w:color="5E8A00"/>
            </w:tcBorders>
            <w:shd w:val="clear" w:color="000000" w:fill="5E8A00"/>
            <w:noWrap/>
            <w:vAlign w:val="bottom"/>
            <w:hideMark/>
          </w:tcPr>
          <w:p w:rsidR="00FD0A55" w:rsidRPr="00FD0A55" w:rsidRDefault="00FD0A55" w:rsidP="000A5C66">
            <w:pPr>
              <w:spacing w:after="0" w:line="240" w:lineRule="auto"/>
              <w:jc w:val="left"/>
              <w:rPr>
                <w:rFonts w:cs="Arial"/>
                <w:b/>
                <w:bCs/>
                <w:color w:val="FFFFFF"/>
                <w:sz w:val="18"/>
                <w:szCs w:val="18"/>
                <w:lang w:eastAsia="en-AU"/>
              </w:rPr>
            </w:pPr>
            <w:r w:rsidRPr="00FD0A55">
              <w:rPr>
                <w:rFonts w:cs="Arial"/>
                <w:b/>
                <w:bCs/>
                <w:color w:val="FFFFFF"/>
                <w:sz w:val="18"/>
                <w:szCs w:val="18"/>
                <w:lang w:eastAsia="en-AU"/>
              </w:rPr>
              <w:t>Total</w:t>
            </w:r>
            <w:r w:rsidR="000A5C66">
              <w:rPr>
                <w:rFonts w:cs="Arial"/>
                <w:b/>
                <w:bCs/>
                <w:color w:val="FFFFFF"/>
                <w:sz w:val="18"/>
                <w:szCs w:val="18"/>
                <w:lang w:eastAsia="en-AU"/>
              </w:rPr>
              <w:t xml:space="preserve"> Regions total</w:t>
            </w:r>
          </w:p>
        </w:tc>
        <w:tc>
          <w:tcPr>
            <w:tcW w:w="1134" w:type="dxa"/>
            <w:tcBorders>
              <w:top w:val="single" w:sz="4" w:space="0" w:color="5E8A00"/>
              <w:bottom w:val="single" w:sz="4" w:space="0" w:color="5E8A00"/>
            </w:tcBorders>
            <w:shd w:val="clear" w:color="000000" w:fill="5E8A00"/>
            <w:noWrap/>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364,400</w:t>
            </w:r>
          </w:p>
        </w:tc>
        <w:tc>
          <w:tcPr>
            <w:tcW w:w="992" w:type="dxa"/>
            <w:tcBorders>
              <w:top w:val="single" w:sz="4" w:space="0" w:color="5E8A00"/>
              <w:bottom w:val="single" w:sz="4" w:space="0" w:color="5E8A00"/>
            </w:tcBorders>
            <w:shd w:val="clear" w:color="000000" w:fill="5E8A00"/>
            <w:noWrap/>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363,900</w:t>
            </w:r>
          </w:p>
        </w:tc>
        <w:tc>
          <w:tcPr>
            <w:tcW w:w="1062" w:type="dxa"/>
            <w:tcBorders>
              <w:top w:val="single" w:sz="4" w:space="0" w:color="5E8A00"/>
              <w:bottom w:val="single" w:sz="4" w:space="0" w:color="5E8A00"/>
            </w:tcBorders>
            <w:shd w:val="clear" w:color="000000" w:fill="5E8A00"/>
            <w:noWrap/>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412,600</w:t>
            </w:r>
          </w:p>
        </w:tc>
        <w:tc>
          <w:tcPr>
            <w:tcW w:w="1120" w:type="dxa"/>
            <w:tcBorders>
              <w:top w:val="single" w:sz="4" w:space="0" w:color="5E8A00"/>
              <w:bottom w:val="single" w:sz="4" w:space="0" w:color="5E8A00"/>
            </w:tcBorders>
            <w:shd w:val="clear" w:color="000000" w:fill="5E8A00"/>
            <w:noWrap/>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532,200</w:t>
            </w:r>
          </w:p>
        </w:tc>
        <w:tc>
          <w:tcPr>
            <w:tcW w:w="1100" w:type="dxa"/>
            <w:tcBorders>
              <w:top w:val="single" w:sz="4" w:space="0" w:color="5E8A00"/>
              <w:bottom w:val="single" w:sz="4" w:space="0" w:color="5E8A00"/>
            </w:tcBorders>
            <w:shd w:val="clear" w:color="000000" w:fill="5E8A00"/>
            <w:noWrap/>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656,800</w:t>
            </w:r>
          </w:p>
        </w:tc>
        <w:tc>
          <w:tcPr>
            <w:tcW w:w="1120" w:type="dxa"/>
            <w:tcBorders>
              <w:top w:val="single" w:sz="4" w:space="0" w:color="5E8A00"/>
              <w:bottom w:val="single" w:sz="4" w:space="0" w:color="5E8A00"/>
              <w:right w:val="single" w:sz="4" w:space="0" w:color="5E8A00"/>
            </w:tcBorders>
            <w:shd w:val="clear" w:color="000000" w:fill="5E8A00"/>
            <w:noWrap/>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80%</w:t>
            </w:r>
          </w:p>
        </w:tc>
      </w:tr>
    </w:tbl>
    <w:p w:rsidR="00E30EDD" w:rsidRPr="001F29E3" w:rsidRDefault="00E30EDD" w:rsidP="00EE6BD1">
      <w:pPr>
        <w:jc w:val="left"/>
        <w:rPr>
          <w:rFonts w:cs="Arial"/>
        </w:rPr>
      </w:pPr>
    </w:p>
    <w:p w:rsidR="00FD0A55" w:rsidRPr="001F29E3" w:rsidRDefault="00204000" w:rsidP="000A1C0E">
      <w:pPr>
        <w:pStyle w:val="Caption"/>
        <w:spacing w:after="0"/>
        <w:jc w:val="left"/>
        <w:rPr>
          <w:rFonts w:cs="Arial"/>
        </w:rPr>
      </w:pPr>
      <w:r w:rsidRPr="001F29E3">
        <w:rPr>
          <w:rFonts w:cs="Arial"/>
        </w:rPr>
        <w:t xml:space="preserve"> </w:t>
      </w:r>
      <w:r w:rsidR="00FD0A55" w:rsidRPr="001F29E3">
        <w:rPr>
          <w:rFonts w:cs="Arial"/>
        </w:rPr>
        <w:t>Table 1.</w:t>
      </w:r>
      <w:r w:rsidR="000A1C0E">
        <w:rPr>
          <w:rFonts w:cs="Arial"/>
        </w:rPr>
        <w:t>1</w:t>
      </w:r>
      <w:r w:rsidR="004D1F77">
        <w:rPr>
          <w:rFonts w:cs="Arial"/>
        </w:rPr>
        <w:t>2</w:t>
      </w:r>
      <w:r w:rsidR="000A1C0E">
        <w:rPr>
          <w:rFonts w:cs="Arial"/>
        </w:rPr>
        <w:t>.2</w:t>
      </w:r>
      <w:r w:rsidR="00FD0A55" w:rsidRPr="001F29E3">
        <w:rPr>
          <w:rFonts w:cs="Arial"/>
        </w:rPr>
        <w:t xml:space="preserve">: Government subsidised enrolments by regional area, </w:t>
      </w:r>
      <w:r w:rsidR="00FD0A55">
        <w:rPr>
          <w:rFonts w:cs="Arial"/>
        </w:rPr>
        <w:t>Q2 2011, Q2</w:t>
      </w:r>
      <w:r w:rsidR="00FD0A55" w:rsidRPr="001F29E3">
        <w:rPr>
          <w:rFonts w:cs="Arial"/>
        </w:rPr>
        <w:t xml:space="preserve"> 2012 and Q</w:t>
      </w:r>
      <w:r w:rsidR="00FD0A55">
        <w:rPr>
          <w:rFonts w:cs="Arial"/>
        </w:rPr>
        <w:t>2</w:t>
      </w:r>
      <w:r w:rsidR="00FD0A55" w:rsidRPr="001F29E3">
        <w:rPr>
          <w:rFonts w:cs="Arial"/>
        </w:rPr>
        <w:t xml:space="preserve"> 2013</w:t>
      </w:r>
    </w:p>
    <w:tbl>
      <w:tblPr>
        <w:tblW w:w="7808" w:type="dxa"/>
        <w:tblInd w:w="103" w:type="dxa"/>
        <w:tblLook w:val="04A0" w:firstRow="1" w:lastRow="0" w:firstColumn="1" w:lastColumn="0" w:noHBand="0" w:noVBand="1"/>
      </w:tblPr>
      <w:tblGrid>
        <w:gridCol w:w="1960"/>
        <w:gridCol w:w="172"/>
        <w:gridCol w:w="1134"/>
        <w:gridCol w:w="1134"/>
        <w:gridCol w:w="1188"/>
        <w:gridCol w:w="1120"/>
        <w:gridCol w:w="1100"/>
      </w:tblGrid>
      <w:tr w:rsidR="00FD0A55" w:rsidRPr="00FD0A55" w:rsidTr="00B56F89">
        <w:trPr>
          <w:trHeight w:val="762"/>
        </w:trPr>
        <w:tc>
          <w:tcPr>
            <w:tcW w:w="1960" w:type="dxa"/>
            <w:tcBorders>
              <w:top w:val="single" w:sz="4" w:space="0" w:color="5E8A00"/>
              <w:left w:val="single" w:sz="4" w:space="0" w:color="5E8A00"/>
              <w:bottom w:val="single" w:sz="4" w:space="0" w:color="5E8A00"/>
            </w:tcBorders>
            <w:shd w:val="clear" w:color="000000" w:fill="5E8A00"/>
            <w:noWrap/>
            <w:vAlign w:val="center"/>
            <w:hideMark/>
          </w:tcPr>
          <w:p w:rsidR="00FD0A55" w:rsidRPr="00FD0A55" w:rsidRDefault="00FD0A55" w:rsidP="00FD0A55">
            <w:pPr>
              <w:spacing w:after="0" w:line="240" w:lineRule="auto"/>
              <w:jc w:val="left"/>
              <w:rPr>
                <w:rFonts w:cs="Arial"/>
                <w:b/>
                <w:bCs/>
                <w:color w:val="FFFFFF"/>
                <w:sz w:val="18"/>
                <w:szCs w:val="18"/>
                <w:lang w:eastAsia="en-AU"/>
              </w:rPr>
            </w:pPr>
            <w:r w:rsidRPr="00FD0A55">
              <w:rPr>
                <w:rFonts w:cs="Arial"/>
                <w:b/>
                <w:bCs/>
                <w:color w:val="FFFFFF"/>
                <w:sz w:val="18"/>
                <w:szCs w:val="18"/>
                <w:lang w:eastAsia="en-AU"/>
              </w:rPr>
              <w:t>Delivery Location</w:t>
            </w:r>
          </w:p>
        </w:tc>
        <w:tc>
          <w:tcPr>
            <w:tcW w:w="1306" w:type="dxa"/>
            <w:gridSpan w:val="2"/>
            <w:tcBorders>
              <w:top w:val="single" w:sz="4" w:space="0" w:color="5E8A00"/>
              <w:bottom w:val="single" w:sz="4" w:space="0" w:color="5E8A00"/>
            </w:tcBorders>
            <w:shd w:val="clear" w:color="000000" w:fill="5E8A00"/>
            <w:vAlign w:val="center"/>
            <w:hideMark/>
          </w:tcPr>
          <w:p w:rsidR="00FD0A55" w:rsidRPr="00FD0A55" w:rsidRDefault="00FD0A55" w:rsidP="00F034AF">
            <w:pPr>
              <w:spacing w:after="0" w:line="240" w:lineRule="auto"/>
              <w:ind w:firstLineChars="100" w:firstLine="181"/>
              <w:jc w:val="right"/>
              <w:rPr>
                <w:rFonts w:cs="Arial"/>
                <w:b/>
                <w:bCs/>
                <w:color w:val="FFFFFF"/>
                <w:sz w:val="18"/>
                <w:szCs w:val="18"/>
                <w:lang w:eastAsia="en-AU"/>
              </w:rPr>
            </w:pPr>
            <w:r w:rsidRPr="00FD0A55">
              <w:rPr>
                <w:rFonts w:cs="Arial"/>
                <w:b/>
                <w:bCs/>
                <w:color w:val="FFFFFF"/>
                <w:sz w:val="18"/>
                <w:szCs w:val="18"/>
                <w:lang w:eastAsia="en-AU"/>
              </w:rPr>
              <w:t>Q2 2011</w:t>
            </w:r>
          </w:p>
        </w:tc>
        <w:tc>
          <w:tcPr>
            <w:tcW w:w="1134" w:type="dxa"/>
            <w:tcBorders>
              <w:top w:val="single" w:sz="4" w:space="0" w:color="5E8A00"/>
              <w:bottom w:val="single" w:sz="4" w:space="0" w:color="5E8A00"/>
            </w:tcBorders>
            <w:shd w:val="clear" w:color="000000" w:fill="5E8A00"/>
            <w:vAlign w:val="center"/>
            <w:hideMark/>
          </w:tcPr>
          <w:p w:rsidR="00FD0A55" w:rsidRPr="00FD0A55" w:rsidRDefault="00FD0A55" w:rsidP="00F034AF">
            <w:pPr>
              <w:spacing w:after="0" w:line="240" w:lineRule="auto"/>
              <w:ind w:firstLineChars="100" w:firstLine="181"/>
              <w:jc w:val="right"/>
              <w:rPr>
                <w:rFonts w:cs="Arial"/>
                <w:b/>
                <w:bCs/>
                <w:color w:val="FFFFFF"/>
                <w:sz w:val="18"/>
                <w:szCs w:val="18"/>
                <w:lang w:eastAsia="en-AU"/>
              </w:rPr>
            </w:pPr>
            <w:r w:rsidRPr="00FD0A55">
              <w:rPr>
                <w:rFonts w:cs="Arial"/>
                <w:b/>
                <w:bCs/>
                <w:color w:val="FFFFFF"/>
                <w:sz w:val="18"/>
                <w:szCs w:val="18"/>
                <w:lang w:eastAsia="en-AU"/>
              </w:rPr>
              <w:t>Q2 2012</w:t>
            </w:r>
          </w:p>
        </w:tc>
        <w:tc>
          <w:tcPr>
            <w:tcW w:w="1188" w:type="dxa"/>
            <w:tcBorders>
              <w:top w:val="single" w:sz="4" w:space="0" w:color="5E8A00"/>
              <w:bottom w:val="single" w:sz="4" w:space="0" w:color="5E8A00"/>
            </w:tcBorders>
            <w:shd w:val="clear" w:color="000000" w:fill="5E8A00"/>
            <w:vAlign w:val="center"/>
            <w:hideMark/>
          </w:tcPr>
          <w:p w:rsidR="00FD0A55" w:rsidRPr="00FD0A55" w:rsidRDefault="00FD0A55" w:rsidP="00F034AF">
            <w:pPr>
              <w:spacing w:after="0" w:line="240" w:lineRule="auto"/>
              <w:ind w:firstLineChars="100" w:firstLine="181"/>
              <w:jc w:val="right"/>
              <w:rPr>
                <w:rFonts w:cs="Arial"/>
                <w:b/>
                <w:bCs/>
                <w:color w:val="FFFFFF"/>
                <w:sz w:val="18"/>
                <w:szCs w:val="18"/>
                <w:lang w:eastAsia="en-AU"/>
              </w:rPr>
            </w:pPr>
            <w:r w:rsidRPr="00FD0A55">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 change</w:t>
            </w:r>
            <w:r w:rsidRPr="00FD0A55">
              <w:rPr>
                <w:rFonts w:cs="Arial"/>
                <w:b/>
                <w:bCs/>
                <w:color w:val="FFFFFF"/>
                <w:sz w:val="18"/>
                <w:szCs w:val="18"/>
                <w:lang w:eastAsia="en-AU"/>
              </w:rPr>
              <w:br/>
              <w:t>Q2 2011-Q2 2013 </w:t>
            </w:r>
          </w:p>
        </w:tc>
        <w:tc>
          <w:tcPr>
            <w:tcW w:w="1100" w:type="dxa"/>
            <w:tcBorders>
              <w:top w:val="single" w:sz="4" w:space="0" w:color="5E8A00"/>
              <w:bottom w:val="single" w:sz="4" w:space="0" w:color="5E8A00"/>
              <w:right w:val="single" w:sz="4" w:space="0" w:color="5E8A00"/>
            </w:tcBorders>
            <w:shd w:val="clear" w:color="000000" w:fill="5E8A00"/>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 change</w:t>
            </w:r>
            <w:r w:rsidRPr="00FD0A55">
              <w:rPr>
                <w:rFonts w:cs="Arial"/>
                <w:b/>
                <w:bCs/>
                <w:color w:val="FFFFFF"/>
                <w:sz w:val="18"/>
                <w:szCs w:val="18"/>
                <w:lang w:eastAsia="en-AU"/>
              </w:rPr>
              <w:br/>
              <w:t>Q2 2012-Q2 2013</w:t>
            </w:r>
          </w:p>
        </w:tc>
      </w:tr>
      <w:tr w:rsidR="00FD0A55" w:rsidRPr="00FD0A55" w:rsidTr="00FD0A55">
        <w:trPr>
          <w:trHeight w:hRule="exact" w:val="284"/>
        </w:trPr>
        <w:tc>
          <w:tcPr>
            <w:tcW w:w="2132" w:type="dxa"/>
            <w:gridSpan w:val="2"/>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Barwon South West</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28,300</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46,100</w:t>
            </w:r>
          </w:p>
        </w:tc>
        <w:tc>
          <w:tcPr>
            <w:tcW w:w="1188"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31,000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10%</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-33%</w:t>
            </w:r>
          </w:p>
        </w:tc>
      </w:tr>
      <w:tr w:rsidR="00FD0A55" w:rsidRPr="00FD0A55" w:rsidTr="00FD0A55">
        <w:trPr>
          <w:trHeight w:hRule="exact" w:val="284"/>
        </w:trPr>
        <w:tc>
          <w:tcPr>
            <w:tcW w:w="2132" w:type="dxa"/>
            <w:gridSpan w:val="2"/>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Grampians</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10,400</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12,600</w:t>
            </w:r>
          </w:p>
        </w:tc>
        <w:tc>
          <w:tcPr>
            <w:tcW w:w="1188"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11,200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8%</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-11%</w:t>
            </w:r>
          </w:p>
        </w:tc>
      </w:tr>
      <w:tr w:rsidR="00FD0A55" w:rsidRPr="00FD0A55" w:rsidTr="00FD0A55">
        <w:trPr>
          <w:trHeight w:hRule="exact" w:val="284"/>
        </w:trPr>
        <w:tc>
          <w:tcPr>
            <w:tcW w:w="2132" w:type="dxa"/>
            <w:gridSpan w:val="2"/>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 xml:space="preserve">Loddon </w:t>
            </w:r>
            <w:proofErr w:type="spellStart"/>
            <w:r w:rsidRPr="00FD0A55">
              <w:rPr>
                <w:rFonts w:cs="Arial"/>
                <w:color w:val="3E5B00"/>
                <w:sz w:val="18"/>
                <w:szCs w:val="18"/>
                <w:lang w:eastAsia="en-AU"/>
              </w:rPr>
              <w:t>Mallee</w:t>
            </w:r>
            <w:proofErr w:type="spellEnd"/>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19,600</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25,800</w:t>
            </w:r>
          </w:p>
        </w:tc>
        <w:tc>
          <w:tcPr>
            <w:tcW w:w="1188"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20,800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6%</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-20%</w:t>
            </w:r>
          </w:p>
        </w:tc>
      </w:tr>
      <w:tr w:rsidR="00FD0A55" w:rsidRPr="00FD0A55" w:rsidTr="00FD0A55">
        <w:trPr>
          <w:trHeight w:hRule="exact" w:val="284"/>
        </w:trPr>
        <w:tc>
          <w:tcPr>
            <w:tcW w:w="2132" w:type="dxa"/>
            <w:gridSpan w:val="2"/>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Hume</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15,100</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22,100</w:t>
            </w:r>
          </w:p>
        </w:tc>
        <w:tc>
          <w:tcPr>
            <w:tcW w:w="1188"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28,700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89%</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30%</w:t>
            </w:r>
          </w:p>
        </w:tc>
      </w:tr>
      <w:tr w:rsidR="00FD0A55" w:rsidRPr="00FD0A55" w:rsidTr="00FD0A55">
        <w:trPr>
          <w:trHeight w:hRule="exact" w:val="284"/>
        </w:trPr>
        <w:tc>
          <w:tcPr>
            <w:tcW w:w="2132" w:type="dxa"/>
            <w:gridSpan w:val="2"/>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Gippsland</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12,300</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13,300</w:t>
            </w:r>
          </w:p>
        </w:tc>
        <w:tc>
          <w:tcPr>
            <w:tcW w:w="1188"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10,000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-19%</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-25%</w:t>
            </w:r>
          </w:p>
        </w:tc>
      </w:tr>
      <w:tr w:rsidR="00FD0A55" w:rsidRPr="00FD0A55" w:rsidTr="00FD0A55">
        <w:trPr>
          <w:trHeight w:hRule="exact" w:val="284"/>
        </w:trPr>
        <w:tc>
          <w:tcPr>
            <w:tcW w:w="2132" w:type="dxa"/>
            <w:gridSpan w:val="2"/>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Eastern Metropolitan</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50,100</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56,100</w:t>
            </w:r>
          </w:p>
        </w:tc>
        <w:tc>
          <w:tcPr>
            <w:tcW w:w="1188"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45,800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-9%</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-18%</w:t>
            </w:r>
          </w:p>
        </w:tc>
      </w:tr>
      <w:tr w:rsidR="00FD0A55" w:rsidRPr="00FD0A55" w:rsidTr="00FD0A55">
        <w:trPr>
          <w:trHeight w:hRule="exact" w:val="284"/>
        </w:trPr>
        <w:tc>
          <w:tcPr>
            <w:tcW w:w="2132" w:type="dxa"/>
            <w:gridSpan w:val="2"/>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Western Metropolitan</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76,200</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124,900</w:t>
            </w:r>
          </w:p>
        </w:tc>
        <w:tc>
          <w:tcPr>
            <w:tcW w:w="1188"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113,400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49%</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-9%</w:t>
            </w:r>
          </w:p>
        </w:tc>
      </w:tr>
      <w:tr w:rsidR="00FD0A55" w:rsidRPr="00FD0A55" w:rsidTr="00FD0A55">
        <w:trPr>
          <w:trHeight w:hRule="exact" w:val="284"/>
        </w:trPr>
        <w:tc>
          <w:tcPr>
            <w:tcW w:w="2132" w:type="dxa"/>
            <w:gridSpan w:val="2"/>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Southern Metropolitan</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60,300</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91,100</w:t>
            </w:r>
          </w:p>
        </w:tc>
        <w:tc>
          <w:tcPr>
            <w:tcW w:w="1188"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81,200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35%</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-11%</w:t>
            </w:r>
          </w:p>
        </w:tc>
      </w:tr>
      <w:tr w:rsidR="00FD0A55" w:rsidRPr="00FD0A55" w:rsidTr="00B56F89">
        <w:trPr>
          <w:trHeight w:hRule="exact" w:val="284"/>
        </w:trPr>
        <w:tc>
          <w:tcPr>
            <w:tcW w:w="2132" w:type="dxa"/>
            <w:gridSpan w:val="2"/>
            <w:tcBorders>
              <w:top w:val="nil"/>
              <w:left w:val="single" w:sz="4" w:space="0" w:color="5E8A00"/>
              <w:bottom w:val="single" w:sz="4" w:space="0" w:color="5E8A00"/>
              <w:right w:val="single" w:sz="4" w:space="0" w:color="5E8A00"/>
            </w:tcBorders>
            <w:shd w:val="clear" w:color="000000" w:fill="FFFFFF"/>
            <w:noWrap/>
            <w:vAlign w:val="bottom"/>
            <w:hideMark/>
          </w:tcPr>
          <w:p w:rsidR="00FD0A55" w:rsidRPr="00FD0A55" w:rsidRDefault="00FD0A55" w:rsidP="00FD0A55">
            <w:pPr>
              <w:spacing w:after="0" w:line="240" w:lineRule="auto"/>
              <w:jc w:val="left"/>
              <w:rPr>
                <w:rFonts w:cs="Arial"/>
                <w:color w:val="3E5B00"/>
                <w:sz w:val="18"/>
                <w:szCs w:val="18"/>
                <w:lang w:eastAsia="en-AU"/>
              </w:rPr>
            </w:pPr>
            <w:r w:rsidRPr="00FD0A55">
              <w:rPr>
                <w:rFonts w:cs="Arial"/>
                <w:color w:val="3E5B00"/>
                <w:sz w:val="18"/>
                <w:szCs w:val="18"/>
                <w:lang w:eastAsia="en-AU"/>
              </w:rPr>
              <w:t>Northern Metropolitan</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41,300</w:t>
            </w:r>
          </w:p>
        </w:tc>
        <w:tc>
          <w:tcPr>
            <w:tcW w:w="1134"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58,000</w:t>
            </w:r>
          </w:p>
        </w:tc>
        <w:tc>
          <w:tcPr>
            <w:tcW w:w="1188"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52,000</w:t>
            </w:r>
          </w:p>
        </w:tc>
        <w:tc>
          <w:tcPr>
            <w:tcW w:w="112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26%</w:t>
            </w:r>
          </w:p>
        </w:tc>
        <w:tc>
          <w:tcPr>
            <w:tcW w:w="1100" w:type="dxa"/>
            <w:tcBorders>
              <w:top w:val="nil"/>
              <w:left w:val="nil"/>
              <w:bottom w:val="single" w:sz="4" w:space="0" w:color="5E8A00"/>
              <w:right w:val="single" w:sz="4" w:space="0" w:color="5E8A00"/>
            </w:tcBorders>
            <w:shd w:val="clear" w:color="auto" w:fill="auto"/>
            <w:noWrap/>
            <w:vAlign w:val="center"/>
            <w:hideMark/>
          </w:tcPr>
          <w:p w:rsidR="00FD0A55" w:rsidRPr="00FD0A55" w:rsidRDefault="00FD0A55" w:rsidP="00FD0A55">
            <w:pPr>
              <w:spacing w:after="0" w:line="240" w:lineRule="auto"/>
              <w:jc w:val="right"/>
              <w:rPr>
                <w:rFonts w:cs="Arial"/>
                <w:sz w:val="18"/>
                <w:szCs w:val="18"/>
                <w:lang w:eastAsia="en-AU"/>
              </w:rPr>
            </w:pPr>
            <w:r w:rsidRPr="00FD0A55">
              <w:rPr>
                <w:rFonts w:cs="Arial"/>
                <w:sz w:val="18"/>
                <w:szCs w:val="18"/>
                <w:lang w:eastAsia="en-AU"/>
              </w:rPr>
              <w:t>-10%</w:t>
            </w:r>
          </w:p>
        </w:tc>
      </w:tr>
      <w:tr w:rsidR="00FD0A55" w:rsidRPr="00FD0A55" w:rsidTr="00B56F89">
        <w:trPr>
          <w:trHeight w:hRule="exact" w:val="284"/>
        </w:trPr>
        <w:tc>
          <w:tcPr>
            <w:tcW w:w="2132" w:type="dxa"/>
            <w:gridSpan w:val="2"/>
            <w:tcBorders>
              <w:top w:val="single" w:sz="4" w:space="0" w:color="5E8A00"/>
              <w:left w:val="single" w:sz="4" w:space="0" w:color="5E8A00"/>
              <w:bottom w:val="single" w:sz="4" w:space="0" w:color="5E8A00"/>
            </w:tcBorders>
            <w:shd w:val="clear" w:color="000000" w:fill="5E8A00"/>
            <w:noWrap/>
            <w:vAlign w:val="bottom"/>
            <w:hideMark/>
          </w:tcPr>
          <w:p w:rsidR="00FD0A55" w:rsidRPr="00FD0A55" w:rsidRDefault="000A5C66" w:rsidP="00FD0A55">
            <w:pPr>
              <w:spacing w:after="0" w:line="240" w:lineRule="auto"/>
              <w:jc w:val="left"/>
              <w:rPr>
                <w:rFonts w:cs="Arial"/>
                <w:b/>
                <w:bCs/>
                <w:color w:val="FFFFFF"/>
                <w:sz w:val="18"/>
                <w:szCs w:val="18"/>
                <w:lang w:eastAsia="en-AU"/>
              </w:rPr>
            </w:pPr>
            <w:r w:rsidRPr="00FD0A55">
              <w:rPr>
                <w:rFonts w:cs="Arial"/>
                <w:b/>
                <w:bCs/>
                <w:color w:val="FFFFFF"/>
                <w:sz w:val="18"/>
                <w:szCs w:val="18"/>
                <w:lang w:eastAsia="en-AU"/>
              </w:rPr>
              <w:t>Total</w:t>
            </w:r>
            <w:r>
              <w:rPr>
                <w:rFonts w:cs="Arial"/>
                <w:b/>
                <w:bCs/>
                <w:color w:val="FFFFFF"/>
                <w:sz w:val="18"/>
                <w:szCs w:val="18"/>
                <w:lang w:eastAsia="en-AU"/>
              </w:rPr>
              <w:t xml:space="preserve"> Regions total</w:t>
            </w:r>
          </w:p>
        </w:tc>
        <w:tc>
          <w:tcPr>
            <w:tcW w:w="1134" w:type="dxa"/>
            <w:tcBorders>
              <w:top w:val="single" w:sz="4" w:space="0" w:color="5E8A00"/>
              <w:bottom w:val="single" w:sz="4" w:space="0" w:color="5E8A00"/>
            </w:tcBorders>
            <w:shd w:val="clear" w:color="000000" w:fill="5E8A00"/>
            <w:noWrap/>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313,200</w:t>
            </w:r>
          </w:p>
        </w:tc>
        <w:tc>
          <w:tcPr>
            <w:tcW w:w="1134" w:type="dxa"/>
            <w:tcBorders>
              <w:top w:val="single" w:sz="4" w:space="0" w:color="5E8A00"/>
              <w:bottom w:val="single" w:sz="4" w:space="0" w:color="5E8A00"/>
            </w:tcBorders>
            <w:shd w:val="clear" w:color="000000" w:fill="5E8A00"/>
            <w:noWrap/>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448,400</w:t>
            </w:r>
          </w:p>
        </w:tc>
        <w:tc>
          <w:tcPr>
            <w:tcW w:w="1188" w:type="dxa"/>
            <w:tcBorders>
              <w:top w:val="single" w:sz="4" w:space="0" w:color="5E8A00"/>
              <w:bottom w:val="single" w:sz="4" w:space="0" w:color="5E8A00"/>
            </w:tcBorders>
            <w:shd w:val="clear" w:color="000000" w:fill="5E8A00"/>
            <w:noWrap/>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392,200</w:t>
            </w:r>
          </w:p>
        </w:tc>
        <w:tc>
          <w:tcPr>
            <w:tcW w:w="1120" w:type="dxa"/>
            <w:tcBorders>
              <w:top w:val="single" w:sz="4" w:space="0" w:color="5E8A00"/>
              <w:bottom w:val="single" w:sz="4" w:space="0" w:color="5E8A00"/>
            </w:tcBorders>
            <w:shd w:val="clear" w:color="000000" w:fill="5E8A00"/>
            <w:noWrap/>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25%</w:t>
            </w:r>
          </w:p>
        </w:tc>
        <w:tc>
          <w:tcPr>
            <w:tcW w:w="1100" w:type="dxa"/>
            <w:tcBorders>
              <w:top w:val="single" w:sz="4" w:space="0" w:color="5E8A00"/>
              <w:bottom w:val="single" w:sz="4" w:space="0" w:color="5E8A00"/>
              <w:right w:val="single" w:sz="4" w:space="0" w:color="5E8A00"/>
            </w:tcBorders>
            <w:shd w:val="clear" w:color="000000" w:fill="5E8A00"/>
            <w:noWrap/>
            <w:vAlign w:val="center"/>
            <w:hideMark/>
          </w:tcPr>
          <w:p w:rsidR="00FD0A55" w:rsidRPr="00FD0A55" w:rsidRDefault="00FD0A55" w:rsidP="00FD0A55">
            <w:pPr>
              <w:spacing w:after="0" w:line="240" w:lineRule="auto"/>
              <w:jc w:val="right"/>
              <w:rPr>
                <w:rFonts w:cs="Arial"/>
                <w:b/>
                <w:bCs/>
                <w:color w:val="FFFFFF"/>
                <w:sz w:val="18"/>
                <w:szCs w:val="18"/>
                <w:lang w:eastAsia="en-AU"/>
              </w:rPr>
            </w:pPr>
            <w:r w:rsidRPr="00FD0A55">
              <w:rPr>
                <w:rFonts w:cs="Arial"/>
                <w:b/>
                <w:bCs/>
                <w:color w:val="FFFFFF"/>
                <w:sz w:val="18"/>
                <w:szCs w:val="18"/>
                <w:lang w:eastAsia="en-AU"/>
              </w:rPr>
              <w:t>-13%</w:t>
            </w:r>
          </w:p>
        </w:tc>
      </w:tr>
    </w:tbl>
    <w:p w:rsidR="002D4C03" w:rsidRPr="001F29E3" w:rsidRDefault="002D4C03" w:rsidP="00EE6BD1">
      <w:pPr>
        <w:jc w:val="left"/>
        <w:rPr>
          <w:rFonts w:cs="Arial"/>
        </w:rPr>
      </w:pPr>
      <w:r w:rsidRPr="001F29E3">
        <w:rPr>
          <w:rFonts w:cs="Arial"/>
          <w:b/>
          <w:bCs/>
        </w:rPr>
        <w:br w:type="page"/>
      </w:r>
    </w:p>
    <w:p w:rsidR="00351166" w:rsidRPr="001F29E3" w:rsidRDefault="00F31E54" w:rsidP="00A9260A">
      <w:pPr>
        <w:pStyle w:val="Heading2"/>
      </w:pPr>
      <w:bookmarkStart w:id="58" w:name="_Toc366588115"/>
      <w:r w:rsidRPr="001F29E3">
        <w:lastRenderedPageBreak/>
        <w:t xml:space="preserve">Government Subsidised </w:t>
      </w:r>
      <w:r w:rsidR="00A50357" w:rsidRPr="001F29E3">
        <w:t>D</w:t>
      </w:r>
      <w:r w:rsidR="00351166" w:rsidRPr="001F29E3">
        <w:t xml:space="preserve">elivery by </w:t>
      </w:r>
      <w:r w:rsidR="00A50357" w:rsidRPr="001F29E3">
        <w:t>P</w:t>
      </w:r>
      <w:r w:rsidR="00351166" w:rsidRPr="001F29E3">
        <w:t xml:space="preserve">rovider </w:t>
      </w:r>
      <w:r w:rsidR="00A50357" w:rsidRPr="001F29E3">
        <w:t>T</w:t>
      </w:r>
      <w:r w:rsidR="00351166" w:rsidRPr="001F29E3">
        <w:t>ype</w:t>
      </w:r>
      <w:bookmarkEnd w:id="58"/>
    </w:p>
    <w:p w:rsidR="00927329" w:rsidRPr="001F29E3" w:rsidRDefault="00927329" w:rsidP="00927329">
      <w:pPr>
        <w:spacing w:after="0"/>
        <w:rPr>
          <w:rFonts w:cs="Arial"/>
        </w:rPr>
      </w:pPr>
    </w:p>
    <w:p w:rsidR="007F6FCA" w:rsidRPr="007F6FCA" w:rsidRDefault="007F6FCA" w:rsidP="007F6FCA">
      <w:pPr>
        <w:pStyle w:val="Heading3"/>
      </w:pPr>
      <w:r w:rsidRPr="007F6FCA">
        <w:t>Government subsidised delivery</w:t>
      </w:r>
    </w:p>
    <w:p w:rsidR="007F6FCA" w:rsidRPr="001F29E3" w:rsidRDefault="007F6FCA" w:rsidP="007F6FCA">
      <w:pPr>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7F6FCA" w:rsidRPr="001F29E3" w:rsidTr="007F6FCA">
        <w:trPr>
          <w:trHeight w:val="518"/>
        </w:trPr>
        <w:tc>
          <w:tcPr>
            <w:tcW w:w="9088" w:type="dxa"/>
          </w:tcPr>
          <w:p w:rsidR="007F6FCA" w:rsidRDefault="007F6FCA" w:rsidP="007F6FCA">
            <w:pPr>
              <w:pStyle w:val="Heading3"/>
            </w:pPr>
            <w:r w:rsidRPr="008A1997">
              <w:t>Key Points</w:t>
            </w:r>
          </w:p>
          <w:p w:rsidR="00A326AF" w:rsidRPr="00A326AF" w:rsidRDefault="00A326AF" w:rsidP="00A326AF"/>
          <w:p w:rsidR="007F6FCA" w:rsidRPr="008A1997" w:rsidRDefault="007F6FCA" w:rsidP="007F6FCA">
            <w:pPr>
              <w:pStyle w:val="ListBullet"/>
              <w:numPr>
                <w:ilvl w:val="0"/>
                <w:numId w:val="8"/>
              </w:numPr>
              <w:ind w:right="113"/>
              <w:jc w:val="left"/>
              <w:rPr>
                <w:rFonts w:cs="Arial"/>
              </w:rPr>
            </w:pPr>
            <w:r w:rsidRPr="008A1997">
              <w:rPr>
                <w:rFonts w:cs="Arial"/>
              </w:rPr>
              <w:t>TAFE and Private RTOs sectors had almost equal numbers of government subsidised enrolments as at Q2 2013</w:t>
            </w:r>
            <w:r w:rsidR="00F05803">
              <w:rPr>
                <w:rFonts w:cs="Arial"/>
              </w:rPr>
              <w:t>, i.e. each provider sector captured a 45 per cent share in government subsidised enrolments</w:t>
            </w:r>
            <w:r w:rsidRPr="008A1997">
              <w:rPr>
                <w:rFonts w:cs="Arial"/>
              </w:rPr>
              <w:t xml:space="preserve">. </w:t>
            </w:r>
          </w:p>
          <w:p w:rsidR="007F6FCA" w:rsidRDefault="007F6FCA" w:rsidP="007F6FCA">
            <w:pPr>
              <w:pStyle w:val="ListBullet"/>
              <w:numPr>
                <w:ilvl w:val="0"/>
                <w:numId w:val="8"/>
              </w:numPr>
              <w:ind w:right="113"/>
              <w:jc w:val="left"/>
              <w:rPr>
                <w:rFonts w:cs="Arial"/>
              </w:rPr>
            </w:pPr>
            <w:r w:rsidRPr="008A1997">
              <w:rPr>
                <w:rFonts w:cs="Arial"/>
              </w:rPr>
              <w:t xml:space="preserve">The proportional share of government subsidised delivery at AQF levels </w:t>
            </w:r>
            <w:r>
              <w:rPr>
                <w:rFonts w:cs="Arial"/>
              </w:rPr>
              <w:t xml:space="preserve">in </w:t>
            </w:r>
            <w:r w:rsidRPr="008A1997">
              <w:rPr>
                <w:rFonts w:cs="Arial"/>
              </w:rPr>
              <w:t xml:space="preserve">TAFE, Private RTOs and ACE sectors </w:t>
            </w:r>
            <w:r>
              <w:rPr>
                <w:rFonts w:cs="Arial"/>
              </w:rPr>
              <w:t xml:space="preserve">suggests </w:t>
            </w:r>
            <w:r w:rsidRPr="008A1997">
              <w:rPr>
                <w:rFonts w:cs="Arial"/>
              </w:rPr>
              <w:t xml:space="preserve">each sector has a different focus </w:t>
            </w:r>
            <w:r>
              <w:rPr>
                <w:rFonts w:cs="Arial"/>
              </w:rPr>
              <w:t>with various strengths and</w:t>
            </w:r>
            <w:r w:rsidRPr="008A1997">
              <w:rPr>
                <w:rFonts w:cs="Arial"/>
              </w:rPr>
              <w:t xml:space="preserve"> specialisation</w:t>
            </w:r>
            <w:r>
              <w:rPr>
                <w:rFonts w:cs="Arial"/>
              </w:rPr>
              <w:t xml:space="preserve"> in the courses that they delivered</w:t>
            </w:r>
            <w:r w:rsidRPr="008A1997">
              <w:rPr>
                <w:rFonts w:cs="Arial"/>
              </w:rPr>
              <w:t xml:space="preserve">.  </w:t>
            </w:r>
          </w:p>
          <w:p w:rsidR="007F6FCA" w:rsidRDefault="007F6FCA" w:rsidP="007F6FCA">
            <w:pPr>
              <w:pStyle w:val="ListBullet"/>
              <w:numPr>
                <w:ilvl w:val="0"/>
                <w:numId w:val="8"/>
              </w:numPr>
              <w:ind w:right="113"/>
              <w:jc w:val="left"/>
              <w:rPr>
                <w:rFonts w:cs="Arial"/>
              </w:rPr>
            </w:pPr>
            <w:r w:rsidRPr="008A1997">
              <w:rPr>
                <w:rFonts w:cs="Arial"/>
              </w:rPr>
              <w:t xml:space="preserve">For example, </w:t>
            </w:r>
            <w:r w:rsidR="003F61CF">
              <w:rPr>
                <w:rFonts w:cs="Arial"/>
              </w:rPr>
              <w:t xml:space="preserve">the </w:t>
            </w:r>
            <w:r w:rsidRPr="008A1997">
              <w:rPr>
                <w:rFonts w:cs="Arial"/>
              </w:rPr>
              <w:t>TAFE sector ha</w:t>
            </w:r>
            <w:r>
              <w:rPr>
                <w:rFonts w:cs="Arial"/>
              </w:rPr>
              <w:t>d</w:t>
            </w:r>
            <w:r w:rsidRPr="008A1997">
              <w:rPr>
                <w:rFonts w:cs="Arial"/>
              </w:rPr>
              <w:t xml:space="preserve"> a large share of government subsidised enrolments in Mining, Electricity, Gas, Water </w:t>
            </w:r>
            <w:r>
              <w:rPr>
                <w:rFonts w:cs="Arial"/>
              </w:rPr>
              <w:t>&amp;</w:t>
            </w:r>
            <w:r w:rsidRPr="008A1997">
              <w:rPr>
                <w:rFonts w:cs="Arial"/>
              </w:rPr>
              <w:t xml:space="preserve"> Was</w:t>
            </w:r>
            <w:r>
              <w:rPr>
                <w:rFonts w:cs="Arial"/>
              </w:rPr>
              <w:t>t</w:t>
            </w:r>
            <w:r w:rsidRPr="008A1997">
              <w:rPr>
                <w:rFonts w:cs="Arial"/>
              </w:rPr>
              <w:t>e Services, Construction, Infor</w:t>
            </w:r>
            <w:r>
              <w:rPr>
                <w:rFonts w:cs="Arial"/>
              </w:rPr>
              <w:t>m</w:t>
            </w:r>
            <w:r w:rsidRPr="008A1997">
              <w:rPr>
                <w:rFonts w:cs="Arial"/>
              </w:rPr>
              <w:t xml:space="preserve">ation Media </w:t>
            </w:r>
            <w:r>
              <w:rPr>
                <w:rFonts w:cs="Arial"/>
              </w:rPr>
              <w:t>&amp;</w:t>
            </w:r>
            <w:r w:rsidRPr="008A1997">
              <w:rPr>
                <w:rFonts w:cs="Arial"/>
              </w:rPr>
              <w:t xml:space="preserve"> Telecommunications</w:t>
            </w:r>
            <w:r>
              <w:rPr>
                <w:rFonts w:cs="Arial"/>
              </w:rPr>
              <w:t>,</w:t>
            </w:r>
            <w:r w:rsidRPr="008A1997">
              <w:rPr>
                <w:rFonts w:cs="Arial"/>
              </w:rPr>
              <w:t xml:space="preserve"> and Professional, Scientific and Technical Services</w:t>
            </w:r>
            <w:r>
              <w:rPr>
                <w:rFonts w:cs="Arial"/>
              </w:rPr>
              <w:t xml:space="preserve"> in Q2 2013</w:t>
            </w:r>
            <w:r w:rsidRPr="008A1997">
              <w:rPr>
                <w:rFonts w:cs="Arial"/>
              </w:rPr>
              <w:t xml:space="preserve">. </w:t>
            </w:r>
            <w:r>
              <w:rPr>
                <w:rFonts w:cs="Arial"/>
              </w:rPr>
              <w:t xml:space="preserve">Private </w:t>
            </w:r>
            <w:proofErr w:type="gramStart"/>
            <w:r>
              <w:rPr>
                <w:rFonts w:cs="Arial"/>
              </w:rPr>
              <w:t>RTOs</w:t>
            </w:r>
            <w:proofErr w:type="gramEnd"/>
            <w:r>
              <w:rPr>
                <w:rFonts w:cs="Arial"/>
              </w:rPr>
              <w:t xml:space="preserve"> sector had a large share of delivery in Wholesale Trade, Retail Trade, Accommodation &amp; Food Services, Transport, Postal &amp; Warehousing, </w:t>
            </w:r>
            <w:r w:rsidRPr="00D07CF1">
              <w:rPr>
                <w:rFonts w:cs="Arial"/>
              </w:rPr>
              <w:t xml:space="preserve">Financial </w:t>
            </w:r>
            <w:r>
              <w:rPr>
                <w:rFonts w:cs="Arial"/>
              </w:rPr>
              <w:t>&amp;</w:t>
            </w:r>
            <w:r w:rsidRPr="00D07CF1">
              <w:rPr>
                <w:rFonts w:cs="Arial"/>
              </w:rPr>
              <w:t xml:space="preserve"> Insurance Services</w:t>
            </w:r>
            <w:r>
              <w:rPr>
                <w:rFonts w:cs="Arial"/>
              </w:rPr>
              <w:t xml:space="preserve">, and Administrative &amp; Support Services. </w:t>
            </w:r>
          </w:p>
          <w:p w:rsidR="007F6FCA" w:rsidRDefault="007F6FCA" w:rsidP="007F6FCA">
            <w:pPr>
              <w:pStyle w:val="ListBullet"/>
              <w:numPr>
                <w:ilvl w:val="0"/>
                <w:numId w:val="8"/>
              </w:numPr>
              <w:ind w:right="113"/>
              <w:jc w:val="left"/>
              <w:rPr>
                <w:rFonts w:cs="Arial"/>
              </w:rPr>
            </w:pPr>
            <w:r>
              <w:rPr>
                <w:rFonts w:cs="Arial"/>
              </w:rPr>
              <w:t>In terms of the proportional share of delivering government subsidised training within the sector, Foundation Skills and LOTE enrolments accounted for the largest area of training in both TAFE and ACE sectors (34 per cent and 50 per cent, respectively). For the Private RTOs sector, Health Care and Social Assistance had the largest share (18 per cent).</w:t>
            </w:r>
          </w:p>
          <w:p w:rsidR="007F6FCA" w:rsidRPr="00414EFB" w:rsidRDefault="007F6FCA" w:rsidP="007F6FCA">
            <w:pPr>
              <w:pStyle w:val="ListBullet"/>
              <w:numPr>
                <w:ilvl w:val="0"/>
                <w:numId w:val="8"/>
              </w:numPr>
              <w:ind w:right="113"/>
              <w:jc w:val="left"/>
              <w:rPr>
                <w:rFonts w:cs="Arial"/>
              </w:rPr>
            </w:pPr>
            <w:r>
              <w:rPr>
                <w:rFonts w:cs="Arial"/>
              </w:rPr>
              <w:t>Government subsidised enrolments at Certificate III and IV levels made up the largest share of qualifications in TAFE (46 per cent) and Private RTOs (69 per cent)</w:t>
            </w:r>
            <w:r w:rsidR="003F61CF">
              <w:rPr>
                <w:rFonts w:cs="Arial"/>
              </w:rPr>
              <w:t>.</w:t>
            </w:r>
          </w:p>
        </w:tc>
      </w:tr>
    </w:tbl>
    <w:p w:rsidR="007F6FCA" w:rsidRDefault="007F6FCA" w:rsidP="00BA7BAF">
      <w:pPr>
        <w:pStyle w:val="Caption"/>
        <w:spacing w:after="0"/>
        <w:jc w:val="left"/>
        <w:rPr>
          <w:rFonts w:cs="Arial"/>
          <w:highlight w:val="yellow"/>
        </w:rPr>
      </w:pPr>
    </w:p>
    <w:p w:rsidR="007F6FCA" w:rsidRDefault="007F6FCA" w:rsidP="00BA7BAF">
      <w:pPr>
        <w:pStyle w:val="Caption"/>
        <w:spacing w:after="0"/>
        <w:jc w:val="left"/>
        <w:rPr>
          <w:rFonts w:cs="Arial"/>
          <w:highlight w:val="yellow"/>
        </w:rPr>
      </w:pPr>
    </w:p>
    <w:p w:rsidR="00BA7BAF" w:rsidRDefault="003D0C76" w:rsidP="00BA7BAF">
      <w:pPr>
        <w:pStyle w:val="Caption"/>
        <w:spacing w:after="0"/>
        <w:jc w:val="left"/>
        <w:rPr>
          <w:rFonts w:cs="Arial"/>
        </w:rPr>
      </w:pPr>
      <w:r w:rsidRPr="001F29E3">
        <w:rPr>
          <w:rFonts w:cs="Arial"/>
        </w:rPr>
        <w:t>Table 1</w:t>
      </w:r>
      <w:r>
        <w:rPr>
          <w:rFonts w:cs="Arial"/>
        </w:rPr>
        <w:t>.1</w:t>
      </w:r>
      <w:r w:rsidR="004D1F77">
        <w:rPr>
          <w:rFonts w:cs="Arial"/>
        </w:rPr>
        <w:t>3</w:t>
      </w:r>
      <w:r w:rsidRPr="001F29E3">
        <w:rPr>
          <w:rFonts w:cs="Arial"/>
        </w:rPr>
        <w:t xml:space="preserve">: Government subsidised </w:t>
      </w:r>
      <w:r>
        <w:rPr>
          <w:rFonts w:cs="Arial"/>
        </w:rPr>
        <w:t>delivery</w:t>
      </w:r>
      <w:r w:rsidRPr="001F29E3">
        <w:rPr>
          <w:rFonts w:cs="Arial"/>
        </w:rPr>
        <w:t xml:space="preserve"> by </w:t>
      </w:r>
      <w:r>
        <w:rPr>
          <w:rFonts w:cs="Arial"/>
        </w:rPr>
        <w:t>provider number</w:t>
      </w:r>
      <w:r w:rsidR="00A516C2">
        <w:rPr>
          <w:rFonts w:cs="Arial"/>
        </w:rPr>
        <w:t>*</w:t>
      </w:r>
      <w:r>
        <w:rPr>
          <w:rFonts w:cs="Arial"/>
        </w:rPr>
        <w:t xml:space="preserve">, 2008–2012, Q2 2011, </w:t>
      </w:r>
      <w:r w:rsidRPr="001F29E3">
        <w:rPr>
          <w:rFonts w:cs="Arial"/>
        </w:rPr>
        <w:t>Q</w:t>
      </w:r>
      <w:r>
        <w:rPr>
          <w:rFonts w:cs="Arial"/>
        </w:rPr>
        <w:t>2</w:t>
      </w:r>
      <w:r w:rsidRPr="001F29E3">
        <w:rPr>
          <w:rFonts w:cs="Arial"/>
        </w:rPr>
        <w:t xml:space="preserve"> 2012 and </w:t>
      </w:r>
      <w:r w:rsidR="00A326AF">
        <w:rPr>
          <w:rFonts w:cs="Arial"/>
        </w:rPr>
        <w:br/>
      </w:r>
      <w:r w:rsidRPr="001F29E3">
        <w:rPr>
          <w:rFonts w:cs="Arial"/>
        </w:rPr>
        <w:t>Q</w:t>
      </w:r>
      <w:r>
        <w:rPr>
          <w:rFonts w:cs="Arial"/>
        </w:rPr>
        <w:t>2</w:t>
      </w:r>
      <w:r w:rsidRPr="001F29E3">
        <w:rPr>
          <w:rFonts w:cs="Arial"/>
        </w:rPr>
        <w:t xml:space="preserve"> 2013</w:t>
      </w:r>
    </w:p>
    <w:tbl>
      <w:tblPr>
        <w:tblW w:w="9147" w:type="dxa"/>
        <w:tblInd w:w="108" w:type="dxa"/>
        <w:tblLook w:val="04A0" w:firstRow="1" w:lastRow="0" w:firstColumn="1" w:lastColumn="0" w:noHBand="0" w:noVBand="1"/>
      </w:tblPr>
      <w:tblGrid>
        <w:gridCol w:w="720"/>
        <w:gridCol w:w="1020"/>
        <w:gridCol w:w="1020"/>
        <w:gridCol w:w="1020"/>
        <w:gridCol w:w="1020"/>
        <w:gridCol w:w="1020"/>
        <w:gridCol w:w="267"/>
        <w:gridCol w:w="1020"/>
        <w:gridCol w:w="1020"/>
        <w:gridCol w:w="1020"/>
      </w:tblGrid>
      <w:tr w:rsidR="003D0C76" w:rsidRPr="003D0C76" w:rsidTr="00B56F89">
        <w:trPr>
          <w:trHeight w:val="645"/>
        </w:trPr>
        <w:tc>
          <w:tcPr>
            <w:tcW w:w="720" w:type="dxa"/>
            <w:tcBorders>
              <w:top w:val="single" w:sz="4" w:space="0" w:color="5E8A00"/>
              <w:left w:val="single" w:sz="4" w:space="0" w:color="5E8A00"/>
              <w:bottom w:val="single" w:sz="4" w:space="0" w:color="5E8A00"/>
            </w:tcBorders>
            <w:shd w:val="clear" w:color="000000" w:fill="5E8A00"/>
            <w:noWrap/>
            <w:vAlign w:val="center"/>
            <w:hideMark/>
          </w:tcPr>
          <w:p w:rsidR="003D0C76" w:rsidRPr="003D0C76" w:rsidRDefault="003D0C76" w:rsidP="00F034AF">
            <w:pPr>
              <w:spacing w:after="0" w:line="240" w:lineRule="auto"/>
              <w:ind w:firstLineChars="100" w:firstLine="161"/>
              <w:jc w:val="left"/>
              <w:rPr>
                <w:rFonts w:cs="Arial"/>
                <w:b/>
                <w:bCs/>
                <w:color w:val="FFFFFF"/>
                <w:sz w:val="16"/>
                <w:szCs w:val="16"/>
                <w:lang w:eastAsia="en-AU"/>
              </w:rPr>
            </w:pPr>
            <w:r w:rsidRPr="003D0C76">
              <w:rPr>
                <w:rFonts w:cs="Arial"/>
                <w:b/>
                <w:bCs/>
                <w:color w:val="FFFFFF"/>
                <w:sz w:val="16"/>
                <w:szCs w:val="16"/>
                <w:lang w:eastAsia="en-AU"/>
              </w:rPr>
              <w:t> </w:t>
            </w:r>
          </w:p>
        </w:tc>
        <w:tc>
          <w:tcPr>
            <w:tcW w:w="1020" w:type="dxa"/>
            <w:tcBorders>
              <w:top w:val="single" w:sz="4" w:space="0" w:color="5E8A00"/>
              <w:bottom w:val="single" w:sz="4" w:space="0" w:color="5E8A00"/>
            </w:tcBorders>
            <w:shd w:val="clear" w:color="000000" w:fill="5E8A00"/>
            <w:vAlign w:val="center"/>
            <w:hideMark/>
          </w:tcPr>
          <w:p w:rsidR="003D0C76" w:rsidRPr="003D0C76" w:rsidRDefault="003D0C76" w:rsidP="003D0C76">
            <w:pPr>
              <w:spacing w:after="0" w:line="240" w:lineRule="auto"/>
              <w:jc w:val="right"/>
              <w:rPr>
                <w:rFonts w:cs="Arial"/>
                <w:b/>
                <w:bCs/>
                <w:color w:val="FFFFFF"/>
                <w:sz w:val="16"/>
                <w:szCs w:val="16"/>
                <w:lang w:eastAsia="en-AU"/>
              </w:rPr>
            </w:pPr>
            <w:r w:rsidRPr="003D0C76">
              <w:rPr>
                <w:rFonts w:cs="Arial"/>
                <w:b/>
                <w:bCs/>
                <w:color w:val="FFFFFF"/>
                <w:sz w:val="16"/>
                <w:szCs w:val="16"/>
                <w:lang w:eastAsia="en-AU"/>
              </w:rPr>
              <w:t>2008</w:t>
            </w:r>
          </w:p>
        </w:tc>
        <w:tc>
          <w:tcPr>
            <w:tcW w:w="1020" w:type="dxa"/>
            <w:tcBorders>
              <w:top w:val="single" w:sz="4" w:space="0" w:color="5E8A00"/>
              <w:bottom w:val="single" w:sz="4" w:space="0" w:color="5E8A00"/>
            </w:tcBorders>
            <w:shd w:val="clear" w:color="000000" w:fill="5E8A00"/>
            <w:vAlign w:val="center"/>
            <w:hideMark/>
          </w:tcPr>
          <w:p w:rsidR="003D0C76" w:rsidRPr="003D0C76" w:rsidRDefault="003D0C76" w:rsidP="003D0C76">
            <w:pPr>
              <w:spacing w:after="0" w:line="240" w:lineRule="auto"/>
              <w:jc w:val="right"/>
              <w:rPr>
                <w:rFonts w:cs="Arial"/>
                <w:b/>
                <w:bCs/>
                <w:color w:val="FFFFFF"/>
                <w:sz w:val="16"/>
                <w:szCs w:val="16"/>
                <w:lang w:eastAsia="en-AU"/>
              </w:rPr>
            </w:pPr>
            <w:r w:rsidRPr="003D0C76">
              <w:rPr>
                <w:rFonts w:cs="Arial"/>
                <w:b/>
                <w:bCs/>
                <w:color w:val="FFFFFF"/>
                <w:sz w:val="16"/>
                <w:szCs w:val="16"/>
                <w:lang w:eastAsia="en-AU"/>
              </w:rPr>
              <w:t>2009</w:t>
            </w:r>
          </w:p>
        </w:tc>
        <w:tc>
          <w:tcPr>
            <w:tcW w:w="1020" w:type="dxa"/>
            <w:tcBorders>
              <w:top w:val="single" w:sz="4" w:space="0" w:color="5E8A00"/>
              <w:bottom w:val="single" w:sz="4" w:space="0" w:color="5E8A00"/>
            </w:tcBorders>
            <w:shd w:val="clear" w:color="000000" w:fill="5E8A00"/>
            <w:vAlign w:val="center"/>
            <w:hideMark/>
          </w:tcPr>
          <w:p w:rsidR="003D0C76" w:rsidRPr="003D0C76" w:rsidRDefault="003D0C76" w:rsidP="003D0C76">
            <w:pPr>
              <w:spacing w:after="0" w:line="240" w:lineRule="auto"/>
              <w:jc w:val="right"/>
              <w:rPr>
                <w:rFonts w:cs="Arial"/>
                <w:b/>
                <w:bCs/>
                <w:color w:val="FFFFFF"/>
                <w:sz w:val="16"/>
                <w:szCs w:val="16"/>
                <w:lang w:eastAsia="en-AU"/>
              </w:rPr>
            </w:pPr>
            <w:r w:rsidRPr="003D0C76">
              <w:rPr>
                <w:rFonts w:cs="Arial"/>
                <w:b/>
                <w:bCs/>
                <w:color w:val="FFFFFF"/>
                <w:sz w:val="16"/>
                <w:szCs w:val="16"/>
                <w:lang w:eastAsia="en-AU"/>
              </w:rPr>
              <w:t>2010</w:t>
            </w:r>
          </w:p>
        </w:tc>
        <w:tc>
          <w:tcPr>
            <w:tcW w:w="1020" w:type="dxa"/>
            <w:tcBorders>
              <w:top w:val="single" w:sz="4" w:space="0" w:color="5E8A00"/>
              <w:bottom w:val="single" w:sz="4" w:space="0" w:color="5E8A00"/>
            </w:tcBorders>
            <w:shd w:val="clear" w:color="000000" w:fill="5E8A00"/>
            <w:vAlign w:val="center"/>
            <w:hideMark/>
          </w:tcPr>
          <w:p w:rsidR="003D0C76" w:rsidRPr="003D0C76" w:rsidRDefault="003D0C76" w:rsidP="003D0C76">
            <w:pPr>
              <w:spacing w:after="0" w:line="240" w:lineRule="auto"/>
              <w:jc w:val="right"/>
              <w:rPr>
                <w:rFonts w:cs="Arial"/>
                <w:b/>
                <w:bCs/>
                <w:color w:val="FFFFFF"/>
                <w:sz w:val="16"/>
                <w:szCs w:val="16"/>
                <w:lang w:eastAsia="en-AU"/>
              </w:rPr>
            </w:pPr>
            <w:r w:rsidRPr="003D0C76">
              <w:rPr>
                <w:rFonts w:cs="Arial"/>
                <w:b/>
                <w:bCs/>
                <w:color w:val="FFFFFF"/>
                <w:sz w:val="16"/>
                <w:szCs w:val="16"/>
                <w:lang w:eastAsia="en-AU"/>
              </w:rPr>
              <w:t>2011</w:t>
            </w:r>
          </w:p>
        </w:tc>
        <w:tc>
          <w:tcPr>
            <w:tcW w:w="1020" w:type="dxa"/>
            <w:tcBorders>
              <w:top w:val="single" w:sz="4" w:space="0" w:color="5E8A00"/>
              <w:bottom w:val="single" w:sz="4" w:space="0" w:color="5E8A00"/>
            </w:tcBorders>
            <w:shd w:val="clear" w:color="000000" w:fill="5E8A00"/>
            <w:vAlign w:val="center"/>
            <w:hideMark/>
          </w:tcPr>
          <w:p w:rsidR="003D0C76" w:rsidRPr="003D0C76" w:rsidRDefault="003D0C76" w:rsidP="003D0C76">
            <w:pPr>
              <w:spacing w:after="0" w:line="240" w:lineRule="auto"/>
              <w:jc w:val="right"/>
              <w:rPr>
                <w:rFonts w:cs="Arial"/>
                <w:b/>
                <w:bCs/>
                <w:color w:val="FFFFFF"/>
                <w:sz w:val="16"/>
                <w:szCs w:val="16"/>
                <w:lang w:eastAsia="en-AU"/>
              </w:rPr>
            </w:pPr>
            <w:r w:rsidRPr="003D0C76">
              <w:rPr>
                <w:rFonts w:cs="Arial"/>
                <w:b/>
                <w:bCs/>
                <w:color w:val="FFFFFF"/>
                <w:sz w:val="16"/>
                <w:szCs w:val="16"/>
                <w:lang w:eastAsia="en-AU"/>
              </w:rPr>
              <w:t>2012</w:t>
            </w:r>
          </w:p>
        </w:tc>
        <w:tc>
          <w:tcPr>
            <w:tcW w:w="267" w:type="dxa"/>
            <w:tcBorders>
              <w:top w:val="single" w:sz="4" w:space="0" w:color="5E8A00"/>
              <w:bottom w:val="single" w:sz="4" w:space="0" w:color="5E8A00"/>
            </w:tcBorders>
            <w:shd w:val="clear" w:color="000000" w:fill="5E8A00"/>
            <w:vAlign w:val="center"/>
            <w:hideMark/>
          </w:tcPr>
          <w:p w:rsidR="003D0C76" w:rsidRPr="003D0C76" w:rsidRDefault="003D0C76" w:rsidP="003D0C76">
            <w:pPr>
              <w:spacing w:after="0" w:line="240" w:lineRule="auto"/>
              <w:jc w:val="right"/>
              <w:rPr>
                <w:rFonts w:cs="Arial"/>
                <w:b/>
                <w:bCs/>
                <w:color w:val="FFFFFF"/>
                <w:sz w:val="16"/>
                <w:szCs w:val="16"/>
                <w:lang w:eastAsia="en-AU"/>
              </w:rPr>
            </w:pPr>
            <w:r w:rsidRPr="003D0C76">
              <w:rPr>
                <w:rFonts w:cs="Arial"/>
                <w:b/>
                <w:bCs/>
                <w:color w:val="FFFFFF"/>
                <w:sz w:val="16"/>
                <w:szCs w:val="16"/>
                <w:lang w:eastAsia="en-AU"/>
              </w:rPr>
              <w:t> </w:t>
            </w:r>
          </w:p>
        </w:tc>
        <w:tc>
          <w:tcPr>
            <w:tcW w:w="1020" w:type="dxa"/>
            <w:tcBorders>
              <w:top w:val="single" w:sz="4" w:space="0" w:color="5E8A00"/>
              <w:bottom w:val="single" w:sz="4" w:space="0" w:color="5E8A00"/>
            </w:tcBorders>
            <w:shd w:val="clear" w:color="000000" w:fill="5E8A00"/>
            <w:vAlign w:val="center"/>
            <w:hideMark/>
          </w:tcPr>
          <w:p w:rsidR="003D0C76" w:rsidRPr="003D0C76" w:rsidRDefault="003D0C76" w:rsidP="003D0C76">
            <w:pPr>
              <w:spacing w:after="0" w:line="240" w:lineRule="auto"/>
              <w:jc w:val="right"/>
              <w:rPr>
                <w:rFonts w:cs="Arial"/>
                <w:b/>
                <w:bCs/>
                <w:color w:val="FFFFFF"/>
                <w:sz w:val="16"/>
                <w:szCs w:val="16"/>
                <w:lang w:eastAsia="en-AU"/>
              </w:rPr>
            </w:pPr>
            <w:r w:rsidRPr="003D0C76">
              <w:rPr>
                <w:rFonts w:cs="Arial"/>
                <w:b/>
                <w:bCs/>
                <w:color w:val="FFFFFF"/>
                <w:sz w:val="16"/>
                <w:szCs w:val="16"/>
                <w:lang w:eastAsia="en-AU"/>
              </w:rPr>
              <w:t>Q2 2011</w:t>
            </w:r>
          </w:p>
        </w:tc>
        <w:tc>
          <w:tcPr>
            <w:tcW w:w="1020" w:type="dxa"/>
            <w:tcBorders>
              <w:top w:val="single" w:sz="4" w:space="0" w:color="5E8A00"/>
              <w:bottom w:val="single" w:sz="4" w:space="0" w:color="5E8A00"/>
            </w:tcBorders>
            <w:shd w:val="clear" w:color="000000" w:fill="5E8A00"/>
            <w:vAlign w:val="center"/>
            <w:hideMark/>
          </w:tcPr>
          <w:p w:rsidR="003D0C76" w:rsidRPr="003D0C76" w:rsidRDefault="003D0C76" w:rsidP="003D0C76">
            <w:pPr>
              <w:spacing w:after="0" w:line="240" w:lineRule="auto"/>
              <w:jc w:val="right"/>
              <w:rPr>
                <w:rFonts w:cs="Arial"/>
                <w:b/>
                <w:bCs/>
                <w:color w:val="FFFFFF"/>
                <w:sz w:val="16"/>
                <w:szCs w:val="16"/>
                <w:lang w:eastAsia="en-AU"/>
              </w:rPr>
            </w:pPr>
            <w:r w:rsidRPr="003D0C76">
              <w:rPr>
                <w:rFonts w:cs="Arial"/>
                <w:b/>
                <w:bCs/>
                <w:color w:val="FFFFFF"/>
                <w:sz w:val="16"/>
                <w:szCs w:val="16"/>
                <w:lang w:eastAsia="en-AU"/>
              </w:rPr>
              <w:t>Q2 2012</w:t>
            </w:r>
          </w:p>
        </w:tc>
        <w:tc>
          <w:tcPr>
            <w:tcW w:w="1020" w:type="dxa"/>
            <w:tcBorders>
              <w:top w:val="single" w:sz="4" w:space="0" w:color="5E8A00"/>
              <w:bottom w:val="single" w:sz="4" w:space="0" w:color="5E8A00"/>
              <w:right w:val="single" w:sz="4" w:space="0" w:color="5E8A00"/>
            </w:tcBorders>
            <w:shd w:val="clear" w:color="000000" w:fill="5E8A00"/>
            <w:vAlign w:val="center"/>
            <w:hideMark/>
          </w:tcPr>
          <w:p w:rsidR="003D0C76" w:rsidRPr="003D0C76" w:rsidRDefault="003D0C76" w:rsidP="003D0C76">
            <w:pPr>
              <w:spacing w:after="0" w:line="240" w:lineRule="auto"/>
              <w:jc w:val="right"/>
              <w:rPr>
                <w:rFonts w:cs="Arial"/>
                <w:b/>
                <w:bCs/>
                <w:color w:val="FFFFFF"/>
                <w:sz w:val="16"/>
                <w:szCs w:val="16"/>
                <w:lang w:eastAsia="en-AU"/>
              </w:rPr>
            </w:pPr>
            <w:r w:rsidRPr="003D0C76">
              <w:rPr>
                <w:rFonts w:cs="Arial"/>
                <w:b/>
                <w:bCs/>
                <w:color w:val="FFFFFF"/>
                <w:sz w:val="16"/>
                <w:szCs w:val="16"/>
                <w:lang w:eastAsia="en-AU"/>
              </w:rPr>
              <w:t>Q2 2013</w:t>
            </w:r>
          </w:p>
        </w:tc>
      </w:tr>
      <w:tr w:rsidR="003D0C76" w:rsidRPr="003D0C76" w:rsidTr="003D0C76">
        <w:trPr>
          <w:trHeight w:val="345"/>
        </w:trPr>
        <w:tc>
          <w:tcPr>
            <w:tcW w:w="720" w:type="dxa"/>
            <w:tcBorders>
              <w:top w:val="nil"/>
              <w:left w:val="single" w:sz="4" w:space="0" w:color="5E8A00"/>
              <w:bottom w:val="single" w:sz="4" w:space="0" w:color="5E8A00"/>
              <w:right w:val="single" w:sz="4" w:space="0" w:color="5E8A00"/>
            </w:tcBorders>
            <w:shd w:val="clear" w:color="000000" w:fill="FFFFFF"/>
            <w:noWrap/>
            <w:vAlign w:val="bottom"/>
            <w:hideMark/>
          </w:tcPr>
          <w:p w:rsidR="003D0C76" w:rsidRPr="003D0C76" w:rsidRDefault="003D0C76" w:rsidP="003D0C76">
            <w:pPr>
              <w:spacing w:after="0" w:line="240" w:lineRule="auto"/>
              <w:jc w:val="left"/>
              <w:rPr>
                <w:rFonts w:cs="Arial"/>
                <w:color w:val="3E5B00"/>
                <w:sz w:val="16"/>
                <w:szCs w:val="16"/>
                <w:lang w:eastAsia="en-AU"/>
              </w:rPr>
            </w:pPr>
            <w:r w:rsidRPr="003D0C76">
              <w:rPr>
                <w:rFonts w:cs="Arial"/>
                <w:color w:val="3E5B00"/>
                <w:sz w:val="16"/>
                <w:szCs w:val="16"/>
                <w:lang w:eastAsia="en-AU"/>
              </w:rPr>
              <w:t>ACE</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342</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320</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316</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309</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298</w:t>
            </w:r>
          </w:p>
        </w:tc>
        <w:tc>
          <w:tcPr>
            <w:tcW w:w="267"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 </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274</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271</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251</w:t>
            </w:r>
          </w:p>
        </w:tc>
      </w:tr>
      <w:tr w:rsidR="003D0C76" w:rsidRPr="003D0C76" w:rsidTr="003D0C76">
        <w:trPr>
          <w:trHeight w:val="345"/>
        </w:trPr>
        <w:tc>
          <w:tcPr>
            <w:tcW w:w="720" w:type="dxa"/>
            <w:tcBorders>
              <w:top w:val="nil"/>
              <w:left w:val="single" w:sz="4" w:space="0" w:color="5E8A00"/>
              <w:bottom w:val="single" w:sz="4" w:space="0" w:color="5E8A00"/>
              <w:right w:val="single" w:sz="4" w:space="0" w:color="5E8A00"/>
            </w:tcBorders>
            <w:shd w:val="clear" w:color="000000" w:fill="FFFFFF"/>
            <w:noWrap/>
            <w:vAlign w:val="bottom"/>
            <w:hideMark/>
          </w:tcPr>
          <w:p w:rsidR="003D0C76" w:rsidRPr="003D0C76" w:rsidRDefault="003D0C76" w:rsidP="003D0C76">
            <w:pPr>
              <w:spacing w:after="0" w:line="240" w:lineRule="auto"/>
              <w:jc w:val="left"/>
              <w:rPr>
                <w:rFonts w:cs="Arial"/>
                <w:color w:val="3E5B00"/>
                <w:sz w:val="16"/>
                <w:szCs w:val="16"/>
                <w:lang w:eastAsia="en-AU"/>
              </w:rPr>
            </w:pPr>
            <w:r w:rsidRPr="003D0C76">
              <w:rPr>
                <w:rFonts w:cs="Arial"/>
                <w:color w:val="3E5B00"/>
                <w:sz w:val="16"/>
                <w:szCs w:val="16"/>
                <w:lang w:eastAsia="en-AU"/>
              </w:rPr>
              <w:t>PRIV</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201</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246</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344</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422</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445</w:t>
            </w:r>
          </w:p>
        </w:tc>
        <w:tc>
          <w:tcPr>
            <w:tcW w:w="267"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 </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377</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423</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416</w:t>
            </w:r>
          </w:p>
        </w:tc>
      </w:tr>
      <w:tr w:rsidR="003D0C76" w:rsidRPr="003D0C76" w:rsidTr="003D0C76">
        <w:trPr>
          <w:trHeight w:val="345"/>
        </w:trPr>
        <w:tc>
          <w:tcPr>
            <w:tcW w:w="720" w:type="dxa"/>
            <w:tcBorders>
              <w:top w:val="nil"/>
              <w:left w:val="single" w:sz="4" w:space="0" w:color="5E8A00"/>
              <w:bottom w:val="single" w:sz="4" w:space="0" w:color="5E8A00"/>
              <w:right w:val="single" w:sz="4" w:space="0" w:color="5E8A00"/>
            </w:tcBorders>
            <w:shd w:val="clear" w:color="000000" w:fill="FFFFFF"/>
            <w:noWrap/>
            <w:vAlign w:val="bottom"/>
            <w:hideMark/>
          </w:tcPr>
          <w:p w:rsidR="003D0C76" w:rsidRPr="003D0C76" w:rsidRDefault="003D0C76" w:rsidP="003D0C76">
            <w:pPr>
              <w:spacing w:after="0" w:line="240" w:lineRule="auto"/>
              <w:jc w:val="left"/>
              <w:rPr>
                <w:rFonts w:cs="Arial"/>
                <w:color w:val="3E5B00"/>
                <w:sz w:val="16"/>
                <w:szCs w:val="16"/>
                <w:lang w:eastAsia="en-AU"/>
              </w:rPr>
            </w:pPr>
            <w:r w:rsidRPr="003D0C76">
              <w:rPr>
                <w:rFonts w:cs="Arial"/>
                <w:color w:val="3E5B00"/>
                <w:sz w:val="16"/>
                <w:szCs w:val="16"/>
                <w:lang w:eastAsia="en-AU"/>
              </w:rPr>
              <w:t>TAFE</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18</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18</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18</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18</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18</w:t>
            </w:r>
          </w:p>
        </w:tc>
        <w:tc>
          <w:tcPr>
            <w:tcW w:w="267"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 </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18</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18</w:t>
            </w:r>
          </w:p>
        </w:tc>
        <w:tc>
          <w:tcPr>
            <w:tcW w:w="1020" w:type="dxa"/>
            <w:tcBorders>
              <w:top w:val="nil"/>
              <w:left w:val="nil"/>
              <w:bottom w:val="single" w:sz="4" w:space="0" w:color="5E8A00"/>
              <w:right w:val="single" w:sz="4" w:space="0" w:color="5E8A00"/>
            </w:tcBorders>
            <w:shd w:val="clear" w:color="auto" w:fill="auto"/>
            <w:noWrap/>
            <w:vAlign w:val="center"/>
            <w:hideMark/>
          </w:tcPr>
          <w:p w:rsidR="003D0C76" w:rsidRPr="003D0C76" w:rsidRDefault="003D0C76" w:rsidP="003D0C76">
            <w:pPr>
              <w:spacing w:after="0" w:line="240" w:lineRule="auto"/>
              <w:jc w:val="right"/>
              <w:rPr>
                <w:rFonts w:cs="Arial"/>
                <w:sz w:val="18"/>
                <w:szCs w:val="18"/>
                <w:lang w:eastAsia="en-AU"/>
              </w:rPr>
            </w:pPr>
            <w:r w:rsidRPr="003D0C76">
              <w:rPr>
                <w:rFonts w:cs="Arial"/>
                <w:sz w:val="18"/>
                <w:szCs w:val="18"/>
                <w:lang w:eastAsia="en-AU"/>
              </w:rPr>
              <w:t>18</w:t>
            </w:r>
          </w:p>
        </w:tc>
      </w:tr>
    </w:tbl>
    <w:p w:rsidR="00A516C2" w:rsidRPr="001F29E3" w:rsidRDefault="00A516C2" w:rsidP="00A516C2">
      <w:pPr>
        <w:spacing w:after="0" w:line="240" w:lineRule="auto"/>
        <w:rPr>
          <w:rFonts w:cs="Arial"/>
          <w:sz w:val="16"/>
          <w:szCs w:val="16"/>
        </w:rPr>
      </w:pPr>
      <w:r>
        <w:rPr>
          <w:rFonts w:cs="Arial"/>
          <w:sz w:val="16"/>
          <w:szCs w:val="16"/>
        </w:rPr>
        <w:t>* The</w:t>
      </w:r>
      <w:r w:rsidR="002967D9">
        <w:rPr>
          <w:rFonts w:cs="Arial"/>
          <w:sz w:val="16"/>
          <w:szCs w:val="16"/>
        </w:rPr>
        <w:t xml:space="preserve"> above providers include those providing pre-accredited and accredited subsidised </w:t>
      </w:r>
      <w:r w:rsidR="00734456">
        <w:rPr>
          <w:rFonts w:cs="Arial"/>
          <w:sz w:val="16"/>
          <w:szCs w:val="16"/>
        </w:rPr>
        <w:t>training</w:t>
      </w:r>
      <w:r w:rsidR="002967D9">
        <w:rPr>
          <w:rFonts w:cs="Arial"/>
          <w:sz w:val="16"/>
          <w:szCs w:val="16"/>
        </w:rPr>
        <w:t>. The number of training provider</w:t>
      </w:r>
      <w:r w:rsidR="00734456">
        <w:rPr>
          <w:rFonts w:cs="Arial"/>
          <w:sz w:val="16"/>
          <w:szCs w:val="16"/>
        </w:rPr>
        <w:t>s</w:t>
      </w:r>
      <w:r w:rsidR="002967D9">
        <w:rPr>
          <w:rFonts w:cs="Arial"/>
          <w:sz w:val="16"/>
          <w:szCs w:val="16"/>
        </w:rPr>
        <w:t xml:space="preserve"> with a 2013 Service Agreement </w:t>
      </w:r>
      <w:r w:rsidR="00734456">
        <w:rPr>
          <w:rFonts w:cs="Arial"/>
          <w:sz w:val="16"/>
          <w:szCs w:val="16"/>
        </w:rPr>
        <w:t>was</w:t>
      </w:r>
      <w:r w:rsidR="002967D9">
        <w:rPr>
          <w:rFonts w:cs="Arial"/>
          <w:sz w:val="16"/>
          <w:szCs w:val="16"/>
        </w:rPr>
        <w:t xml:space="preserve"> 488 </w:t>
      </w:r>
      <w:r w:rsidR="00734456">
        <w:rPr>
          <w:rFonts w:cs="Arial"/>
          <w:sz w:val="16"/>
          <w:szCs w:val="16"/>
        </w:rPr>
        <w:t xml:space="preserve">as </w:t>
      </w:r>
      <w:r w:rsidR="002967D9">
        <w:rPr>
          <w:rFonts w:cs="Arial"/>
          <w:sz w:val="16"/>
          <w:szCs w:val="16"/>
        </w:rPr>
        <w:t>at September 2013</w:t>
      </w:r>
    </w:p>
    <w:p w:rsidR="00A326AF" w:rsidRPr="00A326AF" w:rsidRDefault="00A326AF" w:rsidP="00A326AF"/>
    <w:p w:rsidR="00927329" w:rsidRPr="001F29E3" w:rsidRDefault="00927329" w:rsidP="00BA7BAF">
      <w:pPr>
        <w:pStyle w:val="Caption"/>
        <w:spacing w:after="0"/>
        <w:jc w:val="left"/>
        <w:rPr>
          <w:rFonts w:cs="Arial"/>
        </w:rPr>
      </w:pPr>
      <w:r w:rsidRPr="001F29E3">
        <w:rPr>
          <w:rFonts w:cs="Arial"/>
        </w:rPr>
        <w:t>Table 1</w:t>
      </w:r>
      <w:r w:rsidR="001A618D">
        <w:rPr>
          <w:rFonts w:cs="Arial"/>
        </w:rPr>
        <w:t>.1</w:t>
      </w:r>
      <w:r w:rsidR="004D1F77">
        <w:rPr>
          <w:rFonts w:cs="Arial"/>
        </w:rPr>
        <w:t>4</w:t>
      </w:r>
      <w:r w:rsidR="00BA7BAF">
        <w:rPr>
          <w:rFonts w:cs="Arial"/>
        </w:rPr>
        <w:t>.1</w:t>
      </w:r>
      <w:r w:rsidR="00C53935" w:rsidRPr="001F29E3">
        <w:rPr>
          <w:rFonts w:cs="Arial"/>
        </w:rPr>
        <w:t xml:space="preserve">: Government subsidised enrolments by </w:t>
      </w:r>
      <w:r w:rsidRPr="001F29E3">
        <w:rPr>
          <w:rFonts w:cs="Arial"/>
        </w:rPr>
        <w:t>provider type, 2008–2012</w:t>
      </w:r>
    </w:p>
    <w:tbl>
      <w:tblPr>
        <w:tblW w:w="8080" w:type="dxa"/>
        <w:tblInd w:w="108" w:type="dxa"/>
        <w:tblLook w:val="04A0" w:firstRow="1" w:lastRow="0" w:firstColumn="1" w:lastColumn="0" w:noHBand="0" w:noVBand="1"/>
      </w:tblPr>
      <w:tblGrid>
        <w:gridCol w:w="1360"/>
        <w:gridCol w:w="1120"/>
        <w:gridCol w:w="1120"/>
        <w:gridCol w:w="1120"/>
        <w:gridCol w:w="1120"/>
        <w:gridCol w:w="1120"/>
        <w:gridCol w:w="1120"/>
      </w:tblGrid>
      <w:tr w:rsidR="00BA7BAF" w:rsidRPr="00BA7BAF" w:rsidTr="00B56F89">
        <w:trPr>
          <w:trHeight w:hRule="exact" w:val="760"/>
        </w:trPr>
        <w:tc>
          <w:tcPr>
            <w:tcW w:w="1360" w:type="dxa"/>
            <w:tcBorders>
              <w:top w:val="single" w:sz="4" w:space="0" w:color="5E8A00"/>
              <w:left w:val="single" w:sz="4" w:space="0" w:color="5E8A00"/>
              <w:bottom w:val="single" w:sz="4" w:space="0" w:color="5E8A00"/>
            </w:tcBorders>
            <w:shd w:val="clear" w:color="000000" w:fill="5E8A00"/>
            <w:noWrap/>
            <w:vAlign w:val="center"/>
            <w:hideMark/>
          </w:tcPr>
          <w:p w:rsidR="00BA7BAF" w:rsidRPr="00BA7BAF" w:rsidRDefault="00BA7BAF" w:rsidP="00F034AF">
            <w:pPr>
              <w:spacing w:after="0" w:line="240" w:lineRule="auto"/>
              <w:ind w:firstLineChars="100" w:firstLine="181"/>
              <w:jc w:val="left"/>
              <w:rPr>
                <w:rFonts w:cs="Arial"/>
                <w:b/>
                <w:bCs/>
                <w:color w:val="FFFFFF"/>
                <w:sz w:val="18"/>
                <w:szCs w:val="18"/>
                <w:lang w:eastAsia="en-AU"/>
              </w:rPr>
            </w:pPr>
            <w:r w:rsidRPr="00BA7BAF">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BA7BAF" w:rsidRPr="00BA7BAF" w:rsidRDefault="00BA7BAF" w:rsidP="00F034AF">
            <w:pPr>
              <w:spacing w:after="0" w:line="240" w:lineRule="auto"/>
              <w:ind w:firstLineChars="100" w:firstLine="181"/>
              <w:jc w:val="right"/>
              <w:rPr>
                <w:rFonts w:cs="Arial"/>
                <w:b/>
                <w:bCs/>
                <w:color w:val="FFFFFF"/>
                <w:sz w:val="18"/>
                <w:szCs w:val="18"/>
                <w:lang w:eastAsia="en-AU"/>
              </w:rPr>
            </w:pPr>
            <w:r w:rsidRPr="00BA7BAF">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BA7BAF" w:rsidRPr="00BA7BAF" w:rsidRDefault="00BA7BAF" w:rsidP="00F034AF">
            <w:pPr>
              <w:spacing w:after="0" w:line="240" w:lineRule="auto"/>
              <w:ind w:firstLineChars="100" w:firstLine="181"/>
              <w:jc w:val="right"/>
              <w:rPr>
                <w:rFonts w:cs="Arial"/>
                <w:b/>
                <w:bCs/>
                <w:color w:val="FFFFFF"/>
                <w:sz w:val="18"/>
                <w:szCs w:val="18"/>
                <w:lang w:eastAsia="en-AU"/>
              </w:rPr>
            </w:pPr>
            <w:r w:rsidRPr="00BA7BAF">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BA7BAF" w:rsidRPr="00BA7BAF" w:rsidRDefault="00BA7BAF" w:rsidP="00F034AF">
            <w:pPr>
              <w:spacing w:after="0" w:line="240" w:lineRule="auto"/>
              <w:ind w:firstLineChars="100" w:firstLine="181"/>
              <w:jc w:val="right"/>
              <w:rPr>
                <w:rFonts w:cs="Arial"/>
                <w:b/>
                <w:bCs/>
                <w:color w:val="FFFFFF"/>
                <w:sz w:val="18"/>
                <w:szCs w:val="18"/>
                <w:lang w:eastAsia="en-AU"/>
              </w:rPr>
            </w:pPr>
            <w:r w:rsidRPr="00BA7BAF">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BA7BAF" w:rsidRPr="00BA7BAF" w:rsidRDefault="00BA7BAF" w:rsidP="00F034AF">
            <w:pPr>
              <w:spacing w:after="0" w:line="240" w:lineRule="auto"/>
              <w:ind w:firstLineChars="100" w:firstLine="181"/>
              <w:jc w:val="right"/>
              <w:rPr>
                <w:rFonts w:cs="Arial"/>
                <w:b/>
                <w:bCs/>
                <w:color w:val="FFFFFF"/>
                <w:sz w:val="18"/>
                <w:szCs w:val="18"/>
                <w:lang w:eastAsia="en-AU"/>
              </w:rPr>
            </w:pPr>
            <w:r w:rsidRPr="00BA7BAF">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BA7BAF" w:rsidRPr="00BA7BAF" w:rsidRDefault="00BA7BAF" w:rsidP="00F034AF">
            <w:pPr>
              <w:spacing w:after="0" w:line="240" w:lineRule="auto"/>
              <w:ind w:firstLineChars="100" w:firstLine="181"/>
              <w:jc w:val="right"/>
              <w:rPr>
                <w:rFonts w:cs="Arial"/>
                <w:b/>
                <w:bCs/>
                <w:color w:val="FFFFFF"/>
                <w:sz w:val="18"/>
                <w:szCs w:val="18"/>
                <w:lang w:eastAsia="en-AU"/>
              </w:rPr>
            </w:pPr>
            <w:r w:rsidRPr="00BA7BAF">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 change</w:t>
            </w:r>
            <w:r w:rsidRPr="00BA7BAF">
              <w:rPr>
                <w:rFonts w:cs="Arial"/>
                <w:b/>
                <w:bCs/>
                <w:color w:val="FFFFFF"/>
                <w:sz w:val="18"/>
                <w:szCs w:val="18"/>
                <w:lang w:eastAsia="en-AU"/>
              </w:rPr>
              <w:br/>
              <w:t>2008-2012</w:t>
            </w:r>
          </w:p>
        </w:tc>
      </w:tr>
      <w:tr w:rsidR="00BA7BAF" w:rsidRPr="00BA7BAF" w:rsidTr="00BA7BAF">
        <w:trPr>
          <w:trHeight w:hRule="exact" w:val="284"/>
        </w:trPr>
        <w:tc>
          <w:tcPr>
            <w:tcW w:w="1360" w:type="dxa"/>
            <w:tcBorders>
              <w:top w:val="nil"/>
              <w:left w:val="single" w:sz="4" w:space="0" w:color="5E8A00"/>
              <w:bottom w:val="single" w:sz="4" w:space="0" w:color="5E8A00"/>
              <w:right w:val="single" w:sz="4" w:space="0" w:color="5E8A00"/>
            </w:tcBorders>
            <w:shd w:val="clear" w:color="000000" w:fill="FFFFFF"/>
            <w:noWrap/>
            <w:vAlign w:val="bottom"/>
            <w:hideMark/>
          </w:tcPr>
          <w:p w:rsidR="00BA7BAF" w:rsidRPr="00BA7BAF" w:rsidRDefault="00BA7BAF" w:rsidP="00BA7BAF">
            <w:pPr>
              <w:spacing w:after="0" w:line="240" w:lineRule="auto"/>
              <w:jc w:val="left"/>
              <w:rPr>
                <w:rFonts w:cs="Arial"/>
                <w:color w:val="3E5B00"/>
                <w:sz w:val="18"/>
                <w:szCs w:val="18"/>
                <w:lang w:eastAsia="en-AU"/>
              </w:rPr>
            </w:pPr>
            <w:r w:rsidRPr="00BA7BAF">
              <w:rPr>
                <w:rFonts w:cs="Arial"/>
                <w:color w:val="3E5B00"/>
                <w:sz w:val="18"/>
                <w:szCs w:val="18"/>
                <w:lang w:eastAsia="en-AU"/>
              </w:rPr>
              <w:t>ACE</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73,800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68,300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63,800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64,600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80,200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9%</w:t>
            </w:r>
          </w:p>
        </w:tc>
      </w:tr>
      <w:tr w:rsidR="00BA7BAF" w:rsidRPr="00BA7BAF" w:rsidTr="00BA7BAF">
        <w:trPr>
          <w:trHeight w:hRule="exact" w:val="284"/>
        </w:trPr>
        <w:tc>
          <w:tcPr>
            <w:tcW w:w="1360" w:type="dxa"/>
            <w:tcBorders>
              <w:top w:val="nil"/>
              <w:left w:val="single" w:sz="4" w:space="0" w:color="5E8A00"/>
              <w:bottom w:val="single" w:sz="4" w:space="0" w:color="5E8A00"/>
              <w:right w:val="single" w:sz="4" w:space="0" w:color="5E8A00"/>
            </w:tcBorders>
            <w:shd w:val="clear" w:color="000000" w:fill="FFFFFF"/>
            <w:noWrap/>
            <w:vAlign w:val="bottom"/>
            <w:hideMark/>
          </w:tcPr>
          <w:p w:rsidR="00BA7BAF" w:rsidRPr="00BA7BAF" w:rsidRDefault="00BA7BAF" w:rsidP="00BA7BAF">
            <w:pPr>
              <w:spacing w:after="0" w:line="240" w:lineRule="auto"/>
              <w:jc w:val="left"/>
              <w:rPr>
                <w:rFonts w:cs="Arial"/>
                <w:color w:val="3E5B00"/>
                <w:sz w:val="18"/>
                <w:szCs w:val="18"/>
                <w:lang w:eastAsia="en-AU"/>
              </w:rPr>
            </w:pPr>
            <w:r w:rsidRPr="00BA7BAF">
              <w:rPr>
                <w:rFonts w:cs="Arial"/>
                <w:color w:val="3E5B00"/>
                <w:sz w:val="18"/>
                <w:szCs w:val="18"/>
                <w:lang w:eastAsia="en-AU"/>
              </w:rPr>
              <w:t>PRIV</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54,000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57,400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99,800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220,700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308,800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472%</w:t>
            </w:r>
          </w:p>
        </w:tc>
      </w:tr>
      <w:tr w:rsidR="00BA7BAF" w:rsidRPr="00BA7BAF" w:rsidTr="00B56F89">
        <w:trPr>
          <w:trHeight w:hRule="exact" w:val="284"/>
        </w:trPr>
        <w:tc>
          <w:tcPr>
            <w:tcW w:w="1360" w:type="dxa"/>
            <w:tcBorders>
              <w:top w:val="nil"/>
              <w:left w:val="single" w:sz="4" w:space="0" w:color="5E8A00"/>
              <w:bottom w:val="single" w:sz="4" w:space="0" w:color="5E8A00"/>
              <w:right w:val="single" w:sz="4" w:space="0" w:color="5E8A00"/>
            </w:tcBorders>
            <w:shd w:val="clear" w:color="000000" w:fill="FFFFFF"/>
            <w:noWrap/>
            <w:vAlign w:val="bottom"/>
            <w:hideMark/>
          </w:tcPr>
          <w:p w:rsidR="00BA7BAF" w:rsidRPr="00BA7BAF" w:rsidRDefault="00BA7BAF" w:rsidP="00BA7BAF">
            <w:pPr>
              <w:spacing w:after="0" w:line="240" w:lineRule="auto"/>
              <w:jc w:val="left"/>
              <w:rPr>
                <w:rFonts w:cs="Arial"/>
                <w:color w:val="3E5B00"/>
                <w:sz w:val="18"/>
                <w:szCs w:val="18"/>
                <w:lang w:eastAsia="en-AU"/>
              </w:rPr>
            </w:pPr>
            <w:r w:rsidRPr="00BA7BAF">
              <w:rPr>
                <w:rFonts w:cs="Arial"/>
                <w:color w:val="3E5B00"/>
                <w:sz w:val="18"/>
                <w:szCs w:val="18"/>
                <w:lang w:eastAsia="en-AU"/>
              </w:rPr>
              <w:t>TAFE</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253,500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251,100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263,300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263,500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281,400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11%</w:t>
            </w:r>
          </w:p>
        </w:tc>
      </w:tr>
      <w:tr w:rsidR="00BA7BAF" w:rsidRPr="00BA7BAF" w:rsidTr="00B56F89">
        <w:trPr>
          <w:trHeight w:hRule="exact" w:val="284"/>
        </w:trPr>
        <w:tc>
          <w:tcPr>
            <w:tcW w:w="1360" w:type="dxa"/>
            <w:tcBorders>
              <w:top w:val="single" w:sz="4" w:space="0" w:color="5E8A00"/>
              <w:left w:val="single" w:sz="4" w:space="0" w:color="5E8A00"/>
              <w:bottom w:val="single" w:sz="4" w:space="0" w:color="5E8A00"/>
            </w:tcBorders>
            <w:shd w:val="clear" w:color="000000" w:fill="5E8A00"/>
            <w:noWrap/>
            <w:vAlign w:val="bottom"/>
            <w:hideMark/>
          </w:tcPr>
          <w:p w:rsidR="00BA7BAF" w:rsidRPr="00BA7BAF" w:rsidRDefault="00BA7BAF" w:rsidP="00BA7BAF">
            <w:pPr>
              <w:spacing w:after="0" w:line="240" w:lineRule="auto"/>
              <w:jc w:val="left"/>
              <w:rPr>
                <w:rFonts w:cs="Arial"/>
                <w:b/>
                <w:bCs/>
                <w:color w:val="FFFFFF"/>
                <w:sz w:val="18"/>
                <w:szCs w:val="18"/>
                <w:lang w:eastAsia="en-AU"/>
              </w:rPr>
            </w:pPr>
            <w:r w:rsidRPr="00BA7BAF">
              <w:rPr>
                <w:rFonts w:cs="Arial"/>
                <w:b/>
                <w:bCs/>
                <w:color w:val="FFFFFF"/>
                <w:sz w:val="18"/>
                <w:szCs w:val="18"/>
                <w:lang w:eastAsia="en-AU"/>
              </w:rPr>
              <w:t>Total</w:t>
            </w:r>
          </w:p>
        </w:tc>
        <w:tc>
          <w:tcPr>
            <w:tcW w:w="1120" w:type="dxa"/>
            <w:tcBorders>
              <w:top w:val="single" w:sz="4" w:space="0" w:color="5E8A00"/>
              <w:bottom w:val="single" w:sz="4" w:space="0" w:color="5E8A00"/>
            </w:tcBorders>
            <w:shd w:val="clear" w:color="000000" w:fill="5E8A00"/>
            <w:noWrap/>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 xml:space="preserve">381,300 </w:t>
            </w:r>
          </w:p>
        </w:tc>
        <w:tc>
          <w:tcPr>
            <w:tcW w:w="1120" w:type="dxa"/>
            <w:tcBorders>
              <w:top w:val="single" w:sz="4" w:space="0" w:color="5E8A00"/>
              <w:bottom w:val="single" w:sz="4" w:space="0" w:color="5E8A00"/>
            </w:tcBorders>
            <w:shd w:val="clear" w:color="000000" w:fill="5E8A00"/>
            <w:noWrap/>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 xml:space="preserve">376,800 </w:t>
            </w:r>
          </w:p>
        </w:tc>
        <w:tc>
          <w:tcPr>
            <w:tcW w:w="1120" w:type="dxa"/>
            <w:tcBorders>
              <w:top w:val="single" w:sz="4" w:space="0" w:color="5E8A00"/>
              <w:bottom w:val="single" w:sz="4" w:space="0" w:color="5E8A00"/>
            </w:tcBorders>
            <w:shd w:val="clear" w:color="000000" w:fill="5E8A00"/>
            <w:noWrap/>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 xml:space="preserve">426,900 </w:t>
            </w:r>
          </w:p>
        </w:tc>
        <w:tc>
          <w:tcPr>
            <w:tcW w:w="1120" w:type="dxa"/>
            <w:tcBorders>
              <w:top w:val="single" w:sz="4" w:space="0" w:color="5E8A00"/>
              <w:bottom w:val="single" w:sz="4" w:space="0" w:color="5E8A00"/>
            </w:tcBorders>
            <w:shd w:val="clear" w:color="000000" w:fill="5E8A00"/>
            <w:noWrap/>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 xml:space="preserve">548,700 </w:t>
            </w:r>
          </w:p>
        </w:tc>
        <w:tc>
          <w:tcPr>
            <w:tcW w:w="1120" w:type="dxa"/>
            <w:tcBorders>
              <w:top w:val="single" w:sz="4" w:space="0" w:color="5E8A00"/>
              <w:bottom w:val="single" w:sz="4" w:space="0" w:color="5E8A00"/>
            </w:tcBorders>
            <w:shd w:val="clear" w:color="000000" w:fill="5E8A00"/>
            <w:noWrap/>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 xml:space="preserve">670,400 </w:t>
            </w:r>
          </w:p>
        </w:tc>
        <w:tc>
          <w:tcPr>
            <w:tcW w:w="1120" w:type="dxa"/>
            <w:tcBorders>
              <w:top w:val="single" w:sz="4" w:space="0" w:color="5E8A00"/>
              <w:bottom w:val="single" w:sz="4" w:space="0" w:color="5E8A00"/>
              <w:right w:val="single" w:sz="4" w:space="0" w:color="5E8A00"/>
            </w:tcBorders>
            <w:shd w:val="clear" w:color="000000" w:fill="5E8A00"/>
            <w:noWrap/>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76%</w:t>
            </w:r>
          </w:p>
        </w:tc>
      </w:tr>
    </w:tbl>
    <w:p w:rsidR="00927329" w:rsidRDefault="00927329" w:rsidP="00927329">
      <w:pPr>
        <w:rPr>
          <w:rFonts w:cs="Arial"/>
        </w:rPr>
      </w:pPr>
    </w:p>
    <w:p w:rsidR="00BA7BAF" w:rsidRPr="001F29E3" w:rsidRDefault="00BA7BAF" w:rsidP="00BA7BAF">
      <w:pPr>
        <w:pStyle w:val="Caption"/>
        <w:spacing w:after="0"/>
        <w:jc w:val="left"/>
        <w:rPr>
          <w:rFonts w:cs="Arial"/>
        </w:rPr>
      </w:pPr>
      <w:r w:rsidRPr="001F29E3">
        <w:rPr>
          <w:rFonts w:cs="Arial"/>
        </w:rPr>
        <w:t>Table 1</w:t>
      </w:r>
      <w:r>
        <w:rPr>
          <w:rFonts w:cs="Arial"/>
        </w:rPr>
        <w:t>.1</w:t>
      </w:r>
      <w:r w:rsidR="004D1F77">
        <w:rPr>
          <w:rFonts w:cs="Arial"/>
        </w:rPr>
        <w:t>4</w:t>
      </w:r>
      <w:r>
        <w:rPr>
          <w:rFonts w:cs="Arial"/>
        </w:rPr>
        <w:t>.2</w:t>
      </w:r>
      <w:r w:rsidRPr="001F29E3">
        <w:rPr>
          <w:rFonts w:cs="Arial"/>
        </w:rPr>
        <w:t xml:space="preserve">: Government subsidised enrolments by provider type, </w:t>
      </w:r>
      <w:r>
        <w:rPr>
          <w:rFonts w:cs="Arial"/>
        </w:rPr>
        <w:t xml:space="preserve">Q2 2011, </w:t>
      </w:r>
      <w:r w:rsidRPr="001F29E3">
        <w:rPr>
          <w:rFonts w:cs="Arial"/>
        </w:rPr>
        <w:t>Q</w:t>
      </w:r>
      <w:r>
        <w:rPr>
          <w:rFonts w:cs="Arial"/>
        </w:rPr>
        <w:t>2</w:t>
      </w:r>
      <w:r w:rsidRPr="001F29E3">
        <w:rPr>
          <w:rFonts w:cs="Arial"/>
        </w:rPr>
        <w:t xml:space="preserve"> 2012 and Q</w:t>
      </w:r>
      <w:r>
        <w:rPr>
          <w:rFonts w:cs="Arial"/>
        </w:rPr>
        <w:t>2</w:t>
      </w:r>
      <w:r w:rsidRPr="001F29E3">
        <w:rPr>
          <w:rFonts w:cs="Arial"/>
        </w:rPr>
        <w:t xml:space="preserve"> 2013</w:t>
      </w:r>
    </w:p>
    <w:tbl>
      <w:tblPr>
        <w:tblW w:w="6960" w:type="dxa"/>
        <w:tblInd w:w="103" w:type="dxa"/>
        <w:tblLook w:val="04A0" w:firstRow="1" w:lastRow="0" w:firstColumn="1" w:lastColumn="0" w:noHBand="0" w:noVBand="1"/>
      </w:tblPr>
      <w:tblGrid>
        <w:gridCol w:w="1360"/>
        <w:gridCol w:w="1120"/>
        <w:gridCol w:w="1120"/>
        <w:gridCol w:w="1120"/>
        <w:gridCol w:w="1120"/>
        <w:gridCol w:w="1120"/>
      </w:tblGrid>
      <w:tr w:rsidR="00BA7BAF" w:rsidRPr="00BA7BAF" w:rsidTr="00B56F89">
        <w:trPr>
          <w:trHeight w:hRule="exact" w:val="760"/>
        </w:trPr>
        <w:tc>
          <w:tcPr>
            <w:tcW w:w="1360" w:type="dxa"/>
            <w:tcBorders>
              <w:top w:val="single" w:sz="4" w:space="0" w:color="5E8A00"/>
              <w:left w:val="single" w:sz="4" w:space="0" w:color="5E8A00"/>
              <w:bottom w:val="single" w:sz="4" w:space="0" w:color="5E8A00"/>
            </w:tcBorders>
            <w:shd w:val="clear" w:color="000000" w:fill="5E8A00"/>
            <w:vAlign w:val="center"/>
            <w:hideMark/>
          </w:tcPr>
          <w:p w:rsidR="00BA7BAF" w:rsidRPr="00BA7BAF" w:rsidRDefault="00BA7BAF" w:rsidP="00F034AF">
            <w:pPr>
              <w:spacing w:after="0" w:line="240" w:lineRule="auto"/>
              <w:ind w:firstLineChars="100" w:firstLine="181"/>
              <w:jc w:val="right"/>
              <w:rPr>
                <w:rFonts w:cs="Arial"/>
                <w:b/>
                <w:bCs/>
                <w:color w:val="FFFFFF"/>
                <w:sz w:val="18"/>
                <w:szCs w:val="18"/>
                <w:lang w:eastAsia="en-AU"/>
              </w:rPr>
            </w:pPr>
            <w:r w:rsidRPr="00BA7BAF">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 change</w:t>
            </w:r>
            <w:r w:rsidRPr="00BA7BAF">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 change</w:t>
            </w:r>
            <w:r w:rsidRPr="00BA7BAF">
              <w:rPr>
                <w:rFonts w:cs="Arial"/>
                <w:b/>
                <w:bCs/>
                <w:color w:val="FFFFFF"/>
                <w:sz w:val="18"/>
                <w:szCs w:val="18"/>
                <w:lang w:eastAsia="en-AU"/>
              </w:rPr>
              <w:br/>
              <w:t>Q2 2012-Q2 2013</w:t>
            </w:r>
          </w:p>
        </w:tc>
      </w:tr>
      <w:tr w:rsidR="00BA7BAF" w:rsidRPr="00BA7BAF" w:rsidTr="00BA7BAF">
        <w:trPr>
          <w:trHeight w:hRule="exact" w:val="284"/>
        </w:trPr>
        <w:tc>
          <w:tcPr>
            <w:tcW w:w="1360" w:type="dxa"/>
            <w:tcBorders>
              <w:top w:val="nil"/>
              <w:left w:val="single" w:sz="4" w:space="0" w:color="5E8A00"/>
              <w:bottom w:val="single" w:sz="4" w:space="0" w:color="5E8A00"/>
              <w:right w:val="single" w:sz="4" w:space="0" w:color="5E8A00"/>
            </w:tcBorders>
            <w:shd w:val="clear" w:color="auto" w:fill="auto"/>
            <w:noWrap/>
            <w:vAlign w:val="bottom"/>
            <w:hideMark/>
          </w:tcPr>
          <w:p w:rsidR="00BA7BAF" w:rsidRPr="00BA7BAF" w:rsidRDefault="00BA7BAF" w:rsidP="00BA7BAF">
            <w:pPr>
              <w:spacing w:after="0" w:line="240" w:lineRule="auto"/>
              <w:jc w:val="left"/>
              <w:rPr>
                <w:rFonts w:cs="Arial"/>
                <w:sz w:val="18"/>
                <w:szCs w:val="18"/>
                <w:lang w:eastAsia="en-AU"/>
              </w:rPr>
            </w:pPr>
            <w:r w:rsidRPr="00BA7BAF">
              <w:rPr>
                <w:rFonts w:cs="Arial"/>
                <w:sz w:val="18"/>
                <w:szCs w:val="18"/>
                <w:lang w:eastAsia="en-AU"/>
              </w:rPr>
              <w:t xml:space="preserve"> ACE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32,500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45,100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40,000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23%</w:t>
            </w:r>
          </w:p>
        </w:tc>
        <w:tc>
          <w:tcPr>
            <w:tcW w:w="1120" w:type="dxa"/>
            <w:tcBorders>
              <w:top w:val="nil"/>
              <w:left w:val="nil"/>
              <w:bottom w:val="single" w:sz="4" w:space="0" w:color="5E8A00"/>
              <w:right w:val="single" w:sz="4" w:space="0" w:color="5E8A00"/>
            </w:tcBorders>
            <w:shd w:val="clear" w:color="auto" w:fill="auto"/>
            <w:noWrap/>
            <w:vAlign w:val="bottom"/>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-11%</w:t>
            </w:r>
          </w:p>
        </w:tc>
      </w:tr>
      <w:tr w:rsidR="00BA7BAF" w:rsidRPr="00BA7BAF" w:rsidTr="00BA7BAF">
        <w:trPr>
          <w:trHeight w:hRule="exact" w:val="284"/>
        </w:trPr>
        <w:tc>
          <w:tcPr>
            <w:tcW w:w="1360" w:type="dxa"/>
            <w:tcBorders>
              <w:top w:val="nil"/>
              <w:left w:val="single" w:sz="4" w:space="0" w:color="5E8A00"/>
              <w:bottom w:val="single" w:sz="4" w:space="0" w:color="5E8A00"/>
              <w:right w:val="single" w:sz="4" w:space="0" w:color="5E8A00"/>
            </w:tcBorders>
            <w:shd w:val="clear" w:color="auto" w:fill="auto"/>
            <w:noWrap/>
            <w:vAlign w:val="bottom"/>
            <w:hideMark/>
          </w:tcPr>
          <w:p w:rsidR="00BA7BAF" w:rsidRPr="00BA7BAF" w:rsidRDefault="00BA7BAF" w:rsidP="00BA7BAF">
            <w:pPr>
              <w:spacing w:after="0" w:line="240" w:lineRule="auto"/>
              <w:jc w:val="left"/>
              <w:rPr>
                <w:rFonts w:cs="Arial"/>
                <w:sz w:val="18"/>
                <w:szCs w:val="18"/>
                <w:lang w:eastAsia="en-AU"/>
              </w:rPr>
            </w:pPr>
            <w:r w:rsidRPr="00BA7BAF">
              <w:rPr>
                <w:rFonts w:cs="Arial"/>
                <w:sz w:val="18"/>
                <w:szCs w:val="18"/>
                <w:lang w:eastAsia="en-AU"/>
              </w:rPr>
              <w:t xml:space="preserve"> PRIV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112,000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200,500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179,900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61%</w:t>
            </w:r>
          </w:p>
        </w:tc>
        <w:tc>
          <w:tcPr>
            <w:tcW w:w="1120" w:type="dxa"/>
            <w:tcBorders>
              <w:top w:val="nil"/>
              <w:left w:val="nil"/>
              <w:bottom w:val="single" w:sz="4" w:space="0" w:color="5E8A00"/>
              <w:right w:val="single" w:sz="4" w:space="0" w:color="5E8A00"/>
            </w:tcBorders>
            <w:shd w:val="clear" w:color="auto" w:fill="auto"/>
            <w:noWrap/>
            <w:vAlign w:val="bottom"/>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-10%</w:t>
            </w:r>
          </w:p>
        </w:tc>
      </w:tr>
      <w:tr w:rsidR="00BA7BAF" w:rsidRPr="00BA7BAF" w:rsidTr="00B56F89">
        <w:trPr>
          <w:trHeight w:hRule="exact" w:val="284"/>
        </w:trPr>
        <w:tc>
          <w:tcPr>
            <w:tcW w:w="1360" w:type="dxa"/>
            <w:tcBorders>
              <w:top w:val="nil"/>
              <w:left w:val="single" w:sz="4" w:space="0" w:color="5E8A00"/>
              <w:bottom w:val="single" w:sz="4" w:space="0" w:color="5E8A00"/>
              <w:right w:val="single" w:sz="4" w:space="0" w:color="5E8A00"/>
            </w:tcBorders>
            <w:shd w:val="clear" w:color="auto" w:fill="auto"/>
            <w:noWrap/>
            <w:vAlign w:val="bottom"/>
            <w:hideMark/>
          </w:tcPr>
          <w:p w:rsidR="00BA7BAF" w:rsidRPr="00BA7BAF" w:rsidRDefault="00BA7BAF" w:rsidP="00BA7BAF">
            <w:pPr>
              <w:spacing w:after="0" w:line="240" w:lineRule="auto"/>
              <w:jc w:val="left"/>
              <w:rPr>
                <w:rFonts w:cs="Arial"/>
                <w:sz w:val="18"/>
                <w:szCs w:val="18"/>
                <w:lang w:eastAsia="en-AU"/>
              </w:rPr>
            </w:pPr>
            <w:r w:rsidRPr="00BA7BAF">
              <w:rPr>
                <w:rFonts w:cs="Arial"/>
                <w:sz w:val="18"/>
                <w:szCs w:val="18"/>
                <w:lang w:eastAsia="en-AU"/>
              </w:rPr>
              <w:t xml:space="preserve"> TAFE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175,900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212,500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 xml:space="preserve">179,100 </w:t>
            </w:r>
          </w:p>
        </w:tc>
        <w:tc>
          <w:tcPr>
            <w:tcW w:w="1120" w:type="dxa"/>
            <w:tcBorders>
              <w:top w:val="nil"/>
              <w:left w:val="nil"/>
              <w:bottom w:val="single" w:sz="4" w:space="0" w:color="5E8A00"/>
              <w:right w:val="single" w:sz="4" w:space="0" w:color="5E8A00"/>
            </w:tcBorders>
            <w:shd w:val="clear" w:color="auto" w:fill="auto"/>
            <w:noWrap/>
            <w:vAlign w:val="center"/>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2%</w:t>
            </w:r>
          </w:p>
        </w:tc>
        <w:tc>
          <w:tcPr>
            <w:tcW w:w="1120" w:type="dxa"/>
            <w:tcBorders>
              <w:top w:val="nil"/>
              <w:left w:val="nil"/>
              <w:bottom w:val="single" w:sz="4" w:space="0" w:color="5E8A00"/>
              <w:right w:val="single" w:sz="4" w:space="0" w:color="5E8A00"/>
            </w:tcBorders>
            <w:shd w:val="clear" w:color="auto" w:fill="auto"/>
            <w:noWrap/>
            <w:vAlign w:val="bottom"/>
            <w:hideMark/>
          </w:tcPr>
          <w:p w:rsidR="00BA7BAF" w:rsidRPr="00BA7BAF" w:rsidRDefault="00BA7BAF" w:rsidP="00BA7BAF">
            <w:pPr>
              <w:spacing w:after="0" w:line="240" w:lineRule="auto"/>
              <w:jc w:val="right"/>
              <w:rPr>
                <w:rFonts w:cs="Arial"/>
                <w:sz w:val="18"/>
                <w:szCs w:val="18"/>
                <w:lang w:eastAsia="en-AU"/>
              </w:rPr>
            </w:pPr>
            <w:r w:rsidRPr="00BA7BAF">
              <w:rPr>
                <w:rFonts w:cs="Arial"/>
                <w:sz w:val="18"/>
                <w:szCs w:val="18"/>
                <w:lang w:eastAsia="en-AU"/>
              </w:rPr>
              <w:t>-16%</w:t>
            </w:r>
          </w:p>
        </w:tc>
      </w:tr>
      <w:tr w:rsidR="00BA7BAF" w:rsidRPr="00BA7BAF" w:rsidTr="00B56F89">
        <w:trPr>
          <w:trHeight w:hRule="exact" w:val="284"/>
        </w:trPr>
        <w:tc>
          <w:tcPr>
            <w:tcW w:w="1360" w:type="dxa"/>
            <w:tcBorders>
              <w:top w:val="single" w:sz="4" w:space="0" w:color="5E8A00"/>
              <w:left w:val="single" w:sz="4" w:space="0" w:color="5E8A00"/>
              <w:bottom w:val="single" w:sz="4" w:space="0" w:color="5E8A00"/>
            </w:tcBorders>
            <w:shd w:val="clear" w:color="000000" w:fill="5E8A00"/>
            <w:noWrap/>
            <w:vAlign w:val="bottom"/>
            <w:hideMark/>
          </w:tcPr>
          <w:p w:rsidR="00BA7BAF" w:rsidRPr="00BA7BAF" w:rsidRDefault="00BA7BAF" w:rsidP="00BA7BAF">
            <w:pPr>
              <w:spacing w:after="0" w:line="240" w:lineRule="auto"/>
              <w:jc w:val="left"/>
              <w:rPr>
                <w:rFonts w:cs="Arial"/>
                <w:b/>
                <w:bCs/>
                <w:color w:val="FFFFFF"/>
                <w:sz w:val="18"/>
                <w:szCs w:val="18"/>
                <w:lang w:eastAsia="en-AU"/>
              </w:rPr>
            </w:pPr>
            <w:r w:rsidRPr="00BA7BAF">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 xml:space="preserve">320,400 </w:t>
            </w:r>
          </w:p>
        </w:tc>
        <w:tc>
          <w:tcPr>
            <w:tcW w:w="1120" w:type="dxa"/>
            <w:tcBorders>
              <w:top w:val="single" w:sz="4" w:space="0" w:color="5E8A00"/>
              <w:bottom w:val="nil"/>
            </w:tcBorders>
            <w:shd w:val="clear" w:color="000000" w:fill="5E8A00"/>
            <w:noWrap/>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 xml:space="preserve">458,100 </w:t>
            </w:r>
          </w:p>
        </w:tc>
        <w:tc>
          <w:tcPr>
            <w:tcW w:w="1120" w:type="dxa"/>
            <w:tcBorders>
              <w:top w:val="single" w:sz="4" w:space="0" w:color="5E8A00"/>
              <w:bottom w:val="nil"/>
            </w:tcBorders>
            <w:shd w:val="clear" w:color="000000" w:fill="5E8A00"/>
            <w:noWrap/>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 xml:space="preserve">399,000 </w:t>
            </w:r>
          </w:p>
        </w:tc>
        <w:tc>
          <w:tcPr>
            <w:tcW w:w="1120" w:type="dxa"/>
            <w:tcBorders>
              <w:top w:val="single" w:sz="4" w:space="0" w:color="5E8A00"/>
              <w:bottom w:val="nil"/>
            </w:tcBorders>
            <w:shd w:val="clear" w:color="000000" w:fill="5E8A00"/>
            <w:noWrap/>
            <w:vAlign w:val="center"/>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25%</w:t>
            </w:r>
          </w:p>
        </w:tc>
        <w:tc>
          <w:tcPr>
            <w:tcW w:w="1120" w:type="dxa"/>
            <w:tcBorders>
              <w:top w:val="single" w:sz="4" w:space="0" w:color="5E8A00"/>
              <w:bottom w:val="single" w:sz="4" w:space="0" w:color="5E8A00"/>
              <w:right w:val="single" w:sz="4" w:space="0" w:color="5E8A00"/>
            </w:tcBorders>
            <w:shd w:val="clear" w:color="000000" w:fill="5E8A00"/>
            <w:noWrap/>
            <w:vAlign w:val="bottom"/>
            <w:hideMark/>
          </w:tcPr>
          <w:p w:rsidR="00BA7BAF" w:rsidRPr="00BA7BAF" w:rsidRDefault="00BA7BAF" w:rsidP="00BA7BAF">
            <w:pPr>
              <w:spacing w:after="0" w:line="240" w:lineRule="auto"/>
              <w:jc w:val="right"/>
              <w:rPr>
                <w:rFonts w:cs="Arial"/>
                <w:b/>
                <w:bCs/>
                <w:color w:val="FFFFFF"/>
                <w:sz w:val="18"/>
                <w:szCs w:val="18"/>
                <w:lang w:eastAsia="en-AU"/>
              </w:rPr>
            </w:pPr>
            <w:r w:rsidRPr="00BA7BAF">
              <w:rPr>
                <w:rFonts w:cs="Arial"/>
                <w:b/>
                <w:bCs/>
                <w:color w:val="FFFFFF"/>
                <w:sz w:val="18"/>
                <w:szCs w:val="18"/>
                <w:lang w:eastAsia="en-AU"/>
              </w:rPr>
              <w:t>-13%</w:t>
            </w:r>
          </w:p>
        </w:tc>
      </w:tr>
    </w:tbl>
    <w:p w:rsidR="00A326AF" w:rsidRDefault="00A326AF" w:rsidP="001A618D">
      <w:pPr>
        <w:pStyle w:val="Caption"/>
        <w:jc w:val="left"/>
        <w:rPr>
          <w:rFonts w:cs="Arial"/>
        </w:rPr>
      </w:pPr>
    </w:p>
    <w:p w:rsidR="00A326AF" w:rsidRDefault="00A326AF">
      <w:pPr>
        <w:spacing w:after="0" w:line="240" w:lineRule="auto"/>
        <w:jc w:val="left"/>
        <w:rPr>
          <w:rFonts w:cs="Arial"/>
          <w:b/>
          <w:bCs/>
          <w:color w:val="76923C" w:themeColor="accent3" w:themeShade="BF"/>
          <w:sz w:val="18"/>
          <w:szCs w:val="16"/>
        </w:rPr>
      </w:pPr>
    </w:p>
    <w:p w:rsidR="00F31E54" w:rsidRPr="001F29E3" w:rsidRDefault="00F31E54" w:rsidP="001A618D">
      <w:pPr>
        <w:pStyle w:val="Caption"/>
        <w:jc w:val="left"/>
        <w:rPr>
          <w:rFonts w:cs="Arial"/>
        </w:rPr>
      </w:pPr>
      <w:r w:rsidRPr="001F29E3">
        <w:rPr>
          <w:rFonts w:cs="Arial"/>
        </w:rPr>
        <w:t>Figure 1.</w:t>
      </w:r>
      <w:r w:rsidR="005654CD">
        <w:rPr>
          <w:rFonts w:cs="Arial"/>
        </w:rPr>
        <w:t>5</w:t>
      </w:r>
      <w:r w:rsidRPr="001F29E3">
        <w:rPr>
          <w:rFonts w:cs="Arial"/>
        </w:rPr>
        <w:t>: Government subsidised enrolments by provider type, Q</w:t>
      </w:r>
      <w:r w:rsidR="00BA7BAF">
        <w:rPr>
          <w:rFonts w:cs="Arial"/>
        </w:rPr>
        <w:t>2</w:t>
      </w:r>
      <w:r w:rsidRPr="001F29E3">
        <w:rPr>
          <w:rFonts w:cs="Arial"/>
        </w:rPr>
        <w:t xml:space="preserve"> 2012 and Q</w:t>
      </w:r>
      <w:r w:rsidR="00BA7BAF">
        <w:rPr>
          <w:rFonts w:cs="Arial"/>
        </w:rPr>
        <w:t>2</w:t>
      </w:r>
      <w:r w:rsidRPr="001F29E3">
        <w:rPr>
          <w:rFonts w:cs="Arial"/>
        </w:rPr>
        <w:t xml:space="preserve"> 2013</w:t>
      </w:r>
    </w:p>
    <w:p w:rsidR="00C53935" w:rsidRPr="001F29E3" w:rsidRDefault="00D5609A" w:rsidP="00D5609A">
      <w:pPr>
        <w:jc w:val="left"/>
        <w:rPr>
          <w:rFonts w:cs="Arial"/>
        </w:rPr>
      </w:pPr>
      <w:r>
        <w:rPr>
          <w:rFonts w:cs="Arial"/>
          <w:noProof/>
          <w:lang w:eastAsia="en-AU"/>
        </w:rPr>
        <w:drawing>
          <wp:inline distT="0" distB="0" distL="0" distR="0" wp14:anchorId="19B27628" wp14:editId="6E6B9CF8">
            <wp:extent cx="5224780" cy="30054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24780" cy="3005455"/>
                    </a:xfrm>
                    <a:prstGeom prst="rect">
                      <a:avLst/>
                    </a:prstGeom>
                    <a:noFill/>
                  </pic:spPr>
                </pic:pic>
              </a:graphicData>
            </a:graphic>
          </wp:inline>
        </w:drawing>
      </w:r>
    </w:p>
    <w:p w:rsidR="00F31E54" w:rsidRDefault="00F31E54" w:rsidP="00927329">
      <w:pPr>
        <w:rPr>
          <w:rFonts w:cs="Arial"/>
        </w:rPr>
      </w:pPr>
    </w:p>
    <w:p w:rsidR="00E5780A" w:rsidRPr="00E5780A" w:rsidRDefault="001B6ED9" w:rsidP="00E5780A">
      <w:pPr>
        <w:pStyle w:val="Caption"/>
        <w:spacing w:before="240" w:after="0"/>
        <w:ind w:right="-11"/>
        <w:jc w:val="left"/>
      </w:pPr>
      <w:r>
        <w:t xml:space="preserve">Table </w:t>
      </w:r>
      <w:r w:rsidR="00E5780A">
        <w:t>1.1</w:t>
      </w:r>
      <w:r w:rsidR="005654CD">
        <w:t>5</w:t>
      </w:r>
      <w:r>
        <w:t xml:space="preserve">: </w:t>
      </w:r>
      <w:r w:rsidRPr="001B6ED9">
        <w:t>Government subsidised enrolments</w:t>
      </w:r>
      <w:r>
        <w:t xml:space="preserve"> (</w:t>
      </w:r>
      <w:r w:rsidRPr="001B6ED9">
        <w:t>AQF1+</w:t>
      </w:r>
      <w:r>
        <w:t>)</w:t>
      </w:r>
      <w:r w:rsidRPr="001B6ED9">
        <w:t xml:space="preserve">, proportional </w:t>
      </w:r>
      <w:r w:rsidR="00F1035A">
        <w:t>share</w:t>
      </w:r>
      <w:r w:rsidRPr="001B6ED9">
        <w:t xml:space="preserve"> across provider types by industry</w:t>
      </w:r>
      <w:r>
        <w:t>, Q2 2013</w:t>
      </w:r>
    </w:p>
    <w:tbl>
      <w:tblPr>
        <w:tblW w:w="7740" w:type="dxa"/>
        <w:tblInd w:w="103" w:type="dxa"/>
        <w:tblLook w:val="04A0" w:firstRow="1" w:lastRow="0" w:firstColumn="1" w:lastColumn="0" w:noHBand="0" w:noVBand="1"/>
      </w:tblPr>
      <w:tblGrid>
        <w:gridCol w:w="3900"/>
        <w:gridCol w:w="960"/>
        <w:gridCol w:w="960"/>
        <w:gridCol w:w="960"/>
        <w:gridCol w:w="960"/>
      </w:tblGrid>
      <w:tr w:rsidR="001B6ED9" w:rsidRPr="001B6ED9" w:rsidTr="00A26ADD">
        <w:trPr>
          <w:trHeight w:hRule="exact" w:val="760"/>
        </w:trPr>
        <w:tc>
          <w:tcPr>
            <w:tcW w:w="3900" w:type="dxa"/>
            <w:tcBorders>
              <w:top w:val="single" w:sz="4" w:space="0" w:color="5E8A00"/>
              <w:left w:val="single" w:sz="4" w:space="0" w:color="5E8A00"/>
              <w:bottom w:val="single" w:sz="4" w:space="0" w:color="5E8A00"/>
            </w:tcBorders>
            <w:shd w:val="clear" w:color="000000" w:fill="5E8A00"/>
            <w:vAlign w:val="center"/>
            <w:hideMark/>
          </w:tcPr>
          <w:p w:rsidR="001B6ED9" w:rsidRPr="001B6ED9" w:rsidRDefault="001B6ED9" w:rsidP="00F034AF">
            <w:pPr>
              <w:spacing w:after="0" w:line="240" w:lineRule="auto"/>
              <w:ind w:firstLineChars="100" w:firstLine="161"/>
              <w:jc w:val="right"/>
              <w:rPr>
                <w:rFonts w:cs="Arial"/>
                <w:b/>
                <w:bCs/>
                <w:color w:val="FFFFFF"/>
                <w:sz w:val="16"/>
                <w:szCs w:val="16"/>
                <w:lang w:eastAsia="en-AU"/>
              </w:rPr>
            </w:pPr>
            <w:r w:rsidRPr="001B6ED9">
              <w:rPr>
                <w:rFonts w:cs="Arial"/>
                <w:b/>
                <w:bCs/>
                <w:color w:val="FFFFFF"/>
                <w:sz w:val="16"/>
                <w:szCs w:val="16"/>
                <w:lang w:eastAsia="en-AU"/>
              </w:rPr>
              <w:t> </w:t>
            </w:r>
          </w:p>
        </w:tc>
        <w:tc>
          <w:tcPr>
            <w:tcW w:w="960" w:type="dxa"/>
            <w:tcBorders>
              <w:top w:val="single" w:sz="4" w:space="0" w:color="5E8A00"/>
              <w:bottom w:val="single" w:sz="4" w:space="0" w:color="5E8A00"/>
            </w:tcBorders>
            <w:shd w:val="clear" w:color="000000" w:fill="5E8A00"/>
            <w:vAlign w:val="center"/>
            <w:hideMark/>
          </w:tcPr>
          <w:p w:rsidR="001B6ED9" w:rsidRPr="001B6ED9" w:rsidRDefault="001B6ED9" w:rsidP="001B6ED9">
            <w:pPr>
              <w:spacing w:after="0" w:line="240" w:lineRule="auto"/>
              <w:jc w:val="right"/>
              <w:rPr>
                <w:rFonts w:cs="Arial"/>
                <w:b/>
                <w:bCs/>
                <w:color w:val="FFFFFF"/>
                <w:sz w:val="16"/>
                <w:szCs w:val="16"/>
                <w:lang w:eastAsia="en-AU"/>
              </w:rPr>
            </w:pPr>
            <w:r w:rsidRPr="001B6ED9">
              <w:rPr>
                <w:rFonts w:cs="Arial"/>
                <w:b/>
                <w:bCs/>
                <w:color w:val="FFFFFF"/>
                <w:sz w:val="16"/>
                <w:szCs w:val="16"/>
                <w:lang w:eastAsia="en-AU"/>
              </w:rPr>
              <w:t>TAFE</w:t>
            </w:r>
          </w:p>
        </w:tc>
        <w:tc>
          <w:tcPr>
            <w:tcW w:w="960" w:type="dxa"/>
            <w:tcBorders>
              <w:top w:val="single" w:sz="4" w:space="0" w:color="5E8A00"/>
              <w:bottom w:val="single" w:sz="4" w:space="0" w:color="5E8A00"/>
            </w:tcBorders>
            <w:shd w:val="clear" w:color="000000" w:fill="5E8A00"/>
            <w:vAlign w:val="center"/>
            <w:hideMark/>
          </w:tcPr>
          <w:p w:rsidR="001B6ED9" w:rsidRPr="001B6ED9" w:rsidRDefault="001B6ED9" w:rsidP="001B6ED9">
            <w:pPr>
              <w:spacing w:after="0" w:line="240" w:lineRule="auto"/>
              <w:jc w:val="right"/>
              <w:rPr>
                <w:rFonts w:cs="Arial"/>
                <w:b/>
                <w:bCs/>
                <w:color w:val="FFFFFF"/>
                <w:sz w:val="16"/>
                <w:szCs w:val="16"/>
                <w:lang w:eastAsia="en-AU"/>
              </w:rPr>
            </w:pPr>
            <w:r w:rsidRPr="001B6ED9">
              <w:rPr>
                <w:rFonts w:cs="Arial"/>
                <w:b/>
                <w:bCs/>
                <w:color w:val="FFFFFF"/>
                <w:sz w:val="16"/>
                <w:szCs w:val="16"/>
                <w:lang w:eastAsia="en-AU"/>
              </w:rPr>
              <w:t>Private RTOs</w:t>
            </w:r>
          </w:p>
        </w:tc>
        <w:tc>
          <w:tcPr>
            <w:tcW w:w="960" w:type="dxa"/>
            <w:tcBorders>
              <w:top w:val="single" w:sz="4" w:space="0" w:color="5E8A00"/>
              <w:bottom w:val="single" w:sz="4" w:space="0" w:color="5E8A00"/>
            </w:tcBorders>
            <w:shd w:val="clear" w:color="000000" w:fill="5E8A00"/>
            <w:vAlign w:val="center"/>
            <w:hideMark/>
          </w:tcPr>
          <w:p w:rsidR="001B6ED9" w:rsidRPr="001B6ED9" w:rsidRDefault="001B6ED9" w:rsidP="001B6ED9">
            <w:pPr>
              <w:spacing w:after="0" w:line="240" w:lineRule="auto"/>
              <w:jc w:val="right"/>
              <w:rPr>
                <w:rFonts w:cs="Arial"/>
                <w:b/>
                <w:bCs/>
                <w:color w:val="FFFFFF"/>
                <w:sz w:val="16"/>
                <w:szCs w:val="16"/>
                <w:lang w:eastAsia="en-AU"/>
              </w:rPr>
            </w:pPr>
            <w:r w:rsidRPr="001B6ED9">
              <w:rPr>
                <w:rFonts w:cs="Arial"/>
                <w:b/>
                <w:bCs/>
                <w:color w:val="FFFFFF"/>
                <w:sz w:val="16"/>
                <w:szCs w:val="16"/>
                <w:lang w:eastAsia="en-AU"/>
              </w:rPr>
              <w:t>ACE</w:t>
            </w:r>
          </w:p>
        </w:tc>
        <w:tc>
          <w:tcPr>
            <w:tcW w:w="960" w:type="dxa"/>
            <w:tcBorders>
              <w:top w:val="single" w:sz="4" w:space="0" w:color="5E8A00"/>
              <w:bottom w:val="single" w:sz="4" w:space="0" w:color="5E8A00"/>
              <w:right w:val="single" w:sz="4" w:space="0" w:color="5E8A00"/>
            </w:tcBorders>
            <w:shd w:val="clear" w:color="000000" w:fill="5E8A00"/>
            <w:vAlign w:val="center"/>
            <w:hideMark/>
          </w:tcPr>
          <w:p w:rsidR="001B6ED9" w:rsidRPr="001B6ED9" w:rsidRDefault="001B6ED9" w:rsidP="001B6ED9">
            <w:pPr>
              <w:spacing w:after="0" w:line="240" w:lineRule="auto"/>
              <w:jc w:val="right"/>
              <w:rPr>
                <w:rFonts w:cs="Arial"/>
                <w:b/>
                <w:bCs/>
                <w:color w:val="FFFFFF"/>
                <w:sz w:val="16"/>
                <w:szCs w:val="16"/>
                <w:lang w:eastAsia="en-AU"/>
              </w:rPr>
            </w:pPr>
            <w:r w:rsidRPr="001B6ED9">
              <w:rPr>
                <w:rFonts w:cs="Arial"/>
                <w:b/>
                <w:bCs/>
                <w:color w:val="FFFFFF"/>
                <w:sz w:val="16"/>
                <w:szCs w:val="16"/>
                <w:lang w:eastAsia="en-AU"/>
              </w:rPr>
              <w:t>Total (number)</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A: Agriculture, Forestry and Fishing</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54%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45%</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2%</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4,100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B: Mining</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83%</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17%</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250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C: Manufacturing</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38%</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62%</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26,500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D: Electricity, Gas, Water and Waste Services</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74%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26%</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350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E: Construction</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69%</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30%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37,600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F: Wholesale Trade</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19%</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81%</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1%</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600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G: Retail Trade</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24%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73%</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3%</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10,900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H: Accommodation and Food Services</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25%</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72%</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3%</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17,000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I: Transport, Postal and Warehousing</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21%</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79%</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20,900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J: Information Media and Telecommunications</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84%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14%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2%</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2,600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K: Financial and Insurance Services</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12%</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88%</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2,000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L: Rental, Hiring and Real Estate Services</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45%</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55%</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1,200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M: Professional, Scientific and Technical Services</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95%</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5%</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8,600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N: Administrative and Support Services</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27%</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70%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3%</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9,500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O: Public Administration and Safety</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34%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66%</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4,500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P: Education and Training</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48%</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42%</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10%</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7,700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Q: Health Care and Social Assistance</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31%</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58%</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11%</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56,300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R: Arts and Recreation Services</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54%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43%</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11,800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S: Other Services</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54%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43%</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3%</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14,400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T: Cross-industry</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27%</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69%</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42,700 </w:t>
            </w:r>
          </w:p>
        </w:tc>
      </w:tr>
      <w:tr w:rsidR="001B6ED9" w:rsidRPr="001B6ED9" w:rsidTr="00F1035A">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U: Foundation Skills and LOTE</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64%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24%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12%</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92,300 </w:t>
            </w:r>
          </w:p>
        </w:tc>
      </w:tr>
      <w:tr w:rsidR="001B6ED9" w:rsidRPr="001B6ED9" w:rsidTr="00A26ADD">
        <w:trPr>
          <w:trHeight w:hRule="exact" w:val="284"/>
        </w:trPr>
        <w:tc>
          <w:tcPr>
            <w:tcW w:w="3900" w:type="dxa"/>
            <w:tcBorders>
              <w:top w:val="nil"/>
              <w:left w:val="single" w:sz="4" w:space="0" w:color="5E8A00"/>
              <w:bottom w:val="single" w:sz="4" w:space="0" w:color="5E8A00"/>
              <w:right w:val="single" w:sz="4" w:space="0" w:color="5E8A00"/>
            </w:tcBorders>
            <w:shd w:val="clear" w:color="000000" w:fill="FFFFFF"/>
            <w:noWrap/>
            <w:vAlign w:val="center"/>
            <w:hideMark/>
          </w:tcPr>
          <w:p w:rsidR="001B6ED9" w:rsidRPr="001B6ED9" w:rsidRDefault="001B6ED9" w:rsidP="00F1035A">
            <w:pPr>
              <w:spacing w:after="0" w:line="240" w:lineRule="auto"/>
              <w:jc w:val="left"/>
              <w:rPr>
                <w:rFonts w:cs="Arial"/>
                <w:color w:val="3E5B00"/>
                <w:sz w:val="16"/>
                <w:szCs w:val="16"/>
                <w:lang w:eastAsia="en-AU"/>
              </w:rPr>
            </w:pPr>
            <w:r w:rsidRPr="001B6ED9">
              <w:rPr>
                <w:rFonts w:cs="Arial"/>
                <w:color w:val="3E5B00"/>
                <w:sz w:val="16"/>
                <w:szCs w:val="16"/>
                <w:lang w:eastAsia="en-AU"/>
              </w:rPr>
              <w:t>Not applicable / Unknown</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8%</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14%</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78%</w:t>
            </w:r>
          </w:p>
        </w:tc>
        <w:tc>
          <w:tcPr>
            <w:tcW w:w="960" w:type="dxa"/>
            <w:tcBorders>
              <w:top w:val="nil"/>
              <w:left w:val="nil"/>
              <w:bottom w:val="single" w:sz="4" w:space="0" w:color="5E8A00"/>
              <w:right w:val="single" w:sz="4" w:space="0" w:color="5E8A00"/>
            </w:tcBorders>
            <w:shd w:val="clear" w:color="auto" w:fill="auto"/>
            <w:noWrap/>
            <w:vAlign w:val="center"/>
            <w:hideMark/>
          </w:tcPr>
          <w:p w:rsidR="001B6ED9" w:rsidRPr="001B6ED9" w:rsidRDefault="001B6ED9" w:rsidP="001B6ED9">
            <w:pPr>
              <w:spacing w:after="0" w:line="240" w:lineRule="auto"/>
              <w:jc w:val="right"/>
              <w:rPr>
                <w:rFonts w:cs="Arial"/>
                <w:sz w:val="16"/>
                <w:szCs w:val="16"/>
                <w:lang w:eastAsia="en-AU"/>
              </w:rPr>
            </w:pPr>
            <w:r w:rsidRPr="001B6ED9">
              <w:rPr>
                <w:rFonts w:cs="Arial"/>
                <w:sz w:val="16"/>
                <w:szCs w:val="16"/>
                <w:lang w:eastAsia="en-AU"/>
              </w:rPr>
              <w:t xml:space="preserve">80 </w:t>
            </w:r>
          </w:p>
        </w:tc>
      </w:tr>
      <w:tr w:rsidR="001B6ED9" w:rsidRPr="001B6ED9" w:rsidTr="00A26ADD">
        <w:trPr>
          <w:trHeight w:hRule="exact" w:val="284"/>
        </w:trPr>
        <w:tc>
          <w:tcPr>
            <w:tcW w:w="3900" w:type="dxa"/>
            <w:tcBorders>
              <w:top w:val="single" w:sz="4" w:space="0" w:color="5E8A00"/>
              <w:left w:val="single" w:sz="4" w:space="0" w:color="5E8A00"/>
              <w:bottom w:val="single" w:sz="4" w:space="0" w:color="5E8A00"/>
            </w:tcBorders>
            <w:shd w:val="clear" w:color="000000" w:fill="5E8A00"/>
            <w:noWrap/>
            <w:vAlign w:val="center"/>
            <w:hideMark/>
          </w:tcPr>
          <w:p w:rsidR="001B6ED9" w:rsidRPr="001B6ED9" w:rsidRDefault="001B6ED9" w:rsidP="00F1035A">
            <w:pPr>
              <w:spacing w:after="0" w:line="240" w:lineRule="auto"/>
              <w:jc w:val="left"/>
              <w:rPr>
                <w:rFonts w:cs="Arial"/>
                <w:b/>
                <w:bCs/>
                <w:color w:val="FFFFFF"/>
                <w:sz w:val="16"/>
                <w:szCs w:val="16"/>
                <w:lang w:eastAsia="en-AU"/>
              </w:rPr>
            </w:pPr>
            <w:r w:rsidRPr="001B6ED9">
              <w:rPr>
                <w:rFonts w:cs="Arial"/>
                <w:b/>
                <w:bCs/>
                <w:color w:val="FFFFFF"/>
                <w:sz w:val="16"/>
                <w:szCs w:val="16"/>
                <w:lang w:eastAsia="en-AU"/>
              </w:rPr>
              <w:t>Total (AQF1+)</w:t>
            </w:r>
          </w:p>
        </w:tc>
        <w:tc>
          <w:tcPr>
            <w:tcW w:w="960" w:type="dxa"/>
            <w:tcBorders>
              <w:top w:val="single" w:sz="4" w:space="0" w:color="5E8A00"/>
              <w:bottom w:val="single" w:sz="4" w:space="0" w:color="5E8A00"/>
            </w:tcBorders>
            <w:shd w:val="clear" w:color="000000" w:fill="5E8A00"/>
            <w:noWrap/>
            <w:vAlign w:val="center"/>
            <w:hideMark/>
          </w:tcPr>
          <w:p w:rsidR="001B6ED9" w:rsidRPr="001B6ED9" w:rsidRDefault="001B6ED9" w:rsidP="001B6ED9">
            <w:pPr>
              <w:spacing w:after="0" w:line="240" w:lineRule="auto"/>
              <w:jc w:val="right"/>
              <w:rPr>
                <w:rFonts w:cs="Arial"/>
                <w:b/>
                <w:bCs/>
                <w:color w:val="FFFFFF"/>
                <w:sz w:val="16"/>
                <w:szCs w:val="16"/>
                <w:lang w:eastAsia="en-AU"/>
              </w:rPr>
            </w:pPr>
            <w:r w:rsidRPr="001B6ED9">
              <w:rPr>
                <w:rFonts w:cs="Arial"/>
                <w:b/>
                <w:bCs/>
                <w:color w:val="FFFFFF"/>
                <w:sz w:val="16"/>
                <w:szCs w:val="16"/>
                <w:lang w:eastAsia="en-AU"/>
              </w:rPr>
              <w:t>46%</w:t>
            </w:r>
          </w:p>
        </w:tc>
        <w:tc>
          <w:tcPr>
            <w:tcW w:w="960" w:type="dxa"/>
            <w:tcBorders>
              <w:top w:val="single" w:sz="4" w:space="0" w:color="5E8A00"/>
              <w:bottom w:val="single" w:sz="4" w:space="0" w:color="5E8A00"/>
            </w:tcBorders>
            <w:shd w:val="clear" w:color="000000" w:fill="5E8A00"/>
            <w:noWrap/>
            <w:vAlign w:val="center"/>
            <w:hideMark/>
          </w:tcPr>
          <w:p w:rsidR="001B6ED9" w:rsidRPr="001B6ED9" w:rsidRDefault="001B6ED9" w:rsidP="001B6ED9">
            <w:pPr>
              <w:spacing w:after="0" w:line="240" w:lineRule="auto"/>
              <w:jc w:val="right"/>
              <w:rPr>
                <w:rFonts w:cs="Arial"/>
                <w:b/>
                <w:bCs/>
                <w:color w:val="FFFFFF"/>
                <w:sz w:val="16"/>
                <w:szCs w:val="16"/>
                <w:lang w:eastAsia="en-AU"/>
              </w:rPr>
            </w:pPr>
            <w:r w:rsidRPr="001B6ED9">
              <w:rPr>
                <w:rFonts w:cs="Arial"/>
                <w:b/>
                <w:bCs/>
                <w:color w:val="FFFFFF"/>
                <w:sz w:val="16"/>
                <w:szCs w:val="16"/>
                <w:lang w:eastAsia="en-AU"/>
              </w:rPr>
              <w:t>48%</w:t>
            </w:r>
          </w:p>
        </w:tc>
        <w:tc>
          <w:tcPr>
            <w:tcW w:w="960" w:type="dxa"/>
            <w:tcBorders>
              <w:top w:val="single" w:sz="4" w:space="0" w:color="5E8A00"/>
              <w:bottom w:val="single" w:sz="4" w:space="0" w:color="5E8A00"/>
            </w:tcBorders>
            <w:shd w:val="clear" w:color="000000" w:fill="5E8A00"/>
            <w:noWrap/>
            <w:vAlign w:val="center"/>
            <w:hideMark/>
          </w:tcPr>
          <w:p w:rsidR="001B6ED9" w:rsidRPr="001B6ED9" w:rsidRDefault="001B6ED9" w:rsidP="001B6ED9">
            <w:pPr>
              <w:spacing w:after="0" w:line="240" w:lineRule="auto"/>
              <w:jc w:val="right"/>
              <w:rPr>
                <w:rFonts w:cs="Arial"/>
                <w:b/>
                <w:bCs/>
                <w:color w:val="FFFFFF"/>
                <w:sz w:val="16"/>
                <w:szCs w:val="16"/>
                <w:lang w:eastAsia="en-AU"/>
              </w:rPr>
            </w:pPr>
            <w:r w:rsidRPr="001B6ED9">
              <w:rPr>
                <w:rFonts w:cs="Arial"/>
                <w:b/>
                <w:bCs/>
                <w:color w:val="FFFFFF"/>
                <w:sz w:val="16"/>
                <w:szCs w:val="16"/>
                <w:lang w:eastAsia="en-AU"/>
              </w:rPr>
              <w:t>6%</w:t>
            </w:r>
          </w:p>
        </w:tc>
        <w:tc>
          <w:tcPr>
            <w:tcW w:w="960" w:type="dxa"/>
            <w:tcBorders>
              <w:top w:val="single" w:sz="4" w:space="0" w:color="5E8A00"/>
              <w:bottom w:val="single" w:sz="4" w:space="0" w:color="5E8A00"/>
              <w:right w:val="single" w:sz="4" w:space="0" w:color="5E8A00"/>
            </w:tcBorders>
            <w:shd w:val="clear" w:color="000000" w:fill="5E8A00"/>
            <w:noWrap/>
            <w:vAlign w:val="center"/>
            <w:hideMark/>
          </w:tcPr>
          <w:p w:rsidR="001B6ED9" w:rsidRPr="001B6ED9" w:rsidRDefault="001B6ED9" w:rsidP="001B6ED9">
            <w:pPr>
              <w:spacing w:after="0" w:line="240" w:lineRule="auto"/>
              <w:jc w:val="right"/>
              <w:rPr>
                <w:rFonts w:cs="Arial"/>
                <w:b/>
                <w:bCs/>
                <w:color w:val="FFFFFF"/>
                <w:sz w:val="16"/>
                <w:szCs w:val="16"/>
                <w:lang w:eastAsia="en-AU"/>
              </w:rPr>
            </w:pPr>
            <w:r w:rsidRPr="001B6ED9">
              <w:rPr>
                <w:rFonts w:cs="Arial"/>
                <w:b/>
                <w:bCs/>
                <w:color w:val="FFFFFF"/>
                <w:sz w:val="16"/>
                <w:szCs w:val="16"/>
                <w:lang w:eastAsia="en-AU"/>
              </w:rPr>
              <w:t xml:space="preserve">371,900 </w:t>
            </w:r>
          </w:p>
        </w:tc>
      </w:tr>
    </w:tbl>
    <w:p w:rsidR="007F6FCA" w:rsidRDefault="007F6FCA" w:rsidP="004D38C7">
      <w:pPr>
        <w:pStyle w:val="Caption"/>
        <w:spacing w:before="240"/>
        <w:ind w:right="-11"/>
        <w:jc w:val="left"/>
      </w:pPr>
    </w:p>
    <w:p w:rsidR="007F6FCA" w:rsidRDefault="007F6FCA">
      <w:pPr>
        <w:spacing w:after="0" w:line="240" w:lineRule="auto"/>
        <w:jc w:val="left"/>
        <w:rPr>
          <w:b/>
          <w:bCs/>
          <w:color w:val="76923C" w:themeColor="accent3" w:themeShade="BF"/>
          <w:sz w:val="18"/>
          <w:szCs w:val="16"/>
        </w:rPr>
      </w:pPr>
      <w:r>
        <w:br w:type="page"/>
      </w:r>
    </w:p>
    <w:p w:rsidR="00D5609A" w:rsidRDefault="00D5609A" w:rsidP="004D38C7">
      <w:pPr>
        <w:pStyle w:val="Caption"/>
        <w:spacing w:before="240"/>
        <w:ind w:right="-11"/>
        <w:jc w:val="left"/>
      </w:pPr>
      <w:r>
        <w:lastRenderedPageBreak/>
        <w:t>Table</w:t>
      </w:r>
      <w:r w:rsidR="007F6FCA">
        <w:t xml:space="preserve"> 1.</w:t>
      </w:r>
      <w:r w:rsidR="005654CD">
        <w:t>16</w:t>
      </w:r>
      <w:r>
        <w:t xml:space="preserve">: </w:t>
      </w:r>
      <w:r w:rsidR="004D38C7">
        <w:t>Government subsidised enrolments (AQF1+), s</w:t>
      </w:r>
      <w:r>
        <w:t xml:space="preserve">ummary of </w:t>
      </w:r>
      <w:r w:rsidR="004D38C7">
        <w:t xml:space="preserve">selected </w:t>
      </w:r>
      <w:r>
        <w:t xml:space="preserve">characteristics </w:t>
      </w:r>
      <w:r w:rsidR="004D38C7">
        <w:t>within provider type</w:t>
      </w:r>
      <w:r>
        <w:t>, Q2 2013</w:t>
      </w:r>
    </w:p>
    <w:p w:rsidR="00D66F93" w:rsidRPr="00D66F93" w:rsidRDefault="00A26ADD" w:rsidP="00D66F93">
      <w:r w:rsidRPr="00A26ADD">
        <w:rPr>
          <w:noProof/>
          <w:lang w:eastAsia="en-AU"/>
        </w:rPr>
        <w:drawing>
          <wp:inline distT="0" distB="0" distL="0" distR="0" wp14:anchorId="3171B807" wp14:editId="72ADA79A">
            <wp:extent cx="5760720" cy="5705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5705725"/>
                    </a:xfrm>
                    <a:prstGeom prst="rect">
                      <a:avLst/>
                    </a:prstGeom>
                    <a:noFill/>
                    <a:ln>
                      <a:noFill/>
                    </a:ln>
                  </pic:spPr>
                </pic:pic>
              </a:graphicData>
            </a:graphic>
          </wp:inline>
        </w:drawing>
      </w:r>
    </w:p>
    <w:p w:rsidR="00F05803" w:rsidRDefault="00F05803">
      <w:pPr>
        <w:spacing w:after="0" w:line="240" w:lineRule="auto"/>
        <w:jc w:val="left"/>
        <w:rPr>
          <w:rFonts w:cs="Arial"/>
          <w:bCs/>
          <w:iCs/>
          <w:color w:val="76923C" w:themeColor="accent3" w:themeShade="BF"/>
          <w:sz w:val="28"/>
          <w:szCs w:val="28"/>
        </w:rPr>
      </w:pPr>
      <w:bookmarkStart w:id="59" w:name="_Toc329936444"/>
      <w:r>
        <w:br w:type="page"/>
      </w:r>
    </w:p>
    <w:p w:rsidR="00351166" w:rsidRPr="001F29E3" w:rsidRDefault="00351166" w:rsidP="00A9260A">
      <w:pPr>
        <w:pStyle w:val="Heading2"/>
      </w:pPr>
      <w:bookmarkStart w:id="60" w:name="_Toc366588116"/>
      <w:r w:rsidRPr="001F29E3">
        <w:lastRenderedPageBreak/>
        <w:t>Adult, Community and Further Education (ACFE) Performance</w:t>
      </w:r>
      <w:bookmarkEnd w:id="60"/>
      <w:r w:rsidRPr="001F29E3">
        <w:t xml:space="preserve"> </w:t>
      </w:r>
    </w:p>
    <w:p w:rsidR="00351166" w:rsidRDefault="00351166" w:rsidP="00351166">
      <w:pPr>
        <w:rPr>
          <w:rFonts w:cs="Arial"/>
        </w:rPr>
      </w:pPr>
    </w:p>
    <w:p w:rsidR="001A743A" w:rsidRDefault="001A743A" w:rsidP="001A743A">
      <w:pPr>
        <w:pStyle w:val="Heading3"/>
      </w:pPr>
      <w:r w:rsidRPr="00EE522F">
        <w:t>AC</w:t>
      </w:r>
      <w:r>
        <w:t>F</w:t>
      </w:r>
      <w:r w:rsidRPr="00EE522F">
        <w:t xml:space="preserve">E </w:t>
      </w:r>
      <w:r>
        <w:t>Accredited and Pre-accredited enrolments</w:t>
      </w:r>
    </w:p>
    <w:p w:rsidR="001A743A" w:rsidRDefault="001A743A" w:rsidP="001A743A">
      <w:pPr>
        <w:rPr>
          <w:rFonts w:cs="Arial"/>
          <w:b/>
          <w:bCs/>
          <w:color w:val="76923C" w:themeColor="accent3" w:themeShade="BF"/>
          <w:szCs w:val="19"/>
        </w:rPr>
      </w:pPr>
    </w:p>
    <w:tbl>
      <w:tblPr>
        <w:tblStyle w:val="TableGrid"/>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9288"/>
      </w:tblGrid>
      <w:tr w:rsidR="001A743A" w:rsidTr="008603E7">
        <w:trPr>
          <w:tblHeader/>
        </w:trPr>
        <w:tc>
          <w:tcPr>
            <w:tcW w:w="9288" w:type="dxa"/>
            <w:shd w:val="clear" w:color="auto" w:fill="auto"/>
          </w:tcPr>
          <w:p w:rsidR="001A743A" w:rsidRDefault="001A743A" w:rsidP="00E1196B">
            <w:pPr>
              <w:pStyle w:val="Heading3"/>
              <w:outlineLvl w:val="2"/>
            </w:pPr>
            <w:r w:rsidRPr="001F29E3">
              <w:t>Key Points</w:t>
            </w:r>
          </w:p>
          <w:p w:rsidR="00A326AF" w:rsidRPr="00A326AF" w:rsidRDefault="00A326AF" w:rsidP="00A326AF"/>
          <w:p w:rsidR="001A743A" w:rsidRPr="005D642B" w:rsidRDefault="001A743A" w:rsidP="00E1196B">
            <w:pPr>
              <w:pStyle w:val="ListBullet"/>
              <w:numPr>
                <w:ilvl w:val="0"/>
                <w:numId w:val="10"/>
              </w:numPr>
              <w:ind w:right="113"/>
              <w:rPr>
                <w:rFonts w:cs="Arial"/>
              </w:rPr>
            </w:pPr>
            <w:r w:rsidRPr="005D642B">
              <w:rPr>
                <w:rFonts w:cs="Arial"/>
              </w:rPr>
              <w:t>Accredited enrolments</w:t>
            </w:r>
            <w:r>
              <w:rPr>
                <w:rFonts w:cs="Arial"/>
              </w:rPr>
              <w:t xml:space="preserve"> were 61</w:t>
            </w:r>
            <w:r w:rsidRPr="005D642B">
              <w:rPr>
                <w:rFonts w:cs="Arial"/>
              </w:rPr>
              <w:t xml:space="preserve"> per cent </w:t>
            </w:r>
            <w:r>
              <w:rPr>
                <w:rFonts w:cs="Arial"/>
              </w:rPr>
              <w:t xml:space="preserve">of all delivery reported by ACFE providers in </w:t>
            </w:r>
            <w:r w:rsidRPr="005D642B">
              <w:rPr>
                <w:rFonts w:cs="Arial"/>
              </w:rPr>
              <w:t xml:space="preserve">Q2 2013 </w:t>
            </w:r>
            <w:r>
              <w:rPr>
                <w:rFonts w:cs="Arial"/>
              </w:rPr>
              <w:t>(24,500 course enrolments)</w:t>
            </w:r>
            <w:r w:rsidRPr="005D642B">
              <w:rPr>
                <w:rFonts w:cs="Arial"/>
              </w:rPr>
              <w:t>. The industry sector</w:t>
            </w:r>
            <w:r>
              <w:rPr>
                <w:rFonts w:cs="Arial"/>
              </w:rPr>
              <w:t>s with greatest course enrolments</w:t>
            </w:r>
            <w:r w:rsidRPr="005D642B">
              <w:rPr>
                <w:rFonts w:cs="Arial"/>
              </w:rPr>
              <w:t xml:space="preserve"> were Foundation Skills and LOTE courses</w:t>
            </w:r>
            <w:r>
              <w:rPr>
                <w:rFonts w:cs="Arial"/>
              </w:rPr>
              <w:t xml:space="preserve">, at 13,500 course enrolments, and Health Care and Social Assistance at 6,100 course enrolments. </w:t>
            </w:r>
          </w:p>
          <w:p w:rsidR="001A743A" w:rsidRDefault="001A743A" w:rsidP="00E1196B">
            <w:pPr>
              <w:pStyle w:val="ListBullet"/>
              <w:numPr>
                <w:ilvl w:val="0"/>
                <w:numId w:val="10"/>
              </w:numPr>
              <w:ind w:right="113"/>
              <w:rPr>
                <w:rFonts w:cs="Arial"/>
                <w:b/>
                <w:bCs/>
                <w:color w:val="76923C" w:themeColor="accent3" w:themeShade="BF"/>
                <w:szCs w:val="19"/>
              </w:rPr>
            </w:pPr>
            <w:r w:rsidRPr="00686DA8">
              <w:rPr>
                <w:rFonts w:cs="Arial"/>
              </w:rPr>
              <w:t xml:space="preserve">Pre-accredited enrolments </w:t>
            </w:r>
            <w:r>
              <w:rPr>
                <w:rFonts w:cs="Arial"/>
              </w:rPr>
              <w:t>at 15,500 included an additional purchased 1,100 reported enrolments, represent an across the board increase in purchased delivery with particular emphasis on increasing digital literacy</w:t>
            </w:r>
            <w:r w:rsidRPr="00686DA8">
              <w:rPr>
                <w:rFonts w:cs="Arial"/>
              </w:rPr>
              <w:t xml:space="preserve">. </w:t>
            </w:r>
          </w:p>
        </w:tc>
      </w:tr>
    </w:tbl>
    <w:p w:rsidR="001A743A" w:rsidRDefault="001A743A" w:rsidP="00351166">
      <w:pPr>
        <w:rPr>
          <w:rFonts w:cs="Arial"/>
        </w:rPr>
      </w:pPr>
    </w:p>
    <w:p w:rsidR="00FA7172" w:rsidRPr="001F29E3" w:rsidRDefault="0051242C" w:rsidP="0051242C">
      <w:pPr>
        <w:pStyle w:val="Caption"/>
        <w:spacing w:after="0"/>
        <w:jc w:val="left"/>
        <w:rPr>
          <w:rFonts w:cs="Arial"/>
        </w:rPr>
      </w:pPr>
      <w:r>
        <w:rPr>
          <w:rFonts w:cs="Arial"/>
        </w:rPr>
        <w:t xml:space="preserve">Table </w:t>
      </w:r>
      <w:r w:rsidR="00FA7172" w:rsidRPr="001F29E3">
        <w:rPr>
          <w:rFonts w:cs="Arial"/>
        </w:rPr>
        <w:t>1.</w:t>
      </w:r>
      <w:r w:rsidR="005654CD">
        <w:rPr>
          <w:rFonts w:cs="Arial"/>
        </w:rPr>
        <w:t>17</w:t>
      </w:r>
      <w:r>
        <w:rPr>
          <w:rFonts w:cs="Arial"/>
        </w:rPr>
        <w:t>.1</w:t>
      </w:r>
      <w:r w:rsidR="00FA7172" w:rsidRPr="001F29E3">
        <w:rPr>
          <w:rFonts w:cs="Arial"/>
        </w:rPr>
        <w:t xml:space="preserve">: Government subsidised ACFE enrolments, </w:t>
      </w:r>
      <w:r w:rsidR="00AA38F4" w:rsidRPr="001F29E3">
        <w:rPr>
          <w:rFonts w:cs="Arial"/>
        </w:rPr>
        <w:t>2008-2012</w:t>
      </w:r>
    </w:p>
    <w:tbl>
      <w:tblPr>
        <w:tblW w:w="8220" w:type="dxa"/>
        <w:tblInd w:w="108" w:type="dxa"/>
        <w:tblLook w:val="04A0" w:firstRow="1" w:lastRow="0" w:firstColumn="1" w:lastColumn="0" w:noHBand="0" w:noVBand="1"/>
      </w:tblPr>
      <w:tblGrid>
        <w:gridCol w:w="1500"/>
        <w:gridCol w:w="1120"/>
        <w:gridCol w:w="1120"/>
        <w:gridCol w:w="1120"/>
        <w:gridCol w:w="1120"/>
        <w:gridCol w:w="1120"/>
        <w:gridCol w:w="1120"/>
      </w:tblGrid>
      <w:tr w:rsidR="0051242C" w:rsidRPr="0051242C" w:rsidTr="00C44B72">
        <w:trPr>
          <w:trHeight w:hRule="exact" w:val="760"/>
        </w:trPr>
        <w:tc>
          <w:tcPr>
            <w:tcW w:w="1500" w:type="dxa"/>
            <w:tcBorders>
              <w:top w:val="single" w:sz="4" w:space="0" w:color="5E8A00"/>
              <w:left w:val="single" w:sz="4" w:space="0" w:color="5E8A00"/>
              <w:bottom w:val="single" w:sz="4" w:space="0" w:color="5E8A00"/>
            </w:tcBorders>
            <w:shd w:val="clear" w:color="000000" w:fill="5E8A00"/>
            <w:noWrap/>
            <w:vAlign w:val="center"/>
            <w:hideMark/>
          </w:tcPr>
          <w:p w:rsidR="0051242C" w:rsidRPr="0051242C" w:rsidRDefault="0051242C" w:rsidP="00F034AF">
            <w:pPr>
              <w:spacing w:after="0" w:line="240" w:lineRule="auto"/>
              <w:ind w:firstLineChars="100" w:firstLine="181"/>
              <w:jc w:val="left"/>
              <w:rPr>
                <w:rFonts w:cs="Arial"/>
                <w:b/>
                <w:bCs/>
                <w:color w:val="FFFFFF"/>
                <w:sz w:val="18"/>
                <w:szCs w:val="18"/>
                <w:lang w:eastAsia="en-AU"/>
              </w:rPr>
            </w:pPr>
            <w:r w:rsidRPr="0051242C">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51242C" w:rsidRPr="0051242C" w:rsidRDefault="0051242C" w:rsidP="0051242C">
            <w:pPr>
              <w:spacing w:after="0" w:line="240" w:lineRule="auto"/>
              <w:jc w:val="right"/>
              <w:rPr>
                <w:rFonts w:cs="Arial"/>
                <w:b/>
                <w:bCs/>
                <w:color w:val="FFFFFF"/>
                <w:sz w:val="18"/>
                <w:szCs w:val="18"/>
                <w:lang w:eastAsia="en-AU"/>
              </w:rPr>
            </w:pPr>
            <w:r w:rsidRPr="0051242C">
              <w:rPr>
                <w:rFonts w:cs="Arial"/>
                <w:b/>
                <w:bCs/>
                <w:color w:val="FFFFFF"/>
                <w:sz w:val="18"/>
                <w:szCs w:val="18"/>
                <w:lang w:eastAsia="en-AU"/>
              </w:rPr>
              <w:t>% change 2008-2012</w:t>
            </w:r>
          </w:p>
        </w:tc>
      </w:tr>
      <w:tr w:rsidR="0051242C" w:rsidRPr="0051242C" w:rsidTr="0051242C">
        <w:trPr>
          <w:trHeight w:hRule="exact" w:val="284"/>
        </w:trPr>
        <w:tc>
          <w:tcPr>
            <w:tcW w:w="1500" w:type="dxa"/>
            <w:tcBorders>
              <w:top w:val="nil"/>
              <w:left w:val="single" w:sz="4" w:space="0" w:color="5E8A00"/>
              <w:bottom w:val="single" w:sz="4" w:space="0" w:color="5E8A00"/>
              <w:right w:val="single" w:sz="4" w:space="0" w:color="5E8A00"/>
            </w:tcBorders>
            <w:shd w:val="clear" w:color="000000" w:fill="FFFFFF"/>
            <w:noWrap/>
            <w:vAlign w:val="center"/>
            <w:hideMark/>
          </w:tcPr>
          <w:p w:rsidR="0051242C" w:rsidRPr="0051242C" w:rsidRDefault="0051242C" w:rsidP="0051242C">
            <w:pPr>
              <w:spacing w:after="0" w:line="240" w:lineRule="auto"/>
              <w:jc w:val="left"/>
              <w:rPr>
                <w:rFonts w:cs="Arial"/>
                <w:color w:val="3E5B00"/>
                <w:sz w:val="18"/>
                <w:szCs w:val="18"/>
                <w:lang w:eastAsia="en-AU"/>
              </w:rPr>
            </w:pPr>
            <w:r w:rsidRPr="0051242C">
              <w:rPr>
                <w:rFonts w:cs="Arial"/>
                <w:color w:val="3E5B00"/>
                <w:sz w:val="18"/>
                <w:szCs w:val="18"/>
                <w:lang w:eastAsia="en-AU"/>
              </w:rPr>
              <w:t>Accredited</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27,900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30,200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27,100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33,300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45,800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64%</w:t>
            </w:r>
          </w:p>
        </w:tc>
      </w:tr>
      <w:tr w:rsidR="0051242C" w:rsidRPr="0051242C" w:rsidTr="0051242C">
        <w:trPr>
          <w:trHeight w:hRule="exact" w:val="284"/>
        </w:trPr>
        <w:tc>
          <w:tcPr>
            <w:tcW w:w="1500" w:type="dxa"/>
            <w:tcBorders>
              <w:top w:val="nil"/>
              <w:left w:val="single" w:sz="4" w:space="0" w:color="5E8A00"/>
              <w:bottom w:val="single" w:sz="4" w:space="0" w:color="5E8A00"/>
              <w:right w:val="single" w:sz="4" w:space="0" w:color="5E8A00"/>
            </w:tcBorders>
            <w:shd w:val="clear" w:color="000000" w:fill="FFFFFF"/>
            <w:noWrap/>
            <w:vAlign w:val="center"/>
            <w:hideMark/>
          </w:tcPr>
          <w:p w:rsidR="0051242C" w:rsidRPr="0051242C" w:rsidRDefault="0051242C" w:rsidP="0051242C">
            <w:pPr>
              <w:spacing w:after="0" w:line="240" w:lineRule="auto"/>
              <w:jc w:val="left"/>
              <w:rPr>
                <w:rFonts w:cs="Arial"/>
                <w:color w:val="3E5B00"/>
                <w:sz w:val="18"/>
                <w:szCs w:val="18"/>
                <w:lang w:eastAsia="en-AU"/>
              </w:rPr>
            </w:pPr>
            <w:r w:rsidRPr="0051242C">
              <w:rPr>
                <w:rFonts w:cs="Arial"/>
                <w:color w:val="3E5B00"/>
                <w:sz w:val="18"/>
                <w:szCs w:val="18"/>
                <w:lang w:eastAsia="en-AU"/>
              </w:rPr>
              <w:t>Pre-Accredited</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45,800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38,100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36,700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31,200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34,500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-25%</w:t>
            </w:r>
          </w:p>
        </w:tc>
      </w:tr>
    </w:tbl>
    <w:p w:rsidR="00FA7172" w:rsidRPr="001F29E3" w:rsidRDefault="00FA7172" w:rsidP="0046280E">
      <w:pPr>
        <w:jc w:val="center"/>
        <w:rPr>
          <w:rFonts w:cs="Arial"/>
        </w:rPr>
      </w:pPr>
    </w:p>
    <w:p w:rsidR="0051242C" w:rsidRPr="001F29E3" w:rsidRDefault="0051242C" w:rsidP="0051242C">
      <w:pPr>
        <w:pStyle w:val="Caption"/>
        <w:spacing w:after="0"/>
        <w:jc w:val="left"/>
        <w:rPr>
          <w:rFonts w:cs="Arial"/>
        </w:rPr>
      </w:pPr>
      <w:r>
        <w:rPr>
          <w:rFonts w:cs="Arial"/>
        </w:rPr>
        <w:t xml:space="preserve">Table </w:t>
      </w:r>
      <w:r w:rsidRPr="001F29E3">
        <w:rPr>
          <w:rFonts w:cs="Arial"/>
        </w:rPr>
        <w:t>1.</w:t>
      </w:r>
      <w:r w:rsidR="005654CD">
        <w:rPr>
          <w:rFonts w:cs="Arial"/>
        </w:rPr>
        <w:t>17</w:t>
      </w:r>
      <w:r>
        <w:rPr>
          <w:rFonts w:cs="Arial"/>
        </w:rPr>
        <w:t>.2</w:t>
      </w:r>
      <w:r w:rsidRPr="001F29E3">
        <w:rPr>
          <w:rFonts w:cs="Arial"/>
        </w:rPr>
        <w:t>: Government subsidised ACFE enrolments, Q</w:t>
      </w:r>
      <w:r>
        <w:rPr>
          <w:rFonts w:cs="Arial"/>
        </w:rPr>
        <w:t>2</w:t>
      </w:r>
      <w:r w:rsidRPr="001F29E3">
        <w:rPr>
          <w:rFonts w:cs="Arial"/>
        </w:rPr>
        <w:t xml:space="preserve"> </w:t>
      </w:r>
      <w:r>
        <w:rPr>
          <w:rFonts w:cs="Arial"/>
        </w:rPr>
        <w:t xml:space="preserve">2011, Q2 2012 and </w:t>
      </w:r>
      <w:r w:rsidRPr="001F29E3">
        <w:rPr>
          <w:rFonts w:cs="Arial"/>
        </w:rPr>
        <w:t>Q</w:t>
      </w:r>
      <w:r>
        <w:rPr>
          <w:rFonts w:cs="Arial"/>
        </w:rPr>
        <w:t>2</w:t>
      </w:r>
      <w:r w:rsidRPr="001F29E3">
        <w:rPr>
          <w:rFonts w:cs="Arial"/>
        </w:rPr>
        <w:t xml:space="preserve"> 2013</w:t>
      </w:r>
    </w:p>
    <w:tbl>
      <w:tblPr>
        <w:tblW w:w="7100" w:type="dxa"/>
        <w:tblInd w:w="108" w:type="dxa"/>
        <w:tblLook w:val="04A0" w:firstRow="1" w:lastRow="0" w:firstColumn="1" w:lastColumn="0" w:noHBand="0" w:noVBand="1"/>
      </w:tblPr>
      <w:tblGrid>
        <w:gridCol w:w="1500"/>
        <w:gridCol w:w="1120"/>
        <w:gridCol w:w="1120"/>
        <w:gridCol w:w="1120"/>
        <w:gridCol w:w="1120"/>
        <w:gridCol w:w="1120"/>
      </w:tblGrid>
      <w:tr w:rsidR="0051242C" w:rsidRPr="0051242C" w:rsidTr="00C44B72">
        <w:trPr>
          <w:trHeight w:val="762"/>
        </w:trPr>
        <w:tc>
          <w:tcPr>
            <w:tcW w:w="1500" w:type="dxa"/>
            <w:tcBorders>
              <w:top w:val="single" w:sz="4" w:space="0" w:color="5E8A00"/>
              <w:left w:val="single" w:sz="4" w:space="0" w:color="5E8A00"/>
              <w:bottom w:val="single" w:sz="4" w:space="0" w:color="5E8A00"/>
            </w:tcBorders>
            <w:shd w:val="clear" w:color="000000" w:fill="5E8A00"/>
            <w:noWrap/>
            <w:vAlign w:val="center"/>
            <w:hideMark/>
          </w:tcPr>
          <w:p w:rsidR="0051242C" w:rsidRPr="0051242C" w:rsidRDefault="0051242C" w:rsidP="00F034AF">
            <w:pPr>
              <w:spacing w:after="0" w:line="240" w:lineRule="auto"/>
              <w:ind w:firstLineChars="100" w:firstLine="181"/>
              <w:jc w:val="left"/>
              <w:rPr>
                <w:rFonts w:cs="Arial"/>
                <w:b/>
                <w:bCs/>
                <w:color w:val="FFFFFF"/>
                <w:sz w:val="18"/>
                <w:szCs w:val="18"/>
                <w:lang w:eastAsia="en-AU"/>
              </w:rPr>
            </w:pPr>
            <w:r w:rsidRPr="0051242C">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51242C">
            <w:pPr>
              <w:spacing w:after="0" w:line="240" w:lineRule="auto"/>
              <w:jc w:val="right"/>
              <w:rPr>
                <w:rFonts w:cs="Arial"/>
                <w:b/>
                <w:bCs/>
                <w:color w:val="FFFFFF"/>
                <w:sz w:val="18"/>
                <w:szCs w:val="18"/>
                <w:lang w:eastAsia="en-AU"/>
              </w:rPr>
            </w:pPr>
            <w:r w:rsidRPr="0051242C">
              <w:rPr>
                <w:rFonts w:cs="Arial"/>
                <w:b/>
                <w:bCs/>
                <w:color w:val="FFFFFF"/>
                <w:sz w:val="18"/>
                <w:szCs w:val="18"/>
                <w:lang w:eastAsia="en-AU"/>
              </w:rPr>
              <w:t>% change Q2 2011 - Q2 2013</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51242C" w:rsidRPr="0051242C" w:rsidRDefault="0051242C" w:rsidP="0051242C">
            <w:pPr>
              <w:spacing w:after="0" w:line="240" w:lineRule="auto"/>
              <w:jc w:val="right"/>
              <w:rPr>
                <w:rFonts w:cs="Arial"/>
                <w:b/>
                <w:bCs/>
                <w:color w:val="FFFFFF"/>
                <w:sz w:val="18"/>
                <w:szCs w:val="18"/>
                <w:lang w:eastAsia="en-AU"/>
              </w:rPr>
            </w:pPr>
            <w:r w:rsidRPr="0051242C">
              <w:rPr>
                <w:rFonts w:cs="Arial"/>
                <w:b/>
                <w:bCs/>
                <w:color w:val="FFFFFF"/>
                <w:sz w:val="18"/>
                <w:szCs w:val="18"/>
                <w:lang w:eastAsia="en-AU"/>
              </w:rPr>
              <w:t>% change Q2 2012 - Q2 2013</w:t>
            </w:r>
          </w:p>
        </w:tc>
      </w:tr>
      <w:tr w:rsidR="0051242C" w:rsidRPr="0051242C" w:rsidTr="0051242C">
        <w:trPr>
          <w:trHeight w:val="342"/>
        </w:trPr>
        <w:tc>
          <w:tcPr>
            <w:tcW w:w="1500" w:type="dxa"/>
            <w:tcBorders>
              <w:top w:val="nil"/>
              <w:left w:val="single" w:sz="4" w:space="0" w:color="5E8A00"/>
              <w:bottom w:val="single" w:sz="4" w:space="0" w:color="5E8A00"/>
              <w:right w:val="single" w:sz="4" w:space="0" w:color="5E8A00"/>
            </w:tcBorders>
            <w:shd w:val="clear" w:color="000000" w:fill="FFFFFF"/>
            <w:noWrap/>
            <w:vAlign w:val="center"/>
            <w:hideMark/>
          </w:tcPr>
          <w:p w:rsidR="0051242C" w:rsidRPr="0051242C" w:rsidRDefault="0051242C" w:rsidP="0051242C">
            <w:pPr>
              <w:spacing w:after="0" w:line="240" w:lineRule="auto"/>
              <w:jc w:val="left"/>
              <w:rPr>
                <w:rFonts w:cs="Arial"/>
                <w:color w:val="3E5B00"/>
                <w:sz w:val="18"/>
                <w:szCs w:val="18"/>
                <w:lang w:eastAsia="en-AU"/>
              </w:rPr>
            </w:pPr>
            <w:r w:rsidRPr="0051242C">
              <w:rPr>
                <w:rFonts w:cs="Arial"/>
                <w:color w:val="3E5B00"/>
                <w:sz w:val="18"/>
                <w:szCs w:val="18"/>
                <w:lang w:eastAsia="en-AU"/>
              </w:rPr>
              <w:t>Accredited</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19,500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30,800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24,500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25%</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-20%</w:t>
            </w:r>
          </w:p>
        </w:tc>
      </w:tr>
      <w:tr w:rsidR="0051242C" w:rsidRPr="0051242C" w:rsidTr="0051242C">
        <w:trPr>
          <w:trHeight w:val="342"/>
        </w:trPr>
        <w:tc>
          <w:tcPr>
            <w:tcW w:w="1500" w:type="dxa"/>
            <w:tcBorders>
              <w:top w:val="nil"/>
              <w:left w:val="single" w:sz="4" w:space="0" w:color="5E8A00"/>
              <w:bottom w:val="single" w:sz="4" w:space="0" w:color="5E8A00"/>
              <w:right w:val="single" w:sz="4" w:space="0" w:color="5E8A00"/>
            </w:tcBorders>
            <w:shd w:val="clear" w:color="000000" w:fill="FFFFFF"/>
            <w:noWrap/>
            <w:vAlign w:val="center"/>
            <w:hideMark/>
          </w:tcPr>
          <w:p w:rsidR="0051242C" w:rsidRPr="0051242C" w:rsidRDefault="0051242C" w:rsidP="0051242C">
            <w:pPr>
              <w:spacing w:after="0" w:line="240" w:lineRule="auto"/>
              <w:jc w:val="left"/>
              <w:rPr>
                <w:rFonts w:cs="Arial"/>
                <w:color w:val="3E5B00"/>
                <w:sz w:val="18"/>
                <w:szCs w:val="18"/>
                <w:lang w:eastAsia="en-AU"/>
              </w:rPr>
            </w:pPr>
            <w:r w:rsidRPr="0051242C">
              <w:rPr>
                <w:rFonts w:cs="Arial"/>
                <w:color w:val="3E5B00"/>
                <w:sz w:val="18"/>
                <w:szCs w:val="18"/>
                <w:lang w:eastAsia="en-AU"/>
              </w:rPr>
              <w:t>Pre-Accredited</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12,900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14,300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15,500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20%</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8%</w:t>
            </w:r>
          </w:p>
        </w:tc>
      </w:tr>
    </w:tbl>
    <w:p w:rsidR="00AA38F4" w:rsidRDefault="00AA38F4" w:rsidP="00AA38F4">
      <w:pPr>
        <w:pStyle w:val="Caption"/>
        <w:rPr>
          <w:rFonts w:cs="Arial"/>
        </w:rPr>
      </w:pPr>
    </w:p>
    <w:p w:rsidR="00E1287D" w:rsidRDefault="00E1287D" w:rsidP="00E1287D"/>
    <w:p w:rsidR="0051242C" w:rsidRPr="001F29E3" w:rsidRDefault="0051242C" w:rsidP="0051242C">
      <w:pPr>
        <w:pStyle w:val="Caption"/>
        <w:spacing w:after="0"/>
        <w:jc w:val="left"/>
        <w:rPr>
          <w:rFonts w:cs="Arial"/>
        </w:rPr>
      </w:pPr>
      <w:r>
        <w:rPr>
          <w:rFonts w:cs="Arial"/>
        </w:rPr>
        <w:t xml:space="preserve">Table </w:t>
      </w:r>
      <w:r w:rsidRPr="001F29E3">
        <w:rPr>
          <w:rFonts w:cs="Arial"/>
        </w:rPr>
        <w:t>1.</w:t>
      </w:r>
      <w:r w:rsidR="005654CD">
        <w:rPr>
          <w:rFonts w:cs="Arial"/>
        </w:rPr>
        <w:t>18</w:t>
      </w:r>
      <w:r>
        <w:rPr>
          <w:rFonts w:cs="Arial"/>
        </w:rPr>
        <w:t>.1</w:t>
      </w:r>
      <w:r w:rsidRPr="001F29E3">
        <w:rPr>
          <w:rFonts w:cs="Arial"/>
        </w:rPr>
        <w:t xml:space="preserve">: Government subsidised ACFE </w:t>
      </w:r>
      <w:r>
        <w:rPr>
          <w:rFonts w:cs="Arial"/>
        </w:rPr>
        <w:t>student contact hours (millions)</w:t>
      </w:r>
      <w:r w:rsidRPr="001F29E3">
        <w:rPr>
          <w:rFonts w:cs="Arial"/>
        </w:rPr>
        <w:t>, 2008-2012</w:t>
      </w:r>
    </w:p>
    <w:tbl>
      <w:tblPr>
        <w:tblW w:w="8220" w:type="dxa"/>
        <w:tblInd w:w="108" w:type="dxa"/>
        <w:tblLook w:val="04A0" w:firstRow="1" w:lastRow="0" w:firstColumn="1" w:lastColumn="0" w:noHBand="0" w:noVBand="1"/>
      </w:tblPr>
      <w:tblGrid>
        <w:gridCol w:w="1500"/>
        <w:gridCol w:w="1120"/>
        <w:gridCol w:w="1120"/>
        <w:gridCol w:w="1120"/>
        <w:gridCol w:w="1120"/>
        <w:gridCol w:w="1120"/>
        <w:gridCol w:w="1120"/>
      </w:tblGrid>
      <w:tr w:rsidR="0051242C" w:rsidRPr="0051242C" w:rsidTr="00C44B72">
        <w:trPr>
          <w:trHeight w:val="762"/>
        </w:trPr>
        <w:tc>
          <w:tcPr>
            <w:tcW w:w="1500" w:type="dxa"/>
            <w:tcBorders>
              <w:top w:val="single" w:sz="4" w:space="0" w:color="5E8A00"/>
              <w:left w:val="single" w:sz="4" w:space="0" w:color="5E8A00"/>
              <w:bottom w:val="single" w:sz="4" w:space="0" w:color="5E8A00"/>
            </w:tcBorders>
            <w:shd w:val="clear" w:color="000000" w:fill="5E8A00"/>
            <w:noWrap/>
            <w:vAlign w:val="center"/>
            <w:hideMark/>
          </w:tcPr>
          <w:p w:rsidR="0051242C" w:rsidRPr="0051242C" w:rsidRDefault="0051242C" w:rsidP="00F034AF">
            <w:pPr>
              <w:spacing w:after="0" w:line="240" w:lineRule="auto"/>
              <w:ind w:firstLineChars="100" w:firstLine="181"/>
              <w:jc w:val="left"/>
              <w:rPr>
                <w:rFonts w:cs="Arial"/>
                <w:b/>
                <w:bCs/>
                <w:color w:val="FFFFFF"/>
                <w:sz w:val="18"/>
                <w:szCs w:val="18"/>
                <w:lang w:eastAsia="en-AU"/>
              </w:rPr>
            </w:pPr>
            <w:r w:rsidRPr="0051242C">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51242C" w:rsidRPr="0051242C" w:rsidRDefault="0051242C" w:rsidP="00F034AF">
            <w:pPr>
              <w:spacing w:after="0" w:line="240" w:lineRule="auto"/>
              <w:ind w:firstLineChars="100" w:firstLine="181"/>
              <w:jc w:val="right"/>
              <w:rPr>
                <w:rFonts w:cs="Arial"/>
                <w:b/>
                <w:bCs/>
                <w:color w:val="FFFFFF"/>
                <w:sz w:val="18"/>
                <w:szCs w:val="18"/>
                <w:lang w:eastAsia="en-AU"/>
              </w:rPr>
            </w:pPr>
            <w:r w:rsidRPr="0051242C">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51242C" w:rsidRPr="0051242C" w:rsidRDefault="0051242C" w:rsidP="0051242C">
            <w:pPr>
              <w:spacing w:after="0" w:line="240" w:lineRule="auto"/>
              <w:jc w:val="right"/>
              <w:rPr>
                <w:rFonts w:cs="Arial"/>
                <w:b/>
                <w:bCs/>
                <w:color w:val="FFFFFF"/>
                <w:sz w:val="18"/>
                <w:szCs w:val="18"/>
                <w:lang w:eastAsia="en-AU"/>
              </w:rPr>
            </w:pPr>
            <w:r w:rsidRPr="0051242C">
              <w:rPr>
                <w:rFonts w:cs="Arial"/>
                <w:b/>
                <w:bCs/>
                <w:color w:val="FFFFFF"/>
                <w:sz w:val="18"/>
                <w:szCs w:val="18"/>
                <w:lang w:eastAsia="en-AU"/>
              </w:rPr>
              <w:t>% change 2008-2012</w:t>
            </w:r>
          </w:p>
        </w:tc>
      </w:tr>
      <w:tr w:rsidR="0051242C" w:rsidRPr="0051242C" w:rsidTr="00631405">
        <w:trPr>
          <w:trHeight w:val="342"/>
        </w:trPr>
        <w:tc>
          <w:tcPr>
            <w:tcW w:w="1500" w:type="dxa"/>
            <w:tcBorders>
              <w:top w:val="nil"/>
              <w:left w:val="single" w:sz="4" w:space="0" w:color="5E8A00"/>
              <w:bottom w:val="single" w:sz="4" w:space="0" w:color="5E8A00"/>
              <w:right w:val="single" w:sz="4" w:space="0" w:color="5E8A00"/>
            </w:tcBorders>
            <w:shd w:val="clear" w:color="000000" w:fill="FFFFFF"/>
            <w:noWrap/>
            <w:vAlign w:val="center"/>
            <w:hideMark/>
          </w:tcPr>
          <w:p w:rsidR="0051242C" w:rsidRPr="0051242C" w:rsidRDefault="0051242C" w:rsidP="0051242C">
            <w:pPr>
              <w:spacing w:after="0" w:line="240" w:lineRule="auto"/>
              <w:jc w:val="left"/>
              <w:rPr>
                <w:rFonts w:cs="Arial"/>
                <w:color w:val="3E5B00"/>
                <w:sz w:val="18"/>
                <w:szCs w:val="18"/>
                <w:lang w:eastAsia="en-AU"/>
              </w:rPr>
            </w:pPr>
            <w:r w:rsidRPr="0051242C">
              <w:rPr>
                <w:rFonts w:cs="Arial"/>
                <w:color w:val="3E5B00"/>
                <w:sz w:val="18"/>
                <w:szCs w:val="18"/>
                <w:lang w:eastAsia="en-AU"/>
              </w:rPr>
              <w:t>Accredited</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5.4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6.6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6.7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8.5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11.9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120%</w:t>
            </w:r>
          </w:p>
        </w:tc>
      </w:tr>
      <w:tr w:rsidR="0051242C" w:rsidRPr="0051242C" w:rsidTr="00631405">
        <w:trPr>
          <w:trHeight w:val="342"/>
        </w:trPr>
        <w:tc>
          <w:tcPr>
            <w:tcW w:w="1500" w:type="dxa"/>
            <w:tcBorders>
              <w:top w:val="nil"/>
              <w:left w:val="single" w:sz="4" w:space="0" w:color="5E8A00"/>
              <w:bottom w:val="single" w:sz="4" w:space="0" w:color="5E8A00"/>
              <w:right w:val="single" w:sz="4" w:space="0" w:color="5E8A00"/>
            </w:tcBorders>
            <w:shd w:val="clear" w:color="000000" w:fill="FFFFFF"/>
            <w:noWrap/>
            <w:vAlign w:val="center"/>
            <w:hideMark/>
          </w:tcPr>
          <w:p w:rsidR="0051242C" w:rsidRPr="0051242C" w:rsidRDefault="0051242C" w:rsidP="0051242C">
            <w:pPr>
              <w:spacing w:after="0" w:line="240" w:lineRule="auto"/>
              <w:jc w:val="left"/>
              <w:rPr>
                <w:rFonts w:cs="Arial"/>
                <w:color w:val="3E5B00"/>
                <w:sz w:val="18"/>
                <w:szCs w:val="18"/>
                <w:lang w:eastAsia="en-AU"/>
              </w:rPr>
            </w:pPr>
            <w:r w:rsidRPr="0051242C">
              <w:rPr>
                <w:rFonts w:cs="Arial"/>
                <w:color w:val="3E5B00"/>
                <w:sz w:val="18"/>
                <w:szCs w:val="18"/>
                <w:lang w:eastAsia="en-AU"/>
              </w:rPr>
              <w:t>Pre-Accredited</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1.7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1.6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1.9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1.5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 xml:space="preserve">1.7 </w:t>
            </w:r>
          </w:p>
        </w:tc>
        <w:tc>
          <w:tcPr>
            <w:tcW w:w="1120" w:type="dxa"/>
            <w:tcBorders>
              <w:top w:val="nil"/>
              <w:left w:val="nil"/>
              <w:bottom w:val="single" w:sz="4" w:space="0" w:color="5E8A00"/>
              <w:right w:val="single" w:sz="4" w:space="0" w:color="5E8A00"/>
            </w:tcBorders>
            <w:shd w:val="clear" w:color="auto" w:fill="auto"/>
            <w:noWrap/>
            <w:vAlign w:val="center"/>
            <w:hideMark/>
          </w:tcPr>
          <w:p w:rsidR="0051242C" w:rsidRPr="0051242C" w:rsidRDefault="0051242C" w:rsidP="0051242C">
            <w:pPr>
              <w:spacing w:after="0" w:line="240" w:lineRule="auto"/>
              <w:jc w:val="right"/>
              <w:rPr>
                <w:rFonts w:cs="Arial"/>
                <w:sz w:val="18"/>
                <w:szCs w:val="18"/>
                <w:lang w:eastAsia="en-AU"/>
              </w:rPr>
            </w:pPr>
            <w:r w:rsidRPr="0051242C">
              <w:rPr>
                <w:rFonts w:cs="Arial"/>
                <w:sz w:val="18"/>
                <w:szCs w:val="18"/>
                <w:lang w:eastAsia="en-AU"/>
              </w:rPr>
              <w:t>0.2%</w:t>
            </w:r>
          </w:p>
        </w:tc>
      </w:tr>
    </w:tbl>
    <w:p w:rsidR="0051242C" w:rsidRDefault="0051242C" w:rsidP="00E1287D"/>
    <w:p w:rsidR="00631405" w:rsidRPr="001F29E3" w:rsidRDefault="00631405" w:rsidP="00631405">
      <w:pPr>
        <w:pStyle w:val="Caption"/>
        <w:spacing w:after="0"/>
        <w:jc w:val="left"/>
        <w:rPr>
          <w:rFonts w:cs="Arial"/>
        </w:rPr>
      </w:pPr>
      <w:r>
        <w:rPr>
          <w:rFonts w:cs="Arial"/>
        </w:rPr>
        <w:t xml:space="preserve">Table </w:t>
      </w:r>
      <w:r w:rsidRPr="001F29E3">
        <w:rPr>
          <w:rFonts w:cs="Arial"/>
        </w:rPr>
        <w:t>1.</w:t>
      </w:r>
      <w:r w:rsidR="005654CD">
        <w:rPr>
          <w:rFonts w:cs="Arial"/>
        </w:rPr>
        <w:t>18</w:t>
      </w:r>
      <w:r>
        <w:rPr>
          <w:rFonts w:cs="Arial"/>
        </w:rPr>
        <w:t>.2</w:t>
      </w:r>
      <w:r w:rsidRPr="001F29E3">
        <w:rPr>
          <w:rFonts w:cs="Arial"/>
        </w:rPr>
        <w:t xml:space="preserve">: Government subsidised ACFE </w:t>
      </w:r>
      <w:r>
        <w:rPr>
          <w:rFonts w:cs="Arial"/>
        </w:rPr>
        <w:t>student contact hours (millions)</w:t>
      </w:r>
      <w:r w:rsidRPr="001F29E3">
        <w:rPr>
          <w:rFonts w:cs="Arial"/>
        </w:rPr>
        <w:t>, Q</w:t>
      </w:r>
      <w:r>
        <w:rPr>
          <w:rFonts w:cs="Arial"/>
        </w:rPr>
        <w:t>2</w:t>
      </w:r>
      <w:r w:rsidRPr="001F29E3">
        <w:rPr>
          <w:rFonts w:cs="Arial"/>
        </w:rPr>
        <w:t xml:space="preserve"> </w:t>
      </w:r>
      <w:r>
        <w:rPr>
          <w:rFonts w:cs="Arial"/>
        </w:rPr>
        <w:t xml:space="preserve">2011, Q2 2012 and </w:t>
      </w:r>
      <w:r>
        <w:rPr>
          <w:rFonts w:cs="Arial"/>
        </w:rPr>
        <w:br/>
      </w:r>
      <w:r w:rsidRPr="001F29E3">
        <w:rPr>
          <w:rFonts w:cs="Arial"/>
        </w:rPr>
        <w:t>Q</w:t>
      </w:r>
      <w:r>
        <w:rPr>
          <w:rFonts w:cs="Arial"/>
        </w:rPr>
        <w:t>2</w:t>
      </w:r>
      <w:r w:rsidRPr="001F29E3">
        <w:rPr>
          <w:rFonts w:cs="Arial"/>
        </w:rPr>
        <w:t xml:space="preserve"> 2013</w:t>
      </w:r>
    </w:p>
    <w:tbl>
      <w:tblPr>
        <w:tblW w:w="7100" w:type="dxa"/>
        <w:tblInd w:w="108" w:type="dxa"/>
        <w:tblLook w:val="04A0" w:firstRow="1" w:lastRow="0" w:firstColumn="1" w:lastColumn="0" w:noHBand="0" w:noVBand="1"/>
      </w:tblPr>
      <w:tblGrid>
        <w:gridCol w:w="1500"/>
        <w:gridCol w:w="1120"/>
        <w:gridCol w:w="1120"/>
        <w:gridCol w:w="1120"/>
        <w:gridCol w:w="1120"/>
        <w:gridCol w:w="1120"/>
      </w:tblGrid>
      <w:tr w:rsidR="00631405" w:rsidRPr="00631405" w:rsidTr="00C44B72">
        <w:trPr>
          <w:trHeight w:val="762"/>
        </w:trPr>
        <w:tc>
          <w:tcPr>
            <w:tcW w:w="1500" w:type="dxa"/>
            <w:tcBorders>
              <w:top w:val="single" w:sz="4" w:space="0" w:color="5E8A00"/>
              <w:left w:val="single" w:sz="4" w:space="0" w:color="5E8A00"/>
              <w:bottom w:val="single" w:sz="4" w:space="0" w:color="5E8A00"/>
            </w:tcBorders>
            <w:shd w:val="clear" w:color="000000" w:fill="5E8A00"/>
            <w:noWrap/>
            <w:vAlign w:val="center"/>
            <w:hideMark/>
          </w:tcPr>
          <w:p w:rsidR="00631405" w:rsidRPr="00631405" w:rsidRDefault="00631405" w:rsidP="00F034AF">
            <w:pPr>
              <w:spacing w:after="0" w:line="240" w:lineRule="auto"/>
              <w:ind w:firstLineChars="100" w:firstLine="181"/>
              <w:jc w:val="left"/>
              <w:rPr>
                <w:rFonts w:cs="Arial"/>
                <w:b/>
                <w:bCs/>
                <w:color w:val="FFFFFF"/>
                <w:sz w:val="18"/>
                <w:szCs w:val="18"/>
                <w:lang w:eastAsia="en-AU"/>
              </w:rPr>
            </w:pPr>
            <w:r w:rsidRPr="00631405">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631405" w:rsidRPr="00631405" w:rsidRDefault="00631405" w:rsidP="00F034AF">
            <w:pPr>
              <w:spacing w:after="0" w:line="240" w:lineRule="auto"/>
              <w:ind w:firstLineChars="100" w:firstLine="181"/>
              <w:jc w:val="right"/>
              <w:rPr>
                <w:rFonts w:cs="Arial"/>
                <w:b/>
                <w:bCs/>
                <w:color w:val="FFFFFF"/>
                <w:sz w:val="18"/>
                <w:szCs w:val="18"/>
                <w:lang w:eastAsia="en-AU"/>
              </w:rPr>
            </w:pPr>
            <w:r w:rsidRPr="00631405">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631405" w:rsidRPr="00631405" w:rsidRDefault="00631405" w:rsidP="00F034AF">
            <w:pPr>
              <w:spacing w:after="0" w:line="240" w:lineRule="auto"/>
              <w:ind w:firstLineChars="100" w:firstLine="181"/>
              <w:jc w:val="right"/>
              <w:rPr>
                <w:rFonts w:cs="Arial"/>
                <w:b/>
                <w:bCs/>
                <w:color w:val="FFFFFF"/>
                <w:sz w:val="18"/>
                <w:szCs w:val="18"/>
                <w:lang w:eastAsia="en-AU"/>
              </w:rPr>
            </w:pPr>
            <w:r w:rsidRPr="00631405">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631405" w:rsidRPr="00631405" w:rsidRDefault="00631405" w:rsidP="00F034AF">
            <w:pPr>
              <w:spacing w:after="0" w:line="240" w:lineRule="auto"/>
              <w:ind w:firstLineChars="100" w:firstLine="181"/>
              <w:jc w:val="right"/>
              <w:rPr>
                <w:rFonts w:cs="Arial"/>
                <w:b/>
                <w:bCs/>
                <w:color w:val="FFFFFF"/>
                <w:sz w:val="18"/>
                <w:szCs w:val="18"/>
                <w:lang w:eastAsia="en-AU"/>
              </w:rPr>
            </w:pPr>
            <w:r w:rsidRPr="00631405">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631405" w:rsidRPr="00631405" w:rsidRDefault="00631405" w:rsidP="00631405">
            <w:pPr>
              <w:spacing w:after="0" w:line="240" w:lineRule="auto"/>
              <w:jc w:val="right"/>
              <w:rPr>
                <w:rFonts w:cs="Arial"/>
                <w:b/>
                <w:bCs/>
                <w:color w:val="FFFFFF"/>
                <w:sz w:val="18"/>
                <w:szCs w:val="18"/>
                <w:lang w:eastAsia="en-AU"/>
              </w:rPr>
            </w:pPr>
            <w:r w:rsidRPr="00631405">
              <w:rPr>
                <w:rFonts w:cs="Arial"/>
                <w:b/>
                <w:bCs/>
                <w:color w:val="FFFFFF"/>
                <w:sz w:val="18"/>
                <w:szCs w:val="18"/>
                <w:lang w:eastAsia="en-AU"/>
              </w:rPr>
              <w:t>% change Q2 2011 - Q2 2013</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631405" w:rsidRPr="00631405" w:rsidRDefault="00631405" w:rsidP="00631405">
            <w:pPr>
              <w:spacing w:after="0" w:line="240" w:lineRule="auto"/>
              <w:jc w:val="right"/>
              <w:rPr>
                <w:rFonts w:cs="Arial"/>
                <w:b/>
                <w:bCs/>
                <w:color w:val="FFFFFF"/>
                <w:sz w:val="18"/>
                <w:szCs w:val="18"/>
                <w:lang w:eastAsia="en-AU"/>
              </w:rPr>
            </w:pPr>
            <w:r w:rsidRPr="00631405">
              <w:rPr>
                <w:rFonts w:cs="Arial"/>
                <w:b/>
                <w:bCs/>
                <w:color w:val="FFFFFF"/>
                <w:sz w:val="18"/>
                <w:szCs w:val="18"/>
                <w:lang w:eastAsia="en-AU"/>
              </w:rPr>
              <w:t>% change Q2 2012 - Q2 2013</w:t>
            </w:r>
          </w:p>
        </w:tc>
      </w:tr>
      <w:tr w:rsidR="00631405" w:rsidRPr="00631405" w:rsidTr="00631405">
        <w:trPr>
          <w:trHeight w:val="342"/>
        </w:trPr>
        <w:tc>
          <w:tcPr>
            <w:tcW w:w="1500" w:type="dxa"/>
            <w:tcBorders>
              <w:top w:val="nil"/>
              <w:left w:val="single" w:sz="4" w:space="0" w:color="5E8A00"/>
              <w:bottom w:val="single" w:sz="4" w:space="0" w:color="5E8A00"/>
              <w:right w:val="single" w:sz="4" w:space="0" w:color="5E8A00"/>
            </w:tcBorders>
            <w:shd w:val="clear" w:color="000000" w:fill="FFFFFF"/>
            <w:noWrap/>
            <w:vAlign w:val="center"/>
            <w:hideMark/>
          </w:tcPr>
          <w:p w:rsidR="00631405" w:rsidRPr="00631405" w:rsidRDefault="00631405" w:rsidP="00631405">
            <w:pPr>
              <w:spacing w:after="0" w:line="240" w:lineRule="auto"/>
              <w:jc w:val="left"/>
              <w:rPr>
                <w:rFonts w:cs="Arial"/>
                <w:color w:val="3E5B00"/>
                <w:sz w:val="18"/>
                <w:szCs w:val="18"/>
                <w:lang w:eastAsia="en-AU"/>
              </w:rPr>
            </w:pPr>
            <w:r w:rsidRPr="00631405">
              <w:rPr>
                <w:rFonts w:cs="Arial"/>
                <w:color w:val="3E5B00"/>
                <w:sz w:val="18"/>
                <w:szCs w:val="18"/>
                <w:lang w:eastAsia="en-AU"/>
              </w:rPr>
              <w:t>Accredited</w:t>
            </w:r>
          </w:p>
        </w:tc>
        <w:tc>
          <w:tcPr>
            <w:tcW w:w="1120" w:type="dxa"/>
            <w:tcBorders>
              <w:top w:val="nil"/>
              <w:left w:val="nil"/>
              <w:bottom w:val="single" w:sz="4" w:space="0" w:color="5E8A00"/>
              <w:right w:val="single" w:sz="4" w:space="0" w:color="5E8A00"/>
            </w:tcBorders>
            <w:shd w:val="clear" w:color="auto" w:fill="auto"/>
            <w:noWrap/>
            <w:vAlign w:val="center"/>
            <w:hideMark/>
          </w:tcPr>
          <w:p w:rsidR="00631405" w:rsidRPr="00631405" w:rsidRDefault="00631405" w:rsidP="00631405">
            <w:pPr>
              <w:spacing w:after="0" w:line="240" w:lineRule="auto"/>
              <w:jc w:val="right"/>
              <w:rPr>
                <w:rFonts w:cs="Arial"/>
                <w:sz w:val="18"/>
                <w:szCs w:val="18"/>
                <w:lang w:eastAsia="en-AU"/>
              </w:rPr>
            </w:pPr>
            <w:r w:rsidRPr="00631405">
              <w:rPr>
                <w:rFonts w:cs="Arial"/>
                <w:sz w:val="18"/>
                <w:szCs w:val="18"/>
                <w:lang w:eastAsia="en-AU"/>
              </w:rPr>
              <w:t xml:space="preserve">5.3 </w:t>
            </w:r>
          </w:p>
        </w:tc>
        <w:tc>
          <w:tcPr>
            <w:tcW w:w="1120" w:type="dxa"/>
            <w:tcBorders>
              <w:top w:val="nil"/>
              <w:left w:val="nil"/>
              <w:bottom w:val="single" w:sz="4" w:space="0" w:color="5E8A00"/>
              <w:right w:val="single" w:sz="4" w:space="0" w:color="5E8A00"/>
            </w:tcBorders>
            <w:shd w:val="clear" w:color="auto" w:fill="auto"/>
            <w:noWrap/>
            <w:vAlign w:val="center"/>
            <w:hideMark/>
          </w:tcPr>
          <w:p w:rsidR="00631405" w:rsidRPr="00631405" w:rsidRDefault="00631405" w:rsidP="00631405">
            <w:pPr>
              <w:spacing w:after="0" w:line="240" w:lineRule="auto"/>
              <w:jc w:val="right"/>
              <w:rPr>
                <w:rFonts w:cs="Arial"/>
                <w:sz w:val="18"/>
                <w:szCs w:val="18"/>
                <w:lang w:eastAsia="en-AU"/>
              </w:rPr>
            </w:pPr>
            <w:r w:rsidRPr="00631405">
              <w:rPr>
                <w:rFonts w:cs="Arial"/>
                <w:sz w:val="18"/>
                <w:szCs w:val="18"/>
                <w:lang w:eastAsia="en-AU"/>
              </w:rPr>
              <w:t xml:space="preserve">8.3 </w:t>
            </w:r>
          </w:p>
        </w:tc>
        <w:tc>
          <w:tcPr>
            <w:tcW w:w="1120" w:type="dxa"/>
            <w:tcBorders>
              <w:top w:val="nil"/>
              <w:left w:val="nil"/>
              <w:bottom w:val="single" w:sz="4" w:space="0" w:color="5E8A00"/>
              <w:right w:val="single" w:sz="4" w:space="0" w:color="5E8A00"/>
            </w:tcBorders>
            <w:shd w:val="clear" w:color="auto" w:fill="auto"/>
            <w:noWrap/>
            <w:vAlign w:val="center"/>
            <w:hideMark/>
          </w:tcPr>
          <w:p w:rsidR="00631405" w:rsidRPr="00631405" w:rsidRDefault="00631405" w:rsidP="00631405">
            <w:pPr>
              <w:spacing w:after="0" w:line="240" w:lineRule="auto"/>
              <w:jc w:val="right"/>
              <w:rPr>
                <w:rFonts w:cs="Arial"/>
                <w:sz w:val="18"/>
                <w:szCs w:val="18"/>
                <w:lang w:eastAsia="en-AU"/>
              </w:rPr>
            </w:pPr>
            <w:r w:rsidRPr="00631405">
              <w:rPr>
                <w:rFonts w:cs="Arial"/>
                <w:sz w:val="18"/>
                <w:szCs w:val="18"/>
                <w:lang w:eastAsia="en-AU"/>
              </w:rPr>
              <w:t xml:space="preserve">6.9 </w:t>
            </w:r>
          </w:p>
        </w:tc>
        <w:tc>
          <w:tcPr>
            <w:tcW w:w="1120" w:type="dxa"/>
            <w:tcBorders>
              <w:top w:val="nil"/>
              <w:left w:val="nil"/>
              <w:bottom w:val="single" w:sz="4" w:space="0" w:color="5E8A00"/>
              <w:right w:val="single" w:sz="4" w:space="0" w:color="5E8A00"/>
            </w:tcBorders>
            <w:shd w:val="clear" w:color="auto" w:fill="auto"/>
            <w:noWrap/>
            <w:vAlign w:val="center"/>
            <w:hideMark/>
          </w:tcPr>
          <w:p w:rsidR="00631405" w:rsidRPr="00631405" w:rsidRDefault="00631405" w:rsidP="00631405">
            <w:pPr>
              <w:spacing w:after="0" w:line="240" w:lineRule="auto"/>
              <w:jc w:val="right"/>
              <w:rPr>
                <w:rFonts w:cs="Arial"/>
                <w:sz w:val="18"/>
                <w:szCs w:val="18"/>
                <w:lang w:eastAsia="en-AU"/>
              </w:rPr>
            </w:pPr>
            <w:r w:rsidRPr="00631405">
              <w:rPr>
                <w:rFonts w:cs="Arial"/>
                <w:sz w:val="18"/>
                <w:szCs w:val="18"/>
                <w:lang w:eastAsia="en-AU"/>
              </w:rPr>
              <w:t>30%</w:t>
            </w:r>
          </w:p>
        </w:tc>
        <w:tc>
          <w:tcPr>
            <w:tcW w:w="1120" w:type="dxa"/>
            <w:tcBorders>
              <w:top w:val="nil"/>
              <w:left w:val="nil"/>
              <w:bottom w:val="single" w:sz="4" w:space="0" w:color="5E8A00"/>
              <w:right w:val="single" w:sz="4" w:space="0" w:color="5E8A00"/>
            </w:tcBorders>
            <w:shd w:val="clear" w:color="auto" w:fill="auto"/>
            <w:noWrap/>
            <w:vAlign w:val="center"/>
            <w:hideMark/>
          </w:tcPr>
          <w:p w:rsidR="00631405" w:rsidRPr="00631405" w:rsidRDefault="00631405" w:rsidP="00631405">
            <w:pPr>
              <w:spacing w:after="0" w:line="240" w:lineRule="auto"/>
              <w:jc w:val="right"/>
              <w:rPr>
                <w:rFonts w:cs="Arial"/>
                <w:sz w:val="18"/>
                <w:szCs w:val="18"/>
                <w:lang w:eastAsia="en-AU"/>
              </w:rPr>
            </w:pPr>
            <w:r w:rsidRPr="00631405">
              <w:rPr>
                <w:rFonts w:cs="Arial"/>
                <w:sz w:val="18"/>
                <w:szCs w:val="18"/>
                <w:lang w:eastAsia="en-AU"/>
              </w:rPr>
              <w:t>-17%</w:t>
            </w:r>
          </w:p>
        </w:tc>
      </w:tr>
      <w:tr w:rsidR="00631405" w:rsidRPr="00631405" w:rsidTr="00631405">
        <w:trPr>
          <w:trHeight w:val="342"/>
        </w:trPr>
        <w:tc>
          <w:tcPr>
            <w:tcW w:w="1500" w:type="dxa"/>
            <w:tcBorders>
              <w:top w:val="nil"/>
              <w:left w:val="single" w:sz="4" w:space="0" w:color="5E8A00"/>
              <w:bottom w:val="single" w:sz="4" w:space="0" w:color="5E8A00"/>
              <w:right w:val="single" w:sz="4" w:space="0" w:color="5E8A00"/>
            </w:tcBorders>
            <w:shd w:val="clear" w:color="000000" w:fill="FFFFFF"/>
            <w:noWrap/>
            <w:vAlign w:val="center"/>
            <w:hideMark/>
          </w:tcPr>
          <w:p w:rsidR="00631405" w:rsidRPr="00631405" w:rsidRDefault="00631405" w:rsidP="00631405">
            <w:pPr>
              <w:spacing w:after="0" w:line="240" w:lineRule="auto"/>
              <w:jc w:val="left"/>
              <w:rPr>
                <w:rFonts w:cs="Arial"/>
                <w:color w:val="3E5B00"/>
                <w:sz w:val="18"/>
                <w:szCs w:val="18"/>
                <w:lang w:eastAsia="en-AU"/>
              </w:rPr>
            </w:pPr>
            <w:r w:rsidRPr="00631405">
              <w:rPr>
                <w:rFonts w:cs="Arial"/>
                <w:color w:val="3E5B00"/>
                <w:sz w:val="18"/>
                <w:szCs w:val="18"/>
                <w:lang w:eastAsia="en-AU"/>
              </w:rPr>
              <w:t>Pre-Accredited</w:t>
            </w:r>
          </w:p>
        </w:tc>
        <w:tc>
          <w:tcPr>
            <w:tcW w:w="1120" w:type="dxa"/>
            <w:tcBorders>
              <w:top w:val="nil"/>
              <w:left w:val="nil"/>
              <w:bottom w:val="single" w:sz="4" w:space="0" w:color="5E8A00"/>
              <w:right w:val="single" w:sz="4" w:space="0" w:color="5E8A00"/>
            </w:tcBorders>
            <w:shd w:val="clear" w:color="auto" w:fill="auto"/>
            <w:noWrap/>
            <w:vAlign w:val="center"/>
            <w:hideMark/>
          </w:tcPr>
          <w:p w:rsidR="00631405" w:rsidRPr="00631405" w:rsidRDefault="00631405" w:rsidP="00631405">
            <w:pPr>
              <w:spacing w:after="0" w:line="240" w:lineRule="auto"/>
              <w:jc w:val="right"/>
              <w:rPr>
                <w:rFonts w:cs="Arial"/>
                <w:sz w:val="18"/>
                <w:szCs w:val="18"/>
                <w:lang w:eastAsia="en-AU"/>
              </w:rPr>
            </w:pPr>
            <w:r w:rsidRPr="00631405">
              <w:rPr>
                <w:rFonts w:cs="Arial"/>
                <w:sz w:val="18"/>
                <w:szCs w:val="18"/>
                <w:lang w:eastAsia="en-AU"/>
              </w:rPr>
              <w:t xml:space="preserve">0.7 </w:t>
            </w:r>
          </w:p>
        </w:tc>
        <w:tc>
          <w:tcPr>
            <w:tcW w:w="1120" w:type="dxa"/>
            <w:tcBorders>
              <w:top w:val="nil"/>
              <w:left w:val="nil"/>
              <w:bottom w:val="single" w:sz="4" w:space="0" w:color="5E8A00"/>
              <w:right w:val="single" w:sz="4" w:space="0" w:color="5E8A00"/>
            </w:tcBorders>
            <w:shd w:val="clear" w:color="auto" w:fill="auto"/>
            <w:noWrap/>
            <w:vAlign w:val="center"/>
            <w:hideMark/>
          </w:tcPr>
          <w:p w:rsidR="00631405" w:rsidRPr="00631405" w:rsidRDefault="00631405" w:rsidP="00631405">
            <w:pPr>
              <w:spacing w:after="0" w:line="240" w:lineRule="auto"/>
              <w:jc w:val="right"/>
              <w:rPr>
                <w:rFonts w:cs="Arial"/>
                <w:sz w:val="18"/>
                <w:szCs w:val="18"/>
                <w:lang w:eastAsia="en-AU"/>
              </w:rPr>
            </w:pPr>
            <w:r w:rsidRPr="00631405">
              <w:rPr>
                <w:rFonts w:cs="Arial"/>
                <w:sz w:val="18"/>
                <w:szCs w:val="18"/>
                <w:lang w:eastAsia="en-AU"/>
              </w:rPr>
              <w:t xml:space="preserve">0.8 </w:t>
            </w:r>
          </w:p>
        </w:tc>
        <w:tc>
          <w:tcPr>
            <w:tcW w:w="1120" w:type="dxa"/>
            <w:tcBorders>
              <w:top w:val="nil"/>
              <w:left w:val="nil"/>
              <w:bottom w:val="single" w:sz="4" w:space="0" w:color="5E8A00"/>
              <w:right w:val="single" w:sz="4" w:space="0" w:color="5E8A00"/>
            </w:tcBorders>
            <w:shd w:val="clear" w:color="auto" w:fill="auto"/>
            <w:noWrap/>
            <w:vAlign w:val="center"/>
            <w:hideMark/>
          </w:tcPr>
          <w:p w:rsidR="00631405" w:rsidRPr="00631405" w:rsidRDefault="00631405" w:rsidP="00631405">
            <w:pPr>
              <w:spacing w:after="0" w:line="240" w:lineRule="auto"/>
              <w:jc w:val="right"/>
              <w:rPr>
                <w:rFonts w:cs="Arial"/>
                <w:sz w:val="18"/>
                <w:szCs w:val="18"/>
                <w:lang w:eastAsia="en-AU"/>
              </w:rPr>
            </w:pPr>
            <w:r w:rsidRPr="00631405">
              <w:rPr>
                <w:rFonts w:cs="Arial"/>
                <w:sz w:val="18"/>
                <w:szCs w:val="18"/>
                <w:lang w:eastAsia="en-AU"/>
              </w:rPr>
              <w:t xml:space="preserve">0.9 </w:t>
            </w:r>
          </w:p>
        </w:tc>
        <w:tc>
          <w:tcPr>
            <w:tcW w:w="1120" w:type="dxa"/>
            <w:tcBorders>
              <w:top w:val="nil"/>
              <w:left w:val="nil"/>
              <w:bottom w:val="single" w:sz="4" w:space="0" w:color="5E8A00"/>
              <w:right w:val="single" w:sz="4" w:space="0" w:color="5E8A00"/>
            </w:tcBorders>
            <w:shd w:val="clear" w:color="auto" w:fill="auto"/>
            <w:noWrap/>
            <w:vAlign w:val="center"/>
            <w:hideMark/>
          </w:tcPr>
          <w:p w:rsidR="00631405" w:rsidRPr="00631405" w:rsidRDefault="00631405" w:rsidP="00631405">
            <w:pPr>
              <w:spacing w:after="0" w:line="240" w:lineRule="auto"/>
              <w:jc w:val="right"/>
              <w:rPr>
                <w:rFonts w:cs="Arial"/>
                <w:sz w:val="18"/>
                <w:szCs w:val="18"/>
                <w:lang w:eastAsia="en-AU"/>
              </w:rPr>
            </w:pPr>
            <w:r w:rsidRPr="00631405">
              <w:rPr>
                <w:rFonts w:cs="Arial"/>
                <w:sz w:val="18"/>
                <w:szCs w:val="18"/>
                <w:lang w:eastAsia="en-AU"/>
              </w:rPr>
              <w:t>34%</w:t>
            </w:r>
          </w:p>
        </w:tc>
        <w:tc>
          <w:tcPr>
            <w:tcW w:w="1120" w:type="dxa"/>
            <w:tcBorders>
              <w:top w:val="nil"/>
              <w:left w:val="nil"/>
              <w:bottom w:val="single" w:sz="4" w:space="0" w:color="5E8A00"/>
              <w:right w:val="single" w:sz="4" w:space="0" w:color="5E8A00"/>
            </w:tcBorders>
            <w:shd w:val="clear" w:color="auto" w:fill="auto"/>
            <w:noWrap/>
            <w:vAlign w:val="center"/>
            <w:hideMark/>
          </w:tcPr>
          <w:p w:rsidR="00631405" w:rsidRPr="00631405" w:rsidRDefault="00631405" w:rsidP="00631405">
            <w:pPr>
              <w:spacing w:after="0" w:line="240" w:lineRule="auto"/>
              <w:jc w:val="right"/>
              <w:rPr>
                <w:rFonts w:cs="Arial"/>
                <w:sz w:val="18"/>
                <w:szCs w:val="18"/>
                <w:lang w:eastAsia="en-AU"/>
              </w:rPr>
            </w:pPr>
            <w:r w:rsidRPr="00631405">
              <w:rPr>
                <w:rFonts w:cs="Arial"/>
                <w:sz w:val="18"/>
                <w:szCs w:val="18"/>
                <w:lang w:eastAsia="en-AU"/>
              </w:rPr>
              <w:t>14%</w:t>
            </w:r>
          </w:p>
        </w:tc>
      </w:tr>
    </w:tbl>
    <w:p w:rsidR="0051242C" w:rsidRPr="00E1287D" w:rsidRDefault="0051242C" w:rsidP="00E1287D"/>
    <w:p w:rsidR="00631405" w:rsidRDefault="00631405">
      <w:r>
        <w:rPr>
          <w:b/>
          <w:bCs/>
        </w:rPr>
        <w:br w:type="page"/>
      </w:r>
    </w:p>
    <w:tbl>
      <w:tblPr>
        <w:tblW w:w="5000" w:type="pct"/>
        <w:tblInd w:w="-8" w:type="dxa"/>
        <w:tblLayout w:type="fixed"/>
        <w:tblCellMar>
          <w:left w:w="0" w:type="dxa"/>
          <w:right w:w="0" w:type="dxa"/>
        </w:tblCellMar>
        <w:tblLook w:val="01E0" w:firstRow="1" w:lastRow="1" w:firstColumn="1" w:lastColumn="1" w:noHBand="0" w:noVBand="0"/>
      </w:tblPr>
      <w:tblGrid>
        <w:gridCol w:w="879"/>
        <w:gridCol w:w="1839"/>
        <w:gridCol w:w="880"/>
        <w:gridCol w:w="1879"/>
        <w:gridCol w:w="880"/>
        <w:gridCol w:w="2715"/>
      </w:tblGrid>
      <w:tr w:rsidR="00351166" w:rsidRPr="001F29E3" w:rsidTr="00631405">
        <w:tc>
          <w:tcPr>
            <w:tcW w:w="9072" w:type="dxa"/>
            <w:gridSpan w:val="6"/>
          </w:tcPr>
          <w:p w:rsidR="001A743A" w:rsidRDefault="001A743A" w:rsidP="001A743A">
            <w:pPr>
              <w:pStyle w:val="Heading3"/>
            </w:pPr>
            <w:r>
              <w:rPr>
                <w:rFonts w:cs="Times New Roman"/>
                <w:b w:val="0"/>
                <w:bCs w:val="0"/>
                <w:color w:val="auto"/>
                <w:szCs w:val="24"/>
              </w:rPr>
              <w:lastRenderedPageBreak/>
              <w:br w:type="page"/>
            </w:r>
            <w:r w:rsidRPr="00EE522F">
              <w:t>AC</w:t>
            </w:r>
            <w:r>
              <w:t>F</w:t>
            </w:r>
            <w:r w:rsidRPr="00EE522F">
              <w:t xml:space="preserve">E </w:t>
            </w:r>
            <w:r>
              <w:t>students by regional area</w:t>
            </w:r>
          </w:p>
          <w:p w:rsidR="001A743A" w:rsidRPr="001A743A" w:rsidRDefault="001A743A" w:rsidP="001A743A"/>
          <w:tbl>
            <w:tblPr>
              <w:tblStyle w:val="TableGrid"/>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9057"/>
            </w:tblGrid>
            <w:tr w:rsidR="001A743A" w:rsidTr="008603E7">
              <w:trPr>
                <w:tblHeader/>
              </w:trPr>
              <w:tc>
                <w:tcPr>
                  <w:tcW w:w="9057" w:type="dxa"/>
                </w:tcPr>
                <w:p w:rsidR="001A743A" w:rsidRDefault="001A743A" w:rsidP="00E1196B">
                  <w:pPr>
                    <w:pStyle w:val="Heading3"/>
                    <w:outlineLvl w:val="2"/>
                  </w:pPr>
                  <w:r w:rsidRPr="001F29E3">
                    <w:t>Key Points</w:t>
                  </w:r>
                </w:p>
                <w:p w:rsidR="00A326AF" w:rsidRPr="00A326AF" w:rsidRDefault="00A326AF" w:rsidP="00A326AF"/>
                <w:p w:rsidR="001A743A" w:rsidRPr="0036347D" w:rsidRDefault="001A743A" w:rsidP="00E1196B">
                  <w:pPr>
                    <w:pStyle w:val="ListBullet"/>
                    <w:numPr>
                      <w:ilvl w:val="0"/>
                      <w:numId w:val="10"/>
                    </w:numPr>
                    <w:ind w:right="113"/>
                  </w:pPr>
                  <w:r>
                    <w:t>The South</w:t>
                  </w:r>
                  <w:r w:rsidR="00F2161D">
                    <w:t>-</w:t>
                  </w:r>
                  <w:r>
                    <w:t xml:space="preserve">Western Region reported the greatest volume of combined pre-accredited and accredited delivery in a given Region, at 8,500 course enrolments. The Adult Education Institutes reported 9 per cent (2,900 enrolments) of all combined pre-accredited and accredited delivery in </w:t>
                  </w:r>
                  <w:r w:rsidR="00F2161D">
                    <w:t>Q2</w:t>
                  </w:r>
                  <w:r>
                    <w:t xml:space="preserve"> 2013.</w:t>
                  </w:r>
                </w:p>
                <w:p w:rsidR="001A743A" w:rsidRDefault="001A743A" w:rsidP="00F2161D">
                  <w:pPr>
                    <w:pStyle w:val="ListBullet"/>
                    <w:numPr>
                      <w:ilvl w:val="0"/>
                      <w:numId w:val="10"/>
                    </w:numPr>
                    <w:ind w:right="113"/>
                  </w:pPr>
                  <w:r>
                    <w:rPr>
                      <w:rFonts w:cs="Arial"/>
                    </w:rPr>
                    <w:t>Within the Departmental regions, the North West</w:t>
                  </w:r>
                  <w:r w:rsidR="00F2161D">
                    <w:rPr>
                      <w:rFonts w:cs="Arial"/>
                    </w:rPr>
                    <w:t>ern</w:t>
                  </w:r>
                  <w:r>
                    <w:rPr>
                      <w:rFonts w:cs="Arial"/>
                    </w:rPr>
                    <w:t xml:space="preserve"> metropolitan regional area reported the greatest single volume of activity in </w:t>
                  </w:r>
                  <w:r w:rsidR="00F2161D">
                    <w:rPr>
                      <w:rFonts w:cs="Arial"/>
                    </w:rPr>
                    <w:t>Q2 2013</w:t>
                  </w:r>
                  <w:r>
                    <w:rPr>
                      <w:rFonts w:cs="Arial"/>
                    </w:rPr>
                    <w:t>, at 7,800 course enrolments. Barwon South West</w:t>
                  </w:r>
                  <w:r w:rsidR="00F2161D">
                    <w:rPr>
                      <w:rFonts w:cs="Arial"/>
                    </w:rPr>
                    <w:t>ern</w:t>
                  </w:r>
                  <w:r>
                    <w:rPr>
                      <w:rFonts w:cs="Arial"/>
                    </w:rPr>
                    <w:t xml:space="preserve"> was the non-metropolitan regional area with greatest reported activity, at 3,300 course enrolments. </w:t>
                  </w:r>
                </w:p>
              </w:tc>
            </w:tr>
          </w:tbl>
          <w:p w:rsidR="001A743A" w:rsidRDefault="001A743A" w:rsidP="001F78C1">
            <w:pPr>
              <w:pStyle w:val="Caption"/>
              <w:jc w:val="left"/>
              <w:rPr>
                <w:rFonts w:cs="Arial"/>
              </w:rPr>
            </w:pPr>
          </w:p>
          <w:p w:rsidR="002F78AB" w:rsidRPr="001F29E3" w:rsidRDefault="002F78AB" w:rsidP="001E3026">
            <w:pPr>
              <w:pStyle w:val="Caption"/>
              <w:spacing w:after="0"/>
              <w:jc w:val="left"/>
              <w:rPr>
                <w:rFonts w:cs="Arial"/>
              </w:rPr>
            </w:pPr>
            <w:r w:rsidRPr="001F29E3">
              <w:rPr>
                <w:rFonts w:cs="Arial"/>
              </w:rPr>
              <w:t>Table 1.</w:t>
            </w:r>
            <w:r w:rsidR="005654CD">
              <w:rPr>
                <w:rFonts w:cs="Arial"/>
              </w:rPr>
              <w:t>19</w:t>
            </w:r>
            <w:r w:rsidR="00583039">
              <w:rPr>
                <w:rFonts w:cs="Arial"/>
              </w:rPr>
              <w:t>.1: Government subsidised ACFE s</w:t>
            </w:r>
            <w:r w:rsidRPr="001F29E3">
              <w:rPr>
                <w:rFonts w:cs="Arial"/>
              </w:rPr>
              <w:t xml:space="preserve">tudents by </w:t>
            </w:r>
            <w:r w:rsidR="00583039">
              <w:rPr>
                <w:rFonts w:cs="Arial"/>
              </w:rPr>
              <w:t>d</w:t>
            </w:r>
            <w:r w:rsidRPr="001F29E3">
              <w:rPr>
                <w:rFonts w:cs="Arial"/>
              </w:rPr>
              <w:t xml:space="preserve">epartmental region, accredited and </w:t>
            </w:r>
            <w:r w:rsidR="00A326AF">
              <w:rPr>
                <w:rFonts w:cs="Arial"/>
              </w:rPr>
              <w:br/>
            </w:r>
            <w:r w:rsidRPr="001F29E3">
              <w:rPr>
                <w:rFonts w:cs="Arial"/>
              </w:rPr>
              <w:t>pre-accredited, 2008</w:t>
            </w:r>
            <w:r w:rsidR="00534C20">
              <w:rPr>
                <w:rFonts w:cs="Arial"/>
              </w:rPr>
              <w:t>-</w:t>
            </w:r>
            <w:r w:rsidRPr="001F29E3">
              <w:rPr>
                <w:rFonts w:cs="Arial"/>
              </w:rPr>
              <w:t>2012</w:t>
            </w:r>
          </w:p>
          <w:tbl>
            <w:tblPr>
              <w:tblW w:w="8700" w:type="dxa"/>
              <w:tblLayout w:type="fixed"/>
              <w:tblLook w:val="04A0" w:firstRow="1" w:lastRow="0" w:firstColumn="1" w:lastColumn="0" w:noHBand="0" w:noVBand="1"/>
            </w:tblPr>
            <w:tblGrid>
              <w:gridCol w:w="1980"/>
              <w:gridCol w:w="1120"/>
              <w:gridCol w:w="1120"/>
              <w:gridCol w:w="1120"/>
              <w:gridCol w:w="1120"/>
              <w:gridCol w:w="1120"/>
              <w:gridCol w:w="1120"/>
            </w:tblGrid>
            <w:tr w:rsidR="001E3026" w:rsidRPr="001E3026" w:rsidTr="00C44B72">
              <w:trPr>
                <w:trHeight w:hRule="exact" w:val="760"/>
              </w:trPr>
              <w:tc>
                <w:tcPr>
                  <w:tcW w:w="1980" w:type="dxa"/>
                  <w:tcBorders>
                    <w:top w:val="single" w:sz="4" w:space="0" w:color="5E8A00"/>
                    <w:left w:val="single" w:sz="4" w:space="0" w:color="5E8A00"/>
                    <w:bottom w:val="single" w:sz="4" w:space="0" w:color="5E8A00"/>
                  </w:tcBorders>
                  <w:shd w:val="clear" w:color="000000" w:fill="5E8A00"/>
                  <w:noWrap/>
                  <w:vAlign w:val="center"/>
                  <w:hideMark/>
                </w:tcPr>
                <w:p w:rsidR="001E3026" w:rsidRPr="001E3026" w:rsidRDefault="001E3026" w:rsidP="001E3026">
                  <w:pPr>
                    <w:spacing w:after="0" w:line="240" w:lineRule="auto"/>
                    <w:jc w:val="left"/>
                    <w:rPr>
                      <w:rFonts w:cs="Arial"/>
                      <w:b/>
                      <w:bCs/>
                      <w:color w:val="FFFFFF"/>
                      <w:sz w:val="18"/>
                      <w:szCs w:val="18"/>
                      <w:lang w:eastAsia="en-AU"/>
                    </w:rPr>
                  </w:pPr>
                  <w:r w:rsidRPr="001E3026">
                    <w:rPr>
                      <w:rFonts w:cs="Arial"/>
                      <w:b/>
                      <w:bCs/>
                      <w:color w:val="FFFFFF"/>
                      <w:sz w:val="18"/>
                      <w:szCs w:val="18"/>
                      <w:lang w:eastAsia="en-AU"/>
                    </w:rPr>
                    <w:t>Delivery Location</w:t>
                  </w:r>
                </w:p>
              </w:tc>
              <w:tc>
                <w:tcPr>
                  <w:tcW w:w="1120" w:type="dxa"/>
                  <w:tcBorders>
                    <w:top w:val="single" w:sz="4" w:space="0" w:color="5E8A00"/>
                    <w:bottom w:val="single" w:sz="4" w:space="0" w:color="5E8A00"/>
                  </w:tcBorders>
                  <w:shd w:val="clear" w:color="000000" w:fill="5E8A00"/>
                  <w:vAlign w:val="center"/>
                  <w:hideMark/>
                </w:tcPr>
                <w:p w:rsidR="001E3026" w:rsidRPr="001E3026" w:rsidRDefault="001E3026" w:rsidP="00F034AF">
                  <w:pPr>
                    <w:spacing w:after="0" w:line="240" w:lineRule="auto"/>
                    <w:ind w:firstLineChars="100" w:firstLine="181"/>
                    <w:jc w:val="right"/>
                    <w:rPr>
                      <w:rFonts w:cs="Arial"/>
                      <w:b/>
                      <w:bCs/>
                      <w:color w:val="FFFFFF"/>
                      <w:sz w:val="18"/>
                      <w:szCs w:val="18"/>
                      <w:lang w:eastAsia="en-AU"/>
                    </w:rPr>
                  </w:pPr>
                  <w:r w:rsidRPr="001E3026">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1E3026" w:rsidRPr="001E3026" w:rsidRDefault="001E3026" w:rsidP="00F034AF">
                  <w:pPr>
                    <w:spacing w:after="0" w:line="240" w:lineRule="auto"/>
                    <w:ind w:firstLineChars="100" w:firstLine="181"/>
                    <w:jc w:val="right"/>
                    <w:rPr>
                      <w:rFonts w:cs="Arial"/>
                      <w:b/>
                      <w:bCs/>
                      <w:color w:val="FFFFFF"/>
                      <w:sz w:val="18"/>
                      <w:szCs w:val="18"/>
                      <w:lang w:eastAsia="en-AU"/>
                    </w:rPr>
                  </w:pPr>
                  <w:r w:rsidRPr="001E3026">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1E3026" w:rsidRPr="001E3026" w:rsidRDefault="001E3026" w:rsidP="00F034AF">
                  <w:pPr>
                    <w:spacing w:after="0" w:line="240" w:lineRule="auto"/>
                    <w:ind w:firstLineChars="100" w:firstLine="181"/>
                    <w:jc w:val="right"/>
                    <w:rPr>
                      <w:rFonts w:cs="Arial"/>
                      <w:b/>
                      <w:bCs/>
                      <w:color w:val="FFFFFF"/>
                      <w:sz w:val="18"/>
                      <w:szCs w:val="18"/>
                      <w:lang w:eastAsia="en-AU"/>
                    </w:rPr>
                  </w:pPr>
                  <w:r w:rsidRPr="001E3026">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1E3026" w:rsidRPr="001E3026" w:rsidRDefault="001E3026" w:rsidP="00F034AF">
                  <w:pPr>
                    <w:spacing w:after="0" w:line="240" w:lineRule="auto"/>
                    <w:ind w:firstLineChars="100" w:firstLine="181"/>
                    <w:jc w:val="right"/>
                    <w:rPr>
                      <w:rFonts w:cs="Arial"/>
                      <w:b/>
                      <w:bCs/>
                      <w:color w:val="FFFFFF"/>
                      <w:sz w:val="18"/>
                      <w:szCs w:val="18"/>
                      <w:lang w:eastAsia="en-AU"/>
                    </w:rPr>
                  </w:pPr>
                  <w:r w:rsidRPr="001E3026">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1E3026" w:rsidRPr="001E3026" w:rsidRDefault="001E3026" w:rsidP="00F034AF">
                  <w:pPr>
                    <w:spacing w:after="0" w:line="240" w:lineRule="auto"/>
                    <w:ind w:firstLineChars="100" w:firstLine="181"/>
                    <w:jc w:val="right"/>
                    <w:rPr>
                      <w:rFonts w:cs="Arial"/>
                      <w:b/>
                      <w:bCs/>
                      <w:color w:val="FFFFFF"/>
                      <w:sz w:val="18"/>
                      <w:szCs w:val="18"/>
                      <w:lang w:eastAsia="en-AU"/>
                    </w:rPr>
                  </w:pPr>
                  <w:r w:rsidRPr="001E3026">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 change 2008-2012</w:t>
                  </w:r>
                </w:p>
              </w:tc>
            </w:tr>
            <w:tr w:rsidR="001E3026" w:rsidRPr="001E3026" w:rsidTr="001E3026">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1E3026" w:rsidRPr="001E3026" w:rsidRDefault="001E3026" w:rsidP="001E3026">
                  <w:pPr>
                    <w:spacing w:after="0" w:line="240" w:lineRule="auto"/>
                    <w:jc w:val="left"/>
                    <w:rPr>
                      <w:rFonts w:cs="Arial"/>
                      <w:color w:val="3E5B00"/>
                      <w:sz w:val="18"/>
                      <w:szCs w:val="18"/>
                      <w:lang w:eastAsia="en-AU"/>
                    </w:rPr>
                  </w:pPr>
                  <w:r w:rsidRPr="001E3026">
                    <w:rPr>
                      <w:rFonts w:cs="Arial"/>
                      <w:color w:val="3E5B00"/>
                      <w:sz w:val="18"/>
                      <w:szCs w:val="18"/>
                      <w:lang w:eastAsia="en-AU"/>
                    </w:rPr>
                    <w:t>South-Western</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10,600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11,200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10,800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13,500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19,700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85%</w:t>
                  </w:r>
                </w:p>
              </w:tc>
            </w:tr>
            <w:tr w:rsidR="001E3026" w:rsidRPr="001E3026" w:rsidTr="001E3026">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1E3026" w:rsidRPr="001E3026" w:rsidRDefault="001E3026" w:rsidP="001E3026">
                  <w:pPr>
                    <w:spacing w:after="0" w:line="240" w:lineRule="auto"/>
                    <w:jc w:val="left"/>
                    <w:rPr>
                      <w:rFonts w:cs="Arial"/>
                      <w:color w:val="3E5B00"/>
                      <w:sz w:val="18"/>
                      <w:szCs w:val="18"/>
                      <w:lang w:eastAsia="en-AU"/>
                    </w:rPr>
                  </w:pPr>
                  <w:r w:rsidRPr="001E3026">
                    <w:rPr>
                      <w:rFonts w:cs="Arial"/>
                      <w:color w:val="3E5B00"/>
                      <w:sz w:val="18"/>
                      <w:szCs w:val="18"/>
                      <w:lang w:eastAsia="en-AU"/>
                    </w:rPr>
                    <w:t>North-Western</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9,600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9,500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9,700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9,700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11,500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20%</w:t>
                  </w:r>
                </w:p>
              </w:tc>
            </w:tr>
            <w:tr w:rsidR="001E3026" w:rsidRPr="001E3026" w:rsidTr="001E3026">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1E3026" w:rsidRPr="001E3026" w:rsidRDefault="001E3026" w:rsidP="001E3026">
                  <w:pPr>
                    <w:spacing w:after="0" w:line="240" w:lineRule="auto"/>
                    <w:jc w:val="left"/>
                    <w:rPr>
                      <w:rFonts w:cs="Arial"/>
                      <w:color w:val="3E5B00"/>
                      <w:sz w:val="18"/>
                      <w:szCs w:val="18"/>
                      <w:lang w:eastAsia="en-AU"/>
                    </w:rPr>
                  </w:pPr>
                  <w:r w:rsidRPr="001E3026">
                    <w:rPr>
                      <w:rFonts w:cs="Arial"/>
                      <w:color w:val="3E5B00"/>
                      <w:sz w:val="18"/>
                      <w:szCs w:val="18"/>
                      <w:lang w:eastAsia="en-AU"/>
                    </w:rPr>
                    <w:t>North-Eastern</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12,100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10,800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9,500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8,800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9,500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-22%</w:t>
                  </w:r>
                </w:p>
              </w:tc>
            </w:tr>
            <w:tr w:rsidR="001E3026" w:rsidRPr="001E3026" w:rsidTr="001E3026">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1E3026" w:rsidRPr="001E3026" w:rsidRDefault="001E3026" w:rsidP="001E3026">
                  <w:pPr>
                    <w:spacing w:after="0" w:line="240" w:lineRule="auto"/>
                    <w:jc w:val="left"/>
                    <w:rPr>
                      <w:rFonts w:cs="Arial"/>
                      <w:color w:val="3E5B00"/>
                      <w:sz w:val="18"/>
                      <w:szCs w:val="18"/>
                      <w:lang w:eastAsia="en-AU"/>
                    </w:rPr>
                  </w:pPr>
                  <w:r w:rsidRPr="001E3026">
                    <w:rPr>
                      <w:rFonts w:cs="Arial"/>
                      <w:color w:val="3E5B00"/>
                      <w:sz w:val="18"/>
                      <w:szCs w:val="18"/>
                      <w:lang w:eastAsia="en-AU"/>
                    </w:rPr>
                    <w:t>South-Eastern</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13,600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12,000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11,400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10,900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11,900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-13%</w:t>
                  </w:r>
                </w:p>
              </w:tc>
            </w:tr>
            <w:tr w:rsidR="001E3026" w:rsidRPr="001E3026" w:rsidTr="00C44B72">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1E3026" w:rsidRPr="001E3026" w:rsidRDefault="001E3026" w:rsidP="001E3026">
                  <w:pPr>
                    <w:spacing w:after="0" w:line="240" w:lineRule="auto"/>
                    <w:jc w:val="left"/>
                    <w:rPr>
                      <w:rFonts w:cs="Arial"/>
                      <w:color w:val="3E5B00"/>
                      <w:sz w:val="18"/>
                      <w:szCs w:val="18"/>
                      <w:lang w:eastAsia="en-AU"/>
                    </w:rPr>
                  </w:pPr>
                  <w:r w:rsidRPr="001E3026">
                    <w:rPr>
                      <w:rFonts w:cs="Arial"/>
                      <w:color w:val="3E5B00"/>
                      <w:sz w:val="18"/>
                      <w:szCs w:val="18"/>
                      <w:lang w:eastAsia="en-AU"/>
                    </w:rPr>
                    <w:t>AEIs</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4,100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4,000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3,900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3,900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4,900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19%</w:t>
                  </w:r>
                </w:p>
              </w:tc>
            </w:tr>
            <w:tr w:rsidR="001E3026" w:rsidRPr="001E3026" w:rsidTr="00C44B72">
              <w:trPr>
                <w:trHeight w:hRule="exact" w:val="284"/>
              </w:trPr>
              <w:tc>
                <w:tcPr>
                  <w:tcW w:w="1980" w:type="dxa"/>
                  <w:tcBorders>
                    <w:top w:val="single" w:sz="4" w:space="0" w:color="5E8A00"/>
                    <w:left w:val="single" w:sz="4" w:space="0" w:color="5E8A00"/>
                    <w:bottom w:val="nil"/>
                  </w:tcBorders>
                  <w:shd w:val="clear" w:color="000000" w:fill="5E8A00"/>
                  <w:noWrap/>
                  <w:vAlign w:val="bottom"/>
                  <w:hideMark/>
                </w:tcPr>
                <w:p w:rsidR="001E3026" w:rsidRPr="001E3026" w:rsidRDefault="001E3026" w:rsidP="001E3026">
                  <w:pPr>
                    <w:spacing w:after="0" w:line="240" w:lineRule="auto"/>
                    <w:jc w:val="left"/>
                    <w:rPr>
                      <w:rFonts w:cs="Arial"/>
                      <w:b/>
                      <w:bCs/>
                      <w:color w:val="FFFFFF"/>
                      <w:sz w:val="18"/>
                      <w:szCs w:val="18"/>
                      <w:lang w:eastAsia="en-AU"/>
                    </w:rPr>
                  </w:pPr>
                  <w:r w:rsidRPr="001E3026">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50,000</w:t>
                  </w:r>
                </w:p>
              </w:tc>
              <w:tc>
                <w:tcPr>
                  <w:tcW w:w="1120" w:type="dxa"/>
                  <w:tcBorders>
                    <w:top w:val="single" w:sz="4" w:space="0" w:color="5E8A00"/>
                    <w:bottom w:val="nil"/>
                  </w:tcBorders>
                  <w:shd w:val="clear" w:color="000000" w:fill="5E8A00"/>
                  <w:noWrap/>
                  <w:vAlign w:val="center"/>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47,500</w:t>
                  </w:r>
                </w:p>
              </w:tc>
              <w:tc>
                <w:tcPr>
                  <w:tcW w:w="1120" w:type="dxa"/>
                  <w:tcBorders>
                    <w:top w:val="single" w:sz="4" w:space="0" w:color="5E8A00"/>
                    <w:bottom w:val="nil"/>
                  </w:tcBorders>
                  <w:shd w:val="clear" w:color="000000" w:fill="5E8A00"/>
                  <w:noWrap/>
                  <w:vAlign w:val="center"/>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45,400</w:t>
                  </w:r>
                </w:p>
              </w:tc>
              <w:tc>
                <w:tcPr>
                  <w:tcW w:w="1120" w:type="dxa"/>
                  <w:tcBorders>
                    <w:top w:val="single" w:sz="4" w:space="0" w:color="5E8A00"/>
                    <w:bottom w:val="nil"/>
                  </w:tcBorders>
                  <w:shd w:val="clear" w:color="000000" w:fill="5E8A00"/>
                  <w:noWrap/>
                  <w:vAlign w:val="center"/>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46,700</w:t>
                  </w:r>
                </w:p>
              </w:tc>
              <w:tc>
                <w:tcPr>
                  <w:tcW w:w="1120" w:type="dxa"/>
                  <w:tcBorders>
                    <w:top w:val="single" w:sz="4" w:space="0" w:color="5E8A00"/>
                    <w:bottom w:val="nil"/>
                  </w:tcBorders>
                  <w:shd w:val="clear" w:color="000000" w:fill="5E8A00"/>
                  <w:noWrap/>
                  <w:vAlign w:val="center"/>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57,400</w:t>
                  </w:r>
                </w:p>
              </w:tc>
              <w:tc>
                <w:tcPr>
                  <w:tcW w:w="1120" w:type="dxa"/>
                  <w:tcBorders>
                    <w:top w:val="single" w:sz="4" w:space="0" w:color="5E8A00"/>
                    <w:bottom w:val="nil"/>
                    <w:right w:val="single" w:sz="4" w:space="0" w:color="5E8A00"/>
                  </w:tcBorders>
                  <w:shd w:val="clear" w:color="000000" w:fill="5E8A00"/>
                  <w:noWrap/>
                  <w:vAlign w:val="bottom"/>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15%</w:t>
                  </w:r>
                </w:p>
              </w:tc>
            </w:tr>
          </w:tbl>
          <w:p w:rsidR="002F78AB" w:rsidRPr="001F29E3" w:rsidRDefault="001F78C1" w:rsidP="001F78C1">
            <w:pPr>
              <w:rPr>
                <w:rFonts w:cs="Arial"/>
                <w:sz w:val="16"/>
                <w:szCs w:val="16"/>
              </w:rPr>
            </w:pPr>
            <w:r w:rsidRPr="001F29E3">
              <w:rPr>
                <w:rFonts w:cs="Arial"/>
                <w:sz w:val="16"/>
                <w:szCs w:val="16"/>
              </w:rPr>
              <w:t>AEIs: Adult Education Institutes</w:t>
            </w:r>
          </w:p>
          <w:p w:rsidR="001F78C1" w:rsidRDefault="00351166" w:rsidP="002F78AB">
            <w:pPr>
              <w:pStyle w:val="Caption"/>
              <w:rPr>
                <w:rFonts w:cs="Arial"/>
              </w:rPr>
            </w:pPr>
            <w:r w:rsidRPr="001F29E3">
              <w:rPr>
                <w:rFonts w:cs="Arial"/>
              </w:rPr>
              <w:br w:type="page"/>
            </w:r>
          </w:p>
          <w:p w:rsidR="00583039" w:rsidRPr="001F29E3" w:rsidRDefault="00583039" w:rsidP="001E3026">
            <w:pPr>
              <w:pStyle w:val="Caption"/>
              <w:spacing w:after="0"/>
              <w:jc w:val="left"/>
              <w:rPr>
                <w:rFonts w:cs="Arial"/>
              </w:rPr>
            </w:pPr>
            <w:r w:rsidRPr="001F29E3">
              <w:rPr>
                <w:rFonts w:cs="Arial"/>
              </w:rPr>
              <w:t>Table 1.</w:t>
            </w:r>
            <w:r w:rsidR="005654CD">
              <w:rPr>
                <w:rFonts w:cs="Arial"/>
              </w:rPr>
              <w:t>19</w:t>
            </w:r>
            <w:r>
              <w:rPr>
                <w:rFonts w:cs="Arial"/>
              </w:rPr>
              <w:t>.2: Government subsidised ACFE s</w:t>
            </w:r>
            <w:r w:rsidRPr="001F29E3">
              <w:rPr>
                <w:rFonts w:cs="Arial"/>
              </w:rPr>
              <w:t xml:space="preserve">tudents by </w:t>
            </w:r>
            <w:r w:rsidR="00F2161D">
              <w:rPr>
                <w:rFonts w:cs="Arial"/>
              </w:rPr>
              <w:t>d</w:t>
            </w:r>
            <w:r w:rsidR="00F2161D" w:rsidRPr="001F29E3">
              <w:rPr>
                <w:rFonts w:cs="Arial"/>
              </w:rPr>
              <w:t>epartmental region</w:t>
            </w:r>
            <w:r w:rsidRPr="001F29E3">
              <w:rPr>
                <w:rFonts w:cs="Arial"/>
              </w:rPr>
              <w:t xml:space="preserve">, accredited and </w:t>
            </w:r>
            <w:r w:rsidR="00A326AF">
              <w:rPr>
                <w:rFonts w:cs="Arial"/>
              </w:rPr>
              <w:br/>
            </w:r>
            <w:r w:rsidRPr="001F29E3">
              <w:rPr>
                <w:rFonts w:cs="Arial"/>
              </w:rPr>
              <w:t xml:space="preserve">pre-accredited, </w:t>
            </w:r>
            <w:r>
              <w:rPr>
                <w:rFonts w:cs="Arial"/>
              </w:rPr>
              <w:t xml:space="preserve">Q2 2011, </w:t>
            </w:r>
            <w:r w:rsidRPr="001F29E3">
              <w:rPr>
                <w:rFonts w:cs="Arial"/>
              </w:rPr>
              <w:t>Q</w:t>
            </w:r>
            <w:r>
              <w:rPr>
                <w:rFonts w:cs="Arial"/>
              </w:rPr>
              <w:t>2</w:t>
            </w:r>
            <w:r w:rsidRPr="001F29E3">
              <w:rPr>
                <w:rFonts w:cs="Arial"/>
              </w:rPr>
              <w:t xml:space="preserve"> 2012 </w:t>
            </w:r>
            <w:r>
              <w:rPr>
                <w:rFonts w:cs="Arial"/>
              </w:rPr>
              <w:t>and</w:t>
            </w:r>
            <w:r w:rsidRPr="001F29E3">
              <w:rPr>
                <w:rFonts w:cs="Arial"/>
              </w:rPr>
              <w:t xml:space="preserve"> Q</w:t>
            </w:r>
            <w:r>
              <w:rPr>
                <w:rFonts w:cs="Arial"/>
              </w:rPr>
              <w:t>2</w:t>
            </w:r>
            <w:r w:rsidRPr="001F29E3">
              <w:rPr>
                <w:rFonts w:cs="Arial"/>
              </w:rPr>
              <w:t xml:space="preserve"> 2013</w:t>
            </w:r>
          </w:p>
          <w:tbl>
            <w:tblPr>
              <w:tblW w:w="7580" w:type="dxa"/>
              <w:tblLayout w:type="fixed"/>
              <w:tblLook w:val="04A0" w:firstRow="1" w:lastRow="0" w:firstColumn="1" w:lastColumn="0" w:noHBand="0" w:noVBand="1"/>
            </w:tblPr>
            <w:tblGrid>
              <w:gridCol w:w="1980"/>
              <w:gridCol w:w="1120"/>
              <w:gridCol w:w="1120"/>
              <w:gridCol w:w="1120"/>
              <w:gridCol w:w="1120"/>
              <w:gridCol w:w="1120"/>
            </w:tblGrid>
            <w:tr w:rsidR="001E3026" w:rsidRPr="001E3026" w:rsidTr="00C44B72">
              <w:trPr>
                <w:trHeight w:hRule="exact" w:val="760"/>
              </w:trPr>
              <w:tc>
                <w:tcPr>
                  <w:tcW w:w="1980" w:type="dxa"/>
                  <w:tcBorders>
                    <w:top w:val="single" w:sz="4" w:space="0" w:color="5E8A00"/>
                    <w:left w:val="single" w:sz="4" w:space="0" w:color="5E8A00"/>
                    <w:bottom w:val="single" w:sz="4" w:space="0" w:color="5E8A00"/>
                  </w:tcBorders>
                  <w:shd w:val="clear" w:color="000000" w:fill="5E8A00"/>
                  <w:noWrap/>
                  <w:vAlign w:val="center"/>
                  <w:hideMark/>
                </w:tcPr>
                <w:p w:rsidR="001E3026" w:rsidRPr="001E3026" w:rsidRDefault="001E3026" w:rsidP="001E3026">
                  <w:pPr>
                    <w:spacing w:after="0" w:line="240" w:lineRule="auto"/>
                    <w:jc w:val="left"/>
                    <w:rPr>
                      <w:rFonts w:cs="Arial"/>
                      <w:b/>
                      <w:bCs/>
                      <w:color w:val="FFFFFF"/>
                      <w:sz w:val="18"/>
                      <w:szCs w:val="18"/>
                      <w:lang w:eastAsia="en-AU"/>
                    </w:rPr>
                  </w:pPr>
                  <w:r w:rsidRPr="001E3026">
                    <w:rPr>
                      <w:rFonts w:cs="Arial"/>
                      <w:b/>
                      <w:bCs/>
                      <w:color w:val="FFFFFF"/>
                      <w:sz w:val="18"/>
                      <w:szCs w:val="18"/>
                      <w:lang w:eastAsia="en-AU"/>
                    </w:rPr>
                    <w:t>Delivery Location</w:t>
                  </w:r>
                </w:p>
              </w:tc>
              <w:tc>
                <w:tcPr>
                  <w:tcW w:w="1120" w:type="dxa"/>
                  <w:tcBorders>
                    <w:top w:val="single" w:sz="4" w:space="0" w:color="5E8A00"/>
                    <w:bottom w:val="single" w:sz="4" w:space="0" w:color="5E8A00"/>
                  </w:tcBorders>
                  <w:shd w:val="clear" w:color="000000" w:fill="5E8A00"/>
                  <w:vAlign w:val="center"/>
                  <w:hideMark/>
                </w:tcPr>
                <w:p w:rsidR="001E3026" w:rsidRPr="001E3026" w:rsidRDefault="001E3026" w:rsidP="00F034AF">
                  <w:pPr>
                    <w:spacing w:after="0" w:line="240" w:lineRule="auto"/>
                    <w:ind w:firstLineChars="100" w:firstLine="181"/>
                    <w:jc w:val="right"/>
                    <w:rPr>
                      <w:rFonts w:cs="Arial"/>
                      <w:b/>
                      <w:bCs/>
                      <w:color w:val="FFFFFF"/>
                      <w:sz w:val="18"/>
                      <w:szCs w:val="18"/>
                      <w:lang w:eastAsia="en-AU"/>
                    </w:rPr>
                  </w:pPr>
                  <w:r w:rsidRPr="001E3026">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1E3026" w:rsidRPr="001E3026" w:rsidRDefault="001E3026" w:rsidP="00F034AF">
                  <w:pPr>
                    <w:spacing w:after="0" w:line="240" w:lineRule="auto"/>
                    <w:ind w:firstLineChars="100" w:firstLine="181"/>
                    <w:jc w:val="right"/>
                    <w:rPr>
                      <w:rFonts w:cs="Arial"/>
                      <w:b/>
                      <w:bCs/>
                      <w:color w:val="FFFFFF"/>
                      <w:sz w:val="18"/>
                      <w:szCs w:val="18"/>
                      <w:lang w:eastAsia="en-AU"/>
                    </w:rPr>
                  </w:pPr>
                  <w:r w:rsidRPr="001E3026">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1E3026" w:rsidRPr="001E3026" w:rsidRDefault="001E3026" w:rsidP="00F034AF">
                  <w:pPr>
                    <w:spacing w:after="0" w:line="240" w:lineRule="auto"/>
                    <w:ind w:firstLineChars="100" w:firstLine="181"/>
                    <w:jc w:val="right"/>
                    <w:rPr>
                      <w:rFonts w:cs="Arial"/>
                      <w:b/>
                      <w:bCs/>
                      <w:color w:val="FFFFFF"/>
                      <w:sz w:val="18"/>
                      <w:szCs w:val="18"/>
                      <w:lang w:eastAsia="en-AU"/>
                    </w:rPr>
                  </w:pPr>
                  <w:r w:rsidRPr="001E3026">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 change Q2 2011 - Q2 2013</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 change Q2 2012 - Q2 2013</w:t>
                  </w:r>
                </w:p>
              </w:tc>
            </w:tr>
            <w:tr w:rsidR="001E3026" w:rsidRPr="001E3026" w:rsidTr="001E3026">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1E3026" w:rsidRPr="001E3026" w:rsidRDefault="001E3026" w:rsidP="001E3026">
                  <w:pPr>
                    <w:spacing w:after="0" w:line="240" w:lineRule="auto"/>
                    <w:jc w:val="left"/>
                    <w:rPr>
                      <w:rFonts w:cs="Arial"/>
                      <w:color w:val="3E5B00"/>
                      <w:sz w:val="18"/>
                      <w:szCs w:val="18"/>
                      <w:lang w:eastAsia="en-AU"/>
                    </w:rPr>
                  </w:pPr>
                  <w:r w:rsidRPr="001E3026">
                    <w:rPr>
                      <w:rFonts w:cs="Arial"/>
                      <w:color w:val="3E5B00"/>
                      <w:sz w:val="18"/>
                      <w:szCs w:val="18"/>
                      <w:lang w:eastAsia="en-AU"/>
                    </w:rPr>
                    <w:t>South-Western</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6,700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12,300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8,500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26%</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-31%</w:t>
                  </w:r>
                </w:p>
              </w:tc>
            </w:tr>
            <w:tr w:rsidR="001E3026" w:rsidRPr="001E3026" w:rsidTr="001E3026">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1E3026" w:rsidRPr="001E3026" w:rsidRDefault="001E3026" w:rsidP="001E3026">
                  <w:pPr>
                    <w:spacing w:after="0" w:line="240" w:lineRule="auto"/>
                    <w:jc w:val="left"/>
                    <w:rPr>
                      <w:rFonts w:cs="Arial"/>
                      <w:color w:val="3E5B00"/>
                      <w:sz w:val="18"/>
                      <w:szCs w:val="18"/>
                      <w:lang w:eastAsia="en-AU"/>
                    </w:rPr>
                  </w:pPr>
                  <w:r w:rsidRPr="001E3026">
                    <w:rPr>
                      <w:rFonts w:cs="Arial"/>
                      <w:color w:val="3E5B00"/>
                      <w:sz w:val="18"/>
                      <w:szCs w:val="18"/>
                      <w:lang w:eastAsia="en-AU"/>
                    </w:rPr>
                    <w:t>North-Western</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5,500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6,400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7,200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30%</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13%</w:t>
                  </w:r>
                </w:p>
              </w:tc>
            </w:tr>
            <w:tr w:rsidR="001E3026" w:rsidRPr="001E3026" w:rsidTr="001E3026">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1E3026" w:rsidRPr="001E3026" w:rsidRDefault="001E3026" w:rsidP="001E3026">
                  <w:pPr>
                    <w:spacing w:after="0" w:line="240" w:lineRule="auto"/>
                    <w:jc w:val="left"/>
                    <w:rPr>
                      <w:rFonts w:cs="Arial"/>
                      <w:color w:val="3E5B00"/>
                      <w:sz w:val="18"/>
                      <w:szCs w:val="18"/>
                      <w:lang w:eastAsia="en-AU"/>
                    </w:rPr>
                  </w:pPr>
                  <w:r w:rsidRPr="001E3026">
                    <w:rPr>
                      <w:rFonts w:cs="Arial"/>
                      <w:color w:val="3E5B00"/>
                      <w:sz w:val="18"/>
                      <w:szCs w:val="18"/>
                      <w:lang w:eastAsia="en-AU"/>
                    </w:rPr>
                    <w:t>North-Eastern</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4,900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6,200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5,000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2%</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-19%</w:t>
                  </w:r>
                </w:p>
              </w:tc>
            </w:tr>
            <w:tr w:rsidR="001E3026" w:rsidRPr="001E3026" w:rsidTr="001E3026">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1E3026" w:rsidRPr="001E3026" w:rsidRDefault="001E3026" w:rsidP="001E3026">
                  <w:pPr>
                    <w:spacing w:after="0" w:line="240" w:lineRule="auto"/>
                    <w:jc w:val="left"/>
                    <w:rPr>
                      <w:rFonts w:cs="Arial"/>
                      <w:color w:val="3E5B00"/>
                      <w:sz w:val="18"/>
                      <w:szCs w:val="18"/>
                      <w:lang w:eastAsia="en-AU"/>
                    </w:rPr>
                  </w:pPr>
                  <w:r w:rsidRPr="001E3026">
                    <w:rPr>
                      <w:rFonts w:cs="Arial"/>
                      <w:color w:val="3E5B00"/>
                      <w:sz w:val="18"/>
                      <w:szCs w:val="18"/>
                      <w:lang w:eastAsia="en-AU"/>
                    </w:rPr>
                    <w:t>South-Eastern</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6,200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7,100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7,000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13%</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-1%</w:t>
                  </w:r>
                </w:p>
              </w:tc>
            </w:tr>
            <w:tr w:rsidR="001E3026" w:rsidRPr="001E3026" w:rsidTr="00C44B72">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1E3026" w:rsidRPr="001E3026" w:rsidRDefault="001E3026" w:rsidP="001E3026">
                  <w:pPr>
                    <w:spacing w:after="0" w:line="240" w:lineRule="auto"/>
                    <w:jc w:val="left"/>
                    <w:rPr>
                      <w:rFonts w:cs="Arial"/>
                      <w:color w:val="3E5B00"/>
                      <w:sz w:val="18"/>
                      <w:szCs w:val="18"/>
                      <w:lang w:eastAsia="en-AU"/>
                    </w:rPr>
                  </w:pPr>
                  <w:r w:rsidRPr="001E3026">
                    <w:rPr>
                      <w:rFonts w:cs="Arial"/>
                      <w:color w:val="3E5B00"/>
                      <w:sz w:val="18"/>
                      <w:szCs w:val="18"/>
                      <w:lang w:eastAsia="en-AU"/>
                    </w:rPr>
                    <w:t>AEIs</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2,500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3,000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 xml:space="preserve">2,900 </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16%</w:t>
                  </w:r>
                </w:p>
              </w:tc>
              <w:tc>
                <w:tcPr>
                  <w:tcW w:w="1120" w:type="dxa"/>
                  <w:tcBorders>
                    <w:top w:val="nil"/>
                    <w:left w:val="nil"/>
                    <w:bottom w:val="single" w:sz="4" w:space="0" w:color="5E8A00"/>
                    <w:right w:val="single" w:sz="4" w:space="0" w:color="5E8A00"/>
                  </w:tcBorders>
                  <w:shd w:val="clear" w:color="auto" w:fill="auto"/>
                  <w:noWrap/>
                  <w:vAlign w:val="center"/>
                  <w:hideMark/>
                </w:tcPr>
                <w:p w:rsidR="001E3026" w:rsidRPr="001E3026" w:rsidRDefault="001E3026" w:rsidP="001E3026">
                  <w:pPr>
                    <w:spacing w:after="0" w:line="240" w:lineRule="auto"/>
                    <w:jc w:val="right"/>
                    <w:rPr>
                      <w:rFonts w:cs="Arial"/>
                      <w:sz w:val="18"/>
                      <w:szCs w:val="18"/>
                      <w:lang w:eastAsia="en-AU"/>
                    </w:rPr>
                  </w:pPr>
                  <w:r w:rsidRPr="001E3026">
                    <w:rPr>
                      <w:rFonts w:cs="Arial"/>
                      <w:sz w:val="18"/>
                      <w:szCs w:val="18"/>
                      <w:lang w:eastAsia="en-AU"/>
                    </w:rPr>
                    <w:t>-4%</w:t>
                  </w:r>
                </w:p>
              </w:tc>
            </w:tr>
            <w:tr w:rsidR="001E3026" w:rsidRPr="001E3026" w:rsidTr="00C44B72">
              <w:trPr>
                <w:trHeight w:hRule="exact" w:val="284"/>
              </w:trPr>
              <w:tc>
                <w:tcPr>
                  <w:tcW w:w="1980" w:type="dxa"/>
                  <w:tcBorders>
                    <w:top w:val="single" w:sz="4" w:space="0" w:color="5E8A00"/>
                    <w:left w:val="single" w:sz="4" w:space="0" w:color="5E8A00"/>
                    <w:bottom w:val="nil"/>
                  </w:tcBorders>
                  <w:shd w:val="clear" w:color="000000" w:fill="5E8A00"/>
                  <w:noWrap/>
                  <w:vAlign w:val="bottom"/>
                  <w:hideMark/>
                </w:tcPr>
                <w:p w:rsidR="001E3026" w:rsidRPr="001E3026" w:rsidRDefault="001E3026" w:rsidP="001E3026">
                  <w:pPr>
                    <w:spacing w:after="0" w:line="240" w:lineRule="auto"/>
                    <w:jc w:val="left"/>
                    <w:rPr>
                      <w:rFonts w:cs="Arial"/>
                      <w:b/>
                      <w:bCs/>
                      <w:color w:val="FFFFFF"/>
                      <w:sz w:val="18"/>
                      <w:szCs w:val="18"/>
                      <w:lang w:eastAsia="en-AU"/>
                    </w:rPr>
                  </w:pPr>
                  <w:r w:rsidRPr="001E3026">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bottom"/>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25,800</w:t>
                  </w:r>
                </w:p>
              </w:tc>
              <w:tc>
                <w:tcPr>
                  <w:tcW w:w="1120" w:type="dxa"/>
                  <w:tcBorders>
                    <w:top w:val="single" w:sz="4" w:space="0" w:color="5E8A00"/>
                    <w:bottom w:val="nil"/>
                  </w:tcBorders>
                  <w:shd w:val="clear" w:color="000000" w:fill="5E8A00"/>
                  <w:noWrap/>
                  <w:vAlign w:val="bottom"/>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34,900</w:t>
                  </w:r>
                </w:p>
              </w:tc>
              <w:tc>
                <w:tcPr>
                  <w:tcW w:w="1120" w:type="dxa"/>
                  <w:tcBorders>
                    <w:top w:val="single" w:sz="4" w:space="0" w:color="5E8A00"/>
                    <w:bottom w:val="nil"/>
                  </w:tcBorders>
                  <w:shd w:val="clear" w:color="000000" w:fill="5E8A00"/>
                  <w:noWrap/>
                  <w:vAlign w:val="bottom"/>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30,600</w:t>
                  </w:r>
                </w:p>
              </w:tc>
              <w:tc>
                <w:tcPr>
                  <w:tcW w:w="1120" w:type="dxa"/>
                  <w:tcBorders>
                    <w:top w:val="single" w:sz="4" w:space="0" w:color="5E8A00"/>
                    <w:bottom w:val="nil"/>
                  </w:tcBorders>
                  <w:shd w:val="clear" w:color="000000" w:fill="5E8A00"/>
                  <w:noWrap/>
                  <w:vAlign w:val="bottom"/>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18%</w:t>
                  </w:r>
                </w:p>
              </w:tc>
              <w:tc>
                <w:tcPr>
                  <w:tcW w:w="1120" w:type="dxa"/>
                  <w:tcBorders>
                    <w:top w:val="single" w:sz="4" w:space="0" w:color="5E8A00"/>
                    <w:bottom w:val="nil"/>
                    <w:right w:val="single" w:sz="4" w:space="0" w:color="5E8A00"/>
                  </w:tcBorders>
                  <w:shd w:val="clear" w:color="000000" w:fill="5E8A00"/>
                  <w:noWrap/>
                  <w:vAlign w:val="bottom"/>
                  <w:hideMark/>
                </w:tcPr>
                <w:p w:rsidR="001E3026" w:rsidRPr="001E3026" w:rsidRDefault="001E3026" w:rsidP="001E3026">
                  <w:pPr>
                    <w:spacing w:after="0" w:line="240" w:lineRule="auto"/>
                    <w:jc w:val="right"/>
                    <w:rPr>
                      <w:rFonts w:cs="Arial"/>
                      <w:b/>
                      <w:bCs/>
                      <w:color w:val="FFFFFF"/>
                      <w:sz w:val="18"/>
                      <w:szCs w:val="18"/>
                      <w:lang w:eastAsia="en-AU"/>
                    </w:rPr>
                  </w:pPr>
                  <w:r w:rsidRPr="001E3026">
                    <w:rPr>
                      <w:rFonts w:cs="Arial"/>
                      <w:b/>
                      <w:bCs/>
                      <w:color w:val="FFFFFF"/>
                      <w:sz w:val="18"/>
                      <w:szCs w:val="18"/>
                      <w:lang w:eastAsia="en-AU"/>
                    </w:rPr>
                    <w:t>-12%</w:t>
                  </w:r>
                </w:p>
              </w:tc>
            </w:tr>
          </w:tbl>
          <w:p w:rsidR="00583039" w:rsidRPr="001F29E3" w:rsidRDefault="00583039" w:rsidP="00583039">
            <w:pPr>
              <w:rPr>
                <w:rFonts w:cs="Arial"/>
                <w:sz w:val="16"/>
                <w:szCs w:val="16"/>
              </w:rPr>
            </w:pPr>
            <w:r w:rsidRPr="001F29E3">
              <w:rPr>
                <w:rFonts w:cs="Arial"/>
                <w:sz w:val="16"/>
                <w:szCs w:val="16"/>
              </w:rPr>
              <w:t>AEIs: Adult Education Institutes</w:t>
            </w:r>
          </w:p>
          <w:p w:rsidR="00583039" w:rsidRPr="00583039" w:rsidRDefault="00583039" w:rsidP="00583039"/>
          <w:p w:rsidR="001A743A" w:rsidRPr="00AD562F" w:rsidRDefault="001A743A" w:rsidP="001A743A">
            <w:pPr>
              <w:pStyle w:val="Caption"/>
              <w:jc w:val="left"/>
              <w:rPr>
                <w:rFonts w:cs="Arial"/>
                <w:color w:val="auto"/>
              </w:rPr>
            </w:pPr>
          </w:p>
          <w:p w:rsidR="001A743A" w:rsidRPr="00AD562F" w:rsidRDefault="001A743A" w:rsidP="001A743A">
            <w:pPr>
              <w:pStyle w:val="Caption"/>
              <w:jc w:val="left"/>
              <w:rPr>
                <w:rFonts w:cs="Arial"/>
                <w:color w:val="auto"/>
              </w:rPr>
            </w:pPr>
          </w:p>
          <w:p w:rsidR="001A743A" w:rsidRPr="00AD562F" w:rsidRDefault="001A743A" w:rsidP="001A743A">
            <w:pPr>
              <w:pStyle w:val="Caption"/>
              <w:jc w:val="left"/>
              <w:rPr>
                <w:rFonts w:cs="Arial"/>
                <w:color w:val="auto"/>
              </w:rPr>
            </w:pPr>
          </w:p>
          <w:p w:rsidR="001A743A" w:rsidRPr="00AD562F" w:rsidRDefault="001A743A" w:rsidP="001A743A">
            <w:pPr>
              <w:pStyle w:val="Caption"/>
              <w:jc w:val="left"/>
              <w:rPr>
                <w:rFonts w:cs="Arial"/>
                <w:color w:val="auto"/>
              </w:rPr>
            </w:pPr>
          </w:p>
          <w:p w:rsidR="001A743A" w:rsidRPr="00AD562F" w:rsidRDefault="001A743A" w:rsidP="001A743A">
            <w:pPr>
              <w:pStyle w:val="Caption"/>
              <w:jc w:val="left"/>
              <w:rPr>
                <w:rFonts w:cs="Arial"/>
                <w:color w:val="auto"/>
              </w:rPr>
            </w:pPr>
          </w:p>
          <w:p w:rsidR="001A743A" w:rsidRPr="00AD562F" w:rsidRDefault="001A743A" w:rsidP="001A743A">
            <w:pPr>
              <w:pStyle w:val="Caption"/>
              <w:jc w:val="left"/>
              <w:rPr>
                <w:rFonts w:cs="Arial"/>
                <w:color w:val="auto"/>
              </w:rPr>
            </w:pPr>
          </w:p>
          <w:p w:rsidR="001A743A" w:rsidRPr="00AD562F" w:rsidRDefault="001A743A" w:rsidP="001A743A">
            <w:pPr>
              <w:pStyle w:val="Caption"/>
              <w:jc w:val="left"/>
              <w:rPr>
                <w:rFonts w:cs="Arial"/>
                <w:color w:val="auto"/>
              </w:rPr>
            </w:pPr>
          </w:p>
          <w:p w:rsidR="001A743A" w:rsidRPr="00AD562F" w:rsidRDefault="001A743A" w:rsidP="001A743A">
            <w:pPr>
              <w:pStyle w:val="Caption"/>
              <w:jc w:val="left"/>
              <w:rPr>
                <w:rFonts w:cs="Arial"/>
                <w:color w:val="auto"/>
              </w:rPr>
            </w:pPr>
          </w:p>
          <w:p w:rsidR="001A743A" w:rsidRPr="00AD562F" w:rsidRDefault="001A743A" w:rsidP="001A743A">
            <w:pPr>
              <w:pStyle w:val="Caption"/>
              <w:jc w:val="left"/>
              <w:rPr>
                <w:rFonts w:cs="Arial"/>
                <w:color w:val="auto"/>
              </w:rPr>
            </w:pPr>
          </w:p>
          <w:p w:rsidR="001A743A" w:rsidRPr="00AD562F" w:rsidRDefault="001A743A" w:rsidP="001A743A">
            <w:pPr>
              <w:pStyle w:val="Caption"/>
              <w:jc w:val="left"/>
              <w:rPr>
                <w:rFonts w:cs="Arial"/>
                <w:color w:val="auto"/>
              </w:rPr>
            </w:pPr>
          </w:p>
          <w:p w:rsidR="001A743A" w:rsidRPr="00AD562F" w:rsidRDefault="001A743A" w:rsidP="001A743A">
            <w:pPr>
              <w:pStyle w:val="Caption"/>
              <w:jc w:val="left"/>
              <w:rPr>
                <w:rFonts w:cs="Arial"/>
                <w:color w:val="auto"/>
              </w:rPr>
            </w:pPr>
          </w:p>
          <w:p w:rsidR="001A743A" w:rsidRPr="00AD562F" w:rsidRDefault="001A743A" w:rsidP="001A743A">
            <w:pPr>
              <w:pStyle w:val="Caption"/>
              <w:jc w:val="left"/>
              <w:rPr>
                <w:rFonts w:cs="Arial"/>
                <w:color w:val="auto"/>
              </w:rPr>
            </w:pPr>
          </w:p>
          <w:p w:rsidR="00351166" w:rsidRPr="001F29E3" w:rsidRDefault="00351166" w:rsidP="005654CD">
            <w:pPr>
              <w:pStyle w:val="Caption"/>
              <w:jc w:val="left"/>
              <w:rPr>
                <w:rFonts w:cs="Arial"/>
              </w:rPr>
            </w:pPr>
            <w:r w:rsidRPr="001F29E3">
              <w:rPr>
                <w:rFonts w:cs="Arial"/>
              </w:rPr>
              <w:lastRenderedPageBreak/>
              <w:t>Figure 1.</w:t>
            </w:r>
            <w:r w:rsidR="005654CD">
              <w:rPr>
                <w:rFonts w:cs="Arial"/>
              </w:rPr>
              <w:t>6</w:t>
            </w:r>
            <w:r w:rsidRPr="001F29E3">
              <w:rPr>
                <w:rFonts w:cs="Arial"/>
              </w:rPr>
              <w:t>: Government subsidised AC</w:t>
            </w:r>
            <w:r w:rsidR="002A5B3A">
              <w:rPr>
                <w:rFonts w:cs="Arial"/>
              </w:rPr>
              <w:t>F</w:t>
            </w:r>
            <w:r w:rsidRPr="001F29E3">
              <w:rPr>
                <w:rFonts w:cs="Arial"/>
              </w:rPr>
              <w:t>E students by region</w:t>
            </w:r>
            <w:r w:rsidR="001F78C1" w:rsidRPr="001F29E3">
              <w:rPr>
                <w:rFonts w:cs="Arial"/>
              </w:rPr>
              <w:t>al area</w:t>
            </w:r>
            <w:r w:rsidRPr="001F29E3">
              <w:rPr>
                <w:rFonts w:cs="Arial"/>
              </w:rPr>
              <w:t>, accredited and pre-accredited</w:t>
            </w:r>
            <w:r w:rsidR="002A5B3A">
              <w:rPr>
                <w:rFonts w:cs="Arial"/>
              </w:rPr>
              <w:t xml:space="preserve">, </w:t>
            </w:r>
            <w:r w:rsidR="002A5B3A">
              <w:rPr>
                <w:rFonts w:cs="Arial"/>
              </w:rPr>
              <w:br/>
              <w:t xml:space="preserve">Q2 2011, </w:t>
            </w:r>
            <w:r w:rsidR="002A5B3A" w:rsidRPr="001F29E3">
              <w:rPr>
                <w:rFonts w:cs="Arial"/>
              </w:rPr>
              <w:t>Q</w:t>
            </w:r>
            <w:r w:rsidR="002A5B3A">
              <w:rPr>
                <w:rFonts w:cs="Arial"/>
              </w:rPr>
              <w:t>2</w:t>
            </w:r>
            <w:r w:rsidR="002A5B3A" w:rsidRPr="001F29E3">
              <w:rPr>
                <w:rFonts w:cs="Arial"/>
              </w:rPr>
              <w:t xml:space="preserve"> 2012 </w:t>
            </w:r>
            <w:r w:rsidR="002A5B3A">
              <w:rPr>
                <w:rFonts w:cs="Arial"/>
              </w:rPr>
              <w:t>and</w:t>
            </w:r>
            <w:r w:rsidR="002A5B3A" w:rsidRPr="001F29E3">
              <w:rPr>
                <w:rFonts w:cs="Arial"/>
              </w:rPr>
              <w:t xml:space="preserve"> Q</w:t>
            </w:r>
            <w:r w:rsidR="002A5B3A">
              <w:rPr>
                <w:rFonts w:cs="Arial"/>
              </w:rPr>
              <w:t>2</w:t>
            </w:r>
            <w:r w:rsidR="002A5B3A" w:rsidRPr="001F29E3">
              <w:rPr>
                <w:rFonts w:cs="Arial"/>
              </w:rPr>
              <w:t xml:space="preserve"> 2013</w:t>
            </w:r>
          </w:p>
        </w:tc>
      </w:tr>
      <w:tr w:rsidR="00351166" w:rsidRPr="001F29E3" w:rsidTr="00631405">
        <w:trPr>
          <w:trHeight w:val="3067"/>
        </w:trPr>
        <w:tc>
          <w:tcPr>
            <w:tcW w:w="9072" w:type="dxa"/>
            <w:gridSpan w:val="6"/>
            <w:tcBorders>
              <w:bottom w:val="single" w:sz="4" w:space="0" w:color="85A644"/>
            </w:tcBorders>
          </w:tcPr>
          <w:p w:rsidR="00351166" w:rsidRPr="001F29E3" w:rsidRDefault="002A5B3A" w:rsidP="004C7064">
            <w:pPr>
              <w:pStyle w:val="TablePhoto"/>
              <w:rPr>
                <w:rFonts w:cs="Arial"/>
              </w:rPr>
            </w:pPr>
            <w:r>
              <w:rPr>
                <w:rFonts w:cs="Arial"/>
                <w:noProof/>
                <w:lang w:eastAsia="en-AU"/>
              </w:rPr>
              <w:lastRenderedPageBreak/>
              <w:drawing>
                <wp:inline distT="0" distB="0" distL="0" distR="0" wp14:anchorId="52B718DF" wp14:editId="5542076A">
                  <wp:extent cx="5684400" cy="2278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84400" cy="2278800"/>
                          </a:xfrm>
                          <a:prstGeom prst="rect">
                            <a:avLst/>
                          </a:prstGeom>
                          <a:noFill/>
                        </pic:spPr>
                      </pic:pic>
                    </a:graphicData>
                  </a:graphic>
                </wp:inline>
              </w:drawing>
            </w:r>
          </w:p>
        </w:tc>
      </w:tr>
      <w:tr w:rsidR="00351166" w:rsidRPr="001F29E3" w:rsidTr="00631405">
        <w:tblPrEx>
          <w:tblCellMar>
            <w:left w:w="108" w:type="dxa"/>
            <w:right w:w="108" w:type="dxa"/>
          </w:tblCellMar>
          <w:tblLook w:val="04A0" w:firstRow="1" w:lastRow="0" w:firstColumn="1" w:lastColumn="0" w:noHBand="0" w:noVBand="1"/>
        </w:tblPrEx>
        <w:trPr>
          <w:trHeight w:val="255"/>
        </w:trPr>
        <w:tc>
          <w:tcPr>
            <w:tcW w:w="879" w:type="dxa"/>
            <w:tcBorders>
              <w:top w:val="single" w:sz="4" w:space="0" w:color="85A644"/>
              <w:left w:val="single" w:sz="4" w:space="0" w:color="85A644"/>
              <w:bottom w:val="single" w:sz="6"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BSW</w:t>
            </w:r>
          </w:p>
        </w:tc>
        <w:tc>
          <w:tcPr>
            <w:tcW w:w="1839" w:type="dxa"/>
            <w:tcBorders>
              <w:top w:val="single" w:sz="4" w:space="0" w:color="85A644"/>
              <w:left w:val="single" w:sz="6" w:space="0" w:color="85A644"/>
              <w:bottom w:val="single" w:sz="6"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Barwon South West</w:t>
            </w:r>
          </w:p>
        </w:tc>
        <w:tc>
          <w:tcPr>
            <w:tcW w:w="880" w:type="dxa"/>
            <w:tcBorders>
              <w:top w:val="single" w:sz="4" w:space="0" w:color="85A644"/>
              <w:left w:val="single" w:sz="6" w:space="0" w:color="85A644"/>
              <w:bottom w:val="single" w:sz="6"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HUM</w:t>
            </w:r>
          </w:p>
        </w:tc>
        <w:tc>
          <w:tcPr>
            <w:tcW w:w="1879" w:type="dxa"/>
            <w:tcBorders>
              <w:top w:val="single" w:sz="4" w:space="0" w:color="85A644"/>
              <w:left w:val="single" w:sz="6" w:space="0" w:color="85A644"/>
              <w:bottom w:val="single" w:sz="6"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Hume</w:t>
            </w:r>
          </w:p>
        </w:tc>
        <w:tc>
          <w:tcPr>
            <w:tcW w:w="880" w:type="dxa"/>
            <w:tcBorders>
              <w:top w:val="single" w:sz="4" w:space="0" w:color="85A644"/>
              <w:left w:val="single" w:sz="6" w:space="0" w:color="85A644"/>
              <w:bottom w:val="single" w:sz="6" w:space="0" w:color="85A644"/>
              <w:right w:val="single" w:sz="6" w:space="0" w:color="85A644"/>
            </w:tcBorders>
            <w:shd w:val="clear" w:color="000000" w:fill="FFFFFF"/>
            <w:noWrap/>
            <w:vAlign w:val="bottom"/>
            <w:hideMark/>
          </w:tcPr>
          <w:p w:rsidR="00351166" w:rsidRPr="001F29E3" w:rsidRDefault="00351166" w:rsidP="00BF030E">
            <w:pPr>
              <w:spacing w:after="0" w:line="240" w:lineRule="auto"/>
              <w:jc w:val="left"/>
              <w:rPr>
                <w:rFonts w:cs="Arial"/>
                <w:color w:val="85A644"/>
                <w:sz w:val="16"/>
                <w:szCs w:val="16"/>
                <w:lang w:eastAsia="en-AU"/>
              </w:rPr>
            </w:pPr>
            <w:r w:rsidRPr="001F29E3">
              <w:rPr>
                <w:rFonts w:cs="Arial"/>
                <w:color w:val="85A644"/>
                <w:sz w:val="16"/>
                <w:szCs w:val="16"/>
                <w:lang w:eastAsia="en-AU"/>
              </w:rPr>
              <w:t>NWM</w:t>
            </w:r>
          </w:p>
        </w:tc>
        <w:tc>
          <w:tcPr>
            <w:tcW w:w="2715" w:type="dxa"/>
            <w:tcBorders>
              <w:top w:val="single" w:sz="4" w:space="0" w:color="85A644"/>
              <w:left w:val="single" w:sz="6" w:space="0" w:color="85A644"/>
              <w:bottom w:val="single" w:sz="6" w:space="0" w:color="85A644"/>
              <w:right w:val="single" w:sz="4"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North Western Metropolitan</w:t>
            </w:r>
          </w:p>
        </w:tc>
      </w:tr>
      <w:tr w:rsidR="00351166" w:rsidRPr="001F29E3" w:rsidTr="00631405">
        <w:tblPrEx>
          <w:tblCellMar>
            <w:left w:w="108" w:type="dxa"/>
            <w:right w:w="108" w:type="dxa"/>
          </w:tblCellMar>
          <w:tblLook w:val="04A0" w:firstRow="1" w:lastRow="0" w:firstColumn="1" w:lastColumn="0" w:noHBand="0" w:noVBand="1"/>
        </w:tblPrEx>
        <w:trPr>
          <w:trHeight w:val="255"/>
        </w:trPr>
        <w:tc>
          <w:tcPr>
            <w:tcW w:w="879" w:type="dxa"/>
            <w:tcBorders>
              <w:top w:val="single" w:sz="6" w:space="0" w:color="85A644"/>
              <w:left w:val="single" w:sz="4" w:space="0" w:color="85A644"/>
              <w:bottom w:val="single" w:sz="6"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GRA</w:t>
            </w:r>
          </w:p>
        </w:tc>
        <w:tc>
          <w:tcPr>
            <w:tcW w:w="1839" w:type="dxa"/>
            <w:tcBorders>
              <w:top w:val="single" w:sz="6" w:space="0" w:color="85A644"/>
              <w:left w:val="single" w:sz="6" w:space="0" w:color="85A644"/>
              <w:bottom w:val="single" w:sz="6"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Grampians</w:t>
            </w:r>
          </w:p>
        </w:tc>
        <w:tc>
          <w:tcPr>
            <w:tcW w:w="880" w:type="dxa"/>
            <w:tcBorders>
              <w:top w:val="single" w:sz="6" w:space="0" w:color="85A644"/>
              <w:left w:val="single" w:sz="6" w:space="0" w:color="85A644"/>
              <w:bottom w:val="single" w:sz="6"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GIP</w:t>
            </w:r>
          </w:p>
        </w:tc>
        <w:tc>
          <w:tcPr>
            <w:tcW w:w="1879" w:type="dxa"/>
            <w:tcBorders>
              <w:top w:val="single" w:sz="6" w:space="0" w:color="85A644"/>
              <w:left w:val="single" w:sz="6" w:space="0" w:color="85A644"/>
              <w:bottom w:val="single" w:sz="6"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Gippsland</w:t>
            </w:r>
          </w:p>
        </w:tc>
        <w:tc>
          <w:tcPr>
            <w:tcW w:w="880" w:type="dxa"/>
            <w:tcBorders>
              <w:top w:val="single" w:sz="6" w:space="0" w:color="85A644"/>
              <w:left w:val="single" w:sz="6" w:space="0" w:color="85A644"/>
              <w:bottom w:val="single" w:sz="6" w:space="0" w:color="85A644"/>
              <w:right w:val="single" w:sz="6" w:space="0" w:color="85A644"/>
            </w:tcBorders>
            <w:shd w:val="clear" w:color="000000" w:fill="FFFFFF"/>
            <w:noWrap/>
            <w:vAlign w:val="bottom"/>
            <w:hideMark/>
          </w:tcPr>
          <w:p w:rsidR="00351166" w:rsidRPr="001F29E3" w:rsidRDefault="00BF030E" w:rsidP="004C7064">
            <w:pPr>
              <w:spacing w:after="0" w:line="240" w:lineRule="auto"/>
              <w:jc w:val="left"/>
              <w:rPr>
                <w:rFonts w:cs="Arial"/>
                <w:color w:val="85A644"/>
                <w:sz w:val="16"/>
                <w:szCs w:val="16"/>
                <w:lang w:eastAsia="en-AU"/>
              </w:rPr>
            </w:pPr>
            <w:r w:rsidRPr="001F29E3">
              <w:rPr>
                <w:rFonts w:cs="Arial"/>
                <w:color w:val="85A644"/>
                <w:sz w:val="16"/>
                <w:szCs w:val="16"/>
                <w:lang w:eastAsia="en-AU"/>
              </w:rPr>
              <w:t>SM</w:t>
            </w:r>
          </w:p>
        </w:tc>
        <w:tc>
          <w:tcPr>
            <w:tcW w:w="2715" w:type="dxa"/>
            <w:tcBorders>
              <w:top w:val="single" w:sz="6" w:space="0" w:color="85A644"/>
              <w:left w:val="single" w:sz="6" w:space="0" w:color="85A644"/>
              <w:bottom w:val="single" w:sz="6" w:space="0" w:color="85A644"/>
              <w:right w:val="single" w:sz="4"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Southern Metropolitan</w:t>
            </w:r>
          </w:p>
        </w:tc>
      </w:tr>
      <w:tr w:rsidR="00351166" w:rsidRPr="001F29E3" w:rsidTr="00631405">
        <w:tblPrEx>
          <w:tblCellMar>
            <w:left w:w="108" w:type="dxa"/>
            <w:right w:w="108" w:type="dxa"/>
          </w:tblCellMar>
          <w:tblLook w:val="04A0" w:firstRow="1" w:lastRow="0" w:firstColumn="1" w:lastColumn="0" w:noHBand="0" w:noVBand="1"/>
        </w:tblPrEx>
        <w:trPr>
          <w:trHeight w:val="255"/>
        </w:trPr>
        <w:tc>
          <w:tcPr>
            <w:tcW w:w="879" w:type="dxa"/>
            <w:tcBorders>
              <w:top w:val="single" w:sz="6" w:space="0" w:color="85A644"/>
              <w:left w:val="single" w:sz="4" w:space="0" w:color="85A644"/>
              <w:bottom w:val="single" w:sz="4"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LMR</w:t>
            </w:r>
          </w:p>
        </w:tc>
        <w:tc>
          <w:tcPr>
            <w:tcW w:w="1839" w:type="dxa"/>
            <w:tcBorders>
              <w:top w:val="single" w:sz="6" w:space="0" w:color="85A644"/>
              <w:left w:val="single" w:sz="6" w:space="0" w:color="85A644"/>
              <w:bottom w:val="single" w:sz="4"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 xml:space="preserve">Loddon </w:t>
            </w:r>
            <w:proofErr w:type="spellStart"/>
            <w:r w:rsidRPr="001F29E3">
              <w:rPr>
                <w:rFonts w:cs="Arial"/>
                <w:color w:val="85A644"/>
                <w:sz w:val="16"/>
                <w:szCs w:val="16"/>
                <w:lang w:eastAsia="en-AU"/>
              </w:rPr>
              <w:t>Mallee</w:t>
            </w:r>
            <w:proofErr w:type="spellEnd"/>
          </w:p>
        </w:tc>
        <w:tc>
          <w:tcPr>
            <w:tcW w:w="880" w:type="dxa"/>
            <w:tcBorders>
              <w:top w:val="single" w:sz="6" w:space="0" w:color="85A644"/>
              <w:left w:val="single" w:sz="6" w:space="0" w:color="85A644"/>
              <w:bottom w:val="single" w:sz="4" w:space="0" w:color="85A644"/>
              <w:right w:val="single" w:sz="6" w:space="0" w:color="85A644"/>
            </w:tcBorders>
            <w:shd w:val="clear" w:color="000000" w:fill="FFFFFF"/>
            <w:noWrap/>
            <w:vAlign w:val="bottom"/>
            <w:hideMark/>
          </w:tcPr>
          <w:p w:rsidR="00351166" w:rsidRPr="001F29E3" w:rsidRDefault="00351166" w:rsidP="00BF030E">
            <w:pPr>
              <w:spacing w:after="0" w:line="240" w:lineRule="auto"/>
              <w:jc w:val="left"/>
              <w:rPr>
                <w:rFonts w:cs="Arial"/>
                <w:color w:val="85A644"/>
                <w:sz w:val="16"/>
                <w:szCs w:val="16"/>
                <w:lang w:eastAsia="en-AU"/>
              </w:rPr>
            </w:pPr>
            <w:r w:rsidRPr="001F29E3">
              <w:rPr>
                <w:rFonts w:cs="Arial"/>
                <w:color w:val="85A644"/>
                <w:sz w:val="16"/>
                <w:szCs w:val="16"/>
                <w:lang w:eastAsia="en-AU"/>
              </w:rPr>
              <w:t>EM</w:t>
            </w:r>
          </w:p>
        </w:tc>
        <w:tc>
          <w:tcPr>
            <w:tcW w:w="1879" w:type="dxa"/>
            <w:tcBorders>
              <w:top w:val="single" w:sz="6" w:space="0" w:color="85A644"/>
              <w:left w:val="single" w:sz="6" w:space="0" w:color="85A644"/>
              <w:bottom w:val="single" w:sz="4"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Eastern Metropolitan</w:t>
            </w:r>
          </w:p>
        </w:tc>
        <w:tc>
          <w:tcPr>
            <w:tcW w:w="880" w:type="dxa"/>
            <w:tcBorders>
              <w:top w:val="single" w:sz="6" w:space="0" w:color="85A644"/>
              <w:left w:val="single" w:sz="6" w:space="0" w:color="85A644"/>
              <w:bottom w:val="single" w:sz="4" w:space="0" w:color="85A644"/>
              <w:right w:val="single" w:sz="6"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AEIs</w:t>
            </w:r>
          </w:p>
        </w:tc>
        <w:tc>
          <w:tcPr>
            <w:tcW w:w="2715" w:type="dxa"/>
            <w:tcBorders>
              <w:top w:val="single" w:sz="6" w:space="0" w:color="85A644"/>
              <w:left w:val="single" w:sz="6" w:space="0" w:color="85A644"/>
              <w:bottom w:val="single" w:sz="4" w:space="0" w:color="85A644"/>
              <w:right w:val="single" w:sz="4" w:space="0" w:color="85A644"/>
            </w:tcBorders>
            <w:shd w:val="clear" w:color="000000" w:fill="FFFFFF"/>
            <w:noWrap/>
            <w:vAlign w:val="bottom"/>
            <w:hideMark/>
          </w:tcPr>
          <w:p w:rsidR="00351166" w:rsidRPr="001F29E3" w:rsidRDefault="00351166" w:rsidP="004C7064">
            <w:pPr>
              <w:spacing w:after="0" w:line="240" w:lineRule="auto"/>
              <w:jc w:val="left"/>
              <w:rPr>
                <w:rFonts w:cs="Arial"/>
                <w:color w:val="85A644"/>
                <w:sz w:val="16"/>
                <w:szCs w:val="16"/>
                <w:lang w:eastAsia="en-AU"/>
              </w:rPr>
            </w:pPr>
            <w:r w:rsidRPr="001F29E3">
              <w:rPr>
                <w:rFonts w:cs="Arial"/>
                <w:color w:val="85A644"/>
                <w:sz w:val="16"/>
                <w:szCs w:val="16"/>
                <w:lang w:eastAsia="en-AU"/>
              </w:rPr>
              <w:t>Adult Education Institutes</w:t>
            </w:r>
          </w:p>
        </w:tc>
      </w:tr>
    </w:tbl>
    <w:p w:rsidR="00351166" w:rsidRDefault="00351166" w:rsidP="00351166">
      <w:pPr>
        <w:rPr>
          <w:rFonts w:cs="Arial"/>
        </w:rPr>
      </w:pPr>
    </w:p>
    <w:p w:rsidR="001A743A" w:rsidRDefault="001A743A" w:rsidP="00351166">
      <w:pPr>
        <w:rPr>
          <w:rFonts w:cs="Arial"/>
        </w:rPr>
      </w:pPr>
    </w:p>
    <w:p w:rsidR="001A743A" w:rsidRDefault="001A743A">
      <w:pPr>
        <w:spacing w:after="0" w:line="240" w:lineRule="auto"/>
        <w:jc w:val="left"/>
        <w:rPr>
          <w:rFonts w:cs="Arial"/>
          <w:b/>
          <w:bCs/>
          <w:color w:val="76923C" w:themeColor="accent3" w:themeShade="BF"/>
          <w:szCs w:val="19"/>
        </w:rPr>
      </w:pPr>
      <w:r>
        <w:rPr>
          <w:rFonts w:cs="Arial"/>
          <w:b/>
          <w:bCs/>
          <w:color w:val="76923C" w:themeColor="accent3" w:themeShade="BF"/>
          <w:szCs w:val="19"/>
        </w:rPr>
        <w:br w:type="page"/>
      </w:r>
    </w:p>
    <w:p w:rsidR="001A743A" w:rsidRDefault="001A743A" w:rsidP="00ED171F">
      <w:pPr>
        <w:pStyle w:val="Heading3"/>
      </w:pPr>
      <w:r w:rsidRPr="00EE522F">
        <w:lastRenderedPageBreak/>
        <w:t>AC</w:t>
      </w:r>
      <w:r>
        <w:t>F</w:t>
      </w:r>
      <w:r w:rsidRPr="00EE522F">
        <w:t xml:space="preserve">E </w:t>
      </w:r>
      <w:r>
        <w:t>students by higher needs categories</w:t>
      </w:r>
    </w:p>
    <w:p w:rsidR="001A743A" w:rsidRPr="00EE522F" w:rsidRDefault="001A743A" w:rsidP="001A743A">
      <w:pPr>
        <w:rPr>
          <w:rFonts w:cs="Arial"/>
          <w:b/>
          <w:bCs/>
          <w:color w:val="76923C" w:themeColor="accent3" w:themeShade="BF"/>
          <w:szCs w:val="19"/>
        </w:rPr>
      </w:pPr>
    </w:p>
    <w:tbl>
      <w:tblPr>
        <w:tblStyle w:val="TableGrid"/>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9288"/>
      </w:tblGrid>
      <w:tr w:rsidR="001A743A" w:rsidTr="008603E7">
        <w:trPr>
          <w:tblHeader/>
        </w:trPr>
        <w:tc>
          <w:tcPr>
            <w:tcW w:w="9288" w:type="dxa"/>
          </w:tcPr>
          <w:p w:rsidR="001A743A" w:rsidRDefault="001A743A" w:rsidP="00E1196B">
            <w:pPr>
              <w:pStyle w:val="Heading3"/>
              <w:outlineLvl w:val="2"/>
            </w:pPr>
            <w:r w:rsidRPr="002D4E83">
              <w:t>Key Points</w:t>
            </w:r>
          </w:p>
          <w:p w:rsidR="00A326AF" w:rsidRPr="00A326AF" w:rsidRDefault="00A326AF" w:rsidP="00A326AF"/>
          <w:p w:rsidR="001A743A" w:rsidRDefault="001A743A" w:rsidP="00E1196B">
            <w:pPr>
              <w:pStyle w:val="ListBullet"/>
              <w:numPr>
                <w:ilvl w:val="0"/>
                <w:numId w:val="11"/>
              </w:numPr>
              <w:ind w:right="113"/>
              <w:rPr>
                <w:rFonts w:cs="Arial"/>
              </w:rPr>
            </w:pPr>
            <w:r w:rsidRPr="002D4E83">
              <w:rPr>
                <w:rFonts w:cs="Arial"/>
              </w:rPr>
              <w:t xml:space="preserve">Unemployed students made up the largest number of </w:t>
            </w:r>
            <w:r>
              <w:rPr>
                <w:rFonts w:cs="Arial"/>
              </w:rPr>
              <w:t>higher needs</w:t>
            </w:r>
            <w:r w:rsidRPr="002D4E83">
              <w:rPr>
                <w:rFonts w:cs="Arial"/>
              </w:rPr>
              <w:t xml:space="preserve"> students at </w:t>
            </w:r>
            <w:r>
              <w:rPr>
                <w:rFonts w:cs="Arial"/>
              </w:rPr>
              <w:t xml:space="preserve">ACFE </w:t>
            </w:r>
            <w:r w:rsidRPr="002D4E83">
              <w:rPr>
                <w:rFonts w:cs="Arial"/>
              </w:rPr>
              <w:t>organisations and Adult Education Institutions, followed by students from a CALD background or vulnerable workers.</w:t>
            </w:r>
          </w:p>
          <w:p w:rsidR="001A743A" w:rsidRPr="00CB4879" w:rsidRDefault="001A743A" w:rsidP="00E1196B">
            <w:pPr>
              <w:pStyle w:val="ListBullet"/>
              <w:numPr>
                <w:ilvl w:val="0"/>
                <w:numId w:val="11"/>
              </w:numPr>
              <w:ind w:right="113"/>
              <w:rPr>
                <w:rFonts w:cs="Arial"/>
              </w:rPr>
            </w:pPr>
            <w:r>
              <w:rPr>
                <w:rFonts w:cs="Arial"/>
              </w:rPr>
              <w:t>The smallest student count of higher needs learners in the quarter were</w:t>
            </w:r>
            <w:r w:rsidR="00B66680">
              <w:rPr>
                <w:rFonts w:cs="Arial"/>
              </w:rPr>
              <w:t xml:space="preserve"> Indigenous learners, being 1.7</w:t>
            </w:r>
            <w:r>
              <w:rPr>
                <w:rFonts w:cs="Arial"/>
              </w:rPr>
              <w:t xml:space="preserve"> per cent of all students enrolled with ACFE providers (500 students). Indigenous learners are overrepresented within ACFE delivery this quarter, as Indigenous Victorians comprised 0.7 per cent of the state’s population in the 2011 census. </w:t>
            </w:r>
          </w:p>
        </w:tc>
      </w:tr>
    </w:tbl>
    <w:p w:rsidR="001A743A" w:rsidRDefault="001A743A" w:rsidP="00351166">
      <w:pPr>
        <w:rPr>
          <w:rFonts w:cs="Arial"/>
        </w:rPr>
      </w:pPr>
    </w:p>
    <w:p w:rsidR="00483582" w:rsidRPr="001F29E3" w:rsidRDefault="00705A6A" w:rsidP="00CE1C42">
      <w:pPr>
        <w:pStyle w:val="Caption"/>
        <w:spacing w:after="0"/>
        <w:jc w:val="left"/>
        <w:rPr>
          <w:rFonts w:cs="Arial"/>
        </w:rPr>
      </w:pPr>
      <w:r>
        <w:rPr>
          <w:rFonts w:cs="Arial"/>
        </w:rPr>
        <w:t xml:space="preserve">Table </w:t>
      </w:r>
      <w:r w:rsidR="00483582" w:rsidRPr="001F29E3">
        <w:rPr>
          <w:rFonts w:cs="Arial"/>
        </w:rPr>
        <w:t>1.</w:t>
      </w:r>
      <w:r w:rsidR="005654CD">
        <w:rPr>
          <w:rFonts w:cs="Arial"/>
        </w:rPr>
        <w:t>20</w:t>
      </w:r>
      <w:r>
        <w:rPr>
          <w:rFonts w:cs="Arial"/>
        </w:rPr>
        <w:t>.1</w:t>
      </w:r>
      <w:r w:rsidR="00483582" w:rsidRPr="001F29E3">
        <w:rPr>
          <w:rFonts w:cs="Arial"/>
        </w:rPr>
        <w:t>: Government subsidised hard to reach students, accredited and pre-accredited Learn Local Organisations and Adult Education Institutions</w:t>
      </w:r>
      <w:r>
        <w:rPr>
          <w:rFonts w:cs="Arial"/>
        </w:rPr>
        <w:t>, 2008-2012</w:t>
      </w:r>
    </w:p>
    <w:tbl>
      <w:tblPr>
        <w:tblW w:w="8700" w:type="dxa"/>
        <w:tblInd w:w="108" w:type="dxa"/>
        <w:tblLook w:val="04A0" w:firstRow="1" w:lastRow="0" w:firstColumn="1" w:lastColumn="0" w:noHBand="0" w:noVBand="1"/>
      </w:tblPr>
      <w:tblGrid>
        <w:gridCol w:w="1980"/>
        <w:gridCol w:w="1120"/>
        <w:gridCol w:w="1120"/>
        <w:gridCol w:w="1120"/>
        <w:gridCol w:w="1120"/>
        <w:gridCol w:w="1120"/>
        <w:gridCol w:w="1120"/>
      </w:tblGrid>
      <w:tr w:rsidR="00705A6A" w:rsidRPr="00705A6A" w:rsidTr="00C44B72">
        <w:trPr>
          <w:trHeight w:hRule="exact" w:val="760"/>
        </w:trPr>
        <w:tc>
          <w:tcPr>
            <w:tcW w:w="1980" w:type="dxa"/>
            <w:tcBorders>
              <w:top w:val="single" w:sz="4" w:space="0" w:color="5E8A00"/>
              <w:left w:val="single" w:sz="4" w:space="0" w:color="5E8A00"/>
              <w:bottom w:val="single" w:sz="4" w:space="0" w:color="5E8A00"/>
            </w:tcBorders>
            <w:shd w:val="clear" w:color="000000" w:fill="5E8A00"/>
            <w:noWrap/>
            <w:vAlign w:val="center"/>
            <w:hideMark/>
          </w:tcPr>
          <w:p w:rsidR="00705A6A" w:rsidRPr="00705A6A" w:rsidRDefault="00705A6A" w:rsidP="00F034AF">
            <w:pPr>
              <w:spacing w:after="0" w:line="240" w:lineRule="auto"/>
              <w:ind w:firstLineChars="100" w:firstLine="181"/>
              <w:jc w:val="left"/>
              <w:rPr>
                <w:rFonts w:cs="Arial"/>
                <w:b/>
                <w:bCs/>
                <w:color w:val="FFFFFF"/>
                <w:sz w:val="18"/>
                <w:szCs w:val="18"/>
                <w:lang w:eastAsia="en-AU"/>
              </w:rPr>
            </w:pPr>
            <w:r w:rsidRPr="00705A6A">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705A6A" w:rsidRPr="00705A6A" w:rsidRDefault="00705A6A" w:rsidP="00F034AF">
            <w:pPr>
              <w:spacing w:after="0" w:line="240" w:lineRule="auto"/>
              <w:ind w:firstLineChars="100" w:firstLine="181"/>
              <w:jc w:val="right"/>
              <w:rPr>
                <w:rFonts w:cs="Arial"/>
                <w:b/>
                <w:bCs/>
                <w:color w:val="FFFFFF"/>
                <w:sz w:val="18"/>
                <w:szCs w:val="18"/>
                <w:lang w:eastAsia="en-AU"/>
              </w:rPr>
            </w:pPr>
            <w:r w:rsidRPr="00705A6A">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705A6A" w:rsidRPr="00705A6A" w:rsidRDefault="00705A6A" w:rsidP="00F034AF">
            <w:pPr>
              <w:spacing w:after="0" w:line="240" w:lineRule="auto"/>
              <w:ind w:firstLineChars="100" w:firstLine="181"/>
              <w:jc w:val="right"/>
              <w:rPr>
                <w:rFonts w:cs="Arial"/>
                <w:b/>
                <w:bCs/>
                <w:color w:val="FFFFFF"/>
                <w:sz w:val="18"/>
                <w:szCs w:val="18"/>
                <w:lang w:eastAsia="en-AU"/>
              </w:rPr>
            </w:pPr>
            <w:r w:rsidRPr="00705A6A">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705A6A" w:rsidRPr="00705A6A" w:rsidRDefault="00705A6A" w:rsidP="00F034AF">
            <w:pPr>
              <w:spacing w:after="0" w:line="240" w:lineRule="auto"/>
              <w:ind w:firstLineChars="100" w:firstLine="181"/>
              <w:jc w:val="right"/>
              <w:rPr>
                <w:rFonts w:cs="Arial"/>
                <w:b/>
                <w:bCs/>
                <w:color w:val="FFFFFF"/>
                <w:sz w:val="18"/>
                <w:szCs w:val="18"/>
                <w:lang w:eastAsia="en-AU"/>
              </w:rPr>
            </w:pPr>
            <w:r w:rsidRPr="00705A6A">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705A6A" w:rsidRPr="00705A6A" w:rsidRDefault="00705A6A" w:rsidP="00F034AF">
            <w:pPr>
              <w:spacing w:after="0" w:line="240" w:lineRule="auto"/>
              <w:ind w:firstLineChars="100" w:firstLine="181"/>
              <w:jc w:val="right"/>
              <w:rPr>
                <w:rFonts w:cs="Arial"/>
                <w:b/>
                <w:bCs/>
                <w:color w:val="FFFFFF"/>
                <w:sz w:val="18"/>
                <w:szCs w:val="18"/>
                <w:lang w:eastAsia="en-AU"/>
              </w:rPr>
            </w:pPr>
            <w:r w:rsidRPr="00705A6A">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705A6A" w:rsidRPr="00705A6A" w:rsidRDefault="00705A6A" w:rsidP="00F034AF">
            <w:pPr>
              <w:spacing w:after="0" w:line="240" w:lineRule="auto"/>
              <w:ind w:firstLineChars="100" w:firstLine="181"/>
              <w:jc w:val="right"/>
              <w:rPr>
                <w:rFonts w:cs="Arial"/>
                <w:b/>
                <w:bCs/>
                <w:color w:val="FFFFFF"/>
                <w:sz w:val="18"/>
                <w:szCs w:val="18"/>
                <w:lang w:eastAsia="en-AU"/>
              </w:rPr>
            </w:pPr>
            <w:r w:rsidRPr="00705A6A">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705A6A" w:rsidRPr="00705A6A" w:rsidRDefault="00705A6A" w:rsidP="00705A6A">
            <w:pPr>
              <w:spacing w:after="0" w:line="240" w:lineRule="auto"/>
              <w:jc w:val="right"/>
              <w:rPr>
                <w:rFonts w:cs="Arial"/>
                <w:b/>
                <w:bCs/>
                <w:color w:val="FFFFFF"/>
                <w:sz w:val="18"/>
                <w:szCs w:val="18"/>
                <w:lang w:eastAsia="en-AU"/>
              </w:rPr>
            </w:pPr>
            <w:r w:rsidRPr="00705A6A">
              <w:rPr>
                <w:rFonts w:cs="Arial"/>
                <w:b/>
                <w:bCs/>
                <w:color w:val="FFFFFF"/>
                <w:sz w:val="18"/>
                <w:szCs w:val="18"/>
                <w:lang w:eastAsia="en-AU"/>
              </w:rPr>
              <w:t>% change 2008-2012</w:t>
            </w:r>
          </w:p>
        </w:tc>
      </w:tr>
      <w:tr w:rsidR="00705A6A" w:rsidRPr="00705A6A" w:rsidTr="00705A6A">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center"/>
            <w:hideMark/>
          </w:tcPr>
          <w:p w:rsidR="00705A6A" w:rsidRPr="00705A6A" w:rsidRDefault="00705A6A" w:rsidP="00705A6A">
            <w:pPr>
              <w:spacing w:after="0" w:line="240" w:lineRule="auto"/>
              <w:jc w:val="left"/>
              <w:rPr>
                <w:rFonts w:cs="Arial"/>
                <w:color w:val="3E5B00"/>
                <w:sz w:val="18"/>
                <w:szCs w:val="18"/>
                <w:lang w:eastAsia="en-AU"/>
              </w:rPr>
            </w:pPr>
            <w:r w:rsidRPr="00705A6A">
              <w:rPr>
                <w:rFonts w:cs="Arial"/>
                <w:color w:val="3E5B00"/>
                <w:sz w:val="18"/>
                <w:szCs w:val="18"/>
                <w:lang w:eastAsia="en-AU"/>
              </w:rPr>
              <w:t>CALD (LOTE)</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9,600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10,000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9,900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11,400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14,500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51%</w:t>
            </w:r>
          </w:p>
        </w:tc>
      </w:tr>
      <w:tr w:rsidR="00705A6A" w:rsidRPr="00705A6A" w:rsidTr="00705A6A">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center"/>
            <w:hideMark/>
          </w:tcPr>
          <w:p w:rsidR="00705A6A" w:rsidRPr="00705A6A" w:rsidRDefault="00705A6A" w:rsidP="00705A6A">
            <w:pPr>
              <w:spacing w:after="0" w:line="240" w:lineRule="auto"/>
              <w:jc w:val="left"/>
              <w:rPr>
                <w:rFonts w:cs="Arial"/>
                <w:color w:val="3E5B00"/>
                <w:sz w:val="18"/>
                <w:szCs w:val="18"/>
                <w:lang w:eastAsia="en-AU"/>
              </w:rPr>
            </w:pPr>
            <w:r w:rsidRPr="00705A6A">
              <w:rPr>
                <w:rFonts w:cs="Arial"/>
                <w:color w:val="3E5B00"/>
                <w:sz w:val="18"/>
                <w:szCs w:val="18"/>
                <w:lang w:eastAsia="en-AU"/>
              </w:rPr>
              <w:t>Disability</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7,700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7,300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8,000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8,800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10,800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39%</w:t>
            </w:r>
          </w:p>
        </w:tc>
      </w:tr>
      <w:tr w:rsidR="00705A6A" w:rsidRPr="00705A6A" w:rsidTr="00705A6A">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center"/>
            <w:hideMark/>
          </w:tcPr>
          <w:p w:rsidR="00705A6A" w:rsidRPr="00705A6A" w:rsidRDefault="00705A6A" w:rsidP="00705A6A">
            <w:pPr>
              <w:spacing w:after="0" w:line="240" w:lineRule="auto"/>
              <w:jc w:val="left"/>
              <w:rPr>
                <w:rFonts w:cs="Arial"/>
                <w:color w:val="3E5B00"/>
                <w:sz w:val="18"/>
                <w:szCs w:val="18"/>
                <w:lang w:eastAsia="en-AU"/>
              </w:rPr>
            </w:pPr>
            <w:r w:rsidRPr="00705A6A">
              <w:rPr>
                <w:rFonts w:cs="Arial"/>
                <w:color w:val="3E5B00"/>
                <w:sz w:val="18"/>
                <w:szCs w:val="18"/>
                <w:lang w:eastAsia="en-AU"/>
              </w:rPr>
              <w:t>Disengaged Youth</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2,100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2,200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2,300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3,000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4,100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96%</w:t>
            </w:r>
          </w:p>
        </w:tc>
      </w:tr>
      <w:tr w:rsidR="00705A6A" w:rsidRPr="00705A6A" w:rsidTr="00705A6A">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center"/>
            <w:hideMark/>
          </w:tcPr>
          <w:p w:rsidR="00705A6A" w:rsidRPr="00705A6A" w:rsidRDefault="00705A6A" w:rsidP="00705A6A">
            <w:pPr>
              <w:spacing w:after="0" w:line="240" w:lineRule="auto"/>
              <w:jc w:val="left"/>
              <w:rPr>
                <w:rFonts w:cs="Arial"/>
                <w:color w:val="3E5B00"/>
                <w:sz w:val="18"/>
                <w:szCs w:val="18"/>
                <w:lang w:eastAsia="en-AU"/>
              </w:rPr>
            </w:pPr>
            <w:r w:rsidRPr="00705A6A">
              <w:rPr>
                <w:rFonts w:cs="Arial"/>
                <w:color w:val="3E5B00"/>
                <w:sz w:val="18"/>
                <w:szCs w:val="18"/>
                <w:lang w:eastAsia="en-AU"/>
              </w:rPr>
              <w:t>Early school leavers</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12,800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12,000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11,000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11,500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13,600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6%</w:t>
            </w:r>
          </w:p>
        </w:tc>
      </w:tr>
      <w:tr w:rsidR="00705A6A" w:rsidRPr="00705A6A" w:rsidTr="00705A6A">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center"/>
            <w:hideMark/>
          </w:tcPr>
          <w:p w:rsidR="00705A6A" w:rsidRPr="00705A6A" w:rsidRDefault="00705A6A" w:rsidP="00705A6A">
            <w:pPr>
              <w:spacing w:after="0" w:line="240" w:lineRule="auto"/>
              <w:jc w:val="left"/>
              <w:rPr>
                <w:rFonts w:cs="Arial"/>
                <w:color w:val="3E5B00"/>
                <w:sz w:val="18"/>
                <w:szCs w:val="18"/>
                <w:lang w:eastAsia="en-AU"/>
              </w:rPr>
            </w:pPr>
            <w:r w:rsidRPr="00705A6A">
              <w:rPr>
                <w:rFonts w:cs="Arial"/>
                <w:color w:val="3E5B00"/>
                <w:sz w:val="18"/>
                <w:szCs w:val="18"/>
                <w:lang w:eastAsia="en-AU"/>
              </w:rPr>
              <w:t>Indigenous</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700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550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650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750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900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35%</w:t>
            </w:r>
          </w:p>
        </w:tc>
      </w:tr>
      <w:tr w:rsidR="00705A6A" w:rsidRPr="00705A6A" w:rsidTr="00705A6A">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center"/>
            <w:hideMark/>
          </w:tcPr>
          <w:p w:rsidR="00705A6A" w:rsidRPr="00705A6A" w:rsidRDefault="00705A6A" w:rsidP="00705A6A">
            <w:pPr>
              <w:spacing w:after="0" w:line="240" w:lineRule="auto"/>
              <w:jc w:val="left"/>
              <w:rPr>
                <w:rFonts w:cs="Arial"/>
                <w:color w:val="3E5B00"/>
                <w:sz w:val="18"/>
                <w:szCs w:val="18"/>
                <w:lang w:eastAsia="en-AU"/>
              </w:rPr>
            </w:pPr>
            <w:r w:rsidRPr="00705A6A">
              <w:rPr>
                <w:rFonts w:cs="Arial"/>
                <w:color w:val="3E5B00"/>
                <w:sz w:val="18"/>
                <w:szCs w:val="18"/>
                <w:lang w:eastAsia="en-AU"/>
              </w:rPr>
              <w:t>Males 45 to 64</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4,300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4,200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4,200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4,300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5,000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15%</w:t>
            </w:r>
          </w:p>
        </w:tc>
      </w:tr>
      <w:tr w:rsidR="00705A6A" w:rsidRPr="00705A6A" w:rsidTr="00705A6A">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center"/>
            <w:hideMark/>
          </w:tcPr>
          <w:p w:rsidR="00705A6A" w:rsidRPr="00705A6A" w:rsidRDefault="00705A6A" w:rsidP="00705A6A">
            <w:pPr>
              <w:spacing w:after="0" w:line="240" w:lineRule="auto"/>
              <w:jc w:val="left"/>
              <w:rPr>
                <w:rFonts w:cs="Arial"/>
                <w:color w:val="3E5B00"/>
                <w:sz w:val="18"/>
                <w:szCs w:val="18"/>
                <w:lang w:eastAsia="en-AU"/>
              </w:rPr>
            </w:pPr>
            <w:r w:rsidRPr="00705A6A">
              <w:rPr>
                <w:rFonts w:cs="Arial"/>
                <w:color w:val="3E5B00"/>
                <w:sz w:val="18"/>
                <w:szCs w:val="18"/>
                <w:lang w:eastAsia="en-AU"/>
              </w:rPr>
              <w:t>Unemployed</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10,800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11,900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12,000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13,900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18,700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73%</w:t>
            </w:r>
          </w:p>
        </w:tc>
      </w:tr>
      <w:tr w:rsidR="00705A6A" w:rsidRPr="00705A6A" w:rsidTr="00705A6A">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center"/>
            <w:hideMark/>
          </w:tcPr>
          <w:p w:rsidR="00705A6A" w:rsidRPr="00705A6A" w:rsidRDefault="00705A6A" w:rsidP="00705A6A">
            <w:pPr>
              <w:spacing w:after="0" w:line="240" w:lineRule="auto"/>
              <w:jc w:val="left"/>
              <w:rPr>
                <w:rFonts w:cs="Arial"/>
                <w:color w:val="3E5B00"/>
                <w:sz w:val="18"/>
                <w:szCs w:val="18"/>
                <w:lang w:eastAsia="en-AU"/>
              </w:rPr>
            </w:pPr>
            <w:r w:rsidRPr="00705A6A">
              <w:rPr>
                <w:rFonts w:cs="Arial"/>
                <w:color w:val="3E5B00"/>
                <w:sz w:val="18"/>
                <w:szCs w:val="18"/>
                <w:lang w:eastAsia="en-AU"/>
              </w:rPr>
              <w:t>Vulnerable workers</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9,500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9,000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9,100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9,900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 xml:space="preserve">11,700 </w:t>
            </w:r>
          </w:p>
        </w:tc>
        <w:tc>
          <w:tcPr>
            <w:tcW w:w="1120" w:type="dxa"/>
            <w:tcBorders>
              <w:top w:val="nil"/>
              <w:left w:val="nil"/>
              <w:bottom w:val="single" w:sz="4" w:space="0" w:color="5E8A00"/>
              <w:right w:val="single" w:sz="4" w:space="0" w:color="5E8A00"/>
            </w:tcBorders>
            <w:shd w:val="clear" w:color="auto" w:fill="auto"/>
            <w:noWrap/>
            <w:vAlign w:val="center"/>
            <w:hideMark/>
          </w:tcPr>
          <w:p w:rsidR="00705A6A" w:rsidRPr="00705A6A" w:rsidRDefault="00705A6A" w:rsidP="00705A6A">
            <w:pPr>
              <w:spacing w:after="0" w:line="240" w:lineRule="auto"/>
              <w:jc w:val="right"/>
              <w:rPr>
                <w:rFonts w:cs="Arial"/>
                <w:sz w:val="18"/>
                <w:szCs w:val="18"/>
                <w:lang w:eastAsia="en-AU"/>
              </w:rPr>
            </w:pPr>
            <w:r w:rsidRPr="00705A6A">
              <w:rPr>
                <w:rFonts w:cs="Arial"/>
                <w:sz w:val="18"/>
                <w:szCs w:val="18"/>
                <w:lang w:eastAsia="en-AU"/>
              </w:rPr>
              <w:t>24%</w:t>
            </w:r>
          </w:p>
        </w:tc>
      </w:tr>
    </w:tbl>
    <w:p w:rsidR="00351166" w:rsidRPr="001F29E3" w:rsidRDefault="00351166" w:rsidP="00351166">
      <w:pPr>
        <w:rPr>
          <w:rFonts w:cs="Arial"/>
          <w:sz w:val="16"/>
          <w:szCs w:val="16"/>
        </w:rPr>
      </w:pPr>
      <w:r w:rsidRPr="001F29E3">
        <w:rPr>
          <w:rFonts w:cs="Arial"/>
          <w:sz w:val="16"/>
          <w:szCs w:val="16"/>
        </w:rPr>
        <w:t>Note: Hard to reach categories are not mutually exclusive.</w:t>
      </w:r>
    </w:p>
    <w:p w:rsidR="00351166" w:rsidRDefault="00351166" w:rsidP="00351166">
      <w:pPr>
        <w:rPr>
          <w:rFonts w:cs="Arial"/>
        </w:rPr>
      </w:pPr>
    </w:p>
    <w:p w:rsidR="00705A6A" w:rsidRPr="001F29E3" w:rsidRDefault="00705A6A" w:rsidP="00CE1C42">
      <w:pPr>
        <w:pStyle w:val="Caption"/>
        <w:spacing w:after="0"/>
        <w:jc w:val="left"/>
        <w:rPr>
          <w:rFonts w:cs="Arial"/>
        </w:rPr>
      </w:pPr>
      <w:r>
        <w:rPr>
          <w:rFonts w:cs="Arial"/>
        </w:rPr>
        <w:t xml:space="preserve">Table </w:t>
      </w:r>
      <w:r w:rsidRPr="001F29E3">
        <w:rPr>
          <w:rFonts w:cs="Arial"/>
        </w:rPr>
        <w:t>1.</w:t>
      </w:r>
      <w:r w:rsidR="005654CD">
        <w:rPr>
          <w:rFonts w:cs="Arial"/>
        </w:rPr>
        <w:t>20</w:t>
      </w:r>
      <w:r>
        <w:rPr>
          <w:rFonts w:cs="Arial"/>
        </w:rPr>
        <w:t>.2</w:t>
      </w:r>
      <w:r w:rsidRPr="001F29E3">
        <w:rPr>
          <w:rFonts w:cs="Arial"/>
        </w:rPr>
        <w:t>: Government subsidised hard to reach students, accredited and pre-accredited Learn Local Organisations and Adult Education Institutions</w:t>
      </w:r>
      <w:r>
        <w:rPr>
          <w:rFonts w:cs="Arial"/>
        </w:rPr>
        <w:t xml:space="preserve">, Q2 2011, </w:t>
      </w:r>
      <w:r w:rsidRPr="001F29E3">
        <w:rPr>
          <w:rFonts w:cs="Arial"/>
        </w:rPr>
        <w:t>Q</w:t>
      </w:r>
      <w:r>
        <w:rPr>
          <w:rFonts w:cs="Arial"/>
        </w:rPr>
        <w:t>2</w:t>
      </w:r>
      <w:r w:rsidRPr="001F29E3">
        <w:rPr>
          <w:rFonts w:cs="Arial"/>
        </w:rPr>
        <w:t xml:space="preserve"> 2012 </w:t>
      </w:r>
      <w:r>
        <w:rPr>
          <w:rFonts w:cs="Arial"/>
        </w:rPr>
        <w:t>and</w:t>
      </w:r>
      <w:r w:rsidRPr="001F29E3">
        <w:rPr>
          <w:rFonts w:cs="Arial"/>
        </w:rPr>
        <w:t xml:space="preserve"> Q</w:t>
      </w:r>
      <w:r>
        <w:rPr>
          <w:rFonts w:cs="Arial"/>
        </w:rPr>
        <w:t>2</w:t>
      </w:r>
      <w:r w:rsidRPr="001F29E3">
        <w:rPr>
          <w:rFonts w:cs="Arial"/>
        </w:rPr>
        <w:t xml:space="preserve"> 2013</w:t>
      </w:r>
    </w:p>
    <w:tbl>
      <w:tblPr>
        <w:tblW w:w="7580" w:type="dxa"/>
        <w:tblInd w:w="108" w:type="dxa"/>
        <w:tblLook w:val="04A0" w:firstRow="1" w:lastRow="0" w:firstColumn="1" w:lastColumn="0" w:noHBand="0" w:noVBand="1"/>
      </w:tblPr>
      <w:tblGrid>
        <w:gridCol w:w="1980"/>
        <w:gridCol w:w="1120"/>
        <w:gridCol w:w="1120"/>
        <w:gridCol w:w="1120"/>
        <w:gridCol w:w="1120"/>
        <w:gridCol w:w="1120"/>
      </w:tblGrid>
      <w:tr w:rsidR="00CE1C42" w:rsidRPr="00CE1C42" w:rsidTr="00C44B72">
        <w:trPr>
          <w:trHeight w:hRule="exact" w:val="760"/>
        </w:trPr>
        <w:tc>
          <w:tcPr>
            <w:tcW w:w="1980" w:type="dxa"/>
            <w:tcBorders>
              <w:top w:val="single" w:sz="4" w:space="0" w:color="5E8A00"/>
              <w:left w:val="single" w:sz="4" w:space="0" w:color="5E8A00"/>
              <w:bottom w:val="single" w:sz="4" w:space="0" w:color="5E8A00"/>
            </w:tcBorders>
            <w:shd w:val="clear" w:color="000000" w:fill="5E8A00"/>
            <w:noWrap/>
            <w:vAlign w:val="center"/>
            <w:hideMark/>
          </w:tcPr>
          <w:p w:rsidR="00CE1C42" w:rsidRPr="00CE1C42" w:rsidRDefault="00CE1C42" w:rsidP="00F034AF">
            <w:pPr>
              <w:spacing w:after="0" w:line="240" w:lineRule="auto"/>
              <w:ind w:firstLineChars="100" w:firstLine="181"/>
              <w:jc w:val="left"/>
              <w:rPr>
                <w:rFonts w:cs="Arial"/>
                <w:b/>
                <w:bCs/>
                <w:color w:val="FFFFFF"/>
                <w:sz w:val="18"/>
                <w:szCs w:val="18"/>
                <w:lang w:eastAsia="en-AU"/>
              </w:rPr>
            </w:pPr>
            <w:r w:rsidRPr="00CE1C42">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CE1C42" w:rsidRPr="00CE1C42" w:rsidRDefault="00CE1C42" w:rsidP="00F034AF">
            <w:pPr>
              <w:spacing w:after="0" w:line="240" w:lineRule="auto"/>
              <w:ind w:firstLineChars="100" w:firstLine="181"/>
              <w:jc w:val="right"/>
              <w:rPr>
                <w:rFonts w:cs="Arial"/>
                <w:b/>
                <w:bCs/>
                <w:color w:val="FFFFFF"/>
                <w:sz w:val="18"/>
                <w:szCs w:val="18"/>
                <w:lang w:eastAsia="en-AU"/>
              </w:rPr>
            </w:pPr>
            <w:r w:rsidRPr="00CE1C42">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CE1C42" w:rsidRPr="00CE1C42" w:rsidRDefault="00CE1C42" w:rsidP="00F034AF">
            <w:pPr>
              <w:spacing w:after="0" w:line="240" w:lineRule="auto"/>
              <w:ind w:firstLineChars="100" w:firstLine="181"/>
              <w:jc w:val="right"/>
              <w:rPr>
                <w:rFonts w:cs="Arial"/>
                <w:b/>
                <w:bCs/>
                <w:color w:val="FFFFFF"/>
                <w:sz w:val="18"/>
                <w:szCs w:val="18"/>
                <w:lang w:eastAsia="en-AU"/>
              </w:rPr>
            </w:pPr>
            <w:r w:rsidRPr="00CE1C42">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CE1C42" w:rsidRPr="00CE1C42" w:rsidRDefault="00CE1C42" w:rsidP="00F034AF">
            <w:pPr>
              <w:spacing w:after="0" w:line="240" w:lineRule="auto"/>
              <w:ind w:firstLineChars="100" w:firstLine="181"/>
              <w:jc w:val="right"/>
              <w:rPr>
                <w:rFonts w:cs="Arial"/>
                <w:b/>
                <w:bCs/>
                <w:color w:val="FFFFFF"/>
                <w:sz w:val="18"/>
                <w:szCs w:val="18"/>
                <w:lang w:eastAsia="en-AU"/>
              </w:rPr>
            </w:pPr>
            <w:r w:rsidRPr="00CE1C42">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CE1C42" w:rsidRPr="00CE1C42" w:rsidRDefault="00CE1C42" w:rsidP="00CE1C42">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change Q2 2011 - Q2 2013</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CE1C42" w:rsidRPr="00CE1C42" w:rsidRDefault="00CE1C42" w:rsidP="00CE1C42">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change Q2 2012 - Q2 2013</w:t>
            </w:r>
          </w:p>
        </w:tc>
      </w:tr>
      <w:tr w:rsidR="00CE1C42" w:rsidRPr="00CE1C42" w:rsidTr="00D54C88">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CE1C42" w:rsidRPr="00CE1C42" w:rsidRDefault="00CE1C42" w:rsidP="00CE1C42">
            <w:pPr>
              <w:spacing w:after="0" w:line="240" w:lineRule="auto"/>
              <w:jc w:val="left"/>
              <w:rPr>
                <w:rFonts w:cs="Arial"/>
                <w:color w:val="3E5B00"/>
                <w:sz w:val="18"/>
                <w:szCs w:val="18"/>
                <w:lang w:eastAsia="en-AU"/>
              </w:rPr>
            </w:pPr>
            <w:r w:rsidRPr="00CE1C42">
              <w:rPr>
                <w:rFonts w:cs="Arial"/>
                <w:color w:val="3E5B00"/>
                <w:sz w:val="18"/>
                <w:szCs w:val="18"/>
                <w:lang w:eastAsia="en-AU"/>
              </w:rPr>
              <w:t>CALD (LOTE)</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6,400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8,700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8,700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37%</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0%</w:t>
            </w:r>
          </w:p>
        </w:tc>
      </w:tr>
      <w:tr w:rsidR="00CE1C42" w:rsidRPr="00CE1C42" w:rsidTr="00D54C88">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CE1C42" w:rsidRPr="00CE1C42" w:rsidRDefault="00CE1C42" w:rsidP="00CE1C42">
            <w:pPr>
              <w:spacing w:after="0" w:line="240" w:lineRule="auto"/>
              <w:jc w:val="left"/>
              <w:rPr>
                <w:rFonts w:cs="Arial"/>
                <w:color w:val="3E5B00"/>
                <w:sz w:val="18"/>
                <w:szCs w:val="18"/>
                <w:lang w:eastAsia="en-AU"/>
              </w:rPr>
            </w:pPr>
            <w:r w:rsidRPr="00CE1C42">
              <w:rPr>
                <w:rFonts w:cs="Arial"/>
                <w:color w:val="3E5B00"/>
                <w:sz w:val="18"/>
                <w:szCs w:val="18"/>
                <w:lang w:eastAsia="en-AU"/>
              </w:rPr>
              <w:t>Disability</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5,300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6,800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6,600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26%</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-3%</w:t>
            </w:r>
          </w:p>
        </w:tc>
      </w:tr>
      <w:tr w:rsidR="00CE1C42" w:rsidRPr="00CE1C42" w:rsidTr="00D54C88">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CE1C42" w:rsidRPr="00CE1C42" w:rsidRDefault="00CE1C42" w:rsidP="00CE1C42">
            <w:pPr>
              <w:spacing w:after="0" w:line="240" w:lineRule="auto"/>
              <w:jc w:val="left"/>
              <w:rPr>
                <w:rFonts w:cs="Arial"/>
                <w:color w:val="3E5B00"/>
                <w:sz w:val="18"/>
                <w:szCs w:val="18"/>
                <w:lang w:eastAsia="en-AU"/>
              </w:rPr>
            </w:pPr>
            <w:r w:rsidRPr="00CE1C42">
              <w:rPr>
                <w:rFonts w:cs="Arial"/>
                <w:color w:val="3E5B00"/>
                <w:sz w:val="18"/>
                <w:szCs w:val="18"/>
                <w:lang w:eastAsia="en-AU"/>
              </w:rPr>
              <w:t>Disengaged Youth</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1,600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2,800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2,300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42%</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-17%</w:t>
            </w:r>
          </w:p>
        </w:tc>
      </w:tr>
      <w:tr w:rsidR="00CE1C42" w:rsidRPr="00CE1C42" w:rsidTr="00D54C88">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CE1C42" w:rsidRPr="00CE1C42" w:rsidRDefault="00CE1C42" w:rsidP="00CE1C42">
            <w:pPr>
              <w:spacing w:after="0" w:line="240" w:lineRule="auto"/>
              <w:jc w:val="left"/>
              <w:rPr>
                <w:rFonts w:cs="Arial"/>
                <w:color w:val="3E5B00"/>
                <w:sz w:val="18"/>
                <w:szCs w:val="18"/>
                <w:lang w:eastAsia="en-AU"/>
              </w:rPr>
            </w:pPr>
            <w:r w:rsidRPr="00CE1C42">
              <w:rPr>
                <w:rFonts w:cs="Arial"/>
                <w:color w:val="3E5B00"/>
                <w:sz w:val="18"/>
                <w:szCs w:val="18"/>
                <w:lang w:eastAsia="en-AU"/>
              </w:rPr>
              <w:t>Early school leavers</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6,400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8,300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6,900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8%</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-17%</w:t>
            </w:r>
          </w:p>
        </w:tc>
      </w:tr>
      <w:tr w:rsidR="00CE1C42" w:rsidRPr="00CE1C42" w:rsidTr="00D54C88">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CE1C42" w:rsidRPr="00CE1C42" w:rsidRDefault="00CE1C42" w:rsidP="00CE1C42">
            <w:pPr>
              <w:spacing w:after="0" w:line="240" w:lineRule="auto"/>
              <w:jc w:val="left"/>
              <w:rPr>
                <w:rFonts w:cs="Arial"/>
                <w:color w:val="3E5B00"/>
                <w:sz w:val="18"/>
                <w:szCs w:val="18"/>
                <w:lang w:eastAsia="en-AU"/>
              </w:rPr>
            </w:pPr>
            <w:r w:rsidRPr="00CE1C42">
              <w:rPr>
                <w:rFonts w:cs="Arial"/>
                <w:color w:val="3E5B00"/>
                <w:sz w:val="18"/>
                <w:szCs w:val="18"/>
                <w:lang w:eastAsia="en-AU"/>
              </w:rPr>
              <w:t>Indigenous</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400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500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500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27%</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3%</w:t>
            </w:r>
          </w:p>
        </w:tc>
      </w:tr>
      <w:tr w:rsidR="00CE1C42" w:rsidRPr="00CE1C42" w:rsidTr="00D54C88">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CE1C42" w:rsidRPr="00CE1C42" w:rsidRDefault="00CE1C42" w:rsidP="00CE1C42">
            <w:pPr>
              <w:spacing w:after="0" w:line="240" w:lineRule="auto"/>
              <w:jc w:val="left"/>
              <w:rPr>
                <w:rFonts w:cs="Arial"/>
                <w:color w:val="3E5B00"/>
                <w:sz w:val="18"/>
                <w:szCs w:val="18"/>
                <w:lang w:eastAsia="en-AU"/>
              </w:rPr>
            </w:pPr>
            <w:r w:rsidRPr="00CE1C42">
              <w:rPr>
                <w:rFonts w:cs="Arial"/>
                <w:color w:val="3E5B00"/>
                <w:sz w:val="18"/>
                <w:szCs w:val="18"/>
                <w:lang w:eastAsia="en-AU"/>
              </w:rPr>
              <w:t>Males 45 to 64</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2,200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2,700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2,500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16%</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-7%</w:t>
            </w:r>
          </w:p>
        </w:tc>
      </w:tr>
      <w:tr w:rsidR="00CE1C42" w:rsidRPr="00CE1C42" w:rsidTr="00D54C88">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CE1C42" w:rsidRPr="00CE1C42" w:rsidRDefault="00CE1C42" w:rsidP="00CE1C42">
            <w:pPr>
              <w:spacing w:after="0" w:line="240" w:lineRule="auto"/>
              <w:jc w:val="left"/>
              <w:rPr>
                <w:rFonts w:cs="Arial"/>
                <w:color w:val="3E5B00"/>
                <w:sz w:val="18"/>
                <w:szCs w:val="18"/>
                <w:lang w:eastAsia="en-AU"/>
              </w:rPr>
            </w:pPr>
            <w:r w:rsidRPr="00CE1C42">
              <w:rPr>
                <w:rFonts w:cs="Arial"/>
                <w:color w:val="3E5B00"/>
                <w:sz w:val="18"/>
                <w:szCs w:val="18"/>
                <w:lang w:eastAsia="en-AU"/>
              </w:rPr>
              <w:t>Unemployed</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7,300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11,000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9,800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34%</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-11%</w:t>
            </w:r>
          </w:p>
        </w:tc>
      </w:tr>
      <w:tr w:rsidR="00CE1C42" w:rsidRPr="00CE1C42" w:rsidTr="00D54C88">
        <w:trPr>
          <w:trHeight w:hRule="exact" w:val="284"/>
        </w:trPr>
        <w:tc>
          <w:tcPr>
            <w:tcW w:w="1980" w:type="dxa"/>
            <w:tcBorders>
              <w:top w:val="nil"/>
              <w:left w:val="single" w:sz="4" w:space="0" w:color="5E8A00"/>
              <w:bottom w:val="single" w:sz="4" w:space="0" w:color="5E8A00"/>
              <w:right w:val="single" w:sz="4" w:space="0" w:color="5E8A00"/>
            </w:tcBorders>
            <w:shd w:val="clear" w:color="000000" w:fill="FFFFFF"/>
            <w:noWrap/>
            <w:vAlign w:val="bottom"/>
            <w:hideMark/>
          </w:tcPr>
          <w:p w:rsidR="00CE1C42" w:rsidRPr="00CE1C42" w:rsidRDefault="00CE1C42" w:rsidP="00CE1C42">
            <w:pPr>
              <w:spacing w:after="0" w:line="240" w:lineRule="auto"/>
              <w:jc w:val="left"/>
              <w:rPr>
                <w:rFonts w:cs="Arial"/>
                <w:color w:val="3E5B00"/>
                <w:sz w:val="18"/>
                <w:szCs w:val="18"/>
                <w:lang w:eastAsia="en-AU"/>
              </w:rPr>
            </w:pPr>
            <w:r w:rsidRPr="00CE1C42">
              <w:rPr>
                <w:rFonts w:cs="Arial"/>
                <w:color w:val="3E5B00"/>
                <w:sz w:val="18"/>
                <w:szCs w:val="18"/>
                <w:lang w:eastAsia="en-AU"/>
              </w:rPr>
              <w:t>Vulnerable workers</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5,600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7,200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 xml:space="preserve">7,200 </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29%</w:t>
            </w:r>
          </w:p>
        </w:tc>
        <w:tc>
          <w:tcPr>
            <w:tcW w:w="1120" w:type="dxa"/>
            <w:tcBorders>
              <w:top w:val="nil"/>
              <w:left w:val="nil"/>
              <w:bottom w:val="single" w:sz="4" w:space="0" w:color="5E8A00"/>
              <w:right w:val="single" w:sz="4" w:space="0" w:color="5E8A00"/>
            </w:tcBorders>
            <w:shd w:val="clear" w:color="auto" w:fill="auto"/>
            <w:noWrap/>
            <w:vAlign w:val="center"/>
            <w:hideMark/>
          </w:tcPr>
          <w:p w:rsidR="00CE1C42" w:rsidRPr="00CE1C42" w:rsidRDefault="00CE1C42" w:rsidP="00CE1C42">
            <w:pPr>
              <w:spacing w:after="0" w:line="240" w:lineRule="auto"/>
              <w:jc w:val="right"/>
              <w:rPr>
                <w:rFonts w:cs="Arial"/>
                <w:sz w:val="18"/>
                <w:szCs w:val="18"/>
                <w:lang w:eastAsia="en-AU"/>
              </w:rPr>
            </w:pPr>
            <w:r w:rsidRPr="00CE1C42">
              <w:rPr>
                <w:rFonts w:cs="Arial"/>
                <w:sz w:val="18"/>
                <w:szCs w:val="18"/>
                <w:lang w:eastAsia="en-AU"/>
              </w:rPr>
              <w:t>-1%</w:t>
            </w:r>
          </w:p>
        </w:tc>
      </w:tr>
    </w:tbl>
    <w:p w:rsidR="00705A6A" w:rsidRPr="001F29E3" w:rsidRDefault="00705A6A" w:rsidP="00705A6A">
      <w:pPr>
        <w:rPr>
          <w:rFonts w:cs="Arial"/>
          <w:sz w:val="16"/>
          <w:szCs w:val="16"/>
        </w:rPr>
      </w:pPr>
      <w:r w:rsidRPr="001F29E3">
        <w:rPr>
          <w:rFonts w:cs="Arial"/>
          <w:sz w:val="16"/>
          <w:szCs w:val="16"/>
        </w:rPr>
        <w:t>Note: Hard to reach categories are not mutually exclusive.</w:t>
      </w:r>
    </w:p>
    <w:bookmarkEnd w:id="59"/>
    <w:p w:rsidR="00EA724D" w:rsidRPr="001F29E3" w:rsidRDefault="00EA724D" w:rsidP="00351166">
      <w:pPr>
        <w:rPr>
          <w:rFonts w:cs="Arial"/>
        </w:rPr>
      </w:pPr>
    </w:p>
    <w:p w:rsidR="00483582" w:rsidRPr="001F29E3" w:rsidRDefault="00483582">
      <w:pPr>
        <w:spacing w:after="0" w:line="240" w:lineRule="auto"/>
        <w:jc w:val="left"/>
        <w:rPr>
          <w:rFonts w:cs="Arial"/>
          <w:color w:val="76923C" w:themeColor="accent3" w:themeShade="BF"/>
          <w:spacing w:val="-12"/>
          <w:sz w:val="46"/>
          <w:szCs w:val="46"/>
        </w:rPr>
      </w:pPr>
      <w:bookmarkStart w:id="61" w:name="_Toc346793030"/>
      <w:bookmarkStart w:id="62" w:name="_Ref350270885"/>
      <w:bookmarkStart w:id="63" w:name="_Ref350270891"/>
      <w:bookmarkStart w:id="64" w:name="_Ref350271465"/>
      <w:bookmarkStart w:id="65" w:name="_Ref350271472"/>
      <w:bookmarkStart w:id="66" w:name="_Ref350272597"/>
      <w:bookmarkStart w:id="67" w:name="_Ref350272601"/>
      <w:bookmarkStart w:id="68" w:name="_Toc322454245"/>
      <w:bookmarkStart w:id="69" w:name="_Toc316542835"/>
      <w:bookmarkStart w:id="70" w:name="_Toc316629596"/>
      <w:bookmarkStart w:id="71" w:name="_Toc317173958"/>
      <w:bookmarkEnd w:id="54"/>
      <w:bookmarkEnd w:id="55"/>
      <w:r w:rsidRPr="001F29E3">
        <w:rPr>
          <w:rFonts w:cs="Arial"/>
        </w:rPr>
        <w:br w:type="page"/>
      </w:r>
    </w:p>
    <w:p w:rsidR="00A43F0B" w:rsidRDefault="00B66680" w:rsidP="004970EB">
      <w:pPr>
        <w:pStyle w:val="Heading1"/>
      </w:pPr>
      <w:bookmarkStart w:id="72" w:name="_Toc366588117"/>
      <w:bookmarkStart w:id="73" w:name="_Ref350272660"/>
      <w:bookmarkStart w:id="74" w:name="_Ref350272515"/>
      <w:bookmarkStart w:id="75" w:name="_Ref350272506"/>
      <w:bookmarkStart w:id="76" w:name="_Ref350272253"/>
      <w:bookmarkStart w:id="77" w:name="_Ref350272247"/>
      <w:bookmarkStart w:id="78" w:name="_Toc349899150"/>
      <w:r>
        <w:lastRenderedPageBreak/>
        <w:t>Learners Facing Barriers to P</w:t>
      </w:r>
      <w:r w:rsidR="00A43F0B" w:rsidRPr="00A43F0B">
        <w:t>articipation</w:t>
      </w:r>
      <w:bookmarkEnd w:id="72"/>
    </w:p>
    <w:p w:rsidR="00D67B5E" w:rsidRPr="001F29E3" w:rsidRDefault="00D67B5E" w:rsidP="00D67B5E">
      <w:pPr>
        <w:pStyle w:val="Heading2"/>
      </w:pPr>
      <w:bookmarkStart w:id="79" w:name="_Toc366588118"/>
      <w:r w:rsidRPr="001F29E3">
        <w:t xml:space="preserve">Vocational Training Delivery </w:t>
      </w:r>
      <w:r>
        <w:t xml:space="preserve">to </w:t>
      </w:r>
      <w:r w:rsidRPr="001F29E3">
        <w:t>Learner</w:t>
      </w:r>
      <w:r>
        <w:t xml:space="preserve"> Cohorts</w:t>
      </w:r>
      <w:r w:rsidR="002C640A">
        <w:t xml:space="preserve"> Facing Barriers</w:t>
      </w:r>
      <w:bookmarkEnd w:id="79"/>
    </w:p>
    <w:p w:rsidR="00D67B5E" w:rsidRPr="001F29E3" w:rsidRDefault="00D67B5E" w:rsidP="00D67B5E">
      <w:pPr>
        <w:rPr>
          <w:rFonts w:cs="Arial"/>
        </w:rPr>
      </w:pPr>
      <w:r>
        <w:rPr>
          <w:rFonts w:cs="Arial"/>
        </w:rPr>
        <w:t xml:space="preserve">Young people </w:t>
      </w:r>
      <w:r w:rsidRPr="001F29E3">
        <w:rPr>
          <w:rFonts w:cs="Arial"/>
        </w:rPr>
        <w:t xml:space="preserve">and adult learners </w:t>
      </w:r>
      <w:r>
        <w:rPr>
          <w:rFonts w:cs="Arial"/>
        </w:rPr>
        <w:t xml:space="preserve">who may be </w:t>
      </w:r>
      <w:r w:rsidRPr="001F29E3">
        <w:rPr>
          <w:rFonts w:cs="Arial"/>
        </w:rPr>
        <w:t xml:space="preserve">members of more than one equity group, can have complex and multiple learning needs, and </w:t>
      </w:r>
      <w:r>
        <w:rPr>
          <w:rFonts w:cs="Arial"/>
        </w:rPr>
        <w:t xml:space="preserve">may </w:t>
      </w:r>
      <w:r w:rsidRPr="001F29E3">
        <w:rPr>
          <w:rFonts w:cs="Arial"/>
        </w:rPr>
        <w:t xml:space="preserve">have contact with a suite of </w:t>
      </w:r>
      <w:r>
        <w:rPr>
          <w:rFonts w:cs="Arial"/>
        </w:rPr>
        <w:t xml:space="preserve">government </w:t>
      </w:r>
      <w:r w:rsidRPr="001F29E3">
        <w:rPr>
          <w:rFonts w:cs="Arial"/>
        </w:rPr>
        <w:t xml:space="preserve">services and programs. There is a significant evidence base that demonstrates the value and importance of education and training to these population cohorts. However, higher needs learners may face a combination of barriers to effective engagement in education and training including low levels of previous educational achievement, low aspirations, and poor access to training and broader barriers such as poverty, homelessness and poor health. </w:t>
      </w:r>
    </w:p>
    <w:p w:rsidR="00D67B5E" w:rsidRPr="001F29E3" w:rsidRDefault="00D67B5E" w:rsidP="00D67B5E">
      <w:pPr>
        <w:rPr>
          <w:rFonts w:cs="Arial"/>
        </w:rPr>
      </w:pPr>
      <w:r>
        <w:rPr>
          <w:rFonts w:cs="Arial"/>
        </w:rPr>
        <w:t>V</w:t>
      </w:r>
      <w:r w:rsidRPr="001F29E3">
        <w:rPr>
          <w:rFonts w:cs="Arial"/>
          <w:color w:val="000000"/>
        </w:rPr>
        <w:t>ocational training</w:t>
      </w:r>
      <w:r w:rsidRPr="001F29E3">
        <w:rPr>
          <w:rFonts w:cs="Arial"/>
        </w:rPr>
        <w:t xml:space="preserve"> has continued to be a critical enabler in opening</w:t>
      </w:r>
      <w:r w:rsidRPr="001F29E3">
        <w:rPr>
          <w:rFonts w:cs="Arial"/>
          <w:color w:val="FF0000"/>
        </w:rPr>
        <w:t xml:space="preserve"> </w:t>
      </w:r>
      <w:r w:rsidRPr="001F29E3">
        <w:rPr>
          <w:rFonts w:cs="Arial"/>
        </w:rPr>
        <w:t>up</w:t>
      </w:r>
      <w:r w:rsidRPr="001F29E3">
        <w:rPr>
          <w:rFonts w:cs="Arial"/>
          <w:color w:val="FF0000"/>
        </w:rPr>
        <w:t xml:space="preserve"> </w:t>
      </w:r>
      <w:r w:rsidRPr="001F29E3">
        <w:rPr>
          <w:rFonts w:cs="Arial"/>
        </w:rPr>
        <w:t xml:space="preserve">pathways for higher needs and disadvantaged learners through the provision of tailored, individualised services, often in partnership with other service providers. </w:t>
      </w:r>
    </w:p>
    <w:p w:rsidR="00D67B5E" w:rsidRPr="00B62DB5" w:rsidRDefault="00D67B5E" w:rsidP="00D67B5E"/>
    <w:p w:rsidR="00D67B5E" w:rsidRPr="001F29E3" w:rsidRDefault="005654CD" w:rsidP="00D67B5E">
      <w:pPr>
        <w:pStyle w:val="Caption"/>
        <w:spacing w:after="0"/>
        <w:jc w:val="left"/>
        <w:rPr>
          <w:rFonts w:cs="Arial"/>
        </w:rPr>
      </w:pPr>
      <w:r>
        <w:rPr>
          <w:rFonts w:cs="Arial"/>
        </w:rPr>
        <w:t>Table 2</w:t>
      </w:r>
      <w:r w:rsidR="00D67B5E" w:rsidRPr="001F29E3">
        <w:rPr>
          <w:rFonts w:cs="Arial"/>
        </w:rPr>
        <w:t>.1</w:t>
      </w:r>
      <w:r w:rsidR="00D67B5E">
        <w:rPr>
          <w:rFonts w:cs="Arial"/>
        </w:rPr>
        <w:t>.1</w:t>
      </w:r>
      <w:r w:rsidR="00D67B5E" w:rsidRPr="001F29E3">
        <w:rPr>
          <w:rFonts w:cs="Arial"/>
        </w:rPr>
        <w:t xml:space="preserve">: </w:t>
      </w:r>
      <w:r w:rsidR="00D67B5E">
        <w:rPr>
          <w:rFonts w:cs="Arial"/>
        </w:rPr>
        <w:t>G</w:t>
      </w:r>
      <w:r w:rsidR="00D67B5E" w:rsidRPr="001F29E3">
        <w:rPr>
          <w:rFonts w:cs="Arial"/>
        </w:rPr>
        <w:t xml:space="preserve">overnment subsidised students by </w:t>
      </w:r>
      <w:r w:rsidR="00D67B5E">
        <w:rPr>
          <w:rFonts w:cs="Arial"/>
        </w:rPr>
        <w:t>selected learner cohort</w:t>
      </w:r>
      <w:r w:rsidR="00D67B5E" w:rsidRPr="001F29E3">
        <w:rPr>
          <w:rFonts w:cs="Arial"/>
        </w:rPr>
        <w:t>*, 2008 – 2012</w:t>
      </w:r>
    </w:p>
    <w:tbl>
      <w:tblPr>
        <w:tblW w:w="9080" w:type="dxa"/>
        <w:tblInd w:w="108" w:type="dxa"/>
        <w:tblLook w:val="04A0" w:firstRow="1" w:lastRow="0" w:firstColumn="1" w:lastColumn="0" w:noHBand="0" w:noVBand="1"/>
      </w:tblPr>
      <w:tblGrid>
        <w:gridCol w:w="2360"/>
        <w:gridCol w:w="1120"/>
        <w:gridCol w:w="1120"/>
        <w:gridCol w:w="1120"/>
        <w:gridCol w:w="1120"/>
        <w:gridCol w:w="1120"/>
        <w:gridCol w:w="1120"/>
      </w:tblGrid>
      <w:tr w:rsidR="00D67B5E" w:rsidRPr="00DE4A31" w:rsidTr="0051046D">
        <w:trPr>
          <w:trHeight w:val="675"/>
        </w:trPr>
        <w:tc>
          <w:tcPr>
            <w:tcW w:w="2360" w:type="dxa"/>
            <w:tcBorders>
              <w:top w:val="single" w:sz="4" w:space="0" w:color="5E8A00"/>
              <w:left w:val="single" w:sz="4" w:space="0" w:color="5E8A00"/>
              <w:bottom w:val="single" w:sz="4" w:space="0" w:color="5E8A00"/>
            </w:tcBorders>
            <w:shd w:val="clear" w:color="000000" w:fill="5E8A00"/>
            <w:noWrap/>
            <w:vAlign w:val="center"/>
            <w:hideMark/>
          </w:tcPr>
          <w:p w:rsidR="00D67B5E" w:rsidRPr="00DE4A31" w:rsidRDefault="00D67B5E" w:rsidP="00F034AF">
            <w:pPr>
              <w:spacing w:after="0" w:line="240" w:lineRule="auto"/>
              <w:ind w:firstLineChars="100" w:firstLine="181"/>
              <w:jc w:val="left"/>
              <w:rPr>
                <w:rFonts w:cs="Arial"/>
                <w:b/>
                <w:bCs/>
                <w:color w:val="FFFFFF"/>
                <w:sz w:val="18"/>
                <w:szCs w:val="18"/>
                <w:lang w:eastAsia="en-AU"/>
              </w:rPr>
            </w:pPr>
            <w:r w:rsidRPr="00DE4A31">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D67B5E" w:rsidRPr="00DE4A31" w:rsidRDefault="00D67B5E" w:rsidP="00F034AF">
            <w:pPr>
              <w:spacing w:after="0" w:line="240" w:lineRule="auto"/>
              <w:ind w:firstLineChars="100" w:firstLine="181"/>
              <w:jc w:val="right"/>
              <w:rPr>
                <w:rFonts w:cs="Arial"/>
                <w:b/>
                <w:bCs/>
                <w:color w:val="FFFFFF"/>
                <w:sz w:val="18"/>
                <w:szCs w:val="18"/>
                <w:lang w:eastAsia="en-AU"/>
              </w:rPr>
            </w:pPr>
            <w:r w:rsidRPr="00DE4A31">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D67B5E" w:rsidRPr="00DE4A31" w:rsidRDefault="00D67B5E" w:rsidP="00F034AF">
            <w:pPr>
              <w:spacing w:after="0" w:line="240" w:lineRule="auto"/>
              <w:ind w:firstLineChars="100" w:firstLine="181"/>
              <w:jc w:val="right"/>
              <w:rPr>
                <w:rFonts w:cs="Arial"/>
                <w:b/>
                <w:bCs/>
                <w:color w:val="FFFFFF"/>
                <w:sz w:val="18"/>
                <w:szCs w:val="18"/>
                <w:lang w:eastAsia="en-AU"/>
              </w:rPr>
            </w:pPr>
            <w:r w:rsidRPr="00DE4A31">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D67B5E" w:rsidRPr="00DE4A31" w:rsidRDefault="00D67B5E" w:rsidP="00F034AF">
            <w:pPr>
              <w:spacing w:after="0" w:line="240" w:lineRule="auto"/>
              <w:ind w:firstLineChars="100" w:firstLine="181"/>
              <w:jc w:val="right"/>
              <w:rPr>
                <w:rFonts w:cs="Arial"/>
                <w:b/>
                <w:bCs/>
                <w:color w:val="FFFFFF"/>
                <w:sz w:val="18"/>
                <w:szCs w:val="18"/>
                <w:lang w:eastAsia="en-AU"/>
              </w:rPr>
            </w:pPr>
            <w:r w:rsidRPr="00DE4A31">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D67B5E" w:rsidRPr="00DE4A31" w:rsidRDefault="00D67B5E" w:rsidP="00F034AF">
            <w:pPr>
              <w:spacing w:after="0" w:line="240" w:lineRule="auto"/>
              <w:ind w:firstLineChars="100" w:firstLine="181"/>
              <w:jc w:val="right"/>
              <w:rPr>
                <w:rFonts w:cs="Arial"/>
                <w:b/>
                <w:bCs/>
                <w:color w:val="FFFFFF"/>
                <w:sz w:val="18"/>
                <w:szCs w:val="18"/>
                <w:lang w:eastAsia="en-AU"/>
              </w:rPr>
            </w:pPr>
            <w:r w:rsidRPr="00DE4A31">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D67B5E" w:rsidRPr="00DE4A31" w:rsidRDefault="00D67B5E" w:rsidP="00F034AF">
            <w:pPr>
              <w:spacing w:after="0" w:line="240" w:lineRule="auto"/>
              <w:ind w:firstLineChars="100" w:firstLine="181"/>
              <w:jc w:val="right"/>
              <w:rPr>
                <w:rFonts w:cs="Arial"/>
                <w:b/>
                <w:bCs/>
                <w:color w:val="FFFFFF"/>
                <w:sz w:val="18"/>
                <w:szCs w:val="18"/>
                <w:lang w:eastAsia="en-AU"/>
              </w:rPr>
            </w:pPr>
            <w:r w:rsidRPr="00DE4A31">
              <w:rPr>
                <w:rFonts w:cs="Arial"/>
                <w:b/>
                <w:bCs/>
                <w:color w:val="FFFFFF"/>
                <w:sz w:val="18"/>
                <w:szCs w:val="18"/>
                <w:lang w:eastAsia="en-AU"/>
              </w:rPr>
              <w:t>2012</w:t>
            </w:r>
          </w:p>
        </w:tc>
        <w:tc>
          <w:tcPr>
            <w:tcW w:w="1120" w:type="dxa"/>
            <w:tcBorders>
              <w:top w:val="single" w:sz="4" w:space="0" w:color="5E8A00"/>
              <w:bottom w:val="single" w:sz="4" w:space="0" w:color="5E8A00"/>
              <w:right w:val="nil"/>
            </w:tcBorders>
            <w:shd w:val="clear" w:color="000000" w:fill="5E8A00"/>
            <w:vAlign w:val="center"/>
            <w:hideMark/>
          </w:tcPr>
          <w:p w:rsidR="00D67B5E" w:rsidRPr="00DE4A31" w:rsidRDefault="00D67B5E" w:rsidP="0051046D">
            <w:pPr>
              <w:spacing w:after="0" w:line="240" w:lineRule="auto"/>
              <w:jc w:val="center"/>
              <w:rPr>
                <w:rFonts w:cs="Arial"/>
                <w:b/>
                <w:bCs/>
                <w:color w:val="FFFFFF"/>
                <w:sz w:val="18"/>
                <w:szCs w:val="18"/>
                <w:lang w:eastAsia="en-AU"/>
              </w:rPr>
            </w:pPr>
            <w:r w:rsidRPr="00DE4A31">
              <w:rPr>
                <w:rFonts w:cs="Arial"/>
                <w:b/>
                <w:bCs/>
                <w:color w:val="FFFFFF"/>
                <w:sz w:val="18"/>
                <w:szCs w:val="18"/>
                <w:lang w:eastAsia="en-AU"/>
              </w:rPr>
              <w:t>% change</w:t>
            </w:r>
            <w:r w:rsidRPr="00DE4A31">
              <w:rPr>
                <w:rFonts w:cs="Arial"/>
                <w:b/>
                <w:bCs/>
                <w:color w:val="FFFFFF"/>
                <w:sz w:val="18"/>
                <w:szCs w:val="18"/>
                <w:lang w:eastAsia="en-AU"/>
              </w:rPr>
              <w:br/>
              <w:t>2008-2012</w:t>
            </w:r>
          </w:p>
        </w:tc>
      </w:tr>
      <w:tr w:rsidR="00D67B5E" w:rsidRPr="00DE4A31" w:rsidTr="0051046D">
        <w:trPr>
          <w:trHeight w:hRule="exact" w:val="284"/>
        </w:trPr>
        <w:tc>
          <w:tcPr>
            <w:tcW w:w="236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DE4A31" w:rsidRDefault="00D67B5E" w:rsidP="0051046D">
            <w:pPr>
              <w:spacing w:after="0" w:line="240" w:lineRule="auto"/>
              <w:jc w:val="left"/>
              <w:rPr>
                <w:rFonts w:cs="Arial"/>
                <w:color w:val="3E5B00"/>
                <w:sz w:val="18"/>
                <w:szCs w:val="18"/>
                <w:lang w:eastAsia="en-AU"/>
              </w:rPr>
            </w:pPr>
            <w:r w:rsidRPr="00DE4A31">
              <w:rPr>
                <w:rFonts w:cs="Arial"/>
                <w:color w:val="3E5B00"/>
                <w:sz w:val="18"/>
                <w:szCs w:val="18"/>
                <w:lang w:eastAsia="en-AU"/>
              </w:rPr>
              <w:t>Indigenous</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4,400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4,300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4,800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5,600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6,200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42%</w:t>
            </w:r>
          </w:p>
        </w:tc>
      </w:tr>
      <w:tr w:rsidR="00D67B5E" w:rsidRPr="00DE4A31" w:rsidTr="0051046D">
        <w:trPr>
          <w:trHeight w:hRule="exact" w:val="284"/>
        </w:trPr>
        <w:tc>
          <w:tcPr>
            <w:tcW w:w="236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DE4A31" w:rsidRDefault="00D67B5E" w:rsidP="0051046D">
            <w:pPr>
              <w:spacing w:after="0" w:line="240" w:lineRule="auto"/>
              <w:jc w:val="left"/>
              <w:rPr>
                <w:rFonts w:cs="Arial"/>
                <w:color w:val="3E5B00"/>
                <w:sz w:val="18"/>
                <w:szCs w:val="18"/>
                <w:lang w:eastAsia="en-AU"/>
              </w:rPr>
            </w:pPr>
            <w:r w:rsidRPr="00DE4A31">
              <w:rPr>
                <w:rFonts w:cs="Arial"/>
                <w:color w:val="3E5B00"/>
                <w:sz w:val="18"/>
                <w:szCs w:val="18"/>
                <w:lang w:eastAsia="en-AU"/>
              </w:rPr>
              <w:t>Students with a disability</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23,900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23,600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27,200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34,100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40,300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68%</w:t>
            </w:r>
          </w:p>
        </w:tc>
      </w:tr>
      <w:tr w:rsidR="00D67B5E" w:rsidRPr="00DE4A31" w:rsidTr="0051046D">
        <w:trPr>
          <w:trHeight w:hRule="exact" w:val="284"/>
        </w:trPr>
        <w:tc>
          <w:tcPr>
            <w:tcW w:w="236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DE4A31" w:rsidRDefault="00D67B5E" w:rsidP="0051046D">
            <w:pPr>
              <w:spacing w:after="0" w:line="240" w:lineRule="auto"/>
              <w:jc w:val="left"/>
              <w:rPr>
                <w:rFonts w:cs="Arial"/>
                <w:color w:val="3E5B00"/>
                <w:sz w:val="18"/>
                <w:szCs w:val="18"/>
                <w:lang w:eastAsia="en-AU"/>
              </w:rPr>
            </w:pPr>
            <w:r w:rsidRPr="00DE4A31">
              <w:rPr>
                <w:rFonts w:cs="Arial"/>
                <w:color w:val="3E5B00"/>
                <w:sz w:val="18"/>
                <w:szCs w:val="18"/>
                <w:lang w:eastAsia="en-AU"/>
              </w:rPr>
              <w:t>CALD</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58,100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62,100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70,600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97,300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126,400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117%</w:t>
            </w:r>
          </w:p>
        </w:tc>
      </w:tr>
      <w:tr w:rsidR="00D67B5E" w:rsidRPr="00DE4A31" w:rsidTr="0051046D">
        <w:trPr>
          <w:trHeight w:hRule="exact" w:val="284"/>
        </w:trPr>
        <w:tc>
          <w:tcPr>
            <w:tcW w:w="236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DE4A31" w:rsidRDefault="00D67B5E" w:rsidP="0051046D">
            <w:pPr>
              <w:spacing w:after="0" w:line="240" w:lineRule="auto"/>
              <w:jc w:val="left"/>
              <w:rPr>
                <w:rFonts w:cs="Arial"/>
                <w:color w:val="3E5B00"/>
                <w:sz w:val="18"/>
                <w:szCs w:val="18"/>
                <w:lang w:eastAsia="en-AU"/>
              </w:rPr>
            </w:pPr>
            <w:r w:rsidRPr="00DE4A31">
              <w:rPr>
                <w:rFonts w:cs="Arial"/>
                <w:color w:val="3E5B00"/>
                <w:sz w:val="18"/>
                <w:szCs w:val="18"/>
                <w:lang w:eastAsia="en-AU"/>
              </w:rPr>
              <w:t>Unemployed</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41,800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50,200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62,500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89,300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118,500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184%</w:t>
            </w:r>
          </w:p>
        </w:tc>
      </w:tr>
      <w:tr w:rsidR="00D67B5E" w:rsidRPr="00DE4A31" w:rsidTr="0051046D">
        <w:trPr>
          <w:trHeight w:hRule="exact" w:val="680"/>
        </w:trPr>
        <w:tc>
          <w:tcPr>
            <w:tcW w:w="2360" w:type="dxa"/>
            <w:tcBorders>
              <w:top w:val="nil"/>
              <w:left w:val="single" w:sz="4" w:space="0" w:color="5E8A00"/>
              <w:bottom w:val="single" w:sz="4" w:space="0" w:color="5E8A00"/>
              <w:right w:val="single" w:sz="4" w:space="0" w:color="5E8A00"/>
            </w:tcBorders>
            <w:shd w:val="clear" w:color="000000" w:fill="FFFFFF"/>
            <w:vAlign w:val="center"/>
            <w:hideMark/>
          </w:tcPr>
          <w:p w:rsidR="00D67B5E" w:rsidRPr="00DE4A31" w:rsidRDefault="00D67B5E" w:rsidP="0051046D">
            <w:pPr>
              <w:spacing w:after="0" w:line="240" w:lineRule="auto"/>
              <w:jc w:val="left"/>
              <w:rPr>
                <w:rFonts w:cs="Arial"/>
                <w:color w:val="3E5B00"/>
                <w:sz w:val="18"/>
                <w:szCs w:val="18"/>
                <w:lang w:eastAsia="en-AU"/>
              </w:rPr>
            </w:pPr>
            <w:r w:rsidRPr="00DE4A31">
              <w:rPr>
                <w:rFonts w:cs="Arial"/>
                <w:color w:val="3E5B00"/>
                <w:sz w:val="18"/>
                <w:szCs w:val="18"/>
                <w:lang w:eastAsia="en-AU"/>
              </w:rPr>
              <w:t>Aged 15-19 without year 12, not at school and enrolled in Cert II or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23,100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22,600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26,300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28,900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29,500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28%</w:t>
            </w:r>
          </w:p>
        </w:tc>
      </w:tr>
      <w:tr w:rsidR="00D67B5E" w:rsidRPr="00DE4A31" w:rsidTr="0051046D">
        <w:trPr>
          <w:trHeight w:hRule="exact" w:val="454"/>
        </w:trPr>
        <w:tc>
          <w:tcPr>
            <w:tcW w:w="2360" w:type="dxa"/>
            <w:tcBorders>
              <w:top w:val="nil"/>
              <w:left w:val="single" w:sz="4" w:space="0" w:color="5E8A00"/>
              <w:bottom w:val="single" w:sz="4" w:space="0" w:color="5E8A00"/>
              <w:right w:val="single" w:sz="4" w:space="0" w:color="5E8A00"/>
            </w:tcBorders>
            <w:shd w:val="clear" w:color="000000" w:fill="FFFFFF"/>
            <w:vAlign w:val="center"/>
            <w:hideMark/>
          </w:tcPr>
          <w:p w:rsidR="00D67B5E" w:rsidRPr="00DE4A31" w:rsidRDefault="00D67B5E" w:rsidP="0051046D">
            <w:pPr>
              <w:spacing w:after="0" w:line="240" w:lineRule="auto"/>
              <w:jc w:val="left"/>
              <w:rPr>
                <w:rFonts w:cs="Arial"/>
                <w:color w:val="3E5B00"/>
                <w:sz w:val="18"/>
                <w:szCs w:val="18"/>
                <w:lang w:eastAsia="en-AU"/>
              </w:rPr>
            </w:pPr>
            <w:r w:rsidRPr="00DE4A31">
              <w:rPr>
                <w:rFonts w:cs="Arial"/>
                <w:color w:val="3E5B00"/>
                <w:sz w:val="18"/>
                <w:szCs w:val="18"/>
                <w:lang w:eastAsia="en-AU"/>
              </w:rPr>
              <w:t>Aged 20-64 not holding  a Cert III or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125,700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131,800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149,600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214,000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 xml:space="preserve">266,200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DE4A31" w:rsidRDefault="00D67B5E" w:rsidP="0051046D">
            <w:pPr>
              <w:spacing w:after="0" w:line="240" w:lineRule="auto"/>
              <w:jc w:val="right"/>
              <w:rPr>
                <w:rFonts w:cs="Arial"/>
                <w:sz w:val="18"/>
                <w:szCs w:val="18"/>
                <w:lang w:eastAsia="en-AU"/>
              </w:rPr>
            </w:pPr>
            <w:r w:rsidRPr="00DE4A31">
              <w:rPr>
                <w:rFonts w:cs="Arial"/>
                <w:sz w:val="18"/>
                <w:szCs w:val="18"/>
                <w:lang w:eastAsia="en-AU"/>
              </w:rPr>
              <w:t>112%</w:t>
            </w:r>
          </w:p>
        </w:tc>
      </w:tr>
    </w:tbl>
    <w:p w:rsidR="00D67B5E" w:rsidRPr="001F29E3" w:rsidRDefault="00D67B5E" w:rsidP="00D67B5E">
      <w:pPr>
        <w:rPr>
          <w:rFonts w:cs="Arial"/>
          <w:sz w:val="16"/>
          <w:szCs w:val="16"/>
        </w:rPr>
      </w:pPr>
      <w:r w:rsidRPr="001F29E3">
        <w:rPr>
          <w:rFonts w:cs="Arial"/>
          <w:sz w:val="16"/>
          <w:szCs w:val="16"/>
        </w:rPr>
        <w:t xml:space="preserve">*The above cohorts of students are not mutually exclusive. </w:t>
      </w:r>
    </w:p>
    <w:p w:rsidR="00D67B5E" w:rsidRDefault="00D67B5E" w:rsidP="00D67B5E">
      <w:pPr>
        <w:pStyle w:val="Caption"/>
        <w:jc w:val="left"/>
        <w:rPr>
          <w:rFonts w:cs="Arial"/>
        </w:rPr>
      </w:pPr>
    </w:p>
    <w:p w:rsidR="00D67B5E" w:rsidRPr="001F29E3" w:rsidRDefault="005654CD" w:rsidP="00D67B5E">
      <w:pPr>
        <w:pStyle w:val="Caption"/>
        <w:spacing w:after="0"/>
        <w:jc w:val="left"/>
        <w:rPr>
          <w:rFonts w:cs="Arial"/>
        </w:rPr>
      </w:pPr>
      <w:r>
        <w:rPr>
          <w:rFonts w:cs="Arial"/>
        </w:rPr>
        <w:t>Table 2</w:t>
      </w:r>
      <w:r w:rsidR="00D67B5E" w:rsidRPr="001F29E3">
        <w:rPr>
          <w:rFonts w:cs="Arial"/>
        </w:rPr>
        <w:t>.1</w:t>
      </w:r>
      <w:r w:rsidR="00D67B5E">
        <w:rPr>
          <w:rFonts w:cs="Arial"/>
        </w:rPr>
        <w:t>.2</w:t>
      </w:r>
      <w:r w:rsidR="00D67B5E" w:rsidRPr="001F29E3">
        <w:rPr>
          <w:rFonts w:cs="Arial"/>
        </w:rPr>
        <w:t xml:space="preserve">: </w:t>
      </w:r>
      <w:r w:rsidR="00D67B5E">
        <w:rPr>
          <w:rFonts w:cs="Arial"/>
        </w:rPr>
        <w:t>G</w:t>
      </w:r>
      <w:r w:rsidR="00D67B5E" w:rsidRPr="001F29E3">
        <w:rPr>
          <w:rFonts w:cs="Arial"/>
        </w:rPr>
        <w:t xml:space="preserve">overnment subsidised students by </w:t>
      </w:r>
      <w:r w:rsidR="00D67B5E">
        <w:rPr>
          <w:rFonts w:cs="Arial"/>
        </w:rPr>
        <w:t>selected learner cohort</w:t>
      </w:r>
      <w:r w:rsidR="00D67B5E" w:rsidRPr="001F29E3">
        <w:rPr>
          <w:rFonts w:cs="Arial"/>
        </w:rPr>
        <w:t>*, Q</w:t>
      </w:r>
      <w:r w:rsidR="00D67B5E">
        <w:rPr>
          <w:rFonts w:cs="Arial"/>
        </w:rPr>
        <w:t>2</w:t>
      </w:r>
      <w:r w:rsidR="00D67B5E" w:rsidRPr="001F29E3">
        <w:rPr>
          <w:rFonts w:cs="Arial"/>
        </w:rPr>
        <w:t xml:space="preserve"> </w:t>
      </w:r>
      <w:r w:rsidR="00D67B5E">
        <w:rPr>
          <w:rFonts w:cs="Arial"/>
        </w:rPr>
        <w:t xml:space="preserve">2011, Q2 </w:t>
      </w:r>
      <w:r w:rsidR="00D67B5E" w:rsidRPr="001F29E3">
        <w:rPr>
          <w:rFonts w:cs="Arial"/>
        </w:rPr>
        <w:t>2012 and Q</w:t>
      </w:r>
      <w:r w:rsidR="00D67B5E">
        <w:rPr>
          <w:rFonts w:cs="Arial"/>
        </w:rPr>
        <w:t>2</w:t>
      </w:r>
      <w:r w:rsidR="00D67B5E" w:rsidRPr="001F29E3">
        <w:rPr>
          <w:rFonts w:cs="Arial"/>
        </w:rPr>
        <w:t xml:space="preserve"> 2013</w:t>
      </w:r>
    </w:p>
    <w:tbl>
      <w:tblPr>
        <w:tblW w:w="8260" w:type="dxa"/>
        <w:tblInd w:w="108" w:type="dxa"/>
        <w:tblLook w:val="04A0" w:firstRow="1" w:lastRow="0" w:firstColumn="1" w:lastColumn="0" w:noHBand="0" w:noVBand="1"/>
      </w:tblPr>
      <w:tblGrid>
        <w:gridCol w:w="2590"/>
        <w:gridCol w:w="1134"/>
        <w:gridCol w:w="1134"/>
        <w:gridCol w:w="1134"/>
        <w:gridCol w:w="1134"/>
        <w:gridCol w:w="1134"/>
      </w:tblGrid>
      <w:tr w:rsidR="00D67B5E" w:rsidRPr="00EE6085" w:rsidTr="0051046D">
        <w:trPr>
          <w:trHeight w:val="762"/>
        </w:trPr>
        <w:tc>
          <w:tcPr>
            <w:tcW w:w="2590" w:type="dxa"/>
            <w:tcBorders>
              <w:top w:val="single" w:sz="4" w:space="0" w:color="5E8A00"/>
              <w:left w:val="single" w:sz="4" w:space="0" w:color="5E8A00"/>
              <w:bottom w:val="single" w:sz="4" w:space="0" w:color="5E8A00"/>
            </w:tcBorders>
            <w:shd w:val="clear" w:color="000000" w:fill="5E8A00"/>
            <w:noWrap/>
            <w:vAlign w:val="center"/>
            <w:hideMark/>
          </w:tcPr>
          <w:p w:rsidR="00D67B5E" w:rsidRPr="00EE6085" w:rsidRDefault="00D67B5E" w:rsidP="00F034AF">
            <w:pPr>
              <w:spacing w:after="0" w:line="240" w:lineRule="auto"/>
              <w:ind w:firstLineChars="100" w:firstLine="181"/>
              <w:jc w:val="left"/>
              <w:rPr>
                <w:rFonts w:cs="Arial"/>
                <w:b/>
                <w:bCs/>
                <w:color w:val="FFFFFF"/>
                <w:sz w:val="18"/>
                <w:szCs w:val="18"/>
                <w:lang w:eastAsia="en-AU"/>
              </w:rPr>
            </w:pPr>
            <w:r w:rsidRPr="00EE6085">
              <w:rPr>
                <w:rFonts w:cs="Arial"/>
                <w:b/>
                <w:bCs/>
                <w:color w:val="FFFFFF"/>
                <w:sz w:val="18"/>
                <w:szCs w:val="18"/>
                <w:lang w:eastAsia="en-AU"/>
              </w:rPr>
              <w:t> </w:t>
            </w:r>
          </w:p>
        </w:tc>
        <w:tc>
          <w:tcPr>
            <w:tcW w:w="1134" w:type="dxa"/>
            <w:tcBorders>
              <w:top w:val="single" w:sz="4" w:space="0" w:color="5E8A00"/>
              <w:bottom w:val="single" w:sz="4" w:space="0" w:color="5E8A00"/>
            </w:tcBorders>
            <w:shd w:val="clear" w:color="000000" w:fill="5E8A00"/>
            <w:vAlign w:val="center"/>
            <w:hideMark/>
          </w:tcPr>
          <w:p w:rsidR="00D67B5E" w:rsidRPr="00EE6085" w:rsidRDefault="00D67B5E" w:rsidP="0051046D">
            <w:pPr>
              <w:spacing w:after="0" w:line="240" w:lineRule="auto"/>
              <w:jc w:val="right"/>
              <w:rPr>
                <w:rFonts w:cs="Arial"/>
                <w:b/>
                <w:bCs/>
                <w:color w:val="FFFFFF"/>
                <w:sz w:val="18"/>
                <w:szCs w:val="18"/>
                <w:lang w:eastAsia="en-AU"/>
              </w:rPr>
            </w:pPr>
            <w:r w:rsidRPr="00EE6085">
              <w:rPr>
                <w:rFonts w:cs="Arial"/>
                <w:b/>
                <w:bCs/>
                <w:color w:val="FFFFFF"/>
                <w:sz w:val="18"/>
                <w:szCs w:val="18"/>
                <w:lang w:eastAsia="en-AU"/>
              </w:rPr>
              <w:t>Q2 2011</w:t>
            </w:r>
          </w:p>
        </w:tc>
        <w:tc>
          <w:tcPr>
            <w:tcW w:w="1134" w:type="dxa"/>
            <w:tcBorders>
              <w:top w:val="single" w:sz="4" w:space="0" w:color="5E8A00"/>
              <w:bottom w:val="single" w:sz="4" w:space="0" w:color="5E8A00"/>
            </w:tcBorders>
            <w:shd w:val="clear" w:color="000000" w:fill="5E8A00"/>
            <w:vAlign w:val="center"/>
            <w:hideMark/>
          </w:tcPr>
          <w:p w:rsidR="00D67B5E" w:rsidRPr="00EE6085" w:rsidRDefault="00D67B5E" w:rsidP="0051046D">
            <w:pPr>
              <w:spacing w:after="0" w:line="240" w:lineRule="auto"/>
              <w:jc w:val="right"/>
              <w:rPr>
                <w:rFonts w:cs="Arial"/>
                <w:b/>
                <w:bCs/>
                <w:color w:val="FFFFFF"/>
                <w:sz w:val="18"/>
                <w:szCs w:val="18"/>
                <w:lang w:eastAsia="en-AU"/>
              </w:rPr>
            </w:pPr>
            <w:r w:rsidRPr="00EE6085">
              <w:rPr>
                <w:rFonts w:cs="Arial"/>
                <w:b/>
                <w:bCs/>
                <w:color w:val="FFFFFF"/>
                <w:sz w:val="18"/>
                <w:szCs w:val="18"/>
                <w:lang w:eastAsia="en-AU"/>
              </w:rPr>
              <w:t>Q2 2012</w:t>
            </w:r>
          </w:p>
        </w:tc>
        <w:tc>
          <w:tcPr>
            <w:tcW w:w="1134" w:type="dxa"/>
            <w:tcBorders>
              <w:top w:val="single" w:sz="4" w:space="0" w:color="5E8A00"/>
              <w:bottom w:val="single" w:sz="4" w:space="0" w:color="5E8A00"/>
            </w:tcBorders>
            <w:shd w:val="clear" w:color="000000" w:fill="5E8A00"/>
            <w:vAlign w:val="center"/>
            <w:hideMark/>
          </w:tcPr>
          <w:p w:rsidR="00D67B5E" w:rsidRPr="00EE6085" w:rsidRDefault="00D67B5E" w:rsidP="0051046D">
            <w:pPr>
              <w:spacing w:after="0" w:line="240" w:lineRule="auto"/>
              <w:jc w:val="right"/>
              <w:rPr>
                <w:rFonts w:cs="Arial"/>
                <w:b/>
                <w:bCs/>
                <w:color w:val="FFFFFF"/>
                <w:sz w:val="18"/>
                <w:szCs w:val="18"/>
                <w:lang w:eastAsia="en-AU"/>
              </w:rPr>
            </w:pPr>
            <w:r w:rsidRPr="00EE6085">
              <w:rPr>
                <w:rFonts w:cs="Arial"/>
                <w:b/>
                <w:bCs/>
                <w:color w:val="FFFFFF"/>
                <w:sz w:val="18"/>
                <w:szCs w:val="18"/>
                <w:lang w:eastAsia="en-AU"/>
              </w:rPr>
              <w:t>Q2 2013</w:t>
            </w:r>
          </w:p>
        </w:tc>
        <w:tc>
          <w:tcPr>
            <w:tcW w:w="1134" w:type="dxa"/>
            <w:tcBorders>
              <w:top w:val="single" w:sz="4" w:space="0" w:color="5E8A00"/>
              <w:bottom w:val="single" w:sz="4" w:space="0" w:color="5E8A00"/>
            </w:tcBorders>
            <w:shd w:val="clear" w:color="000000" w:fill="5E8A00"/>
            <w:vAlign w:val="center"/>
            <w:hideMark/>
          </w:tcPr>
          <w:p w:rsidR="00D67B5E" w:rsidRPr="00EE6085" w:rsidRDefault="00D67B5E" w:rsidP="0051046D">
            <w:pPr>
              <w:spacing w:after="0" w:line="240" w:lineRule="auto"/>
              <w:jc w:val="right"/>
              <w:rPr>
                <w:rFonts w:cs="Arial"/>
                <w:b/>
                <w:bCs/>
                <w:color w:val="FFFFFF"/>
                <w:sz w:val="18"/>
                <w:szCs w:val="18"/>
                <w:lang w:eastAsia="en-AU"/>
              </w:rPr>
            </w:pPr>
            <w:r w:rsidRPr="00EE6085">
              <w:rPr>
                <w:rFonts w:cs="Arial"/>
                <w:b/>
                <w:bCs/>
                <w:color w:val="FFFFFF"/>
                <w:sz w:val="18"/>
                <w:szCs w:val="18"/>
                <w:lang w:eastAsia="en-AU"/>
              </w:rPr>
              <w:t>% change</w:t>
            </w:r>
            <w:r w:rsidRPr="00EE6085">
              <w:rPr>
                <w:rFonts w:cs="Arial"/>
                <w:b/>
                <w:bCs/>
                <w:color w:val="FFFFFF"/>
                <w:sz w:val="18"/>
                <w:szCs w:val="18"/>
                <w:lang w:eastAsia="en-AU"/>
              </w:rPr>
              <w:br/>
              <w:t>Q2 2011-Q2 2013 </w:t>
            </w:r>
          </w:p>
        </w:tc>
        <w:tc>
          <w:tcPr>
            <w:tcW w:w="1134" w:type="dxa"/>
            <w:tcBorders>
              <w:top w:val="single" w:sz="4" w:space="0" w:color="5E8A00"/>
              <w:bottom w:val="single" w:sz="4" w:space="0" w:color="5E8A00"/>
              <w:right w:val="single" w:sz="4" w:space="0" w:color="5E8A00"/>
            </w:tcBorders>
            <w:shd w:val="clear" w:color="000000" w:fill="5E8A00"/>
            <w:vAlign w:val="center"/>
            <w:hideMark/>
          </w:tcPr>
          <w:p w:rsidR="00D67B5E" w:rsidRPr="00EE6085" w:rsidRDefault="00D67B5E" w:rsidP="0051046D">
            <w:pPr>
              <w:spacing w:after="0" w:line="240" w:lineRule="auto"/>
              <w:jc w:val="right"/>
              <w:rPr>
                <w:rFonts w:cs="Arial"/>
                <w:b/>
                <w:bCs/>
                <w:color w:val="FFFFFF"/>
                <w:sz w:val="18"/>
                <w:szCs w:val="18"/>
                <w:lang w:eastAsia="en-AU"/>
              </w:rPr>
            </w:pPr>
            <w:r w:rsidRPr="00EE6085">
              <w:rPr>
                <w:rFonts w:cs="Arial"/>
                <w:b/>
                <w:bCs/>
                <w:color w:val="FFFFFF"/>
                <w:sz w:val="18"/>
                <w:szCs w:val="18"/>
                <w:lang w:eastAsia="en-AU"/>
              </w:rPr>
              <w:t>% change</w:t>
            </w:r>
            <w:r w:rsidRPr="00EE6085">
              <w:rPr>
                <w:rFonts w:cs="Arial"/>
                <w:b/>
                <w:bCs/>
                <w:color w:val="FFFFFF"/>
                <w:sz w:val="18"/>
                <w:szCs w:val="18"/>
                <w:lang w:eastAsia="en-AU"/>
              </w:rPr>
              <w:br/>
              <w:t>Q2 2012-Q2 2013</w:t>
            </w:r>
          </w:p>
        </w:tc>
      </w:tr>
      <w:tr w:rsidR="00D67B5E" w:rsidRPr="00EE6085" w:rsidTr="0051046D">
        <w:trPr>
          <w:trHeight w:val="342"/>
        </w:trPr>
        <w:tc>
          <w:tcPr>
            <w:tcW w:w="259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E6085" w:rsidRDefault="00D67B5E" w:rsidP="0051046D">
            <w:pPr>
              <w:spacing w:after="0" w:line="240" w:lineRule="auto"/>
              <w:jc w:val="left"/>
              <w:rPr>
                <w:rFonts w:cs="Arial"/>
                <w:color w:val="3E5B00"/>
                <w:sz w:val="18"/>
                <w:szCs w:val="18"/>
                <w:lang w:eastAsia="en-AU"/>
              </w:rPr>
            </w:pPr>
            <w:r w:rsidRPr="00EE6085">
              <w:rPr>
                <w:rFonts w:cs="Arial"/>
                <w:color w:val="3E5B00"/>
                <w:sz w:val="18"/>
                <w:szCs w:val="18"/>
                <w:lang w:eastAsia="en-AU"/>
              </w:rPr>
              <w:t>Indigenous</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3,500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4,100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3,900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13%</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-5%</w:t>
            </w:r>
          </w:p>
        </w:tc>
      </w:tr>
      <w:tr w:rsidR="00D67B5E" w:rsidRPr="00EE6085" w:rsidTr="0051046D">
        <w:trPr>
          <w:trHeight w:val="342"/>
        </w:trPr>
        <w:tc>
          <w:tcPr>
            <w:tcW w:w="259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E6085" w:rsidRDefault="00D67B5E" w:rsidP="0051046D">
            <w:pPr>
              <w:spacing w:after="0" w:line="240" w:lineRule="auto"/>
              <w:jc w:val="left"/>
              <w:rPr>
                <w:rFonts w:cs="Arial"/>
                <w:color w:val="3E5B00"/>
                <w:sz w:val="18"/>
                <w:szCs w:val="18"/>
                <w:lang w:eastAsia="en-AU"/>
              </w:rPr>
            </w:pPr>
            <w:r w:rsidRPr="00EE6085">
              <w:rPr>
                <w:rFonts w:cs="Arial"/>
                <w:color w:val="3E5B00"/>
                <w:sz w:val="18"/>
                <w:szCs w:val="18"/>
                <w:lang w:eastAsia="en-AU"/>
              </w:rPr>
              <w:t>Students with a disability</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22,200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27,600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26,400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19%</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-4%</w:t>
            </w:r>
          </w:p>
        </w:tc>
      </w:tr>
      <w:tr w:rsidR="00D67B5E" w:rsidRPr="00EE6085" w:rsidTr="0051046D">
        <w:trPr>
          <w:trHeight w:val="342"/>
        </w:trPr>
        <w:tc>
          <w:tcPr>
            <w:tcW w:w="259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E6085" w:rsidRDefault="00D67B5E" w:rsidP="0051046D">
            <w:pPr>
              <w:spacing w:after="0" w:line="240" w:lineRule="auto"/>
              <w:jc w:val="left"/>
              <w:rPr>
                <w:rFonts w:cs="Arial"/>
                <w:color w:val="3E5B00"/>
                <w:sz w:val="18"/>
                <w:szCs w:val="18"/>
                <w:lang w:eastAsia="en-AU"/>
              </w:rPr>
            </w:pPr>
            <w:r w:rsidRPr="00EE6085">
              <w:rPr>
                <w:rFonts w:cs="Arial"/>
                <w:color w:val="3E5B00"/>
                <w:sz w:val="18"/>
                <w:szCs w:val="18"/>
                <w:lang w:eastAsia="en-AU"/>
              </w:rPr>
              <w:t>CALD</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58,300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84,900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80,700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39%</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-5%</w:t>
            </w:r>
          </w:p>
        </w:tc>
      </w:tr>
      <w:tr w:rsidR="00D67B5E" w:rsidRPr="00EE6085" w:rsidTr="0051046D">
        <w:trPr>
          <w:trHeight w:val="342"/>
        </w:trPr>
        <w:tc>
          <w:tcPr>
            <w:tcW w:w="259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E6085" w:rsidRDefault="00D67B5E" w:rsidP="0051046D">
            <w:pPr>
              <w:spacing w:after="0" w:line="240" w:lineRule="auto"/>
              <w:jc w:val="left"/>
              <w:rPr>
                <w:rFonts w:cs="Arial"/>
                <w:color w:val="3E5B00"/>
                <w:sz w:val="18"/>
                <w:szCs w:val="18"/>
                <w:lang w:eastAsia="en-AU"/>
              </w:rPr>
            </w:pPr>
            <w:r w:rsidRPr="00EE6085">
              <w:rPr>
                <w:rFonts w:cs="Arial"/>
                <w:color w:val="3E5B00"/>
                <w:sz w:val="18"/>
                <w:szCs w:val="18"/>
                <w:lang w:eastAsia="en-AU"/>
              </w:rPr>
              <w:t>Unemployed</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53,000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77,000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78,600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48%</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2%</w:t>
            </w:r>
          </w:p>
        </w:tc>
      </w:tr>
      <w:tr w:rsidR="00D67B5E" w:rsidRPr="00EE6085" w:rsidTr="0051046D">
        <w:trPr>
          <w:trHeight w:val="762"/>
        </w:trPr>
        <w:tc>
          <w:tcPr>
            <w:tcW w:w="2590" w:type="dxa"/>
            <w:tcBorders>
              <w:top w:val="nil"/>
              <w:left w:val="single" w:sz="4" w:space="0" w:color="5E8A00"/>
              <w:bottom w:val="single" w:sz="4" w:space="0" w:color="5E8A00"/>
              <w:right w:val="single" w:sz="4" w:space="0" w:color="5E8A00"/>
            </w:tcBorders>
            <w:shd w:val="clear" w:color="000000" w:fill="FFFFFF"/>
            <w:vAlign w:val="bottom"/>
            <w:hideMark/>
          </w:tcPr>
          <w:p w:rsidR="00D67B5E" w:rsidRPr="00EE6085" w:rsidRDefault="00D67B5E" w:rsidP="0051046D">
            <w:pPr>
              <w:spacing w:after="0" w:line="240" w:lineRule="auto"/>
              <w:jc w:val="left"/>
              <w:rPr>
                <w:rFonts w:cs="Arial"/>
                <w:color w:val="3E5B00"/>
                <w:sz w:val="18"/>
                <w:szCs w:val="18"/>
                <w:lang w:eastAsia="en-AU"/>
              </w:rPr>
            </w:pPr>
            <w:r w:rsidRPr="00EE6085">
              <w:rPr>
                <w:rFonts w:cs="Arial"/>
                <w:color w:val="3E5B00"/>
                <w:sz w:val="18"/>
                <w:szCs w:val="18"/>
                <w:lang w:eastAsia="en-AU"/>
              </w:rPr>
              <w:t>Aged 15-19 without year 12, not at school and enrolled in Cert II or above</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19,600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21,500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16,700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-15%</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-22%</w:t>
            </w:r>
          </w:p>
        </w:tc>
      </w:tr>
      <w:tr w:rsidR="00D67B5E" w:rsidRPr="00EE6085" w:rsidTr="0051046D">
        <w:trPr>
          <w:trHeight w:val="559"/>
        </w:trPr>
        <w:tc>
          <w:tcPr>
            <w:tcW w:w="2590" w:type="dxa"/>
            <w:tcBorders>
              <w:top w:val="nil"/>
              <w:left w:val="single" w:sz="4" w:space="0" w:color="5E8A00"/>
              <w:bottom w:val="single" w:sz="4" w:space="0" w:color="5E8A00"/>
              <w:right w:val="single" w:sz="4" w:space="0" w:color="5E8A00"/>
            </w:tcBorders>
            <w:shd w:val="clear" w:color="000000" w:fill="FFFFFF"/>
            <w:vAlign w:val="bottom"/>
            <w:hideMark/>
          </w:tcPr>
          <w:p w:rsidR="00D67B5E" w:rsidRPr="00EE6085" w:rsidRDefault="00D67B5E" w:rsidP="0051046D">
            <w:pPr>
              <w:spacing w:after="0" w:line="240" w:lineRule="auto"/>
              <w:jc w:val="left"/>
              <w:rPr>
                <w:rFonts w:cs="Arial"/>
                <w:color w:val="3E5B00"/>
                <w:sz w:val="18"/>
                <w:szCs w:val="18"/>
                <w:lang w:eastAsia="en-AU"/>
              </w:rPr>
            </w:pPr>
            <w:r w:rsidRPr="00EE6085">
              <w:rPr>
                <w:rFonts w:cs="Arial"/>
                <w:color w:val="3E5B00"/>
                <w:sz w:val="18"/>
                <w:szCs w:val="18"/>
                <w:lang w:eastAsia="en-AU"/>
              </w:rPr>
              <w:t>Aged 20-64 not holding  a Cert III or above</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131,700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184,500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 xml:space="preserve">163,050 </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24%</w:t>
            </w:r>
          </w:p>
        </w:tc>
        <w:tc>
          <w:tcPr>
            <w:tcW w:w="1134" w:type="dxa"/>
            <w:tcBorders>
              <w:top w:val="nil"/>
              <w:left w:val="nil"/>
              <w:bottom w:val="single" w:sz="4" w:space="0" w:color="5E8A00"/>
              <w:right w:val="single" w:sz="4" w:space="0" w:color="5E8A00"/>
            </w:tcBorders>
            <w:shd w:val="clear" w:color="auto" w:fill="auto"/>
            <w:noWrap/>
            <w:vAlign w:val="center"/>
            <w:hideMark/>
          </w:tcPr>
          <w:p w:rsidR="00D67B5E" w:rsidRPr="00EE6085" w:rsidRDefault="00D67B5E" w:rsidP="0051046D">
            <w:pPr>
              <w:spacing w:after="0" w:line="240" w:lineRule="auto"/>
              <w:jc w:val="right"/>
              <w:rPr>
                <w:rFonts w:cs="Arial"/>
                <w:sz w:val="18"/>
                <w:szCs w:val="18"/>
                <w:lang w:eastAsia="en-AU"/>
              </w:rPr>
            </w:pPr>
            <w:r w:rsidRPr="00EE6085">
              <w:rPr>
                <w:rFonts w:cs="Arial"/>
                <w:sz w:val="18"/>
                <w:szCs w:val="18"/>
                <w:lang w:eastAsia="en-AU"/>
              </w:rPr>
              <w:t>-12%</w:t>
            </w:r>
          </w:p>
        </w:tc>
      </w:tr>
    </w:tbl>
    <w:p w:rsidR="00D67B5E" w:rsidRPr="001F29E3" w:rsidRDefault="00D67B5E" w:rsidP="00D67B5E">
      <w:pPr>
        <w:rPr>
          <w:rFonts w:cs="Arial"/>
          <w:sz w:val="16"/>
          <w:szCs w:val="16"/>
        </w:rPr>
      </w:pPr>
      <w:r w:rsidRPr="001F29E3">
        <w:rPr>
          <w:rFonts w:cs="Arial"/>
          <w:sz w:val="16"/>
          <w:szCs w:val="16"/>
        </w:rPr>
        <w:t xml:space="preserve">*The above cohorts of students are not mutually exclusive. </w:t>
      </w:r>
    </w:p>
    <w:p w:rsidR="00D67B5E" w:rsidRPr="001F29E3" w:rsidRDefault="00D67B5E" w:rsidP="00D67B5E">
      <w:pPr>
        <w:rPr>
          <w:rFonts w:cs="Arial"/>
        </w:rPr>
      </w:pPr>
    </w:p>
    <w:p w:rsidR="00D67B5E" w:rsidRPr="001F29E3" w:rsidRDefault="00D67B5E" w:rsidP="00D67B5E">
      <w:pPr>
        <w:pStyle w:val="Heading2"/>
      </w:pPr>
      <w:r w:rsidRPr="001F29E3">
        <w:br w:type="page"/>
      </w:r>
      <w:bookmarkStart w:id="80" w:name="_Toc366588119"/>
      <w:r w:rsidRPr="001F29E3">
        <w:lastRenderedPageBreak/>
        <w:t>Indigenous Students</w:t>
      </w:r>
      <w:bookmarkEnd w:id="80"/>
    </w:p>
    <w:p w:rsidR="00D67B5E" w:rsidRDefault="00D67B5E" w:rsidP="00D67B5E">
      <w:pPr>
        <w:rPr>
          <w:rFonts w:cs="Arial"/>
        </w:rPr>
      </w:pPr>
    </w:p>
    <w:p w:rsidR="00D67B5E" w:rsidRDefault="00D67B5E" w:rsidP="00D67B5E">
      <w:pPr>
        <w:pStyle w:val="Heading3"/>
      </w:pPr>
      <w:r>
        <w:t>Enrolments</w:t>
      </w:r>
    </w:p>
    <w:p w:rsidR="00D67B5E" w:rsidRPr="001F29E3" w:rsidRDefault="00D67B5E" w:rsidP="00D67B5E">
      <w:pPr>
        <w:pStyle w:val="Caption"/>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D67B5E" w:rsidRPr="003B1428" w:rsidTr="0051046D">
        <w:trPr>
          <w:trHeight w:val="495"/>
        </w:trPr>
        <w:tc>
          <w:tcPr>
            <w:tcW w:w="9088" w:type="dxa"/>
          </w:tcPr>
          <w:p w:rsidR="00D67B5E" w:rsidRDefault="00D67B5E" w:rsidP="0051046D">
            <w:pPr>
              <w:pStyle w:val="Heading3"/>
            </w:pPr>
            <w:r w:rsidRPr="003B1428">
              <w:t>Key Points</w:t>
            </w:r>
          </w:p>
          <w:p w:rsidR="00D67B5E" w:rsidRPr="00A326AF" w:rsidRDefault="00D67B5E" w:rsidP="0051046D"/>
          <w:p w:rsidR="00D67B5E" w:rsidRPr="003B1428" w:rsidRDefault="00D67B5E" w:rsidP="0051046D">
            <w:pPr>
              <w:pStyle w:val="ListBullet"/>
              <w:numPr>
                <w:ilvl w:val="0"/>
                <w:numId w:val="9"/>
              </w:numPr>
              <w:ind w:right="113"/>
              <w:rPr>
                <w:rFonts w:cs="Arial"/>
              </w:rPr>
            </w:pPr>
            <w:r w:rsidRPr="003B1428">
              <w:rPr>
                <w:rFonts w:cs="Arial"/>
              </w:rPr>
              <w:t>There were 3,900 Indigenous students enrolled in 5,200 government subsidised courses in Q2 2013.</w:t>
            </w:r>
          </w:p>
          <w:p w:rsidR="00D67B5E" w:rsidRPr="003B1428" w:rsidRDefault="00D67B5E" w:rsidP="0051046D">
            <w:pPr>
              <w:pStyle w:val="ListBullet"/>
              <w:numPr>
                <w:ilvl w:val="0"/>
                <w:numId w:val="9"/>
              </w:numPr>
              <w:ind w:right="113"/>
              <w:rPr>
                <w:rFonts w:cs="Arial"/>
              </w:rPr>
            </w:pPr>
            <w:r w:rsidRPr="003B1428">
              <w:rPr>
                <w:rFonts w:cs="Arial"/>
              </w:rPr>
              <w:t xml:space="preserve">Proportionally, more than half of Australian Qualification Framework course enrolments (52 per cent) undertaken by Indigenous students in Q2 2013 were in Certificate III to IV levels.  </w:t>
            </w:r>
          </w:p>
          <w:p w:rsidR="00D67B5E" w:rsidRPr="003B1428" w:rsidRDefault="00D67B5E" w:rsidP="0051046D">
            <w:pPr>
              <w:pStyle w:val="ListBullet"/>
              <w:numPr>
                <w:ilvl w:val="0"/>
                <w:numId w:val="9"/>
              </w:numPr>
              <w:ind w:right="113"/>
              <w:rPr>
                <w:rFonts w:cs="Arial"/>
              </w:rPr>
            </w:pPr>
            <w:r w:rsidRPr="003B1428">
              <w:rPr>
                <w:rFonts w:cs="Arial"/>
              </w:rPr>
              <w:t xml:space="preserve">Of those enrolments in industry-specific qualifications (3,400 enrolments) which exclude foundation skills and short courses in Q2 2013, 40 per cent were in courses related to </w:t>
            </w:r>
            <w:proofErr w:type="gramStart"/>
            <w:r w:rsidRPr="003B1428">
              <w:rPr>
                <w:rFonts w:cs="Arial"/>
              </w:rPr>
              <w:t>specialised</w:t>
            </w:r>
            <w:proofErr w:type="gramEnd"/>
            <w:r w:rsidRPr="003B1428">
              <w:rPr>
                <w:rFonts w:cs="Arial"/>
              </w:rPr>
              <w:t xml:space="preserve"> or in shortage occupations.</w:t>
            </w:r>
          </w:p>
        </w:tc>
      </w:tr>
    </w:tbl>
    <w:p w:rsidR="00D67B5E" w:rsidRDefault="00D67B5E" w:rsidP="00D67B5E"/>
    <w:p w:rsidR="00D67B5E" w:rsidRPr="001F29E3" w:rsidRDefault="005654CD" w:rsidP="00D67B5E">
      <w:pPr>
        <w:pStyle w:val="Caption"/>
        <w:spacing w:after="0"/>
        <w:jc w:val="left"/>
        <w:rPr>
          <w:rFonts w:cs="Arial"/>
        </w:rPr>
      </w:pPr>
      <w:r>
        <w:rPr>
          <w:rFonts w:cs="Arial"/>
        </w:rPr>
        <w:t>Table 2</w:t>
      </w:r>
      <w:r w:rsidR="00D67B5E" w:rsidRPr="001F29E3">
        <w:rPr>
          <w:rFonts w:cs="Arial"/>
        </w:rPr>
        <w:t>.2</w:t>
      </w:r>
      <w:r w:rsidR="00D67B5E">
        <w:rPr>
          <w:rFonts w:cs="Arial"/>
        </w:rPr>
        <w:t>.1</w:t>
      </w:r>
      <w:r w:rsidR="00D67B5E" w:rsidRPr="001F29E3">
        <w:rPr>
          <w:rFonts w:cs="Arial"/>
        </w:rPr>
        <w:t>: Indigenous students: Government subsidised enrolments by qu</w:t>
      </w:r>
      <w:r w:rsidR="00D67B5E">
        <w:rPr>
          <w:rFonts w:cs="Arial"/>
        </w:rPr>
        <w:t>alification level, 2008 – 2012</w:t>
      </w:r>
    </w:p>
    <w:tbl>
      <w:tblPr>
        <w:tblW w:w="9140" w:type="dxa"/>
        <w:tblInd w:w="103" w:type="dxa"/>
        <w:tblLook w:val="04A0" w:firstRow="1" w:lastRow="0" w:firstColumn="1" w:lastColumn="0" w:noHBand="0" w:noVBand="1"/>
      </w:tblPr>
      <w:tblGrid>
        <w:gridCol w:w="2420"/>
        <w:gridCol w:w="1120"/>
        <w:gridCol w:w="1120"/>
        <w:gridCol w:w="1120"/>
        <w:gridCol w:w="1120"/>
        <w:gridCol w:w="1120"/>
        <w:gridCol w:w="1120"/>
      </w:tblGrid>
      <w:tr w:rsidR="00D67B5E" w:rsidRPr="00127418" w:rsidTr="0051046D">
        <w:trPr>
          <w:trHeight w:hRule="exact" w:val="760"/>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D67B5E" w:rsidRPr="00127418" w:rsidRDefault="00D67B5E" w:rsidP="0051046D">
            <w:pPr>
              <w:spacing w:after="0" w:line="240" w:lineRule="auto"/>
              <w:jc w:val="left"/>
              <w:rPr>
                <w:rFonts w:cs="Arial"/>
                <w:b/>
                <w:bCs/>
                <w:color w:val="FFFFFF"/>
                <w:sz w:val="18"/>
                <w:szCs w:val="18"/>
                <w:lang w:eastAsia="en-AU"/>
              </w:rPr>
            </w:pPr>
            <w:r w:rsidRPr="00127418">
              <w:rPr>
                <w:rFonts w:cs="Arial"/>
                <w:b/>
                <w:bCs/>
                <w:color w:val="FFFFFF"/>
                <w:sz w:val="18"/>
                <w:szCs w:val="18"/>
                <w:lang w:eastAsia="en-AU"/>
              </w:rPr>
              <w:t>Qualification level</w:t>
            </w:r>
          </w:p>
        </w:tc>
        <w:tc>
          <w:tcPr>
            <w:tcW w:w="1120" w:type="dxa"/>
            <w:tcBorders>
              <w:top w:val="single" w:sz="4" w:space="0" w:color="5E8A00"/>
              <w:bottom w:val="single" w:sz="4" w:space="0" w:color="5E8A00"/>
            </w:tcBorders>
            <w:shd w:val="clear" w:color="000000" w:fill="5E8A00"/>
            <w:vAlign w:val="center"/>
            <w:hideMark/>
          </w:tcPr>
          <w:p w:rsidR="00D67B5E" w:rsidRPr="00127418" w:rsidRDefault="00D67B5E" w:rsidP="00F034AF">
            <w:pPr>
              <w:spacing w:after="0" w:line="240" w:lineRule="auto"/>
              <w:ind w:firstLineChars="100" w:firstLine="181"/>
              <w:jc w:val="right"/>
              <w:rPr>
                <w:rFonts w:cs="Arial"/>
                <w:b/>
                <w:bCs/>
                <w:color w:val="FFFFFF"/>
                <w:sz w:val="18"/>
                <w:szCs w:val="18"/>
                <w:lang w:eastAsia="en-AU"/>
              </w:rPr>
            </w:pPr>
            <w:r w:rsidRPr="00127418">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D67B5E" w:rsidRPr="00127418" w:rsidRDefault="00D67B5E" w:rsidP="00F034AF">
            <w:pPr>
              <w:spacing w:after="0" w:line="240" w:lineRule="auto"/>
              <w:ind w:firstLineChars="100" w:firstLine="181"/>
              <w:jc w:val="right"/>
              <w:rPr>
                <w:rFonts w:cs="Arial"/>
                <w:b/>
                <w:bCs/>
                <w:color w:val="FFFFFF"/>
                <w:sz w:val="18"/>
                <w:szCs w:val="18"/>
                <w:lang w:eastAsia="en-AU"/>
              </w:rPr>
            </w:pPr>
            <w:r w:rsidRPr="00127418">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D67B5E" w:rsidRPr="00127418" w:rsidRDefault="00D67B5E" w:rsidP="00F034AF">
            <w:pPr>
              <w:spacing w:after="0" w:line="240" w:lineRule="auto"/>
              <w:ind w:firstLineChars="100" w:firstLine="181"/>
              <w:jc w:val="right"/>
              <w:rPr>
                <w:rFonts w:cs="Arial"/>
                <w:b/>
                <w:bCs/>
                <w:color w:val="FFFFFF"/>
                <w:sz w:val="18"/>
                <w:szCs w:val="18"/>
                <w:lang w:eastAsia="en-AU"/>
              </w:rPr>
            </w:pPr>
            <w:r w:rsidRPr="00127418">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D67B5E" w:rsidRPr="00127418" w:rsidRDefault="00D67B5E" w:rsidP="00F034AF">
            <w:pPr>
              <w:spacing w:after="0" w:line="240" w:lineRule="auto"/>
              <w:ind w:firstLineChars="100" w:firstLine="181"/>
              <w:jc w:val="right"/>
              <w:rPr>
                <w:rFonts w:cs="Arial"/>
                <w:b/>
                <w:bCs/>
                <w:color w:val="FFFFFF"/>
                <w:sz w:val="18"/>
                <w:szCs w:val="18"/>
                <w:lang w:eastAsia="en-AU"/>
              </w:rPr>
            </w:pPr>
            <w:r w:rsidRPr="00127418">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D67B5E" w:rsidRPr="00127418" w:rsidRDefault="00D67B5E" w:rsidP="00F034AF">
            <w:pPr>
              <w:spacing w:after="0" w:line="240" w:lineRule="auto"/>
              <w:ind w:firstLineChars="100" w:firstLine="181"/>
              <w:jc w:val="right"/>
              <w:rPr>
                <w:rFonts w:cs="Arial"/>
                <w:b/>
                <w:bCs/>
                <w:color w:val="FFFFFF"/>
                <w:sz w:val="18"/>
                <w:szCs w:val="18"/>
                <w:lang w:eastAsia="en-AU"/>
              </w:rPr>
            </w:pPr>
            <w:r w:rsidRPr="00127418">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127418" w:rsidRDefault="00D67B5E" w:rsidP="0051046D">
            <w:pPr>
              <w:spacing w:after="0" w:line="240" w:lineRule="auto"/>
              <w:jc w:val="right"/>
              <w:rPr>
                <w:rFonts w:cs="Arial"/>
                <w:b/>
                <w:bCs/>
                <w:color w:val="FFFFFF"/>
                <w:sz w:val="18"/>
                <w:szCs w:val="18"/>
                <w:lang w:eastAsia="en-AU"/>
              </w:rPr>
            </w:pPr>
            <w:r w:rsidRPr="00127418">
              <w:rPr>
                <w:rFonts w:cs="Arial"/>
                <w:b/>
                <w:bCs/>
                <w:color w:val="FFFFFF"/>
                <w:sz w:val="18"/>
                <w:szCs w:val="18"/>
                <w:lang w:eastAsia="en-AU"/>
              </w:rPr>
              <w:t>% change</w:t>
            </w:r>
            <w:r w:rsidRPr="00127418">
              <w:rPr>
                <w:rFonts w:cs="Arial"/>
                <w:b/>
                <w:bCs/>
                <w:color w:val="FFFFFF"/>
                <w:sz w:val="18"/>
                <w:szCs w:val="18"/>
                <w:lang w:eastAsia="en-AU"/>
              </w:rPr>
              <w:br/>
              <w:t>2008-2012</w:t>
            </w:r>
          </w:p>
        </w:tc>
      </w:tr>
      <w:tr w:rsidR="00D67B5E" w:rsidRPr="00127418"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127418" w:rsidRDefault="00D67B5E" w:rsidP="0051046D">
            <w:pPr>
              <w:spacing w:after="0" w:line="240" w:lineRule="auto"/>
              <w:jc w:val="left"/>
              <w:rPr>
                <w:rFonts w:cs="Arial"/>
                <w:color w:val="3E5B00"/>
                <w:sz w:val="18"/>
                <w:szCs w:val="18"/>
                <w:lang w:eastAsia="en-AU"/>
              </w:rPr>
            </w:pPr>
            <w:r w:rsidRPr="00127418">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3,200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2,500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2,800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3,200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2,900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-10%</w:t>
            </w:r>
          </w:p>
        </w:tc>
      </w:tr>
      <w:tr w:rsidR="00D67B5E" w:rsidRPr="00127418"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127418" w:rsidRDefault="00D67B5E" w:rsidP="0051046D">
            <w:pPr>
              <w:spacing w:after="0" w:line="240" w:lineRule="auto"/>
              <w:jc w:val="left"/>
              <w:rPr>
                <w:rFonts w:cs="Arial"/>
                <w:color w:val="3E5B00"/>
                <w:sz w:val="18"/>
                <w:szCs w:val="18"/>
                <w:lang w:eastAsia="en-AU"/>
              </w:rPr>
            </w:pPr>
            <w:r w:rsidRPr="00127418">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2,000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2,200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2,300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3,100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3,600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77%</w:t>
            </w:r>
          </w:p>
        </w:tc>
      </w:tr>
      <w:tr w:rsidR="00D67B5E" w:rsidRPr="00127418"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127418" w:rsidRDefault="00D67B5E" w:rsidP="0051046D">
            <w:pPr>
              <w:spacing w:after="0" w:line="240" w:lineRule="auto"/>
              <w:jc w:val="left"/>
              <w:rPr>
                <w:rFonts w:cs="Arial"/>
                <w:color w:val="3E5B00"/>
                <w:sz w:val="18"/>
                <w:szCs w:val="18"/>
                <w:lang w:eastAsia="en-AU"/>
              </w:rPr>
            </w:pPr>
            <w:r w:rsidRPr="00127418">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350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450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550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68%</w:t>
            </w:r>
          </w:p>
        </w:tc>
      </w:tr>
      <w:tr w:rsidR="00D67B5E" w:rsidRPr="00127418"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127418" w:rsidRDefault="00D67B5E" w:rsidP="0051046D">
            <w:pPr>
              <w:spacing w:after="0" w:line="240" w:lineRule="auto"/>
              <w:jc w:val="left"/>
              <w:rPr>
                <w:rFonts w:cs="Arial"/>
                <w:color w:val="3E5B00"/>
                <w:sz w:val="18"/>
                <w:szCs w:val="18"/>
                <w:lang w:eastAsia="en-AU"/>
              </w:rPr>
            </w:pPr>
            <w:r w:rsidRPr="00127418">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850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-42%</w:t>
            </w:r>
          </w:p>
        </w:tc>
      </w:tr>
      <w:tr w:rsidR="00D67B5E" w:rsidRPr="00127418"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127418" w:rsidRDefault="00D67B5E" w:rsidP="0051046D">
            <w:pPr>
              <w:spacing w:after="0" w:line="240" w:lineRule="auto"/>
              <w:jc w:val="left"/>
              <w:rPr>
                <w:rFonts w:cs="Arial"/>
                <w:color w:val="3E5B00"/>
                <w:sz w:val="18"/>
                <w:szCs w:val="18"/>
                <w:lang w:eastAsia="en-AU"/>
              </w:rPr>
            </w:pPr>
            <w:r w:rsidRPr="00127418">
              <w:rPr>
                <w:rFonts w:cs="Arial"/>
                <w:color w:val="3E5B00"/>
                <w:sz w:val="18"/>
                <w:szCs w:val="18"/>
                <w:lang w:eastAsia="en-AU"/>
              </w:rPr>
              <w:t xml:space="preserve">Secondary, </w:t>
            </w:r>
            <w:proofErr w:type="spellStart"/>
            <w:r w:rsidRPr="00127418">
              <w:rPr>
                <w:rFonts w:cs="Arial"/>
                <w:color w:val="3E5B00"/>
                <w:sz w:val="18"/>
                <w:szCs w:val="18"/>
                <w:lang w:eastAsia="en-AU"/>
              </w:rPr>
              <w:t>SoA</w:t>
            </w:r>
            <w:proofErr w:type="spellEnd"/>
            <w:r w:rsidRPr="00127418">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550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650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350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 xml:space="preserve">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27418" w:rsidRDefault="00D67B5E" w:rsidP="0051046D">
            <w:pPr>
              <w:spacing w:after="0" w:line="240" w:lineRule="auto"/>
              <w:jc w:val="right"/>
              <w:rPr>
                <w:rFonts w:cs="Arial"/>
                <w:sz w:val="18"/>
                <w:szCs w:val="18"/>
                <w:lang w:eastAsia="en-AU"/>
              </w:rPr>
            </w:pPr>
            <w:r w:rsidRPr="00127418">
              <w:rPr>
                <w:rFonts w:cs="Arial"/>
                <w:sz w:val="18"/>
                <w:szCs w:val="18"/>
                <w:lang w:eastAsia="en-AU"/>
              </w:rPr>
              <w:t>4%</w:t>
            </w:r>
          </w:p>
        </w:tc>
      </w:tr>
      <w:tr w:rsidR="00D67B5E" w:rsidRPr="00127418" w:rsidTr="0051046D">
        <w:trPr>
          <w:trHeight w:hRule="exact" w:val="284"/>
        </w:trPr>
        <w:tc>
          <w:tcPr>
            <w:tcW w:w="2420" w:type="dxa"/>
            <w:tcBorders>
              <w:top w:val="single" w:sz="4" w:space="0" w:color="5E8A00"/>
              <w:left w:val="single" w:sz="4" w:space="0" w:color="5E8A00"/>
              <w:bottom w:val="nil"/>
            </w:tcBorders>
            <w:shd w:val="clear" w:color="000000" w:fill="5E8A00"/>
            <w:noWrap/>
            <w:vAlign w:val="center"/>
            <w:hideMark/>
          </w:tcPr>
          <w:p w:rsidR="00D67B5E" w:rsidRPr="00127418" w:rsidRDefault="00D67B5E" w:rsidP="0051046D">
            <w:pPr>
              <w:spacing w:after="0" w:line="240" w:lineRule="auto"/>
              <w:jc w:val="left"/>
              <w:rPr>
                <w:rFonts w:cs="Arial"/>
                <w:b/>
                <w:bCs/>
                <w:color w:val="FFFFFF"/>
                <w:sz w:val="18"/>
                <w:szCs w:val="18"/>
                <w:lang w:eastAsia="en-AU"/>
              </w:rPr>
            </w:pPr>
            <w:r w:rsidRPr="00127418">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D67B5E" w:rsidRPr="00127418" w:rsidRDefault="00D67B5E" w:rsidP="0051046D">
            <w:pPr>
              <w:spacing w:after="0" w:line="240" w:lineRule="auto"/>
              <w:jc w:val="right"/>
              <w:rPr>
                <w:rFonts w:cs="Arial"/>
                <w:b/>
                <w:bCs/>
                <w:color w:val="FFFFFF"/>
                <w:sz w:val="18"/>
                <w:szCs w:val="18"/>
                <w:lang w:eastAsia="en-AU"/>
              </w:rPr>
            </w:pPr>
            <w:r w:rsidRPr="00127418">
              <w:rPr>
                <w:rFonts w:cs="Arial"/>
                <w:b/>
                <w:bCs/>
                <w:color w:val="FFFFFF"/>
                <w:sz w:val="18"/>
                <w:szCs w:val="18"/>
                <w:lang w:eastAsia="en-AU"/>
              </w:rPr>
              <w:t xml:space="preserve">7,000 </w:t>
            </w:r>
          </w:p>
        </w:tc>
        <w:tc>
          <w:tcPr>
            <w:tcW w:w="1120" w:type="dxa"/>
            <w:tcBorders>
              <w:top w:val="single" w:sz="4" w:space="0" w:color="5E8A00"/>
              <w:bottom w:val="nil"/>
            </w:tcBorders>
            <w:shd w:val="clear" w:color="000000" w:fill="5E8A00"/>
            <w:noWrap/>
            <w:vAlign w:val="center"/>
            <w:hideMark/>
          </w:tcPr>
          <w:p w:rsidR="00D67B5E" w:rsidRPr="00127418" w:rsidRDefault="00D67B5E" w:rsidP="0051046D">
            <w:pPr>
              <w:spacing w:after="0" w:line="240" w:lineRule="auto"/>
              <w:jc w:val="right"/>
              <w:rPr>
                <w:rFonts w:cs="Arial"/>
                <w:b/>
                <w:bCs/>
                <w:color w:val="FFFFFF"/>
                <w:sz w:val="18"/>
                <w:szCs w:val="18"/>
                <w:lang w:eastAsia="en-AU"/>
              </w:rPr>
            </w:pPr>
            <w:r w:rsidRPr="00127418">
              <w:rPr>
                <w:rFonts w:cs="Arial"/>
                <w:b/>
                <w:bCs/>
                <w:color w:val="FFFFFF"/>
                <w:sz w:val="18"/>
                <w:szCs w:val="18"/>
                <w:lang w:eastAsia="en-AU"/>
              </w:rPr>
              <w:t xml:space="preserve">6,200 </w:t>
            </w:r>
          </w:p>
        </w:tc>
        <w:tc>
          <w:tcPr>
            <w:tcW w:w="1120" w:type="dxa"/>
            <w:tcBorders>
              <w:top w:val="single" w:sz="4" w:space="0" w:color="5E8A00"/>
              <w:bottom w:val="nil"/>
            </w:tcBorders>
            <w:shd w:val="clear" w:color="000000" w:fill="5E8A00"/>
            <w:noWrap/>
            <w:vAlign w:val="center"/>
            <w:hideMark/>
          </w:tcPr>
          <w:p w:rsidR="00D67B5E" w:rsidRPr="00127418" w:rsidRDefault="00D67B5E" w:rsidP="0051046D">
            <w:pPr>
              <w:spacing w:after="0" w:line="240" w:lineRule="auto"/>
              <w:jc w:val="right"/>
              <w:rPr>
                <w:rFonts w:cs="Arial"/>
                <w:b/>
                <w:bCs/>
                <w:color w:val="FFFFFF"/>
                <w:sz w:val="18"/>
                <w:szCs w:val="18"/>
                <w:lang w:eastAsia="en-AU"/>
              </w:rPr>
            </w:pPr>
            <w:r w:rsidRPr="00127418">
              <w:rPr>
                <w:rFonts w:cs="Arial"/>
                <w:b/>
                <w:bCs/>
                <w:color w:val="FFFFFF"/>
                <w:sz w:val="18"/>
                <w:szCs w:val="18"/>
                <w:lang w:eastAsia="en-AU"/>
              </w:rPr>
              <w:t xml:space="preserve">6,600 </w:t>
            </w:r>
          </w:p>
        </w:tc>
        <w:tc>
          <w:tcPr>
            <w:tcW w:w="1120" w:type="dxa"/>
            <w:tcBorders>
              <w:top w:val="single" w:sz="4" w:space="0" w:color="5E8A00"/>
              <w:bottom w:val="nil"/>
            </w:tcBorders>
            <w:shd w:val="clear" w:color="000000" w:fill="5E8A00"/>
            <w:noWrap/>
            <w:vAlign w:val="center"/>
            <w:hideMark/>
          </w:tcPr>
          <w:p w:rsidR="00D67B5E" w:rsidRPr="00127418" w:rsidRDefault="00D67B5E" w:rsidP="0051046D">
            <w:pPr>
              <w:spacing w:after="0" w:line="240" w:lineRule="auto"/>
              <w:jc w:val="right"/>
              <w:rPr>
                <w:rFonts w:cs="Arial"/>
                <w:b/>
                <w:bCs/>
                <w:color w:val="FFFFFF"/>
                <w:sz w:val="18"/>
                <w:szCs w:val="18"/>
                <w:lang w:eastAsia="en-AU"/>
              </w:rPr>
            </w:pPr>
            <w:r w:rsidRPr="00127418">
              <w:rPr>
                <w:rFonts w:cs="Arial"/>
                <w:b/>
                <w:bCs/>
                <w:color w:val="FFFFFF"/>
                <w:sz w:val="18"/>
                <w:szCs w:val="18"/>
                <w:lang w:eastAsia="en-AU"/>
              </w:rPr>
              <w:t xml:space="preserve">7,600 </w:t>
            </w:r>
          </w:p>
        </w:tc>
        <w:tc>
          <w:tcPr>
            <w:tcW w:w="1120" w:type="dxa"/>
            <w:tcBorders>
              <w:top w:val="single" w:sz="4" w:space="0" w:color="5E8A00"/>
              <w:bottom w:val="nil"/>
            </w:tcBorders>
            <w:shd w:val="clear" w:color="000000" w:fill="5E8A00"/>
            <w:noWrap/>
            <w:vAlign w:val="center"/>
            <w:hideMark/>
          </w:tcPr>
          <w:p w:rsidR="00D67B5E" w:rsidRPr="00127418" w:rsidRDefault="00D67B5E" w:rsidP="0051046D">
            <w:pPr>
              <w:spacing w:after="0" w:line="240" w:lineRule="auto"/>
              <w:jc w:val="right"/>
              <w:rPr>
                <w:rFonts w:cs="Arial"/>
                <w:b/>
                <w:bCs/>
                <w:color w:val="FFFFFF"/>
                <w:sz w:val="18"/>
                <w:szCs w:val="18"/>
                <w:lang w:eastAsia="en-AU"/>
              </w:rPr>
            </w:pPr>
            <w:r w:rsidRPr="00127418">
              <w:rPr>
                <w:rFonts w:cs="Arial"/>
                <w:b/>
                <w:bCs/>
                <w:color w:val="FFFFFF"/>
                <w:sz w:val="18"/>
                <w:szCs w:val="18"/>
                <w:lang w:eastAsia="en-AU"/>
              </w:rPr>
              <w:t xml:space="preserve">8,200 </w:t>
            </w:r>
          </w:p>
        </w:tc>
        <w:tc>
          <w:tcPr>
            <w:tcW w:w="1120" w:type="dxa"/>
            <w:tcBorders>
              <w:top w:val="single" w:sz="4" w:space="0" w:color="5E8A00"/>
              <w:bottom w:val="nil"/>
              <w:right w:val="single" w:sz="4" w:space="0" w:color="5E8A00"/>
            </w:tcBorders>
            <w:shd w:val="clear" w:color="000000" w:fill="5E8A00"/>
            <w:noWrap/>
            <w:vAlign w:val="center"/>
            <w:hideMark/>
          </w:tcPr>
          <w:p w:rsidR="00D67B5E" w:rsidRPr="00127418" w:rsidRDefault="00D67B5E" w:rsidP="0051046D">
            <w:pPr>
              <w:spacing w:after="0" w:line="240" w:lineRule="auto"/>
              <w:jc w:val="right"/>
              <w:rPr>
                <w:rFonts w:cs="Arial"/>
                <w:b/>
                <w:bCs/>
                <w:color w:val="FFFFFF"/>
                <w:sz w:val="18"/>
                <w:szCs w:val="18"/>
                <w:lang w:eastAsia="en-AU"/>
              </w:rPr>
            </w:pPr>
            <w:r w:rsidRPr="00127418">
              <w:rPr>
                <w:rFonts w:cs="Arial"/>
                <w:b/>
                <w:bCs/>
                <w:color w:val="FFFFFF"/>
                <w:sz w:val="18"/>
                <w:szCs w:val="18"/>
                <w:lang w:eastAsia="en-AU"/>
              </w:rPr>
              <w:t>16%</w:t>
            </w:r>
          </w:p>
        </w:tc>
      </w:tr>
    </w:tbl>
    <w:p w:rsidR="00D67B5E" w:rsidRPr="007E7B89" w:rsidRDefault="00D67B5E" w:rsidP="00D67B5E">
      <w:pPr>
        <w:spacing w:after="0"/>
        <w:rPr>
          <w:sz w:val="16"/>
          <w:szCs w:val="16"/>
        </w:rPr>
      </w:pPr>
      <w:proofErr w:type="spellStart"/>
      <w:r w:rsidRPr="007E7B89">
        <w:rPr>
          <w:sz w:val="16"/>
          <w:szCs w:val="16"/>
        </w:rPr>
        <w:t>SoA</w:t>
      </w:r>
      <w:proofErr w:type="spellEnd"/>
      <w:r w:rsidRPr="007E7B89">
        <w:rPr>
          <w:sz w:val="16"/>
          <w:szCs w:val="16"/>
        </w:rPr>
        <w:t>: Statement of Attainment.</w:t>
      </w:r>
    </w:p>
    <w:p w:rsidR="00D67B5E" w:rsidRPr="001F29E3" w:rsidRDefault="00D67B5E" w:rsidP="00D67B5E">
      <w:pPr>
        <w:rPr>
          <w:rFonts w:cs="Arial"/>
        </w:rPr>
      </w:pPr>
    </w:p>
    <w:p w:rsidR="00D67B5E" w:rsidRDefault="005654CD" w:rsidP="00D67B5E">
      <w:pPr>
        <w:pStyle w:val="Caption"/>
        <w:spacing w:after="0"/>
        <w:jc w:val="left"/>
        <w:rPr>
          <w:rFonts w:cs="Arial"/>
        </w:rPr>
      </w:pPr>
      <w:r>
        <w:rPr>
          <w:rFonts w:cs="Arial"/>
        </w:rPr>
        <w:t>Table 2</w:t>
      </w:r>
      <w:r w:rsidR="00D67B5E" w:rsidRPr="001F29E3">
        <w:rPr>
          <w:rFonts w:cs="Arial"/>
        </w:rPr>
        <w:t>.2</w:t>
      </w:r>
      <w:r w:rsidR="00D67B5E">
        <w:rPr>
          <w:rFonts w:cs="Arial"/>
        </w:rPr>
        <w:t>.2</w:t>
      </w:r>
      <w:r w:rsidR="00D67B5E" w:rsidRPr="001F29E3">
        <w:rPr>
          <w:rFonts w:cs="Arial"/>
        </w:rPr>
        <w:t xml:space="preserve">: Indigenous students: Government subsidised enrolments by qualification level, </w:t>
      </w:r>
      <w:r w:rsidR="00D67B5E">
        <w:rPr>
          <w:rFonts w:cs="Arial"/>
        </w:rPr>
        <w:t xml:space="preserve">Q2 2011, </w:t>
      </w:r>
      <w:r w:rsidR="00D67B5E" w:rsidRPr="001F29E3">
        <w:rPr>
          <w:rFonts w:cs="Arial"/>
        </w:rPr>
        <w:t>Q</w:t>
      </w:r>
      <w:r w:rsidR="00D67B5E">
        <w:rPr>
          <w:rFonts w:cs="Arial"/>
        </w:rPr>
        <w:t>2</w:t>
      </w:r>
      <w:r w:rsidR="00D67B5E" w:rsidRPr="001F29E3">
        <w:rPr>
          <w:rFonts w:cs="Arial"/>
        </w:rPr>
        <w:t xml:space="preserve"> 2012 and Q</w:t>
      </w:r>
      <w:r w:rsidR="00D67B5E">
        <w:rPr>
          <w:rFonts w:cs="Arial"/>
        </w:rPr>
        <w:t>2</w:t>
      </w:r>
      <w:r w:rsidR="00D67B5E" w:rsidRPr="001F29E3">
        <w:rPr>
          <w:rFonts w:cs="Arial"/>
        </w:rPr>
        <w:t xml:space="preserve"> 2013</w:t>
      </w:r>
    </w:p>
    <w:tbl>
      <w:tblPr>
        <w:tblW w:w="8020" w:type="dxa"/>
        <w:tblInd w:w="103" w:type="dxa"/>
        <w:tblLook w:val="04A0" w:firstRow="1" w:lastRow="0" w:firstColumn="1" w:lastColumn="0" w:noHBand="0" w:noVBand="1"/>
      </w:tblPr>
      <w:tblGrid>
        <w:gridCol w:w="2420"/>
        <w:gridCol w:w="1120"/>
        <w:gridCol w:w="1120"/>
        <w:gridCol w:w="1120"/>
        <w:gridCol w:w="1120"/>
        <w:gridCol w:w="1120"/>
      </w:tblGrid>
      <w:tr w:rsidR="00D67B5E" w:rsidRPr="00CE1C42" w:rsidTr="0051046D">
        <w:trPr>
          <w:trHeight w:hRule="exact" w:val="760"/>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D67B5E" w:rsidRPr="00CE1C42" w:rsidRDefault="00D67B5E" w:rsidP="0051046D">
            <w:pPr>
              <w:spacing w:after="0" w:line="240" w:lineRule="auto"/>
              <w:jc w:val="left"/>
              <w:rPr>
                <w:rFonts w:cs="Arial"/>
                <w:b/>
                <w:bCs/>
                <w:color w:val="FFFFFF"/>
                <w:sz w:val="18"/>
                <w:szCs w:val="18"/>
                <w:lang w:eastAsia="en-AU"/>
              </w:rPr>
            </w:pPr>
            <w:r w:rsidRPr="00CE1C42">
              <w:rPr>
                <w:rFonts w:cs="Arial"/>
                <w:b/>
                <w:bCs/>
                <w:color w:val="FFFFFF"/>
                <w:sz w:val="18"/>
                <w:szCs w:val="18"/>
                <w:lang w:eastAsia="en-AU"/>
              </w:rPr>
              <w:t>Qualification level</w:t>
            </w:r>
          </w:p>
        </w:tc>
        <w:tc>
          <w:tcPr>
            <w:tcW w:w="1120" w:type="dxa"/>
            <w:tcBorders>
              <w:top w:val="single" w:sz="4" w:space="0" w:color="5E8A00"/>
              <w:bottom w:val="single" w:sz="4" w:space="0" w:color="5E8A00"/>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change</w:t>
            </w:r>
            <w:r w:rsidRPr="00CE1C42">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change</w:t>
            </w:r>
            <w:r w:rsidRPr="00CE1C42">
              <w:rPr>
                <w:rFonts w:cs="Arial"/>
                <w:b/>
                <w:bCs/>
                <w:color w:val="FFFFFF"/>
                <w:sz w:val="18"/>
                <w:szCs w:val="18"/>
                <w:lang w:eastAsia="en-AU"/>
              </w:rPr>
              <w:br/>
              <w:t>Q2 2012-Q2 2013</w:t>
            </w:r>
          </w:p>
        </w:tc>
      </w:tr>
      <w:tr w:rsidR="00D67B5E" w:rsidRPr="00CE1C42"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E1C42" w:rsidRDefault="00D67B5E" w:rsidP="0051046D">
            <w:pPr>
              <w:spacing w:after="0" w:line="240" w:lineRule="auto"/>
              <w:jc w:val="left"/>
              <w:rPr>
                <w:rFonts w:cs="Arial"/>
                <w:color w:val="3E5B00"/>
                <w:sz w:val="18"/>
                <w:szCs w:val="18"/>
                <w:lang w:eastAsia="en-AU"/>
              </w:rPr>
            </w:pPr>
            <w:r w:rsidRPr="00CE1C42">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14%</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5%</w:t>
            </w:r>
          </w:p>
        </w:tc>
      </w:tr>
      <w:tr w:rsidR="00D67B5E" w:rsidRPr="00CE1C42"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E1C42" w:rsidRDefault="00D67B5E" w:rsidP="0051046D">
            <w:pPr>
              <w:spacing w:after="0" w:line="240" w:lineRule="auto"/>
              <w:jc w:val="left"/>
              <w:rPr>
                <w:rFonts w:cs="Arial"/>
                <w:color w:val="3E5B00"/>
                <w:sz w:val="18"/>
                <w:szCs w:val="18"/>
                <w:lang w:eastAsia="en-AU"/>
              </w:rPr>
            </w:pPr>
            <w:r w:rsidRPr="00CE1C42">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2,600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2,400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25%</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-8%</w:t>
            </w:r>
          </w:p>
        </w:tc>
      </w:tr>
      <w:tr w:rsidR="00D67B5E" w:rsidRPr="00CE1C42"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E1C42" w:rsidRDefault="00D67B5E" w:rsidP="0051046D">
            <w:pPr>
              <w:spacing w:after="0" w:line="240" w:lineRule="auto"/>
              <w:jc w:val="left"/>
              <w:rPr>
                <w:rFonts w:cs="Arial"/>
                <w:color w:val="3E5B00"/>
                <w:sz w:val="18"/>
                <w:szCs w:val="18"/>
                <w:lang w:eastAsia="en-AU"/>
              </w:rPr>
            </w:pPr>
            <w:r w:rsidRPr="00CE1C42">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1%</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-16%</w:t>
            </w:r>
          </w:p>
        </w:tc>
      </w:tr>
      <w:tr w:rsidR="00D67B5E" w:rsidRPr="00CE1C42"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E1C42" w:rsidRDefault="00D67B5E" w:rsidP="0051046D">
            <w:pPr>
              <w:spacing w:after="0" w:line="240" w:lineRule="auto"/>
              <w:jc w:val="left"/>
              <w:rPr>
                <w:rFonts w:cs="Arial"/>
                <w:color w:val="3E5B00"/>
                <w:sz w:val="18"/>
                <w:szCs w:val="18"/>
                <w:lang w:eastAsia="en-AU"/>
              </w:rPr>
            </w:pPr>
            <w:r w:rsidRPr="00CE1C42">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150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29%</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-17%</w:t>
            </w:r>
          </w:p>
        </w:tc>
      </w:tr>
      <w:tr w:rsidR="00D67B5E" w:rsidRPr="00CE1C42"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E1C42" w:rsidRDefault="00D67B5E" w:rsidP="0051046D">
            <w:pPr>
              <w:spacing w:after="0" w:line="240" w:lineRule="auto"/>
              <w:jc w:val="left"/>
              <w:rPr>
                <w:rFonts w:cs="Arial"/>
                <w:color w:val="3E5B00"/>
                <w:sz w:val="18"/>
                <w:szCs w:val="18"/>
                <w:lang w:eastAsia="en-AU"/>
              </w:rPr>
            </w:pPr>
            <w:r w:rsidRPr="00CE1C42">
              <w:rPr>
                <w:rFonts w:cs="Arial"/>
                <w:color w:val="3E5B00"/>
                <w:sz w:val="18"/>
                <w:szCs w:val="18"/>
                <w:lang w:eastAsia="en-AU"/>
              </w:rPr>
              <w:t xml:space="preserve">Secondary, </w:t>
            </w:r>
            <w:proofErr w:type="spellStart"/>
            <w:r w:rsidRPr="00CE1C42">
              <w:rPr>
                <w:rFonts w:cs="Arial"/>
                <w:color w:val="3E5B00"/>
                <w:sz w:val="18"/>
                <w:szCs w:val="18"/>
                <w:lang w:eastAsia="en-AU"/>
              </w:rPr>
              <w:t>SoA</w:t>
            </w:r>
            <w:proofErr w:type="spellEnd"/>
            <w:r w:rsidRPr="00CE1C42">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46%</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36%</w:t>
            </w:r>
          </w:p>
        </w:tc>
      </w:tr>
      <w:tr w:rsidR="00D67B5E" w:rsidRPr="00CE1C42" w:rsidTr="0051046D">
        <w:trPr>
          <w:trHeight w:hRule="exact" w:val="284"/>
        </w:trPr>
        <w:tc>
          <w:tcPr>
            <w:tcW w:w="2420" w:type="dxa"/>
            <w:tcBorders>
              <w:top w:val="single" w:sz="4" w:space="0" w:color="5E8A00"/>
              <w:left w:val="single" w:sz="4" w:space="0" w:color="5E8A00"/>
              <w:bottom w:val="nil"/>
            </w:tcBorders>
            <w:shd w:val="clear" w:color="000000" w:fill="5E8A00"/>
            <w:noWrap/>
            <w:vAlign w:val="bottom"/>
            <w:hideMark/>
          </w:tcPr>
          <w:p w:rsidR="00D67B5E" w:rsidRPr="00CE1C42" w:rsidRDefault="00D67B5E" w:rsidP="0051046D">
            <w:pPr>
              <w:spacing w:after="0" w:line="240" w:lineRule="auto"/>
              <w:jc w:val="left"/>
              <w:rPr>
                <w:rFonts w:cs="Arial"/>
                <w:b/>
                <w:bCs/>
                <w:color w:val="FFFFFF"/>
                <w:sz w:val="18"/>
                <w:szCs w:val="18"/>
                <w:lang w:eastAsia="en-AU"/>
              </w:rPr>
            </w:pPr>
            <w:r w:rsidRPr="00CE1C42">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xml:space="preserve">4,300 </w:t>
            </w:r>
          </w:p>
        </w:tc>
        <w:tc>
          <w:tcPr>
            <w:tcW w:w="1120" w:type="dxa"/>
            <w:tcBorders>
              <w:top w:val="single" w:sz="4" w:space="0" w:color="5E8A00"/>
              <w:bottom w:val="nil"/>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xml:space="preserve">5,300 </w:t>
            </w:r>
          </w:p>
        </w:tc>
        <w:tc>
          <w:tcPr>
            <w:tcW w:w="1120" w:type="dxa"/>
            <w:tcBorders>
              <w:top w:val="single" w:sz="4" w:space="0" w:color="5E8A00"/>
              <w:bottom w:val="nil"/>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xml:space="preserve">5,200 </w:t>
            </w:r>
          </w:p>
        </w:tc>
        <w:tc>
          <w:tcPr>
            <w:tcW w:w="1120" w:type="dxa"/>
            <w:tcBorders>
              <w:top w:val="single" w:sz="4" w:space="0" w:color="5E8A00"/>
              <w:bottom w:val="nil"/>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20%</w:t>
            </w:r>
          </w:p>
        </w:tc>
        <w:tc>
          <w:tcPr>
            <w:tcW w:w="1120" w:type="dxa"/>
            <w:tcBorders>
              <w:top w:val="single" w:sz="4" w:space="0" w:color="5E8A00"/>
              <w:bottom w:val="nil"/>
              <w:right w:val="single" w:sz="4" w:space="0" w:color="5E8A00"/>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-2%</w:t>
            </w:r>
          </w:p>
        </w:tc>
      </w:tr>
    </w:tbl>
    <w:p w:rsidR="00D67B5E" w:rsidRPr="00A326AF" w:rsidRDefault="00D67B5E" w:rsidP="008603E7">
      <w:pPr>
        <w:spacing w:after="0"/>
        <w:rPr>
          <w:rFonts w:cs="Arial"/>
        </w:rPr>
      </w:pPr>
      <w:proofErr w:type="spellStart"/>
      <w:r w:rsidRPr="007E7B89">
        <w:rPr>
          <w:sz w:val="16"/>
          <w:szCs w:val="16"/>
        </w:rPr>
        <w:t>SoA</w:t>
      </w:r>
      <w:proofErr w:type="spellEnd"/>
      <w:r w:rsidRPr="007E7B89">
        <w:rPr>
          <w:sz w:val="16"/>
          <w:szCs w:val="16"/>
        </w:rPr>
        <w:t>: Statement of Attainment.</w:t>
      </w:r>
      <w:r w:rsidR="008603E7" w:rsidRPr="00A326AF">
        <w:rPr>
          <w:rFonts w:cs="Arial"/>
        </w:rPr>
        <w:t xml:space="preserve"> </w:t>
      </w:r>
    </w:p>
    <w:p w:rsidR="00D67B5E" w:rsidRPr="00A326AF" w:rsidRDefault="00D67B5E" w:rsidP="00D67B5E">
      <w:pPr>
        <w:spacing w:after="0" w:line="240" w:lineRule="auto"/>
        <w:jc w:val="left"/>
        <w:rPr>
          <w:rFonts w:cs="Arial"/>
          <w:bCs/>
          <w:iCs/>
          <w:sz w:val="28"/>
          <w:szCs w:val="28"/>
        </w:rPr>
      </w:pPr>
      <w:r w:rsidRPr="00A326AF">
        <w:br w:type="page"/>
      </w:r>
    </w:p>
    <w:p w:rsidR="00D67B5E" w:rsidRPr="001F29E3" w:rsidRDefault="00D67B5E" w:rsidP="00D67B5E">
      <w:pPr>
        <w:pStyle w:val="Heading2"/>
      </w:pPr>
      <w:bookmarkStart w:id="81" w:name="_Toc366588120"/>
      <w:r w:rsidRPr="001F29E3">
        <w:lastRenderedPageBreak/>
        <w:t>Students with a Disability</w:t>
      </w:r>
      <w:bookmarkEnd w:id="81"/>
    </w:p>
    <w:p w:rsidR="00D67B5E" w:rsidRDefault="00D67B5E" w:rsidP="00D67B5E"/>
    <w:p w:rsidR="00D67B5E" w:rsidRDefault="00D67B5E" w:rsidP="00D67B5E">
      <w:pPr>
        <w:pStyle w:val="Heading3"/>
      </w:pPr>
      <w:r>
        <w:t>Enrolments</w:t>
      </w:r>
    </w:p>
    <w:p w:rsidR="00D67B5E" w:rsidRDefault="00D67B5E" w:rsidP="00D67B5E">
      <w:pPr>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D67B5E" w:rsidRPr="001F29E3" w:rsidTr="0051046D">
        <w:trPr>
          <w:trHeight w:val="1449"/>
        </w:trPr>
        <w:tc>
          <w:tcPr>
            <w:tcW w:w="9088" w:type="dxa"/>
          </w:tcPr>
          <w:p w:rsidR="00D67B5E" w:rsidRDefault="00D67B5E" w:rsidP="0051046D">
            <w:pPr>
              <w:pStyle w:val="Heading3"/>
            </w:pPr>
            <w:r w:rsidRPr="003B1428">
              <w:t>Key Points</w:t>
            </w:r>
          </w:p>
          <w:p w:rsidR="00D67B5E" w:rsidRPr="00A326AF" w:rsidRDefault="00D67B5E" w:rsidP="0051046D"/>
          <w:p w:rsidR="00D67B5E" w:rsidRPr="003B1428" w:rsidRDefault="00D67B5E" w:rsidP="0051046D">
            <w:pPr>
              <w:pStyle w:val="ListBullet"/>
              <w:numPr>
                <w:ilvl w:val="0"/>
                <w:numId w:val="9"/>
              </w:numPr>
              <w:ind w:right="113"/>
              <w:rPr>
                <w:rFonts w:cs="Arial"/>
              </w:rPr>
            </w:pPr>
            <w:r w:rsidRPr="003B1428">
              <w:rPr>
                <w:rFonts w:cs="Arial"/>
              </w:rPr>
              <w:t>There were 26,400 students with a disability enrolled in 36,000 government subsidised courses in Q2 2013.</w:t>
            </w:r>
          </w:p>
          <w:p w:rsidR="00D67B5E" w:rsidRPr="003B1428" w:rsidRDefault="00D67B5E" w:rsidP="0051046D">
            <w:pPr>
              <w:pStyle w:val="ListBullet"/>
              <w:numPr>
                <w:ilvl w:val="0"/>
                <w:numId w:val="9"/>
              </w:numPr>
              <w:ind w:right="113"/>
              <w:rPr>
                <w:rFonts w:cs="Arial"/>
              </w:rPr>
            </w:pPr>
            <w:r w:rsidRPr="003B1428">
              <w:rPr>
                <w:rFonts w:cs="Arial"/>
              </w:rPr>
              <w:t xml:space="preserve">About forty five per cent of AQF course enrolments undertaken by students with disability were in Certificate I to II levels.  </w:t>
            </w:r>
          </w:p>
          <w:p w:rsidR="00D67B5E" w:rsidRPr="003B1428" w:rsidRDefault="00D67B5E" w:rsidP="0051046D">
            <w:pPr>
              <w:pStyle w:val="ListBullet"/>
              <w:numPr>
                <w:ilvl w:val="0"/>
                <w:numId w:val="9"/>
              </w:numPr>
              <w:ind w:right="113"/>
              <w:rPr>
                <w:rFonts w:cs="Arial"/>
              </w:rPr>
            </w:pPr>
            <w:r w:rsidRPr="003B1428">
              <w:rPr>
                <w:rFonts w:cs="Arial"/>
              </w:rPr>
              <w:t>Of those enrolments in industry-specific qualifications (18,000 enrolments) which exclude foundation skills and short courses in Q</w:t>
            </w:r>
            <w:r>
              <w:rPr>
                <w:rFonts w:cs="Arial"/>
              </w:rPr>
              <w:t>2</w:t>
            </w:r>
            <w:r w:rsidRPr="003B1428">
              <w:rPr>
                <w:rFonts w:cs="Arial"/>
              </w:rPr>
              <w:t xml:space="preserve"> 2013, 36 per cent were in courses related to </w:t>
            </w:r>
            <w:proofErr w:type="gramStart"/>
            <w:r w:rsidRPr="003B1428">
              <w:rPr>
                <w:rFonts w:cs="Arial"/>
              </w:rPr>
              <w:t>specialised</w:t>
            </w:r>
            <w:proofErr w:type="gramEnd"/>
            <w:r w:rsidRPr="003B1428">
              <w:rPr>
                <w:rFonts w:cs="Arial"/>
              </w:rPr>
              <w:t xml:space="preserve"> or in shortage occupations. </w:t>
            </w:r>
          </w:p>
        </w:tc>
      </w:tr>
    </w:tbl>
    <w:p w:rsidR="00D67B5E" w:rsidRDefault="00D67B5E" w:rsidP="00D67B5E">
      <w:pPr>
        <w:rPr>
          <w:rFonts w:cs="Arial"/>
        </w:rPr>
      </w:pPr>
    </w:p>
    <w:p w:rsidR="00D67B5E" w:rsidRPr="001F29E3" w:rsidRDefault="00D67B5E" w:rsidP="00D67B5E">
      <w:pPr>
        <w:rPr>
          <w:rFonts w:cs="Arial"/>
        </w:rPr>
      </w:pPr>
    </w:p>
    <w:p w:rsidR="00D67B5E" w:rsidRPr="001F29E3" w:rsidRDefault="005654CD" w:rsidP="00D67B5E">
      <w:pPr>
        <w:pStyle w:val="Caption"/>
        <w:spacing w:after="0"/>
        <w:jc w:val="left"/>
        <w:rPr>
          <w:rFonts w:cs="Arial"/>
        </w:rPr>
      </w:pPr>
      <w:r>
        <w:rPr>
          <w:rFonts w:cs="Arial"/>
        </w:rPr>
        <w:t>Table 2</w:t>
      </w:r>
      <w:r w:rsidR="00D67B5E" w:rsidRPr="001F29E3">
        <w:rPr>
          <w:rFonts w:cs="Arial"/>
        </w:rPr>
        <w:t>.</w:t>
      </w:r>
      <w:r w:rsidR="00D67B5E">
        <w:rPr>
          <w:rFonts w:cs="Arial"/>
        </w:rPr>
        <w:t>3.1:</w:t>
      </w:r>
      <w:r w:rsidR="00D67B5E" w:rsidRPr="001F29E3">
        <w:rPr>
          <w:rFonts w:cs="Arial"/>
        </w:rPr>
        <w:t xml:space="preserve"> Students with a disability: government subsidised enrolments by qualification level, </w:t>
      </w:r>
      <w:r w:rsidR="00D67B5E">
        <w:rPr>
          <w:rFonts w:cs="Arial"/>
        </w:rPr>
        <w:br/>
      </w:r>
      <w:r w:rsidR="00D67B5E" w:rsidRPr="001F29E3">
        <w:rPr>
          <w:rFonts w:cs="Arial"/>
        </w:rPr>
        <w:t>2008 – 2012</w:t>
      </w:r>
    </w:p>
    <w:tbl>
      <w:tblPr>
        <w:tblW w:w="9140" w:type="dxa"/>
        <w:tblInd w:w="103" w:type="dxa"/>
        <w:tblLook w:val="04A0" w:firstRow="1" w:lastRow="0" w:firstColumn="1" w:lastColumn="0" w:noHBand="0" w:noVBand="1"/>
      </w:tblPr>
      <w:tblGrid>
        <w:gridCol w:w="2420"/>
        <w:gridCol w:w="1120"/>
        <w:gridCol w:w="1120"/>
        <w:gridCol w:w="1120"/>
        <w:gridCol w:w="1120"/>
        <w:gridCol w:w="1120"/>
        <w:gridCol w:w="1120"/>
      </w:tblGrid>
      <w:tr w:rsidR="00D67B5E" w:rsidRPr="00E64894" w:rsidTr="0051046D">
        <w:trPr>
          <w:trHeight w:hRule="exact" w:val="760"/>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D67B5E" w:rsidRPr="00E64894" w:rsidRDefault="00D67B5E" w:rsidP="0051046D">
            <w:pPr>
              <w:spacing w:after="0" w:line="240" w:lineRule="auto"/>
              <w:jc w:val="left"/>
              <w:rPr>
                <w:rFonts w:cs="Arial"/>
                <w:b/>
                <w:bCs/>
                <w:color w:val="FFFFFF"/>
                <w:sz w:val="18"/>
                <w:szCs w:val="18"/>
                <w:lang w:eastAsia="en-AU"/>
              </w:rPr>
            </w:pPr>
            <w:r w:rsidRPr="00E64894">
              <w:rPr>
                <w:rFonts w:cs="Arial"/>
                <w:b/>
                <w:bCs/>
                <w:color w:val="FFFFFF"/>
                <w:sz w:val="18"/>
                <w:szCs w:val="18"/>
                <w:lang w:eastAsia="en-AU"/>
              </w:rPr>
              <w:t>Qualification level</w:t>
            </w:r>
          </w:p>
        </w:tc>
        <w:tc>
          <w:tcPr>
            <w:tcW w:w="1120" w:type="dxa"/>
            <w:tcBorders>
              <w:top w:val="single" w:sz="4" w:space="0" w:color="5E8A00"/>
              <w:bottom w:val="single" w:sz="4" w:space="0" w:color="5E8A00"/>
            </w:tcBorders>
            <w:shd w:val="clear" w:color="000000" w:fill="5E8A00"/>
            <w:vAlign w:val="center"/>
            <w:hideMark/>
          </w:tcPr>
          <w:p w:rsidR="00D67B5E" w:rsidRPr="00E64894" w:rsidRDefault="00D67B5E" w:rsidP="00F034AF">
            <w:pPr>
              <w:spacing w:after="0" w:line="240" w:lineRule="auto"/>
              <w:ind w:firstLineChars="100" w:firstLine="181"/>
              <w:jc w:val="right"/>
              <w:rPr>
                <w:rFonts w:cs="Arial"/>
                <w:b/>
                <w:bCs/>
                <w:color w:val="FFFFFF"/>
                <w:sz w:val="18"/>
                <w:szCs w:val="18"/>
                <w:lang w:eastAsia="en-AU"/>
              </w:rPr>
            </w:pPr>
            <w:r w:rsidRPr="00E64894">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D67B5E" w:rsidRPr="00E64894" w:rsidRDefault="00D67B5E" w:rsidP="00F034AF">
            <w:pPr>
              <w:spacing w:after="0" w:line="240" w:lineRule="auto"/>
              <w:ind w:firstLineChars="100" w:firstLine="181"/>
              <w:jc w:val="right"/>
              <w:rPr>
                <w:rFonts w:cs="Arial"/>
                <w:b/>
                <w:bCs/>
                <w:color w:val="FFFFFF"/>
                <w:sz w:val="18"/>
                <w:szCs w:val="18"/>
                <w:lang w:eastAsia="en-AU"/>
              </w:rPr>
            </w:pPr>
            <w:r w:rsidRPr="00E64894">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D67B5E" w:rsidRPr="00E64894" w:rsidRDefault="00D67B5E" w:rsidP="00F034AF">
            <w:pPr>
              <w:spacing w:after="0" w:line="240" w:lineRule="auto"/>
              <w:ind w:firstLineChars="100" w:firstLine="181"/>
              <w:jc w:val="right"/>
              <w:rPr>
                <w:rFonts w:cs="Arial"/>
                <w:b/>
                <w:bCs/>
                <w:color w:val="FFFFFF"/>
                <w:sz w:val="18"/>
                <w:szCs w:val="18"/>
                <w:lang w:eastAsia="en-AU"/>
              </w:rPr>
            </w:pPr>
            <w:r w:rsidRPr="00E64894">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D67B5E" w:rsidRPr="00E64894" w:rsidRDefault="00D67B5E" w:rsidP="00F034AF">
            <w:pPr>
              <w:spacing w:after="0" w:line="240" w:lineRule="auto"/>
              <w:ind w:firstLineChars="100" w:firstLine="181"/>
              <w:jc w:val="right"/>
              <w:rPr>
                <w:rFonts w:cs="Arial"/>
                <w:b/>
                <w:bCs/>
                <w:color w:val="FFFFFF"/>
                <w:sz w:val="18"/>
                <w:szCs w:val="18"/>
                <w:lang w:eastAsia="en-AU"/>
              </w:rPr>
            </w:pPr>
            <w:r w:rsidRPr="00E64894">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D67B5E" w:rsidRPr="00E64894" w:rsidRDefault="00D67B5E" w:rsidP="00F034AF">
            <w:pPr>
              <w:spacing w:after="0" w:line="240" w:lineRule="auto"/>
              <w:ind w:firstLineChars="100" w:firstLine="181"/>
              <w:jc w:val="right"/>
              <w:rPr>
                <w:rFonts w:cs="Arial"/>
                <w:b/>
                <w:bCs/>
                <w:color w:val="FFFFFF"/>
                <w:sz w:val="18"/>
                <w:szCs w:val="18"/>
                <w:lang w:eastAsia="en-AU"/>
              </w:rPr>
            </w:pPr>
            <w:r w:rsidRPr="00E64894">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E64894" w:rsidRDefault="00D67B5E" w:rsidP="0051046D">
            <w:pPr>
              <w:spacing w:after="0" w:line="240" w:lineRule="auto"/>
              <w:jc w:val="center"/>
              <w:rPr>
                <w:rFonts w:cs="Arial"/>
                <w:b/>
                <w:bCs/>
                <w:color w:val="FFFFFF"/>
                <w:sz w:val="18"/>
                <w:szCs w:val="18"/>
                <w:lang w:eastAsia="en-AU"/>
              </w:rPr>
            </w:pPr>
            <w:r w:rsidRPr="00E64894">
              <w:rPr>
                <w:rFonts w:cs="Arial"/>
                <w:b/>
                <w:bCs/>
                <w:color w:val="FFFFFF"/>
                <w:sz w:val="18"/>
                <w:szCs w:val="18"/>
                <w:lang w:eastAsia="en-AU"/>
              </w:rPr>
              <w:t>% change</w:t>
            </w:r>
            <w:r w:rsidRPr="00E64894">
              <w:rPr>
                <w:rFonts w:cs="Arial"/>
                <w:b/>
                <w:bCs/>
                <w:color w:val="FFFFFF"/>
                <w:sz w:val="18"/>
                <w:szCs w:val="18"/>
                <w:lang w:eastAsia="en-AU"/>
              </w:rPr>
              <w:br/>
              <w:t>2008-2012</w:t>
            </w:r>
          </w:p>
        </w:tc>
      </w:tr>
      <w:tr w:rsidR="00D67B5E" w:rsidRPr="00E64894"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64894" w:rsidRDefault="00D67B5E" w:rsidP="0051046D">
            <w:pPr>
              <w:spacing w:after="0" w:line="240" w:lineRule="auto"/>
              <w:jc w:val="left"/>
              <w:rPr>
                <w:rFonts w:cs="Arial"/>
                <w:color w:val="3E5B00"/>
                <w:sz w:val="18"/>
                <w:szCs w:val="18"/>
                <w:lang w:eastAsia="en-AU"/>
              </w:rPr>
            </w:pPr>
            <w:r w:rsidRPr="00E64894">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13,300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11,200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12,400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16,300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20,000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50%</w:t>
            </w:r>
          </w:p>
        </w:tc>
      </w:tr>
      <w:tr w:rsidR="00D67B5E" w:rsidRPr="00E64894"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64894" w:rsidRDefault="00D67B5E" w:rsidP="0051046D">
            <w:pPr>
              <w:spacing w:after="0" w:line="240" w:lineRule="auto"/>
              <w:jc w:val="left"/>
              <w:rPr>
                <w:rFonts w:cs="Arial"/>
                <w:color w:val="3E5B00"/>
                <w:sz w:val="18"/>
                <w:szCs w:val="18"/>
                <w:lang w:eastAsia="en-AU"/>
              </w:rPr>
            </w:pPr>
            <w:r w:rsidRPr="00E64894">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8,600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9,000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11,000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16,500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21,200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145%</w:t>
            </w:r>
          </w:p>
        </w:tc>
      </w:tr>
      <w:tr w:rsidR="00D67B5E" w:rsidRPr="00E64894"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64894" w:rsidRDefault="00D67B5E" w:rsidP="0051046D">
            <w:pPr>
              <w:spacing w:after="0" w:line="240" w:lineRule="auto"/>
              <w:jc w:val="left"/>
              <w:rPr>
                <w:rFonts w:cs="Arial"/>
                <w:color w:val="3E5B00"/>
                <w:sz w:val="18"/>
                <w:szCs w:val="18"/>
                <w:lang w:eastAsia="en-AU"/>
              </w:rPr>
            </w:pPr>
            <w:r w:rsidRPr="00E64894">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3,300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3,600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4,000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4,900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5,000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50%</w:t>
            </w:r>
          </w:p>
        </w:tc>
      </w:tr>
      <w:tr w:rsidR="00D67B5E" w:rsidRPr="00E64894"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64894" w:rsidRDefault="00D67B5E" w:rsidP="0051046D">
            <w:pPr>
              <w:spacing w:after="0" w:line="240" w:lineRule="auto"/>
              <w:jc w:val="left"/>
              <w:rPr>
                <w:rFonts w:cs="Arial"/>
                <w:color w:val="3E5B00"/>
                <w:sz w:val="18"/>
                <w:szCs w:val="18"/>
                <w:lang w:eastAsia="en-AU"/>
              </w:rPr>
            </w:pPr>
            <w:r w:rsidRPr="00E64894">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8,300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8,400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8,300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7,200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7,700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-8%</w:t>
            </w:r>
          </w:p>
        </w:tc>
      </w:tr>
      <w:tr w:rsidR="00D67B5E" w:rsidRPr="00E64894"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64894" w:rsidRDefault="00D67B5E" w:rsidP="0051046D">
            <w:pPr>
              <w:spacing w:after="0" w:line="240" w:lineRule="auto"/>
              <w:jc w:val="left"/>
              <w:rPr>
                <w:rFonts w:cs="Arial"/>
                <w:color w:val="3E5B00"/>
                <w:sz w:val="18"/>
                <w:szCs w:val="18"/>
                <w:lang w:eastAsia="en-AU"/>
              </w:rPr>
            </w:pPr>
            <w:r w:rsidRPr="00E64894">
              <w:rPr>
                <w:rFonts w:cs="Arial"/>
                <w:color w:val="3E5B00"/>
                <w:sz w:val="18"/>
                <w:szCs w:val="18"/>
                <w:lang w:eastAsia="en-AU"/>
              </w:rPr>
              <w:t xml:space="preserve">Secondary, </w:t>
            </w:r>
            <w:proofErr w:type="spellStart"/>
            <w:r w:rsidRPr="00E64894">
              <w:rPr>
                <w:rFonts w:cs="Arial"/>
                <w:color w:val="3E5B00"/>
                <w:sz w:val="18"/>
                <w:szCs w:val="18"/>
                <w:lang w:eastAsia="en-AU"/>
              </w:rPr>
              <w:t>SoA</w:t>
            </w:r>
            <w:proofErr w:type="spellEnd"/>
            <w:r w:rsidRPr="00E64894">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2,800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2,500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2,800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3,200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 xml:space="preserve">3,800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64894" w:rsidRDefault="00D67B5E" w:rsidP="0051046D">
            <w:pPr>
              <w:spacing w:after="0" w:line="240" w:lineRule="auto"/>
              <w:jc w:val="right"/>
              <w:rPr>
                <w:rFonts w:cs="Arial"/>
                <w:sz w:val="18"/>
                <w:szCs w:val="18"/>
                <w:lang w:eastAsia="en-AU"/>
              </w:rPr>
            </w:pPr>
            <w:r w:rsidRPr="00E64894">
              <w:rPr>
                <w:rFonts w:cs="Arial"/>
                <w:sz w:val="18"/>
                <w:szCs w:val="18"/>
                <w:lang w:eastAsia="en-AU"/>
              </w:rPr>
              <w:t>39%</w:t>
            </w:r>
          </w:p>
        </w:tc>
      </w:tr>
      <w:tr w:rsidR="00D67B5E" w:rsidRPr="00E64894" w:rsidTr="0051046D">
        <w:trPr>
          <w:trHeight w:hRule="exact" w:val="284"/>
        </w:trPr>
        <w:tc>
          <w:tcPr>
            <w:tcW w:w="2420" w:type="dxa"/>
            <w:tcBorders>
              <w:top w:val="single" w:sz="4" w:space="0" w:color="5E8A00"/>
              <w:left w:val="single" w:sz="4" w:space="0" w:color="5E8A00"/>
              <w:bottom w:val="single" w:sz="4" w:space="0" w:color="5E8A00"/>
            </w:tcBorders>
            <w:shd w:val="clear" w:color="000000" w:fill="5E8A00"/>
            <w:noWrap/>
            <w:vAlign w:val="bottom"/>
            <w:hideMark/>
          </w:tcPr>
          <w:p w:rsidR="00D67B5E" w:rsidRPr="00E64894" w:rsidRDefault="00D67B5E" w:rsidP="0051046D">
            <w:pPr>
              <w:spacing w:after="0" w:line="240" w:lineRule="auto"/>
              <w:jc w:val="left"/>
              <w:rPr>
                <w:rFonts w:cs="Arial"/>
                <w:b/>
                <w:bCs/>
                <w:color w:val="FFFFFF"/>
                <w:sz w:val="18"/>
                <w:szCs w:val="18"/>
                <w:lang w:eastAsia="en-AU"/>
              </w:rPr>
            </w:pPr>
            <w:r w:rsidRPr="00E64894">
              <w:rPr>
                <w:rFonts w:cs="Arial"/>
                <w:b/>
                <w:bCs/>
                <w:color w:val="FFFFFF"/>
                <w:sz w:val="18"/>
                <w:szCs w:val="18"/>
                <w:lang w:eastAsia="en-AU"/>
              </w:rPr>
              <w:t>Total</w:t>
            </w:r>
          </w:p>
        </w:tc>
        <w:tc>
          <w:tcPr>
            <w:tcW w:w="1120" w:type="dxa"/>
            <w:tcBorders>
              <w:top w:val="single" w:sz="4" w:space="0" w:color="5E8A00"/>
              <w:bottom w:val="single" w:sz="4" w:space="0" w:color="5E8A00"/>
            </w:tcBorders>
            <w:shd w:val="clear" w:color="000000" w:fill="5E8A00"/>
            <w:noWrap/>
            <w:vAlign w:val="center"/>
            <w:hideMark/>
          </w:tcPr>
          <w:p w:rsidR="00D67B5E" w:rsidRPr="00E64894" w:rsidRDefault="00D67B5E" w:rsidP="0051046D">
            <w:pPr>
              <w:spacing w:after="0" w:line="240" w:lineRule="auto"/>
              <w:jc w:val="right"/>
              <w:rPr>
                <w:rFonts w:cs="Arial"/>
                <w:b/>
                <w:bCs/>
                <w:color w:val="FFFFFF"/>
                <w:sz w:val="18"/>
                <w:szCs w:val="18"/>
                <w:lang w:eastAsia="en-AU"/>
              </w:rPr>
            </w:pPr>
            <w:r w:rsidRPr="00E64894">
              <w:rPr>
                <w:rFonts w:cs="Arial"/>
                <w:b/>
                <w:bCs/>
                <w:color w:val="FFFFFF"/>
                <w:sz w:val="18"/>
                <w:szCs w:val="18"/>
                <w:lang w:eastAsia="en-AU"/>
              </w:rPr>
              <w:t xml:space="preserve">36,300 </w:t>
            </w:r>
          </w:p>
        </w:tc>
        <w:tc>
          <w:tcPr>
            <w:tcW w:w="1120" w:type="dxa"/>
            <w:tcBorders>
              <w:top w:val="single" w:sz="4" w:space="0" w:color="5E8A00"/>
              <w:bottom w:val="single" w:sz="4" w:space="0" w:color="5E8A00"/>
            </w:tcBorders>
            <w:shd w:val="clear" w:color="000000" w:fill="5E8A00"/>
            <w:noWrap/>
            <w:vAlign w:val="center"/>
            <w:hideMark/>
          </w:tcPr>
          <w:p w:rsidR="00D67B5E" w:rsidRPr="00E64894" w:rsidRDefault="00D67B5E" w:rsidP="0051046D">
            <w:pPr>
              <w:spacing w:after="0" w:line="240" w:lineRule="auto"/>
              <w:jc w:val="right"/>
              <w:rPr>
                <w:rFonts w:cs="Arial"/>
                <w:b/>
                <w:bCs/>
                <w:color w:val="FFFFFF"/>
                <w:sz w:val="18"/>
                <w:szCs w:val="18"/>
                <w:lang w:eastAsia="en-AU"/>
              </w:rPr>
            </w:pPr>
            <w:r w:rsidRPr="00E64894">
              <w:rPr>
                <w:rFonts w:cs="Arial"/>
                <w:b/>
                <w:bCs/>
                <w:color w:val="FFFFFF"/>
                <w:sz w:val="18"/>
                <w:szCs w:val="18"/>
                <w:lang w:eastAsia="en-AU"/>
              </w:rPr>
              <w:t xml:space="preserve">34,700 </w:t>
            </w:r>
          </w:p>
        </w:tc>
        <w:tc>
          <w:tcPr>
            <w:tcW w:w="1120" w:type="dxa"/>
            <w:tcBorders>
              <w:top w:val="single" w:sz="4" w:space="0" w:color="5E8A00"/>
              <w:bottom w:val="single" w:sz="4" w:space="0" w:color="5E8A00"/>
            </w:tcBorders>
            <w:shd w:val="clear" w:color="000000" w:fill="5E8A00"/>
            <w:noWrap/>
            <w:vAlign w:val="center"/>
            <w:hideMark/>
          </w:tcPr>
          <w:p w:rsidR="00D67B5E" w:rsidRPr="00E64894" w:rsidRDefault="00D67B5E" w:rsidP="0051046D">
            <w:pPr>
              <w:spacing w:after="0" w:line="240" w:lineRule="auto"/>
              <w:jc w:val="right"/>
              <w:rPr>
                <w:rFonts w:cs="Arial"/>
                <w:b/>
                <w:bCs/>
                <w:color w:val="FFFFFF"/>
                <w:sz w:val="18"/>
                <w:szCs w:val="18"/>
                <w:lang w:eastAsia="en-AU"/>
              </w:rPr>
            </w:pPr>
            <w:r w:rsidRPr="00E64894">
              <w:rPr>
                <w:rFonts w:cs="Arial"/>
                <w:b/>
                <w:bCs/>
                <w:color w:val="FFFFFF"/>
                <w:sz w:val="18"/>
                <w:szCs w:val="18"/>
                <w:lang w:eastAsia="en-AU"/>
              </w:rPr>
              <w:t xml:space="preserve">38,400 </w:t>
            </w:r>
          </w:p>
        </w:tc>
        <w:tc>
          <w:tcPr>
            <w:tcW w:w="1120" w:type="dxa"/>
            <w:tcBorders>
              <w:top w:val="single" w:sz="4" w:space="0" w:color="5E8A00"/>
              <w:bottom w:val="single" w:sz="4" w:space="0" w:color="5E8A00"/>
            </w:tcBorders>
            <w:shd w:val="clear" w:color="000000" w:fill="5E8A00"/>
            <w:noWrap/>
            <w:vAlign w:val="center"/>
            <w:hideMark/>
          </w:tcPr>
          <w:p w:rsidR="00D67B5E" w:rsidRPr="00E64894" w:rsidRDefault="00D67B5E" w:rsidP="0051046D">
            <w:pPr>
              <w:spacing w:after="0" w:line="240" w:lineRule="auto"/>
              <w:jc w:val="right"/>
              <w:rPr>
                <w:rFonts w:cs="Arial"/>
                <w:b/>
                <w:bCs/>
                <w:color w:val="FFFFFF"/>
                <w:sz w:val="18"/>
                <w:szCs w:val="18"/>
                <w:lang w:eastAsia="en-AU"/>
              </w:rPr>
            </w:pPr>
            <w:r w:rsidRPr="00E64894">
              <w:rPr>
                <w:rFonts w:cs="Arial"/>
                <w:b/>
                <w:bCs/>
                <w:color w:val="FFFFFF"/>
                <w:sz w:val="18"/>
                <w:szCs w:val="18"/>
                <w:lang w:eastAsia="en-AU"/>
              </w:rPr>
              <w:t xml:space="preserve">48,000 </w:t>
            </w:r>
          </w:p>
        </w:tc>
        <w:tc>
          <w:tcPr>
            <w:tcW w:w="1120" w:type="dxa"/>
            <w:tcBorders>
              <w:top w:val="single" w:sz="4" w:space="0" w:color="5E8A00"/>
              <w:bottom w:val="single" w:sz="4" w:space="0" w:color="5E8A00"/>
            </w:tcBorders>
            <w:shd w:val="clear" w:color="000000" w:fill="5E8A00"/>
            <w:noWrap/>
            <w:vAlign w:val="center"/>
            <w:hideMark/>
          </w:tcPr>
          <w:p w:rsidR="00D67B5E" w:rsidRPr="00E64894" w:rsidRDefault="00D67B5E" w:rsidP="0051046D">
            <w:pPr>
              <w:spacing w:after="0" w:line="240" w:lineRule="auto"/>
              <w:jc w:val="right"/>
              <w:rPr>
                <w:rFonts w:cs="Arial"/>
                <w:b/>
                <w:bCs/>
                <w:color w:val="FFFFFF"/>
                <w:sz w:val="18"/>
                <w:szCs w:val="18"/>
                <w:lang w:eastAsia="en-AU"/>
              </w:rPr>
            </w:pPr>
            <w:r w:rsidRPr="00E64894">
              <w:rPr>
                <w:rFonts w:cs="Arial"/>
                <w:b/>
                <w:bCs/>
                <w:color w:val="FFFFFF"/>
                <w:sz w:val="18"/>
                <w:szCs w:val="18"/>
                <w:lang w:eastAsia="en-AU"/>
              </w:rPr>
              <w:t xml:space="preserve">57,600 </w:t>
            </w:r>
          </w:p>
        </w:tc>
        <w:tc>
          <w:tcPr>
            <w:tcW w:w="1120" w:type="dxa"/>
            <w:tcBorders>
              <w:top w:val="single" w:sz="4" w:space="0" w:color="5E8A00"/>
              <w:bottom w:val="single" w:sz="4" w:space="0" w:color="5E8A00"/>
              <w:right w:val="single" w:sz="4" w:space="0" w:color="5E8A00"/>
            </w:tcBorders>
            <w:shd w:val="clear" w:color="000000" w:fill="5E8A00"/>
            <w:noWrap/>
            <w:vAlign w:val="center"/>
            <w:hideMark/>
          </w:tcPr>
          <w:p w:rsidR="00D67B5E" w:rsidRPr="00E64894" w:rsidRDefault="00D67B5E" w:rsidP="0051046D">
            <w:pPr>
              <w:spacing w:after="0" w:line="240" w:lineRule="auto"/>
              <w:jc w:val="right"/>
              <w:rPr>
                <w:rFonts w:cs="Arial"/>
                <w:b/>
                <w:bCs/>
                <w:color w:val="FFFFFF"/>
                <w:sz w:val="18"/>
                <w:szCs w:val="18"/>
                <w:lang w:eastAsia="en-AU"/>
              </w:rPr>
            </w:pPr>
            <w:r w:rsidRPr="00E64894">
              <w:rPr>
                <w:rFonts w:cs="Arial"/>
                <w:b/>
                <w:bCs/>
                <w:color w:val="FFFFFF"/>
                <w:sz w:val="18"/>
                <w:szCs w:val="18"/>
                <w:lang w:eastAsia="en-AU"/>
              </w:rPr>
              <w:t>59%</w:t>
            </w:r>
          </w:p>
        </w:tc>
      </w:tr>
    </w:tbl>
    <w:p w:rsidR="00D67B5E" w:rsidRPr="007E7B89" w:rsidRDefault="00D67B5E" w:rsidP="00D67B5E">
      <w:pPr>
        <w:spacing w:after="0"/>
        <w:rPr>
          <w:sz w:val="16"/>
          <w:szCs w:val="16"/>
        </w:rPr>
      </w:pPr>
      <w:proofErr w:type="spellStart"/>
      <w:r w:rsidRPr="007E7B89">
        <w:rPr>
          <w:sz w:val="16"/>
          <w:szCs w:val="16"/>
        </w:rPr>
        <w:t>SoA</w:t>
      </w:r>
      <w:proofErr w:type="spellEnd"/>
      <w:r w:rsidRPr="007E7B89">
        <w:rPr>
          <w:sz w:val="16"/>
          <w:szCs w:val="16"/>
        </w:rPr>
        <w:t>: Statement of Attainment.</w:t>
      </w:r>
    </w:p>
    <w:p w:rsidR="00D67B5E" w:rsidRPr="001F29E3" w:rsidRDefault="00D67B5E" w:rsidP="00D67B5E">
      <w:pPr>
        <w:rPr>
          <w:rFonts w:cs="Arial"/>
        </w:rPr>
      </w:pPr>
    </w:p>
    <w:p w:rsidR="00D67B5E" w:rsidRPr="001F29E3" w:rsidRDefault="005654CD" w:rsidP="00D67B5E">
      <w:pPr>
        <w:pStyle w:val="Caption"/>
        <w:spacing w:after="0"/>
        <w:jc w:val="left"/>
        <w:rPr>
          <w:rFonts w:cs="Arial"/>
        </w:rPr>
      </w:pPr>
      <w:r>
        <w:rPr>
          <w:rFonts w:cs="Arial"/>
        </w:rPr>
        <w:t>Table 2</w:t>
      </w:r>
      <w:r w:rsidR="00D67B5E" w:rsidRPr="001F29E3">
        <w:rPr>
          <w:rFonts w:cs="Arial"/>
        </w:rPr>
        <w:t>.</w:t>
      </w:r>
      <w:r w:rsidR="00D67B5E">
        <w:rPr>
          <w:rFonts w:cs="Arial"/>
        </w:rPr>
        <w:t>3.2:</w:t>
      </w:r>
      <w:r w:rsidR="00D67B5E" w:rsidRPr="001F29E3">
        <w:rPr>
          <w:rFonts w:cs="Arial"/>
        </w:rPr>
        <w:t xml:space="preserve"> Students with a disability: government subsidised enrolments by qualification level</w:t>
      </w:r>
      <w:proofErr w:type="gramStart"/>
      <w:r w:rsidR="00D67B5E" w:rsidRPr="001F29E3">
        <w:rPr>
          <w:rFonts w:cs="Arial"/>
        </w:rPr>
        <w:t>,</w:t>
      </w:r>
      <w:proofErr w:type="gramEnd"/>
      <w:r w:rsidR="00D67B5E">
        <w:rPr>
          <w:rFonts w:cs="Arial"/>
        </w:rPr>
        <w:br/>
        <w:t xml:space="preserve">Q2 2011, </w:t>
      </w:r>
      <w:r w:rsidR="00D67B5E" w:rsidRPr="001F29E3">
        <w:rPr>
          <w:rFonts w:cs="Arial"/>
        </w:rPr>
        <w:t>Q</w:t>
      </w:r>
      <w:r w:rsidR="00D67B5E">
        <w:rPr>
          <w:rFonts w:cs="Arial"/>
        </w:rPr>
        <w:t>2</w:t>
      </w:r>
      <w:r w:rsidR="00D67B5E" w:rsidRPr="001F29E3">
        <w:rPr>
          <w:rFonts w:cs="Arial"/>
        </w:rPr>
        <w:t xml:space="preserve"> 2012 and Q</w:t>
      </w:r>
      <w:r w:rsidR="00D67B5E">
        <w:rPr>
          <w:rFonts w:cs="Arial"/>
        </w:rPr>
        <w:t>2</w:t>
      </w:r>
      <w:r w:rsidR="00D67B5E" w:rsidRPr="001F29E3">
        <w:rPr>
          <w:rFonts w:cs="Arial"/>
        </w:rPr>
        <w:t xml:space="preserve"> 2013</w:t>
      </w:r>
    </w:p>
    <w:tbl>
      <w:tblPr>
        <w:tblW w:w="8020" w:type="dxa"/>
        <w:tblInd w:w="103" w:type="dxa"/>
        <w:tblLook w:val="04A0" w:firstRow="1" w:lastRow="0" w:firstColumn="1" w:lastColumn="0" w:noHBand="0" w:noVBand="1"/>
      </w:tblPr>
      <w:tblGrid>
        <w:gridCol w:w="2420"/>
        <w:gridCol w:w="1120"/>
        <w:gridCol w:w="1120"/>
        <w:gridCol w:w="1120"/>
        <w:gridCol w:w="1120"/>
        <w:gridCol w:w="1120"/>
      </w:tblGrid>
      <w:tr w:rsidR="00D67B5E" w:rsidRPr="00CE1C42" w:rsidTr="0051046D">
        <w:trPr>
          <w:trHeight w:hRule="exact" w:val="760"/>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D67B5E" w:rsidRPr="00CE1C42" w:rsidRDefault="00D67B5E" w:rsidP="0051046D">
            <w:pPr>
              <w:spacing w:after="0" w:line="240" w:lineRule="auto"/>
              <w:jc w:val="left"/>
              <w:rPr>
                <w:rFonts w:cs="Arial"/>
                <w:b/>
                <w:bCs/>
                <w:color w:val="FFFFFF"/>
                <w:sz w:val="18"/>
                <w:szCs w:val="18"/>
                <w:lang w:eastAsia="en-AU"/>
              </w:rPr>
            </w:pPr>
            <w:r w:rsidRPr="00CE1C42">
              <w:rPr>
                <w:rFonts w:cs="Arial"/>
                <w:b/>
                <w:bCs/>
                <w:color w:val="FFFFFF"/>
                <w:sz w:val="18"/>
                <w:szCs w:val="18"/>
                <w:lang w:eastAsia="en-AU"/>
              </w:rPr>
              <w:t>Qualification level</w:t>
            </w:r>
          </w:p>
        </w:tc>
        <w:tc>
          <w:tcPr>
            <w:tcW w:w="1120" w:type="dxa"/>
            <w:tcBorders>
              <w:top w:val="single" w:sz="4" w:space="0" w:color="5E8A00"/>
              <w:bottom w:val="single" w:sz="4" w:space="0" w:color="5E8A00"/>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change</w:t>
            </w:r>
            <w:r w:rsidRPr="00CE1C42">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change</w:t>
            </w:r>
            <w:r w:rsidRPr="00CE1C42">
              <w:rPr>
                <w:rFonts w:cs="Arial"/>
                <w:b/>
                <w:bCs/>
                <w:color w:val="FFFFFF"/>
                <w:sz w:val="18"/>
                <w:szCs w:val="18"/>
                <w:lang w:eastAsia="en-AU"/>
              </w:rPr>
              <w:br/>
              <w:t>Q2 2012-Q2 2013</w:t>
            </w:r>
          </w:p>
        </w:tc>
      </w:tr>
      <w:tr w:rsidR="00D67B5E" w:rsidRPr="00CE1C42"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E1C42" w:rsidRDefault="00D67B5E" w:rsidP="0051046D">
            <w:pPr>
              <w:spacing w:after="0" w:line="240" w:lineRule="auto"/>
              <w:jc w:val="left"/>
              <w:rPr>
                <w:rFonts w:cs="Arial"/>
                <w:color w:val="3E5B00"/>
                <w:sz w:val="18"/>
                <w:szCs w:val="18"/>
                <w:lang w:eastAsia="en-AU"/>
              </w:rPr>
            </w:pPr>
            <w:r w:rsidRPr="00CE1C42">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9,600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12,900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13,500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40%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4%</w:t>
            </w:r>
          </w:p>
        </w:tc>
      </w:tr>
      <w:tr w:rsidR="00D67B5E" w:rsidRPr="00CE1C42"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E1C42" w:rsidRDefault="00D67B5E" w:rsidP="0051046D">
            <w:pPr>
              <w:spacing w:after="0" w:line="240" w:lineRule="auto"/>
              <w:jc w:val="left"/>
              <w:rPr>
                <w:rFonts w:cs="Arial"/>
                <w:color w:val="3E5B00"/>
                <w:sz w:val="18"/>
                <w:szCs w:val="18"/>
                <w:lang w:eastAsia="en-AU"/>
              </w:rPr>
            </w:pPr>
            <w:r w:rsidRPr="00CE1C42">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10,100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14,500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13,200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30%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-9%</w:t>
            </w:r>
          </w:p>
        </w:tc>
      </w:tr>
      <w:tr w:rsidR="00D67B5E" w:rsidRPr="00CE1C42"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E1C42" w:rsidRDefault="00D67B5E" w:rsidP="0051046D">
            <w:pPr>
              <w:spacing w:after="0" w:line="240" w:lineRule="auto"/>
              <w:jc w:val="left"/>
              <w:rPr>
                <w:rFonts w:cs="Arial"/>
                <w:color w:val="3E5B00"/>
                <w:sz w:val="18"/>
                <w:szCs w:val="18"/>
                <w:lang w:eastAsia="en-AU"/>
              </w:rPr>
            </w:pPr>
            <w:r w:rsidRPr="00CE1C42">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3,800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4,300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3,100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-18%</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-27%</w:t>
            </w:r>
          </w:p>
        </w:tc>
      </w:tr>
      <w:tr w:rsidR="00D67B5E" w:rsidRPr="00CE1C42"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E1C42" w:rsidRDefault="00D67B5E" w:rsidP="0051046D">
            <w:pPr>
              <w:spacing w:after="0" w:line="240" w:lineRule="auto"/>
              <w:jc w:val="left"/>
              <w:rPr>
                <w:rFonts w:cs="Arial"/>
                <w:color w:val="3E5B00"/>
                <w:sz w:val="18"/>
                <w:szCs w:val="18"/>
                <w:lang w:eastAsia="en-AU"/>
              </w:rPr>
            </w:pPr>
            <w:r w:rsidRPr="00CE1C42">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3,400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3,500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3,600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8%</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5%</w:t>
            </w:r>
          </w:p>
        </w:tc>
      </w:tr>
      <w:tr w:rsidR="00D67B5E" w:rsidRPr="00CE1C42"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E1C42" w:rsidRDefault="00D67B5E" w:rsidP="0051046D">
            <w:pPr>
              <w:spacing w:after="0" w:line="240" w:lineRule="auto"/>
              <w:jc w:val="left"/>
              <w:rPr>
                <w:rFonts w:cs="Arial"/>
                <w:color w:val="3E5B00"/>
                <w:sz w:val="18"/>
                <w:szCs w:val="18"/>
                <w:lang w:eastAsia="en-AU"/>
              </w:rPr>
            </w:pPr>
            <w:r w:rsidRPr="00CE1C42">
              <w:rPr>
                <w:rFonts w:cs="Arial"/>
                <w:color w:val="3E5B00"/>
                <w:sz w:val="18"/>
                <w:szCs w:val="18"/>
                <w:lang w:eastAsia="en-AU"/>
              </w:rPr>
              <w:t xml:space="preserve">Secondary, </w:t>
            </w:r>
            <w:proofErr w:type="spellStart"/>
            <w:r w:rsidRPr="00CE1C42">
              <w:rPr>
                <w:rFonts w:cs="Arial"/>
                <w:color w:val="3E5B00"/>
                <w:sz w:val="18"/>
                <w:szCs w:val="18"/>
                <w:lang w:eastAsia="en-AU"/>
              </w:rPr>
              <w:t>SoA</w:t>
            </w:r>
            <w:proofErr w:type="spellEnd"/>
            <w:r w:rsidRPr="00CE1C42">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1,800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2,300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 xml:space="preserve">2,600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46%</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CE1C42" w:rsidRDefault="00D67B5E" w:rsidP="0051046D">
            <w:pPr>
              <w:spacing w:after="0" w:line="240" w:lineRule="auto"/>
              <w:jc w:val="right"/>
              <w:rPr>
                <w:rFonts w:cs="Arial"/>
                <w:sz w:val="18"/>
                <w:szCs w:val="18"/>
                <w:lang w:eastAsia="en-AU"/>
              </w:rPr>
            </w:pPr>
            <w:r w:rsidRPr="00CE1C42">
              <w:rPr>
                <w:rFonts w:cs="Arial"/>
                <w:sz w:val="18"/>
                <w:szCs w:val="18"/>
                <w:lang w:eastAsia="en-AU"/>
              </w:rPr>
              <w:t>11%</w:t>
            </w:r>
          </w:p>
        </w:tc>
      </w:tr>
      <w:tr w:rsidR="00D67B5E" w:rsidRPr="00CE1C42" w:rsidTr="0051046D">
        <w:trPr>
          <w:trHeight w:hRule="exact" w:val="284"/>
        </w:trPr>
        <w:tc>
          <w:tcPr>
            <w:tcW w:w="2420" w:type="dxa"/>
            <w:tcBorders>
              <w:top w:val="single" w:sz="4" w:space="0" w:color="5E8A00"/>
              <w:left w:val="single" w:sz="4" w:space="0" w:color="5E8A00"/>
              <w:bottom w:val="nil"/>
            </w:tcBorders>
            <w:shd w:val="clear" w:color="000000" w:fill="5E8A00"/>
            <w:noWrap/>
            <w:vAlign w:val="bottom"/>
            <w:hideMark/>
          </w:tcPr>
          <w:p w:rsidR="00D67B5E" w:rsidRPr="00CE1C42" w:rsidRDefault="00D67B5E" w:rsidP="0051046D">
            <w:pPr>
              <w:spacing w:after="0" w:line="240" w:lineRule="auto"/>
              <w:jc w:val="left"/>
              <w:rPr>
                <w:rFonts w:cs="Arial"/>
                <w:b/>
                <w:bCs/>
                <w:color w:val="FFFFFF"/>
                <w:sz w:val="18"/>
                <w:szCs w:val="18"/>
                <w:lang w:eastAsia="en-AU"/>
              </w:rPr>
            </w:pPr>
            <w:r w:rsidRPr="00CE1C42">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xml:space="preserve">28,700 </w:t>
            </w:r>
          </w:p>
        </w:tc>
        <w:tc>
          <w:tcPr>
            <w:tcW w:w="1120" w:type="dxa"/>
            <w:tcBorders>
              <w:top w:val="single" w:sz="4" w:space="0" w:color="5E8A00"/>
              <w:bottom w:val="nil"/>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xml:space="preserve">37,500 </w:t>
            </w:r>
          </w:p>
        </w:tc>
        <w:tc>
          <w:tcPr>
            <w:tcW w:w="1120" w:type="dxa"/>
            <w:tcBorders>
              <w:top w:val="single" w:sz="4" w:space="0" w:color="5E8A00"/>
              <w:bottom w:val="nil"/>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 xml:space="preserve">36,000 </w:t>
            </w:r>
          </w:p>
        </w:tc>
        <w:tc>
          <w:tcPr>
            <w:tcW w:w="1120" w:type="dxa"/>
            <w:tcBorders>
              <w:top w:val="single" w:sz="4" w:space="0" w:color="5E8A00"/>
              <w:bottom w:val="nil"/>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26%</w:t>
            </w:r>
          </w:p>
        </w:tc>
        <w:tc>
          <w:tcPr>
            <w:tcW w:w="1120" w:type="dxa"/>
            <w:tcBorders>
              <w:top w:val="single" w:sz="4" w:space="0" w:color="5E8A00"/>
              <w:bottom w:val="nil"/>
              <w:right w:val="single" w:sz="4" w:space="0" w:color="5E8A00"/>
            </w:tcBorders>
            <w:shd w:val="clear" w:color="000000" w:fill="5E8A00"/>
            <w:noWrap/>
            <w:vAlign w:val="center"/>
            <w:hideMark/>
          </w:tcPr>
          <w:p w:rsidR="00D67B5E" w:rsidRPr="00CE1C42" w:rsidRDefault="00D67B5E" w:rsidP="0051046D">
            <w:pPr>
              <w:spacing w:after="0" w:line="240" w:lineRule="auto"/>
              <w:jc w:val="right"/>
              <w:rPr>
                <w:rFonts w:cs="Arial"/>
                <w:b/>
                <w:bCs/>
                <w:color w:val="FFFFFF"/>
                <w:sz w:val="18"/>
                <w:szCs w:val="18"/>
                <w:lang w:eastAsia="en-AU"/>
              </w:rPr>
            </w:pPr>
            <w:r w:rsidRPr="00CE1C42">
              <w:rPr>
                <w:rFonts w:cs="Arial"/>
                <w:b/>
                <w:bCs/>
                <w:color w:val="FFFFFF"/>
                <w:sz w:val="18"/>
                <w:szCs w:val="18"/>
                <w:lang w:eastAsia="en-AU"/>
              </w:rPr>
              <w:t>-4%</w:t>
            </w:r>
          </w:p>
        </w:tc>
      </w:tr>
    </w:tbl>
    <w:p w:rsidR="00D67B5E" w:rsidRPr="007E7B89" w:rsidRDefault="00D67B5E" w:rsidP="00D67B5E">
      <w:pPr>
        <w:spacing w:after="0"/>
        <w:rPr>
          <w:sz w:val="16"/>
          <w:szCs w:val="16"/>
        </w:rPr>
      </w:pPr>
      <w:proofErr w:type="spellStart"/>
      <w:r w:rsidRPr="007E7B89">
        <w:rPr>
          <w:sz w:val="16"/>
          <w:szCs w:val="16"/>
        </w:rPr>
        <w:t>SoA</w:t>
      </w:r>
      <w:proofErr w:type="spellEnd"/>
      <w:r w:rsidRPr="007E7B89">
        <w:rPr>
          <w:sz w:val="16"/>
          <w:szCs w:val="16"/>
        </w:rPr>
        <w:t>: Statement of Attainment.</w:t>
      </w:r>
    </w:p>
    <w:p w:rsidR="00D67B5E" w:rsidRPr="001F29E3" w:rsidRDefault="00D67B5E" w:rsidP="00D67B5E"/>
    <w:p w:rsidR="00D67B5E" w:rsidRPr="001F29E3" w:rsidRDefault="00D67B5E" w:rsidP="00D67B5E">
      <w:pPr>
        <w:rPr>
          <w:rFonts w:cs="Arial"/>
          <w:color w:val="76923C" w:themeColor="accent3" w:themeShade="BF"/>
          <w:sz w:val="28"/>
          <w:szCs w:val="28"/>
        </w:rPr>
      </w:pPr>
      <w:r w:rsidRPr="001F29E3">
        <w:rPr>
          <w:rFonts w:cs="Arial"/>
        </w:rPr>
        <w:br w:type="page"/>
      </w:r>
    </w:p>
    <w:p w:rsidR="00D67B5E" w:rsidRPr="001F29E3" w:rsidRDefault="00D67B5E" w:rsidP="00D67B5E">
      <w:pPr>
        <w:pStyle w:val="Heading2"/>
      </w:pPr>
      <w:bookmarkStart w:id="82" w:name="_Toc366588121"/>
      <w:r w:rsidRPr="001F29E3">
        <w:lastRenderedPageBreak/>
        <w:t>Students with a Culturally and Linguistically Diverse (CALD) Background</w:t>
      </w:r>
      <w:bookmarkEnd w:id="82"/>
      <w:r w:rsidRPr="001F29E3">
        <w:t xml:space="preserve"> </w:t>
      </w:r>
    </w:p>
    <w:p w:rsidR="00D67B5E" w:rsidRDefault="00D67B5E" w:rsidP="00D67B5E">
      <w:pPr>
        <w:rPr>
          <w:rFonts w:cs="Arial"/>
        </w:rPr>
      </w:pPr>
    </w:p>
    <w:p w:rsidR="00D67B5E" w:rsidRDefault="00D67B5E" w:rsidP="00D67B5E">
      <w:pPr>
        <w:pStyle w:val="Heading3"/>
      </w:pPr>
      <w:r>
        <w:t>Enrolments</w:t>
      </w:r>
    </w:p>
    <w:p w:rsidR="00D67B5E" w:rsidRPr="001F29E3" w:rsidRDefault="00D67B5E" w:rsidP="00D67B5E">
      <w:pPr>
        <w:pStyle w:val="Caption"/>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D67B5E" w:rsidRPr="003B1428" w:rsidTr="0051046D">
        <w:trPr>
          <w:trHeight w:val="1449"/>
        </w:trPr>
        <w:tc>
          <w:tcPr>
            <w:tcW w:w="9088" w:type="dxa"/>
          </w:tcPr>
          <w:p w:rsidR="00D67B5E" w:rsidRDefault="00D67B5E" w:rsidP="0051046D">
            <w:pPr>
              <w:pStyle w:val="Heading3"/>
            </w:pPr>
            <w:r w:rsidRPr="003B1428">
              <w:t>Key Points</w:t>
            </w:r>
          </w:p>
          <w:p w:rsidR="00D67B5E" w:rsidRPr="00A326AF" w:rsidRDefault="00D67B5E" w:rsidP="0051046D"/>
          <w:p w:rsidR="00D67B5E" w:rsidRPr="003B1428" w:rsidRDefault="00D67B5E" w:rsidP="0051046D">
            <w:pPr>
              <w:pStyle w:val="ListBullet"/>
              <w:numPr>
                <w:ilvl w:val="0"/>
                <w:numId w:val="9"/>
              </w:numPr>
              <w:ind w:right="113"/>
              <w:rPr>
                <w:rFonts w:cs="Arial"/>
              </w:rPr>
            </w:pPr>
            <w:r w:rsidRPr="003B1428">
              <w:rPr>
                <w:rFonts w:cs="Arial"/>
              </w:rPr>
              <w:t>There were 80,700 students from a CALD background enrolled in 104,200 government subsidised courses in Q2 2013. More than half (56 per cen</w:t>
            </w:r>
            <w:r>
              <w:rPr>
                <w:rFonts w:cs="Arial"/>
              </w:rPr>
              <w:t>t) of course enrolments at AQF L</w:t>
            </w:r>
            <w:r w:rsidRPr="003B1428">
              <w:rPr>
                <w:rFonts w:cs="Arial"/>
              </w:rPr>
              <w:t xml:space="preserve">evel 1 and above were in </w:t>
            </w:r>
            <w:r w:rsidR="00A516C2">
              <w:rPr>
                <w:rFonts w:cs="Arial"/>
              </w:rPr>
              <w:t>C</w:t>
            </w:r>
            <w:r w:rsidRPr="003B1428">
              <w:rPr>
                <w:rFonts w:cs="Arial"/>
              </w:rPr>
              <w:t>ertificate III to IV levels.</w:t>
            </w:r>
          </w:p>
          <w:p w:rsidR="00D67B5E" w:rsidRPr="003B1428" w:rsidRDefault="00D67B5E" w:rsidP="0051046D">
            <w:pPr>
              <w:pStyle w:val="ListBullet"/>
              <w:numPr>
                <w:ilvl w:val="0"/>
                <w:numId w:val="9"/>
              </w:numPr>
              <w:ind w:right="113"/>
              <w:rPr>
                <w:rFonts w:cs="Arial"/>
              </w:rPr>
            </w:pPr>
            <w:r w:rsidRPr="003B1428">
              <w:rPr>
                <w:rFonts w:cs="Arial"/>
              </w:rPr>
              <w:t>Enrolments in Diploma and above courses undertaken by students from a CALD background in Q2 2013 were lower than the corresponding figures in Q2 2011 and Q2 2012.</w:t>
            </w:r>
          </w:p>
          <w:p w:rsidR="00D67B5E" w:rsidRPr="003B1428" w:rsidRDefault="00D67B5E" w:rsidP="0051046D">
            <w:pPr>
              <w:pStyle w:val="ListBullet"/>
              <w:numPr>
                <w:ilvl w:val="0"/>
                <w:numId w:val="9"/>
              </w:numPr>
              <w:ind w:right="113"/>
              <w:rPr>
                <w:rFonts w:cs="Arial"/>
              </w:rPr>
            </w:pPr>
            <w:r w:rsidRPr="003B1428">
              <w:rPr>
                <w:rFonts w:cs="Arial"/>
              </w:rPr>
              <w:t>Of those enrolments in industry-specific qualifications (66,000 enrolments) which exclude foundation skills and short courses in Q</w:t>
            </w:r>
            <w:r>
              <w:rPr>
                <w:rFonts w:cs="Arial"/>
              </w:rPr>
              <w:t>2</w:t>
            </w:r>
            <w:r w:rsidRPr="003B1428">
              <w:rPr>
                <w:rFonts w:cs="Arial"/>
              </w:rPr>
              <w:t xml:space="preserve"> 2013, 44 per cent were in courses related to </w:t>
            </w:r>
            <w:proofErr w:type="gramStart"/>
            <w:r w:rsidRPr="003B1428">
              <w:rPr>
                <w:rFonts w:cs="Arial"/>
              </w:rPr>
              <w:t>specialised</w:t>
            </w:r>
            <w:proofErr w:type="gramEnd"/>
            <w:r w:rsidRPr="003B1428">
              <w:rPr>
                <w:rFonts w:cs="Arial"/>
              </w:rPr>
              <w:t xml:space="preserve"> or in shortage occupations.</w:t>
            </w:r>
          </w:p>
        </w:tc>
      </w:tr>
    </w:tbl>
    <w:p w:rsidR="00D67B5E" w:rsidRDefault="00D67B5E" w:rsidP="00D67B5E">
      <w:pPr>
        <w:rPr>
          <w:rFonts w:cs="Arial"/>
        </w:rPr>
      </w:pPr>
    </w:p>
    <w:p w:rsidR="00D67B5E" w:rsidRPr="001F29E3" w:rsidRDefault="00D67B5E" w:rsidP="00D67B5E">
      <w:pPr>
        <w:rPr>
          <w:rFonts w:cs="Arial"/>
        </w:rPr>
      </w:pPr>
    </w:p>
    <w:p w:rsidR="00D67B5E" w:rsidRPr="001F29E3" w:rsidRDefault="005654CD" w:rsidP="00D67B5E">
      <w:pPr>
        <w:pStyle w:val="Caption"/>
        <w:spacing w:after="0"/>
        <w:rPr>
          <w:rFonts w:cs="Arial"/>
        </w:rPr>
      </w:pPr>
      <w:r>
        <w:rPr>
          <w:rFonts w:cs="Arial"/>
        </w:rPr>
        <w:t>Table 2</w:t>
      </w:r>
      <w:r w:rsidR="00D67B5E" w:rsidRPr="001F29E3">
        <w:rPr>
          <w:rFonts w:cs="Arial"/>
        </w:rPr>
        <w:t>.</w:t>
      </w:r>
      <w:r w:rsidR="00D67B5E">
        <w:rPr>
          <w:rFonts w:cs="Arial"/>
        </w:rPr>
        <w:t>4.1:</w:t>
      </w:r>
      <w:r w:rsidR="00D67B5E" w:rsidRPr="001F29E3">
        <w:rPr>
          <w:rFonts w:cs="Arial"/>
        </w:rPr>
        <w:t xml:space="preserve"> Students from a CALD background: government subsidised enrolments by qua</w:t>
      </w:r>
      <w:r w:rsidR="00D67B5E">
        <w:rPr>
          <w:rFonts w:cs="Arial"/>
        </w:rPr>
        <w:t>lification level, 2008 – 2012</w:t>
      </w:r>
    </w:p>
    <w:tbl>
      <w:tblPr>
        <w:tblW w:w="9140" w:type="dxa"/>
        <w:tblInd w:w="108" w:type="dxa"/>
        <w:tblLook w:val="04A0" w:firstRow="1" w:lastRow="0" w:firstColumn="1" w:lastColumn="0" w:noHBand="0" w:noVBand="1"/>
      </w:tblPr>
      <w:tblGrid>
        <w:gridCol w:w="2420"/>
        <w:gridCol w:w="1120"/>
        <w:gridCol w:w="1120"/>
        <w:gridCol w:w="1120"/>
        <w:gridCol w:w="1120"/>
        <w:gridCol w:w="1120"/>
        <w:gridCol w:w="1120"/>
      </w:tblGrid>
      <w:tr w:rsidR="00D67B5E" w:rsidRPr="00F7779E" w:rsidTr="0051046D">
        <w:trPr>
          <w:trHeight w:val="720"/>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D67B5E" w:rsidRPr="00F7779E" w:rsidRDefault="00D67B5E" w:rsidP="00F034AF">
            <w:pPr>
              <w:spacing w:after="0" w:line="240" w:lineRule="auto"/>
              <w:ind w:firstLineChars="100" w:firstLine="181"/>
              <w:rPr>
                <w:rFonts w:cs="Arial"/>
                <w:b/>
                <w:bCs/>
                <w:color w:val="FFFFFF"/>
                <w:sz w:val="18"/>
                <w:szCs w:val="18"/>
                <w:lang w:eastAsia="en-AU"/>
              </w:rPr>
            </w:pPr>
            <w:r w:rsidRPr="001D0105">
              <w:rPr>
                <w:rFonts w:cs="Arial"/>
                <w:b/>
                <w:bCs/>
                <w:color w:val="FFFFFF"/>
                <w:sz w:val="18"/>
                <w:szCs w:val="18"/>
                <w:lang w:eastAsia="en-AU"/>
              </w:rPr>
              <w:t>Qualification level</w:t>
            </w:r>
          </w:p>
        </w:tc>
        <w:tc>
          <w:tcPr>
            <w:tcW w:w="1120" w:type="dxa"/>
            <w:tcBorders>
              <w:top w:val="single" w:sz="4" w:space="0" w:color="5E8A00"/>
              <w:bottom w:val="single" w:sz="4" w:space="0" w:color="5E8A00"/>
            </w:tcBorders>
            <w:shd w:val="clear" w:color="000000" w:fill="5E8A00"/>
            <w:vAlign w:val="center"/>
            <w:hideMark/>
          </w:tcPr>
          <w:p w:rsidR="00D67B5E" w:rsidRPr="00F7779E" w:rsidRDefault="00D67B5E" w:rsidP="00F034AF">
            <w:pPr>
              <w:spacing w:after="0" w:line="240" w:lineRule="auto"/>
              <w:ind w:firstLineChars="100" w:firstLine="181"/>
              <w:jc w:val="right"/>
              <w:rPr>
                <w:rFonts w:cs="Arial"/>
                <w:b/>
                <w:bCs/>
                <w:color w:val="FFFFFF"/>
                <w:sz w:val="18"/>
                <w:szCs w:val="18"/>
                <w:lang w:eastAsia="en-AU"/>
              </w:rPr>
            </w:pPr>
            <w:r w:rsidRPr="00F7779E">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D67B5E" w:rsidRPr="00F7779E" w:rsidRDefault="00D67B5E" w:rsidP="00F034AF">
            <w:pPr>
              <w:spacing w:after="0" w:line="240" w:lineRule="auto"/>
              <w:ind w:firstLineChars="100" w:firstLine="181"/>
              <w:jc w:val="right"/>
              <w:rPr>
                <w:rFonts w:cs="Arial"/>
                <w:b/>
                <w:bCs/>
                <w:color w:val="FFFFFF"/>
                <w:sz w:val="18"/>
                <w:szCs w:val="18"/>
                <w:lang w:eastAsia="en-AU"/>
              </w:rPr>
            </w:pPr>
            <w:r w:rsidRPr="00F7779E">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D67B5E" w:rsidRPr="00F7779E" w:rsidRDefault="00D67B5E" w:rsidP="00F034AF">
            <w:pPr>
              <w:spacing w:after="0" w:line="240" w:lineRule="auto"/>
              <w:ind w:firstLineChars="100" w:firstLine="181"/>
              <w:jc w:val="right"/>
              <w:rPr>
                <w:rFonts w:cs="Arial"/>
                <w:b/>
                <w:bCs/>
                <w:color w:val="FFFFFF"/>
                <w:sz w:val="18"/>
                <w:szCs w:val="18"/>
                <w:lang w:eastAsia="en-AU"/>
              </w:rPr>
            </w:pPr>
            <w:r w:rsidRPr="00F7779E">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D67B5E" w:rsidRPr="00F7779E" w:rsidRDefault="00D67B5E" w:rsidP="00F034AF">
            <w:pPr>
              <w:spacing w:after="0" w:line="240" w:lineRule="auto"/>
              <w:ind w:firstLineChars="100" w:firstLine="181"/>
              <w:jc w:val="right"/>
              <w:rPr>
                <w:rFonts w:cs="Arial"/>
                <w:b/>
                <w:bCs/>
                <w:color w:val="FFFFFF"/>
                <w:sz w:val="18"/>
                <w:szCs w:val="18"/>
                <w:lang w:eastAsia="en-AU"/>
              </w:rPr>
            </w:pPr>
            <w:r w:rsidRPr="00F7779E">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D67B5E" w:rsidRPr="00F7779E" w:rsidRDefault="00D67B5E" w:rsidP="00F034AF">
            <w:pPr>
              <w:spacing w:after="0" w:line="240" w:lineRule="auto"/>
              <w:ind w:firstLineChars="100" w:firstLine="181"/>
              <w:jc w:val="right"/>
              <w:rPr>
                <w:rFonts w:cs="Arial"/>
                <w:b/>
                <w:bCs/>
                <w:color w:val="FFFFFF"/>
                <w:sz w:val="18"/>
                <w:szCs w:val="18"/>
                <w:lang w:eastAsia="en-AU"/>
              </w:rPr>
            </w:pPr>
            <w:r w:rsidRPr="00F7779E">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F7779E" w:rsidRDefault="00D67B5E" w:rsidP="0051046D">
            <w:pPr>
              <w:spacing w:after="0" w:line="240" w:lineRule="auto"/>
              <w:jc w:val="center"/>
              <w:rPr>
                <w:rFonts w:cs="Arial"/>
                <w:b/>
                <w:bCs/>
                <w:color w:val="FFFFFF"/>
                <w:sz w:val="18"/>
                <w:szCs w:val="18"/>
                <w:lang w:eastAsia="en-AU"/>
              </w:rPr>
            </w:pPr>
            <w:r w:rsidRPr="00F7779E">
              <w:rPr>
                <w:rFonts w:cs="Arial"/>
                <w:b/>
                <w:bCs/>
                <w:color w:val="FFFFFF"/>
                <w:sz w:val="18"/>
                <w:szCs w:val="18"/>
                <w:lang w:eastAsia="en-AU"/>
              </w:rPr>
              <w:t>% change</w:t>
            </w:r>
            <w:r w:rsidRPr="00F7779E">
              <w:rPr>
                <w:rFonts w:cs="Arial"/>
                <w:b/>
                <w:bCs/>
                <w:color w:val="FFFFFF"/>
                <w:sz w:val="18"/>
                <w:szCs w:val="18"/>
                <w:lang w:eastAsia="en-AU"/>
              </w:rPr>
              <w:br/>
              <w:t>2008-2012</w:t>
            </w:r>
          </w:p>
        </w:tc>
      </w:tr>
      <w:tr w:rsidR="00D67B5E" w:rsidRPr="00F7779E" w:rsidTr="0051046D">
        <w:trPr>
          <w:trHeight w:val="342"/>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F7779E" w:rsidRDefault="00D67B5E" w:rsidP="0051046D">
            <w:pPr>
              <w:spacing w:after="0" w:line="240" w:lineRule="auto"/>
              <w:jc w:val="left"/>
              <w:rPr>
                <w:rFonts w:cs="Arial"/>
                <w:color w:val="3E5B00"/>
                <w:sz w:val="18"/>
                <w:szCs w:val="18"/>
                <w:lang w:eastAsia="en-AU"/>
              </w:rPr>
            </w:pPr>
            <w:r w:rsidRPr="00F7779E">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19,800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20,100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20,400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28,500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41,600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110%</w:t>
            </w:r>
          </w:p>
        </w:tc>
      </w:tr>
      <w:tr w:rsidR="00D67B5E" w:rsidRPr="00F7779E" w:rsidTr="0051046D">
        <w:trPr>
          <w:trHeight w:val="342"/>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F7779E" w:rsidRDefault="00D67B5E" w:rsidP="0051046D">
            <w:pPr>
              <w:spacing w:after="0" w:line="240" w:lineRule="auto"/>
              <w:jc w:val="left"/>
              <w:rPr>
                <w:rFonts w:cs="Arial"/>
                <w:color w:val="3E5B00"/>
                <w:sz w:val="18"/>
                <w:szCs w:val="18"/>
                <w:lang w:eastAsia="en-AU"/>
              </w:rPr>
            </w:pPr>
            <w:r w:rsidRPr="00F7779E">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30,000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30,700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38,500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62,000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88,900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196%</w:t>
            </w:r>
          </w:p>
        </w:tc>
      </w:tr>
      <w:tr w:rsidR="00D67B5E" w:rsidRPr="00F7779E" w:rsidTr="0051046D">
        <w:trPr>
          <w:trHeight w:val="342"/>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F7779E" w:rsidRDefault="00D67B5E" w:rsidP="0051046D">
            <w:pPr>
              <w:spacing w:after="0" w:line="240" w:lineRule="auto"/>
              <w:jc w:val="left"/>
              <w:rPr>
                <w:rFonts w:cs="Arial"/>
                <w:color w:val="3E5B00"/>
                <w:sz w:val="18"/>
                <w:szCs w:val="18"/>
                <w:lang w:eastAsia="en-AU"/>
              </w:rPr>
            </w:pPr>
            <w:r w:rsidRPr="00F7779E">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13,400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15,700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17,300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22,400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23,200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73%</w:t>
            </w:r>
          </w:p>
        </w:tc>
      </w:tr>
      <w:tr w:rsidR="00D67B5E" w:rsidRPr="00F7779E" w:rsidTr="0051046D">
        <w:trPr>
          <w:trHeight w:val="342"/>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F7779E" w:rsidRDefault="00D67B5E" w:rsidP="0051046D">
            <w:pPr>
              <w:spacing w:after="0" w:line="240" w:lineRule="auto"/>
              <w:jc w:val="left"/>
              <w:rPr>
                <w:rFonts w:cs="Arial"/>
                <w:color w:val="3E5B00"/>
                <w:sz w:val="18"/>
                <w:szCs w:val="18"/>
                <w:lang w:eastAsia="en-AU"/>
              </w:rPr>
            </w:pPr>
            <w:r w:rsidRPr="00F7779E">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13,000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11,600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12,100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11,700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10,700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-17%</w:t>
            </w:r>
          </w:p>
        </w:tc>
      </w:tr>
      <w:tr w:rsidR="00D67B5E" w:rsidRPr="00F7779E" w:rsidTr="0051046D">
        <w:trPr>
          <w:trHeight w:val="342"/>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F7779E" w:rsidRDefault="00D67B5E" w:rsidP="0051046D">
            <w:pPr>
              <w:spacing w:after="0" w:line="240" w:lineRule="auto"/>
              <w:jc w:val="left"/>
              <w:rPr>
                <w:rFonts w:cs="Arial"/>
                <w:color w:val="3E5B00"/>
                <w:sz w:val="18"/>
                <w:szCs w:val="18"/>
                <w:lang w:eastAsia="en-AU"/>
              </w:rPr>
            </w:pPr>
            <w:r w:rsidRPr="00F7779E">
              <w:rPr>
                <w:rFonts w:cs="Arial"/>
                <w:color w:val="3E5B00"/>
                <w:sz w:val="18"/>
                <w:szCs w:val="18"/>
                <w:lang w:eastAsia="en-AU"/>
              </w:rPr>
              <w:t xml:space="preserve">Secondary, </w:t>
            </w:r>
            <w:proofErr w:type="spellStart"/>
            <w:r w:rsidRPr="00F7779E">
              <w:rPr>
                <w:rFonts w:cs="Arial"/>
                <w:color w:val="3E5B00"/>
                <w:sz w:val="18"/>
                <w:szCs w:val="18"/>
                <w:lang w:eastAsia="en-AU"/>
              </w:rPr>
              <w:t>SoA</w:t>
            </w:r>
            <w:proofErr w:type="spellEnd"/>
            <w:r w:rsidRPr="00F7779E">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5,000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5,400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5,400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6,200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 xml:space="preserve">8,400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7779E" w:rsidRDefault="00D67B5E" w:rsidP="0051046D">
            <w:pPr>
              <w:spacing w:after="0" w:line="240" w:lineRule="auto"/>
              <w:jc w:val="right"/>
              <w:rPr>
                <w:rFonts w:cs="Arial"/>
                <w:sz w:val="18"/>
                <w:szCs w:val="18"/>
                <w:lang w:eastAsia="en-AU"/>
              </w:rPr>
            </w:pPr>
            <w:r w:rsidRPr="00F7779E">
              <w:rPr>
                <w:rFonts w:cs="Arial"/>
                <w:sz w:val="18"/>
                <w:szCs w:val="18"/>
                <w:lang w:eastAsia="en-AU"/>
              </w:rPr>
              <w:t>67%</w:t>
            </w:r>
          </w:p>
        </w:tc>
      </w:tr>
      <w:tr w:rsidR="00D67B5E" w:rsidRPr="00F7779E" w:rsidTr="0051046D">
        <w:trPr>
          <w:trHeight w:val="342"/>
        </w:trPr>
        <w:tc>
          <w:tcPr>
            <w:tcW w:w="2420" w:type="dxa"/>
            <w:tcBorders>
              <w:top w:val="single" w:sz="4" w:space="0" w:color="5E8A00"/>
              <w:left w:val="single" w:sz="4" w:space="0" w:color="5E8A00"/>
              <w:bottom w:val="single" w:sz="4" w:space="0" w:color="5E8A00"/>
            </w:tcBorders>
            <w:shd w:val="clear" w:color="000000" w:fill="5E8A00"/>
            <w:noWrap/>
            <w:vAlign w:val="bottom"/>
            <w:hideMark/>
          </w:tcPr>
          <w:p w:rsidR="00D67B5E" w:rsidRPr="00F7779E" w:rsidRDefault="00D67B5E" w:rsidP="0051046D">
            <w:pPr>
              <w:spacing w:after="0" w:line="240" w:lineRule="auto"/>
              <w:jc w:val="left"/>
              <w:rPr>
                <w:rFonts w:cs="Arial"/>
                <w:b/>
                <w:bCs/>
                <w:color w:val="FFFFFF"/>
                <w:sz w:val="18"/>
                <w:szCs w:val="18"/>
                <w:lang w:eastAsia="en-AU"/>
              </w:rPr>
            </w:pPr>
            <w:r w:rsidRPr="00F7779E">
              <w:rPr>
                <w:rFonts w:cs="Arial"/>
                <w:b/>
                <w:bCs/>
                <w:color w:val="FFFFFF"/>
                <w:sz w:val="18"/>
                <w:szCs w:val="18"/>
                <w:lang w:eastAsia="en-AU"/>
              </w:rPr>
              <w:t>Total</w:t>
            </w:r>
          </w:p>
        </w:tc>
        <w:tc>
          <w:tcPr>
            <w:tcW w:w="1120" w:type="dxa"/>
            <w:tcBorders>
              <w:top w:val="single" w:sz="4" w:space="0" w:color="5E8A00"/>
              <w:bottom w:val="single" w:sz="4" w:space="0" w:color="5E8A00"/>
            </w:tcBorders>
            <w:shd w:val="clear" w:color="000000" w:fill="5E8A00"/>
            <w:noWrap/>
            <w:vAlign w:val="center"/>
            <w:hideMark/>
          </w:tcPr>
          <w:p w:rsidR="00D67B5E" w:rsidRPr="00F7779E" w:rsidRDefault="00D67B5E" w:rsidP="0051046D">
            <w:pPr>
              <w:spacing w:after="0" w:line="240" w:lineRule="auto"/>
              <w:jc w:val="right"/>
              <w:rPr>
                <w:rFonts w:cs="Arial"/>
                <w:b/>
                <w:bCs/>
                <w:color w:val="FFFFFF"/>
                <w:sz w:val="18"/>
                <w:szCs w:val="18"/>
                <w:lang w:eastAsia="en-AU"/>
              </w:rPr>
            </w:pPr>
            <w:r w:rsidRPr="00F7779E">
              <w:rPr>
                <w:rFonts w:cs="Arial"/>
                <w:b/>
                <w:bCs/>
                <w:color w:val="FFFFFF"/>
                <w:sz w:val="18"/>
                <w:szCs w:val="18"/>
                <w:lang w:eastAsia="en-AU"/>
              </w:rPr>
              <w:t xml:space="preserve">81,100 </w:t>
            </w:r>
          </w:p>
        </w:tc>
        <w:tc>
          <w:tcPr>
            <w:tcW w:w="1120" w:type="dxa"/>
            <w:tcBorders>
              <w:top w:val="single" w:sz="4" w:space="0" w:color="5E8A00"/>
              <w:bottom w:val="single" w:sz="4" w:space="0" w:color="5E8A00"/>
            </w:tcBorders>
            <w:shd w:val="clear" w:color="000000" w:fill="5E8A00"/>
            <w:noWrap/>
            <w:vAlign w:val="center"/>
            <w:hideMark/>
          </w:tcPr>
          <w:p w:rsidR="00D67B5E" w:rsidRPr="00F7779E" w:rsidRDefault="00D67B5E" w:rsidP="0051046D">
            <w:pPr>
              <w:spacing w:after="0" w:line="240" w:lineRule="auto"/>
              <w:jc w:val="right"/>
              <w:rPr>
                <w:rFonts w:cs="Arial"/>
                <w:b/>
                <w:bCs/>
                <w:color w:val="FFFFFF"/>
                <w:sz w:val="18"/>
                <w:szCs w:val="18"/>
                <w:lang w:eastAsia="en-AU"/>
              </w:rPr>
            </w:pPr>
            <w:r w:rsidRPr="00F7779E">
              <w:rPr>
                <w:rFonts w:cs="Arial"/>
                <w:b/>
                <w:bCs/>
                <w:color w:val="FFFFFF"/>
                <w:sz w:val="18"/>
                <w:szCs w:val="18"/>
                <w:lang w:eastAsia="en-AU"/>
              </w:rPr>
              <w:t xml:space="preserve">83,500 </w:t>
            </w:r>
          </w:p>
        </w:tc>
        <w:tc>
          <w:tcPr>
            <w:tcW w:w="1120" w:type="dxa"/>
            <w:tcBorders>
              <w:top w:val="single" w:sz="4" w:space="0" w:color="5E8A00"/>
              <w:bottom w:val="single" w:sz="4" w:space="0" w:color="5E8A00"/>
            </w:tcBorders>
            <w:shd w:val="clear" w:color="000000" w:fill="5E8A00"/>
            <w:noWrap/>
            <w:vAlign w:val="center"/>
            <w:hideMark/>
          </w:tcPr>
          <w:p w:rsidR="00D67B5E" w:rsidRPr="00F7779E" w:rsidRDefault="00D67B5E" w:rsidP="0051046D">
            <w:pPr>
              <w:spacing w:after="0" w:line="240" w:lineRule="auto"/>
              <w:jc w:val="right"/>
              <w:rPr>
                <w:rFonts w:cs="Arial"/>
                <w:b/>
                <w:bCs/>
                <w:color w:val="FFFFFF"/>
                <w:sz w:val="18"/>
                <w:szCs w:val="18"/>
                <w:lang w:eastAsia="en-AU"/>
              </w:rPr>
            </w:pPr>
            <w:r w:rsidRPr="00F7779E">
              <w:rPr>
                <w:rFonts w:cs="Arial"/>
                <w:b/>
                <w:bCs/>
                <w:color w:val="FFFFFF"/>
                <w:sz w:val="18"/>
                <w:szCs w:val="18"/>
                <w:lang w:eastAsia="en-AU"/>
              </w:rPr>
              <w:t xml:space="preserve">93,800 </w:t>
            </w:r>
          </w:p>
        </w:tc>
        <w:tc>
          <w:tcPr>
            <w:tcW w:w="1120" w:type="dxa"/>
            <w:tcBorders>
              <w:top w:val="single" w:sz="4" w:space="0" w:color="5E8A00"/>
              <w:bottom w:val="single" w:sz="4" w:space="0" w:color="5E8A00"/>
            </w:tcBorders>
            <w:shd w:val="clear" w:color="000000" w:fill="5E8A00"/>
            <w:noWrap/>
            <w:vAlign w:val="center"/>
            <w:hideMark/>
          </w:tcPr>
          <w:p w:rsidR="00D67B5E" w:rsidRPr="00F7779E" w:rsidRDefault="00D67B5E" w:rsidP="0051046D">
            <w:pPr>
              <w:spacing w:after="0" w:line="240" w:lineRule="auto"/>
              <w:jc w:val="right"/>
              <w:rPr>
                <w:rFonts w:cs="Arial"/>
                <w:b/>
                <w:bCs/>
                <w:color w:val="FFFFFF"/>
                <w:sz w:val="18"/>
                <w:szCs w:val="18"/>
                <w:lang w:eastAsia="en-AU"/>
              </w:rPr>
            </w:pPr>
            <w:r w:rsidRPr="00F7779E">
              <w:rPr>
                <w:rFonts w:cs="Arial"/>
                <w:b/>
                <w:bCs/>
                <w:color w:val="FFFFFF"/>
                <w:sz w:val="18"/>
                <w:szCs w:val="18"/>
                <w:lang w:eastAsia="en-AU"/>
              </w:rPr>
              <w:t xml:space="preserve">130,700 </w:t>
            </w:r>
          </w:p>
        </w:tc>
        <w:tc>
          <w:tcPr>
            <w:tcW w:w="1120" w:type="dxa"/>
            <w:tcBorders>
              <w:top w:val="single" w:sz="4" w:space="0" w:color="5E8A00"/>
              <w:bottom w:val="single" w:sz="4" w:space="0" w:color="5E8A00"/>
            </w:tcBorders>
            <w:shd w:val="clear" w:color="000000" w:fill="5E8A00"/>
            <w:noWrap/>
            <w:vAlign w:val="center"/>
            <w:hideMark/>
          </w:tcPr>
          <w:p w:rsidR="00D67B5E" w:rsidRPr="00F7779E" w:rsidRDefault="00D67B5E" w:rsidP="0051046D">
            <w:pPr>
              <w:spacing w:after="0" w:line="240" w:lineRule="auto"/>
              <w:jc w:val="right"/>
              <w:rPr>
                <w:rFonts w:cs="Arial"/>
                <w:b/>
                <w:bCs/>
                <w:color w:val="FFFFFF"/>
                <w:sz w:val="18"/>
                <w:szCs w:val="18"/>
                <w:lang w:eastAsia="en-AU"/>
              </w:rPr>
            </w:pPr>
            <w:r w:rsidRPr="00F7779E">
              <w:rPr>
                <w:rFonts w:cs="Arial"/>
                <w:b/>
                <w:bCs/>
                <w:color w:val="FFFFFF"/>
                <w:sz w:val="18"/>
                <w:szCs w:val="18"/>
                <w:lang w:eastAsia="en-AU"/>
              </w:rPr>
              <w:t xml:space="preserve">172,800 </w:t>
            </w:r>
          </w:p>
        </w:tc>
        <w:tc>
          <w:tcPr>
            <w:tcW w:w="1120" w:type="dxa"/>
            <w:tcBorders>
              <w:top w:val="single" w:sz="4" w:space="0" w:color="5E8A00"/>
              <w:bottom w:val="single" w:sz="4" w:space="0" w:color="5E8A00"/>
              <w:right w:val="single" w:sz="4" w:space="0" w:color="5E8A00"/>
            </w:tcBorders>
            <w:shd w:val="clear" w:color="000000" w:fill="5E8A00"/>
            <w:noWrap/>
            <w:vAlign w:val="center"/>
            <w:hideMark/>
          </w:tcPr>
          <w:p w:rsidR="00D67B5E" w:rsidRPr="00F7779E" w:rsidRDefault="00D67B5E" w:rsidP="0051046D">
            <w:pPr>
              <w:spacing w:after="0" w:line="240" w:lineRule="auto"/>
              <w:jc w:val="right"/>
              <w:rPr>
                <w:rFonts w:cs="Arial"/>
                <w:b/>
                <w:bCs/>
                <w:color w:val="FFFFFF"/>
                <w:sz w:val="18"/>
                <w:szCs w:val="18"/>
                <w:lang w:eastAsia="en-AU"/>
              </w:rPr>
            </w:pPr>
            <w:r w:rsidRPr="00F7779E">
              <w:rPr>
                <w:rFonts w:cs="Arial"/>
                <w:b/>
                <w:bCs/>
                <w:color w:val="FFFFFF"/>
                <w:sz w:val="18"/>
                <w:szCs w:val="18"/>
                <w:lang w:eastAsia="en-AU"/>
              </w:rPr>
              <w:t>113%</w:t>
            </w:r>
          </w:p>
        </w:tc>
      </w:tr>
    </w:tbl>
    <w:p w:rsidR="00D67B5E" w:rsidRPr="007E7B89" w:rsidRDefault="00D67B5E" w:rsidP="00D67B5E">
      <w:pPr>
        <w:spacing w:after="0"/>
        <w:rPr>
          <w:sz w:val="16"/>
          <w:szCs w:val="16"/>
        </w:rPr>
      </w:pPr>
      <w:proofErr w:type="spellStart"/>
      <w:r w:rsidRPr="007E7B89">
        <w:rPr>
          <w:sz w:val="16"/>
          <w:szCs w:val="16"/>
        </w:rPr>
        <w:t>SoA</w:t>
      </w:r>
      <w:proofErr w:type="spellEnd"/>
      <w:r w:rsidRPr="007E7B89">
        <w:rPr>
          <w:sz w:val="16"/>
          <w:szCs w:val="16"/>
        </w:rPr>
        <w:t>: Statement of Attainment.</w:t>
      </w:r>
    </w:p>
    <w:p w:rsidR="00D67B5E" w:rsidRPr="001F29E3" w:rsidRDefault="00D67B5E" w:rsidP="00D67B5E">
      <w:pPr>
        <w:jc w:val="left"/>
        <w:rPr>
          <w:rFonts w:cs="Arial"/>
        </w:rPr>
      </w:pPr>
    </w:p>
    <w:p w:rsidR="00D67B5E" w:rsidRPr="001F29E3" w:rsidRDefault="005654CD" w:rsidP="00D67B5E">
      <w:pPr>
        <w:pStyle w:val="Caption"/>
        <w:spacing w:after="0"/>
        <w:jc w:val="left"/>
        <w:rPr>
          <w:rFonts w:cs="Arial"/>
        </w:rPr>
      </w:pPr>
      <w:r>
        <w:rPr>
          <w:rFonts w:cs="Arial"/>
        </w:rPr>
        <w:t>Table 2</w:t>
      </w:r>
      <w:r w:rsidR="00D67B5E" w:rsidRPr="001F29E3">
        <w:rPr>
          <w:rFonts w:cs="Arial"/>
        </w:rPr>
        <w:t>.</w:t>
      </w:r>
      <w:r w:rsidR="00D67B5E">
        <w:rPr>
          <w:rFonts w:cs="Arial"/>
        </w:rPr>
        <w:t>4.2:</w:t>
      </w:r>
      <w:r w:rsidR="00D67B5E" w:rsidRPr="001F29E3">
        <w:rPr>
          <w:rFonts w:cs="Arial"/>
        </w:rPr>
        <w:t xml:space="preserve"> Students from a CALD background: government subsidised enrolments by qualification level, </w:t>
      </w:r>
      <w:r w:rsidR="00D67B5E" w:rsidRPr="001F29E3">
        <w:rPr>
          <w:rFonts w:cs="Arial"/>
        </w:rPr>
        <w:br/>
      </w:r>
      <w:r w:rsidR="00D67B5E">
        <w:rPr>
          <w:rFonts w:cs="Arial"/>
        </w:rPr>
        <w:t xml:space="preserve">Q2 2011, Q2 </w:t>
      </w:r>
      <w:r w:rsidR="00D67B5E" w:rsidRPr="001F29E3">
        <w:rPr>
          <w:rFonts w:cs="Arial"/>
        </w:rPr>
        <w:t>2012 and Q</w:t>
      </w:r>
      <w:r w:rsidR="00D67B5E">
        <w:rPr>
          <w:rFonts w:cs="Arial"/>
        </w:rPr>
        <w:t>2</w:t>
      </w:r>
      <w:r w:rsidR="00D67B5E" w:rsidRPr="001F29E3">
        <w:rPr>
          <w:rFonts w:cs="Arial"/>
        </w:rPr>
        <w:t xml:space="preserve"> 2013</w:t>
      </w:r>
    </w:p>
    <w:tbl>
      <w:tblPr>
        <w:tblW w:w="8020" w:type="dxa"/>
        <w:tblInd w:w="103" w:type="dxa"/>
        <w:tblLook w:val="04A0" w:firstRow="1" w:lastRow="0" w:firstColumn="1" w:lastColumn="0" w:noHBand="0" w:noVBand="1"/>
      </w:tblPr>
      <w:tblGrid>
        <w:gridCol w:w="2420"/>
        <w:gridCol w:w="1120"/>
        <w:gridCol w:w="1120"/>
        <w:gridCol w:w="1120"/>
        <w:gridCol w:w="1120"/>
        <w:gridCol w:w="1120"/>
      </w:tblGrid>
      <w:tr w:rsidR="00D67B5E" w:rsidRPr="001D0105" w:rsidTr="0051046D">
        <w:trPr>
          <w:trHeight w:hRule="exact" w:val="760"/>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D67B5E" w:rsidRPr="001D0105" w:rsidRDefault="00D67B5E" w:rsidP="0051046D">
            <w:pPr>
              <w:spacing w:after="0" w:line="240" w:lineRule="auto"/>
              <w:jc w:val="left"/>
              <w:rPr>
                <w:rFonts w:cs="Arial"/>
                <w:b/>
                <w:bCs/>
                <w:color w:val="FFFFFF"/>
                <w:sz w:val="18"/>
                <w:szCs w:val="18"/>
                <w:lang w:eastAsia="en-AU"/>
              </w:rPr>
            </w:pPr>
            <w:r w:rsidRPr="001D0105">
              <w:rPr>
                <w:rFonts w:cs="Arial"/>
                <w:b/>
                <w:bCs/>
                <w:color w:val="FFFFFF"/>
                <w:sz w:val="18"/>
                <w:szCs w:val="18"/>
                <w:lang w:eastAsia="en-AU"/>
              </w:rPr>
              <w:t>Qualification level</w:t>
            </w:r>
          </w:p>
        </w:tc>
        <w:tc>
          <w:tcPr>
            <w:tcW w:w="1120" w:type="dxa"/>
            <w:tcBorders>
              <w:top w:val="single" w:sz="4" w:space="0" w:color="5E8A00"/>
              <w:bottom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 change</w:t>
            </w:r>
            <w:r w:rsidRPr="001D0105">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 change</w:t>
            </w:r>
            <w:r w:rsidRPr="001D0105">
              <w:rPr>
                <w:rFonts w:cs="Arial"/>
                <w:b/>
                <w:bCs/>
                <w:color w:val="FFFFFF"/>
                <w:sz w:val="18"/>
                <w:szCs w:val="18"/>
                <w:lang w:eastAsia="en-AU"/>
              </w:rPr>
              <w:br/>
              <w:t>Q2 2012-Q2 2013</w:t>
            </w:r>
          </w:p>
        </w:tc>
      </w:tr>
      <w:tr w:rsidR="00D67B5E" w:rsidRPr="001D010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1D0105" w:rsidRDefault="00D67B5E" w:rsidP="0051046D">
            <w:pPr>
              <w:spacing w:after="0" w:line="240" w:lineRule="auto"/>
              <w:jc w:val="left"/>
              <w:rPr>
                <w:rFonts w:cs="Arial"/>
                <w:color w:val="3E5B00"/>
                <w:sz w:val="18"/>
                <w:szCs w:val="18"/>
                <w:lang w:eastAsia="en-AU"/>
              </w:rPr>
            </w:pPr>
            <w:r w:rsidRPr="001D0105">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15,600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26,300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28,100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80%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7%</w:t>
            </w:r>
          </w:p>
        </w:tc>
      </w:tr>
      <w:tr w:rsidR="00D67B5E" w:rsidRPr="001D010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1D0105" w:rsidRDefault="00D67B5E" w:rsidP="0051046D">
            <w:pPr>
              <w:spacing w:after="0" w:line="240" w:lineRule="auto"/>
              <w:jc w:val="left"/>
              <w:rPr>
                <w:rFonts w:cs="Arial"/>
                <w:color w:val="3E5B00"/>
                <w:sz w:val="18"/>
                <w:szCs w:val="18"/>
                <w:lang w:eastAsia="en-AU"/>
              </w:rPr>
            </w:pPr>
            <w:r w:rsidRPr="001D0105">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33,500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57,400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53,800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60%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-6%</w:t>
            </w:r>
          </w:p>
        </w:tc>
      </w:tr>
      <w:tr w:rsidR="00D67B5E" w:rsidRPr="001D010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1D0105" w:rsidRDefault="00D67B5E" w:rsidP="0051046D">
            <w:pPr>
              <w:spacing w:after="0" w:line="240" w:lineRule="auto"/>
              <w:jc w:val="left"/>
              <w:rPr>
                <w:rFonts w:cs="Arial"/>
                <w:color w:val="3E5B00"/>
                <w:sz w:val="18"/>
                <w:szCs w:val="18"/>
                <w:lang w:eastAsia="en-AU"/>
              </w:rPr>
            </w:pPr>
            <w:r w:rsidRPr="001D0105">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15,400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18,300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13,800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-10%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-25%</w:t>
            </w:r>
          </w:p>
        </w:tc>
      </w:tr>
      <w:tr w:rsidR="00D67B5E" w:rsidRPr="001D010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1D0105" w:rsidRDefault="00D67B5E" w:rsidP="0051046D">
            <w:pPr>
              <w:spacing w:after="0" w:line="240" w:lineRule="auto"/>
              <w:jc w:val="left"/>
              <w:rPr>
                <w:rFonts w:cs="Arial"/>
                <w:color w:val="3E5B00"/>
                <w:sz w:val="18"/>
                <w:szCs w:val="18"/>
                <w:lang w:eastAsia="en-AU"/>
              </w:rPr>
            </w:pPr>
            <w:r w:rsidRPr="001D0105">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5,000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4,500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4,900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-2%</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9%</w:t>
            </w:r>
          </w:p>
        </w:tc>
      </w:tr>
      <w:tr w:rsidR="00D67B5E" w:rsidRPr="001D010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1D0105" w:rsidRDefault="00D67B5E" w:rsidP="0051046D">
            <w:pPr>
              <w:spacing w:after="0" w:line="240" w:lineRule="auto"/>
              <w:jc w:val="left"/>
              <w:rPr>
                <w:rFonts w:cs="Arial"/>
                <w:color w:val="3E5B00"/>
                <w:sz w:val="18"/>
                <w:szCs w:val="18"/>
                <w:lang w:eastAsia="en-AU"/>
              </w:rPr>
            </w:pPr>
            <w:r w:rsidRPr="001D0105">
              <w:rPr>
                <w:rFonts w:cs="Arial"/>
                <w:color w:val="3E5B00"/>
                <w:sz w:val="18"/>
                <w:szCs w:val="18"/>
                <w:lang w:eastAsia="en-AU"/>
              </w:rPr>
              <w:t xml:space="preserve">Secondary, </w:t>
            </w:r>
            <w:proofErr w:type="spellStart"/>
            <w:r w:rsidRPr="001D0105">
              <w:rPr>
                <w:rFonts w:cs="Arial"/>
                <w:color w:val="3E5B00"/>
                <w:sz w:val="18"/>
                <w:szCs w:val="18"/>
                <w:lang w:eastAsia="en-AU"/>
              </w:rPr>
              <w:t>SoA</w:t>
            </w:r>
            <w:proofErr w:type="spellEnd"/>
            <w:r w:rsidRPr="001D0105">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3,300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5,600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3,700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14%</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-34%</w:t>
            </w:r>
          </w:p>
        </w:tc>
      </w:tr>
      <w:tr w:rsidR="00D67B5E" w:rsidRPr="001D0105" w:rsidTr="0051046D">
        <w:trPr>
          <w:trHeight w:hRule="exact" w:val="284"/>
        </w:trPr>
        <w:tc>
          <w:tcPr>
            <w:tcW w:w="2420" w:type="dxa"/>
            <w:tcBorders>
              <w:top w:val="nil"/>
              <w:left w:val="single" w:sz="4" w:space="0" w:color="5E8A00"/>
              <w:bottom w:val="nil"/>
              <w:right w:val="single" w:sz="4" w:space="0" w:color="5E8A00"/>
            </w:tcBorders>
            <w:shd w:val="clear" w:color="000000" w:fill="5E8A00"/>
            <w:noWrap/>
            <w:vAlign w:val="bottom"/>
            <w:hideMark/>
          </w:tcPr>
          <w:p w:rsidR="00D67B5E" w:rsidRPr="001D0105" w:rsidRDefault="00D67B5E" w:rsidP="0051046D">
            <w:pPr>
              <w:spacing w:after="0" w:line="240" w:lineRule="auto"/>
              <w:jc w:val="left"/>
              <w:rPr>
                <w:rFonts w:cs="Arial"/>
                <w:b/>
                <w:bCs/>
                <w:color w:val="FFFFFF"/>
                <w:sz w:val="18"/>
                <w:szCs w:val="18"/>
                <w:lang w:eastAsia="en-AU"/>
              </w:rPr>
            </w:pPr>
            <w:r w:rsidRPr="001D0105">
              <w:rPr>
                <w:rFonts w:cs="Arial"/>
                <w:b/>
                <w:bCs/>
                <w:color w:val="FFFFFF"/>
                <w:sz w:val="18"/>
                <w:szCs w:val="18"/>
                <w:lang w:eastAsia="en-AU"/>
              </w:rPr>
              <w:t>Total</w:t>
            </w:r>
          </w:p>
        </w:tc>
        <w:tc>
          <w:tcPr>
            <w:tcW w:w="1120" w:type="dxa"/>
            <w:tcBorders>
              <w:top w:val="nil"/>
              <w:left w:val="nil"/>
              <w:bottom w:val="nil"/>
              <w:right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 xml:space="preserve">72,800 </w:t>
            </w:r>
          </w:p>
        </w:tc>
        <w:tc>
          <w:tcPr>
            <w:tcW w:w="1120" w:type="dxa"/>
            <w:tcBorders>
              <w:top w:val="nil"/>
              <w:left w:val="nil"/>
              <w:bottom w:val="nil"/>
              <w:right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 xml:space="preserve">112,100 </w:t>
            </w:r>
          </w:p>
        </w:tc>
        <w:tc>
          <w:tcPr>
            <w:tcW w:w="1120" w:type="dxa"/>
            <w:tcBorders>
              <w:top w:val="nil"/>
              <w:left w:val="nil"/>
              <w:bottom w:val="nil"/>
              <w:right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 xml:space="preserve">104,300 </w:t>
            </w:r>
          </w:p>
        </w:tc>
        <w:tc>
          <w:tcPr>
            <w:tcW w:w="1120" w:type="dxa"/>
            <w:tcBorders>
              <w:top w:val="nil"/>
              <w:left w:val="nil"/>
              <w:bottom w:val="nil"/>
              <w:right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43%</w:t>
            </w:r>
          </w:p>
        </w:tc>
        <w:tc>
          <w:tcPr>
            <w:tcW w:w="1120" w:type="dxa"/>
            <w:tcBorders>
              <w:top w:val="nil"/>
              <w:left w:val="nil"/>
              <w:bottom w:val="nil"/>
              <w:right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-7%</w:t>
            </w:r>
          </w:p>
        </w:tc>
      </w:tr>
    </w:tbl>
    <w:p w:rsidR="00D67B5E" w:rsidRPr="007E7B89" w:rsidRDefault="00D67B5E" w:rsidP="00D67B5E">
      <w:pPr>
        <w:spacing w:after="0"/>
        <w:rPr>
          <w:sz w:val="16"/>
          <w:szCs w:val="16"/>
        </w:rPr>
      </w:pPr>
      <w:proofErr w:type="spellStart"/>
      <w:r w:rsidRPr="007E7B89">
        <w:rPr>
          <w:sz w:val="16"/>
          <w:szCs w:val="16"/>
        </w:rPr>
        <w:t>SoA</w:t>
      </w:r>
      <w:proofErr w:type="spellEnd"/>
      <w:r w:rsidRPr="007E7B89">
        <w:rPr>
          <w:sz w:val="16"/>
          <w:szCs w:val="16"/>
        </w:rPr>
        <w:t>: Statement of Attainment.</w:t>
      </w:r>
    </w:p>
    <w:p w:rsidR="00D67B5E" w:rsidRDefault="00D67B5E" w:rsidP="00D67B5E">
      <w:pPr>
        <w:spacing w:after="0" w:line="240" w:lineRule="auto"/>
        <w:jc w:val="left"/>
        <w:rPr>
          <w:rFonts w:cs="Arial"/>
        </w:rPr>
      </w:pPr>
      <w:r>
        <w:rPr>
          <w:rFonts w:cs="Arial"/>
        </w:rPr>
        <w:br w:type="page"/>
      </w:r>
    </w:p>
    <w:p w:rsidR="00D67B5E" w:rsidRPr="001F29E3" w:rsidRDefault="00D67B5E" w:rsidP="00D67B5E">
      <w:pPr>
        <w:pStyle w:val="Heading2"/>
      </w:pPr>
      <w:bookmarkStart w:id="83" w:name="_Toc366588122"/>
      <w:r w:rsidRPr="001F29E3">
        <w:lastRenderedPageBreak/>
        <w:t>Unemployed Students</w:t>
      </w:r>
      <w:bookmarkEnd w:id="83"/>
    </w:p>
    <w:p w:rsidR="00D67B5E" w:rsidRDefault="00D67B5E" w:rsidP="00D67B5E"/>
    <w:p w:rsidR="00D67B5E" w:rsidRDefault="00D67B5E" w:rsidP="00D67B5E">
      <w:pPr>
        <w:pStyle w:val="Heading3"/>
      </w:pPr>
      <w:r>
        <w:t>Enrolments</w:t>
      </w:r>
    </w:p>
    <w:p w:rsidR="00D67B5E" w:rsidRDefault="00D67B5E" w:rsidP="00D67B5E">
      <w:pPr>
        <w:jc w:val="left"/>
        <w:rPr>
          <w:rFonts w:cs="Arial"/>
          <w:b/>
          <w:bCs/>
          <w:color w:val="76923C"/>
          <w:szCs w:val="19"/>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D67B5E" w:rsidRPr="003B1428" w:rsidTr="0051046D">
        <w:trPr>
          <w:trHeight w:val="1449"/>
        </w:trPr>
        <w:tc>
          <w:tcPr>
            <w:tcW w:w="9088" w:type="dxa"/>
          </w:tcPr>
          <w:p w:rsidR="00D67B5E" w:rsidRDefault="00D67B5E" w:rsidP="0051046D">
            <w:pPr>
              <w:pStyle w:val="Heading3"/>
            </w:pPr>
            <w:r w:rsidRPr="003B1428">
              <w:t>Key Points</w:t>
            </w:r>
          </w:p>
          <w:p w:rsidR="00D67B5E" w:rsidRPr="00A326AF" w:rsidRDefault="00D67B5E" w:rsidP="0051046D"/>
          <w:p w:rsidR="00D67B5E" w:rsidRPr="003B1428" w:rsidRDefault="00D67B5E" w:rsidP="0051046D">
            <w:pPr>
              <w:pStyle w:val="ListBullet"/>
              <w:numPr>
                <w:ilvl w:val="0"/>
                <w:numId w:val="9"/>
              </w:numPr>
              <w:ind w:right="113"/>
              <w:rPr>
                <w:rFonts w:cs="Arial"/>
              </w:rPr>
            </w:pPr>
            <w:r w:rsidRPr="003B1428">
              <w:rPr>
                <w:rFonts w:cs="Arial"/>
              </w:rPr>
              <w:t xml:space="preserve">The number of government subsidised course enrolments undertaken by unemployed students in Q2 2013 was 105,400 which were undertaken by 78,600 unemployed students. About one in two AQF courses enrolled </w:t>
            </w:r>
            <w:r>
              <w:rPr>
                <w:rFonts w:cs="Arial"/>
              </w:rPr>
              <w:t xml:space="preserve">in </w:t>
            </w:r>
            <w:r w:rsidRPr="003B1428">
              <w:rPr>
                <w:rFonts w:cs="Arial"/>
              </w:rPr>
              <w:t xml:space="preserve">by unemployed students was in Certificate III to IV levels. </w:t>
            </w:r>
          </w:p>
          <w:p w:rsidR="00D67B5E" w:rsidRPr="003B1428" w:rsidRDefault="00D67B5E" w:rsidP="0051046D">
            <w:pPr>
              <w:pStyle w:val="ListBullet"/>
              <w:numPr>
                <w:ilvl w:val="0"/>
                <w:numId w:val="9"/>
              </w:numPr>
              <w:ind w:right="113"/>
              <w:rPr>
                <w:rFonts w:cs="Arial"/>
              </w:rPr>
            </w:pPr>
            <w:r w:rsidRPr="003B1428">
              <w:rPr>
                <w:rFonts w:cs="Arial"/>
              </w:rPr>
              <w:t>Enrolments in Diploma and above courses undertaken by unemployed students in Q2 2013 were lower than the corresponding figures in Q2 2011 and Q2 2012.</w:t>
            </w:r>
          </w:p>
          <w:p w:rsidR="00D67B5E" w:rsidRPr="003B1428" w:rsidRDefault="00D67B5E" w:rsidP="0051046D">
            <w:pPr>
              <w:pStyle w:val="ListBullet"/>
              <w:numPr>
                <w:ilvl w:val="0"/>
                <w:numId w:val="9"/>
              </w:numPr>
              <w:ind w:right="113"/>
              <w:rPr>
                <w:rFonts w:cs="Arial"/>
              </w:rPr>
            </w:pPr>
            <w:r w:rsidRPr="003B1428">
              <w:rPr>
                <w:rFonts w:cs="Arial"/>
              </w:rPr>
              <w:t xml:space="preserve">Of those enrolments in industry-specific qualifications (64,500 enrolments) which exclude foundation skills and short courses in Q2 2013, 38 per cent were in courses related to </w:t>
            </w:r>
            <w:proofErr w:type="gramStart"/>
            <w:r w:rsidRPr="003B1428">
              <w:rPr>
                <w:rFonts w:cs="Arial"/>
              </w:rPr>
              <w:t>specialised</w:t>
            </w:r>
            <w:proofErr w:type="gramEnd"/>
            <w:r w:rsidRPr="003B1428">
              <w:rPr>
                <w:rFonts w:cs="Arial"/>
              </w:rPr>
              <w:t xml:space="preserve"> or in shortage occupations. </w:t>
            </w:r>
          </w:p>
        </w:tc>
      </w:tr>
    </w:tbl>
    <w:p w:rsidR="00D67B5E" w:rsidRDefault="00D67B5E" w:rsidP="00D67B5E">
      <w:pPr>
        <w:jc w:val="left"/>
        <w:rPr>
          <w:rFonts w:cs="Arial"/>
          <w:b/>
          <w:bCs/>
          <w:color w:val="76923C"/>
          <w:szCs w:val="19"/>
        </w:rPr>
      </w:pPr>
    </w:p>
    <w:p w:rsidR="00D67B5E" w:rsidRPr="001F29E3" w:rsidRDefault="00D67B5E" w:rsidP="00D67B5E">
      <w:pPr>
        <w:jc w:val="left"/>
        <w:rPr>
          <w:rFonts w:cs="Arial"/>
          <w:b/>
          <w:bCs/>
          <w:color w:val="76923C"/>
          <w:szCs w:val="19"/>
        </w:rPr>
      </w:pPr>
    </w:p>
    <w:p w:rsidR="00D67B5E" w:rsidRPr="001F29E3" w:rsidRDefault="005654CD" w:rsidP="00D67B5E">
      <w:pPr>
        <w:pStyle w:val="Caption"/>
        <w:spacing w:after="0"/>
        <w:jc w:val="left"/>
        <w:rPr>
          <w:rFonts w:cs="Arial"/>
        </w:rPr>
      </w:pPr>
      <w:r>
        <w:rPr>
          <w:rFonts w:cs="Arial"/>
        </w:rPr>
        <w:t>Table 2</w:t>
      </w:r>
      <w:r w:rsidR="00D67B5E" w:rsidRPr="001F29E3">
        <w:rPr>
          <w:rFonts w:cs="Arial"/>
        </w:rPr>
        <w:t>.</w:t>
      </w:r>
      <w:r w:rsidR="00D67B5E">
        <w:rPr>
          <w:rFonts w:cs="Arial"/>
        </w:rPr>
        <w:t>5.1</w:t>
      </w:r>
      <w:r w:rsidR="00D67B5E" w:rsidRPr="001F29E3">
        <w:rPr>
          <w:rFonts w:cs="Arial"/>
        </w:rPr>
        <w:t>: Unemployed students: government subsidised enrolments by qu</w:t>
      </w:r>
      <w:r w:rsidR="00D67B5E">
        <w:rPr>
          <w:rFonts w:cs="Arial"/>
        </w:rPr>
        <w:t>alification level, 2008 – 2012</w:t>
      </w:r>
    </w:p>
    <w:tbl>
      <w:tblPr>
        <w:tblW w:w="9140" w:type="dxa"/>
        <w:tblInd w:w="103" w:type="dxa"/>
        <w:tblLook w:val="04A0" w:firstRow="1" w:lastRow="0" w:firstColumn="1" w:lastColumn="0" w:noHBand="0" w:noVBand="1"/>
      </w:tblPr>
      <w:tblGrid>
        <w:gridCol w:w="2420"/>
        <w:gridCol w:w="1120"/>
        <w:gridCol w:w="1120"/>
        <w:gridCol w:w="1120"/>
        <w:gridCol w:w="1120"/>
        <w:gridCol w:w="1120"/>
        <w:gridCol w:w="1120"/>
      </w:tblGrid>
      <w:tr w:rsidR="00D67B5E" w:rsidRPr="00F67E85" w:rsidTr="0051046D">
        <w:trPr>
          <w:trHeight w:hRule="exact" w:val="760"/>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D67B5E" w:rsidRPr="00F67E85" w:rsidRDefault="00D67B5E" w:rsidP="0051046D">
            <w:pPr>
              <w:spacing w:after="0" w:line="240" w:lineRule="auto"/>
              <w:jc w:val="left"/>
              <w:rPr>
                <w:rFonts w:cs="Arial"/>
                <w:b/>
                <w:bCs/>
                <w:color w:val="FFFFFF"/>
                <w:sz w:val="18"/>
                <w:szCs w:val="18"/>
                <w:lang w:eastAsia="en-AU"/>
              </w:rPr>
            </w:pPr>
            <w:r w:rsidRPr="00F67E85">
              <w:rPr>
                <w:rFonts w:cs="Arial"/>
                <w:b/>
                <w:bCs/>
                <w:color w:val="FFFFFF"/>
                <w:sz w:val="18"/>
                <w:szCs w:val="18"/>
                <w:lang w:eastAsia="en-AU"/>
              </w:rPr>
              <w:t>Qualification level</w:t>
            </w:r>
          </w:p>
        </w:tc>
        <w:tc>
          <w:tcPr>
            <w:tcW w:w="1120" w:type="dxa"/>
            <w:tcBorders>
              <w:top w:val="single" w:sz="4" w:space="0" w:color="5E8A00"/>
              <w:bottom w:val="single" w:sz="4" w:space="0" w:color="5E8A00"/>
            </w:tcBorders>
            <w:shd w:val="clear" w:color="000000" w:fill="5E8A00"/>
            <w:vAlign w:val="center"/>
            <w:hideMark/>
          </w:tcPr>
          <w:p w:rsidR="00D67B5E" w:rsidRPr="00F67E85" w:rsidRDefault="00D67B5E" w:rsidP="00F034AF">
            <w:pPr>
              <w:spacing w:after="0" w:line="240" w:lineRule="auto"/>
              <w:ind w:firstLineChars="100" w:firstLine="181"/>
              <w:jc w:val="right"/>
              <w:rPr>
                <w:rFonts w:cs="Arial"/>
                <w:b/>
                <w:bCs/>
                <w:color w:val="FFFFFF"/>
                <w:sz w:val="18"/>
                <w:szCs w:val="18"/>
                <w:lang w:eastAsia="en-AU"/>
              </w:rPr>
            </w:pPr>
            <w:r w:rsidRPr="00F67E85">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D67B5E" w:rsidRPr="00F67E85" w:rsidRDefault="00D67B5E" w:rsidP="00F034AF">
            <w:pPr>
              <w:spacing w:after="0" w:line="240" w:lineRule="auto"/>
              <w:ind w:firstLineChars="100" w:firstLine="181"/>
              <w:jc w:val="right"/>
              <w:rPr>
                <w:rFonts w:cs="Arial"/>
                <w:b/>
                <w:bCs/>
                <w:color w:val="FFFFFF"/>
                <w:sz w:val="18"/>
                <w:szCs w:val="18"/>
                <w:lang w:eastAsia="en-AU"/>
              </w:rPr>
            </w:pPr>
            <w:r w:rsidRPr="00F67E85">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D67B5E" w:rsidRPr="00F67E85" w:rsidRDefault="00D67B5E" w:rsidP="00F034AF">
            <w:pPr>
              <w:spacing w:after="0" w:line="240" w:lineRule="auto"/>
              <w:ind w:firstLineChars="100" w:firstLine="181"/>
              <w:jc w:val="right"/>
              <w:rPr>
                <w:rFonts w:cs="Arial"/>
                <w:b/>
                <w:bCs/>
                <w:color w:val="FFFFFF"/>
                <w:sz w:val="18"/>
                <w:szCs w:val="18"/>
                <w:lang w:eastAsia="en-AU"/>
              </w:rPr>
            </w:pPr>
            <w:r w:rsidRPr="00F67E85">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D67B5E" w:rsidRPr="00F67E85" w:rsidRDefault="00D67B5E" w:rsidP="00F034AF">
            <w:pPr>
              <w:spacing w:after="0" w:line="240" w:lineRule="auto"/>
              <w:ind w:firstLineChars="100" w:firstLine="181"/>
              <w:jc w:val="right"/>
              <w:rPr>
                <w:rFonts w:cs="Arial"/>
                <w:b/>
                <w:bCs/>
                <w:color w:val="FFFFFF"/>
                <w:sz w:val="18"/>
                <w:szCs w:val="18"/>
                <w:lang w:eastAsia="en-AU"/>
              </w:rPr>
            </w:pPr>
            <w:r w:rsidRPr="00F67E85">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D67B5E" w:rsidRPr="00F67E85" w:rsidRDefault="00D67B5E" w:rsidP="00F034AF">
            <w:pPr>
              <w:spacing w:after="0" w:line="240" w:lineRule="auto"/>
              <w:ind w:firstLineChars="100" w:firstLine="181"/>
              <w:jc w:val="right"/>
              <w:rPr>
                <w:rFonts w:cs="Arial"/>
                <w:b/>
                <w:bCs/>
                <w:color w:val="FFFFFF"/>
                <w:sz w:val="18"/>
                <w:szCs w:val="18"/>
                <w:lang w:eastAsia="en-AU"/>
              </w:rPr>
            </w:pPr>
            <w:r w:rsidRPr="00F67E85">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F67E85" w:rsidRDefault="00D67B5E" w:rsidP="0051046D">
            <w:pPr>
              <w:spacing w:after="0" w:line="240" w:lineRule="auto"/>
              <w:jc w:val="right"/>
              <w:rPr>
                <w:rFonts w:cs="Arial"/>
                <w:b/>
                <w:bCs/>
                <w:color w:val="FFFFFF"/>
                <w:sz w:val="18"/>
                <w:szCs w:val="18"/>
                <w:lang w:eastAsia="en-AU"/>
              </w:rPr>
            </w:pPr>
            <w:r w:rsidRPr="00F67E85">
              <w:rPr>
                <w:rFonts w:cs="Arial"/>
                <w:b/>
                <w:bCs/>
                <w:color w:val="FFFFFF"/>
                <w:sz w:val="18"/>
                <w:szCs w:val="18"/>
                <w:lang w:eastAsia="en-AU"/>
              </w:rPr>
              <w:t>% change</w:t>
            </w:r>
            <w:r w:rsidRPr="00F67E85">
              <w:rPr>
                <w:rFonts w:cs="Arial"/>
                <w:b/>
                <w:bCs/>
                <w:color w:val="FFFFFF"/>
                <w:sz w:val="18"/>
                <w:szCs w:val="18"/>
                <w:lang w:eastAsia="en-AU"/>
              </w:rPr>
              <w:br/>
              <w:t>2008-2012</w:t>
            </w:r>
          </w:p>
        </w:tc>
      </w:tr>
      <w:tr w:rsidR="00D67B5E" w:rsidRPr="00F67E8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F67E85" w:rsidRDefault="00D67B5E" w:rsidP="0051046D">
            <w:pPr>
              <w:spacing w:after="0" w:line="240" w:lineRule="auto"/>
              <w:jc w:val="left"/>
              <w:rPr>
                <w:rFonts w:cs="Arial"/>
                <w:color w:val="3E5B00"/>
                <w:sz w:val="18"/>
                <w:szCs w:val="18"/>
                <w:lang w:eastAsia="en-AU"/>
              </w:rPr>
            </w:pPr>
            <w:r w:rsidRPr="00F67E85">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18,800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21,600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25,700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37,000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54,100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188%</w:t>
            </w:r>
          </w:p>
        </w:tc>
      </w:tr>
      <w:tr w:rsidR="00D67B5E" w:rsidRPr="00F67E8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F67E85" w:rsidRDefault="00D67B5E" w:rsidP="0051046D">
            <w:pPr>
              <w:spacing w:after="0" w:line="240" w:lineRule="auto"/>
              <w:jc w:val="left"/>
              <w:rPr>
                <w:rFonts w:cs="Arial"/>
                <w:color w:val="3E5B00"/>
                <w:sz w:val="18"/>
                <w:szCs w:val="18"/>
                <w:lang w:eastAsia="en-AU"/>
              </w:rPr>
            </w:pPr>
            <w:r w:rsidRPr="00F67E85">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17,400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21,200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30,200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54,500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77,200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344%</w:t>
            </w:r>
          </w:p>
        </w:tc>
      </w:tr>
      <w:tr w:rsidR="00D67B5E" w:rsidRPr="00F67E8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F67E85" w:rsidRDefault="00D67B5E" w:rsidP="0051046D">
            <w:pPr>
              <w:spacing w:after="0" w:line="240" w:lineRule="auto"/>
              <w:jc w:val="left"/>
              <w:rPr>
                <w:rFonts w:cs="Arial"/>
                <w:color w:val="3E5B00"/>
                <w:sz w:val="18"/>
                <w:szCs w:val="18"/>
                <w:lang w:eastAsia="en-AU"/>
              </w:rPr>
            </w:pPr>
            <w:r w:rsidRPr="00F67E85">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9,100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10,700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13,200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16,600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15,700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72%</w:t>
            </w:r>
          </w:p>
        </w:tc>
      </w:tr>
      <w:tr w:rsidR="00D67B5E" w:rsidRPr="00F67E8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F67E85" w:rsidRDefault="00D67B5E" w:rsidP="0051046D">
            <w:pPr>
              <w:spacing w:after="0" w:line="240" w:lineRule="auto"/>
              <w:jc w:val="left"/>
              <w:rPr>
                <w:rFonts w:cs="Arial"/>
                <w:color w:val="3E5B00"/>
                <w:sz w:val="18"/>
                <w:szCs w:val="18"/>
                <w:lang w:eastAsia="en-AU"/>
              </w:rPr>
            </w:pPr>
            <w:r w:rsidRPr="00F67E85">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13,000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11,700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10,600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8,300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7,900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-39%</w:t>
            </w:r>
          </w:p>
        </w:tc>
      </w:tr>
      <w:tr w:rsidR="00D67B5E" w:rsidRPr="00F67E8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F67E85" w:rsidRDefault="00D67B5E" w:rsidP="0051046D">
            <w:pPr>
              <w:spacing w:after="0" w:line="240" w:lineRule="auto"/>
              <w:jc w:val="left"/>
              <w:rPr>
                <w:rFonts w:cs="Arial"/>
                <w:color w:val="3E5B00"/>
                <w:sz w:val="18"/>
                <w:szCs w:val="18"/>
                <w:lang w:eastAsia="en-AU"/>
              </w:rPr>
            </w:pPr>
            <w:r w:rsidRPr="00F67E85">
              <w:rPr>
                <w:rFonts w:cs="Arial"/>
                <w:color w:val="3E5B00"/>
                <w:sz w:val="18"/>
                <w:szCs w:val="18"/>
                <w:lang w:eastAsia="en-AU"/>
              </w:rPr>
              <w:t xml:space="preserve">Secondary, </w:t>
            </w:r>
            <w:proofErr w:type="spellStart"/>
            <w:r w:rsidRPr="00F67E85">
              <w:rPr>
                <w:rFonts w:cs="Arial"/>
                <w:color w:val="3E5B00"/>
                <w:sz w:val="18"/>
                <w:szCs w:val="18"/>
                <w:lang w:eastAsia="en-AU"/>
              </w:rPr>
              <w:t>SoA</w:t>
            </w:r>
            <w:proofErr w:type="spellEnd"/>
            <w:r w:rsidRPr="00F67E85">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5,300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6,000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6,300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6,500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 xml:space="preserve">8,000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F67E85" w:rsidRDefault="00D67B5E" w:rsidP="0051046D">
            <w:pPr>
              <w:spacing w:after="0" w:line="240" w:lineRule="auto"/>
              <w:jc w:val="right"/>
              <w:rPr>
                <w:rFonts w:cs="Arial"/>
                <w:sz w:val="18"/>
                <w:szCs w:val="18"/>
                <w:lang w:eastAsia="en-AU"/>
              </w:rPr>
            </w:pPr>
            <w:r w:rsidRPr="00F67E85">
              <w:rPr>
                <w:rFonts w:cs="Arial"/>
                <w:sz w:val="18"/>
                <w:szCs w:val="18"/>
                <w:lang w:eastAsia="en-AU"/>
              </w:rPr>
              <w:t>52%</w:t>
            </w:r>
          </w:p>
        </w:tc>
      </w:tr>
      <w:tr w:rsidR="00D67B5E" w:rsidRPr="00F67E85" w:rsidTr="0051046D">
        <w:trPr>
          <w:trHeight w:hRule="exact" w:val="284"/>
        </w:trPr>
        <w:tc>
          <w:tcPr>
            <w:tcW w:w="2420" w:type="dxa"/>
            <w:tcBorders>
              <w:top w:val="single" w:sz="4" w:space="0" w:color="5E8A00"/>
              <w:left w:val="single" w:sz="4" w:space="0" w:color="5E8A00"/>
              <w:bottom w:val="nil"/>
            </w:tcBorders>
            <w:shd w:val="clear" w:color="000000" w:fill="5E8A00"/>
            <w:noWrap/>
            <w:vAlign w:val="center"/>
            <w:hideMark/>
          </w:tcPr>
          <w:p w:rsidR="00D67B5E" w:rsidRPr="00F67E85" w:rsidRDefault="00D67B5E" w:rsidP="0051046D">
            <w:pPr>
              <w:spacing w:after="0" w:line="240" w:lineRule="auto"/>
              <w:jc w:val="left"/>
              <w:rPr>
                <w:rFonts w:cs="Arial"/>
                <w:b/>
                <w:bCs/>
                <w:color w:val="FFFFFF"/>
                <w:sz w:val="18"/>
                <w:szCs w:val="18"/>
                <w:lang w:eastAsia="en-AU"/>
              </w:rPr>
            </w:pPr>
            <w:r w:rsidRPr="00F67E85">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D67B5E" w:rsidRPr="00F67E85" w:rsidRDefault="00D67B5E" w:rsidP="0051046D">
            <w:pPr>
              <w:spacing w:after="0" w:line="240" w:lineRule="auto"/>
              <w:jc w:val="right"/>
              <w:rPr>
                <w:rFonts w:cs="Arial"/>
                <w:b/>
                <w:bCs/>
                <w:color w:val="FFFFFF"/>
                <w:sz w:val="18"/>
                <w:szCs w:val="18"/>
                <w:lang w:eastAsia="en-AU"/>
              </w:rPr>
            </w:pPr>
            <w:r w:rsidRPr="00F67E85">
              <w:rPr>
                <w:rFonts w:cs="Arial"/>
                <w:b/>
                <w:bCs/>
                <w:color w:val="FFFFFF"/>
                <w:sz w:val="18"/>
                <w:szCs w:val="18"/>
                <w:lang w:eastAsia="en-AU"/>
              </w:rPr>
              <w:t xml:space="preserve">63,600 </w:t>
            </w:r>
          </w:p>
        </w:tc>
        <w:tc>
          <w:tcPr>
            <w:tcW w:w="1120" w:type="dxa"/>
            <w:tcBorders>
              <w:top w:val="single" w:sz="4" w:space="0" w:color="5E8A00"/>
              <w:bottom w:val="nil"/>
            </w:tcBorders>
            <w:shd w:val="clear" w:color="000000" w:fill="5E8A00"/>
            <w:noWrap/>
            <w:vAlign w:val="center"/>
            <w:hideMark/>
          </w:tcPr>
          <w:p w:rsidR="00D67B5E" w:rsidRPr="00F67E85" w:rsidRDefault="00D67B5E" w:rsidP="0051046D">
            <w:pPr>
              <w:spacing w:after="0" w:line="240" w:lineRule="auto"/>
              <w:jc w:val="right"/>
              <w:rPr>
                <w:rFonts w:cs="Arial"/>
                <w:b/>
                <w:bCs/>
                <w:color w:val="FFFFFF"/>
                <w:sz w:val="18"/>
                <w:szCs w:val="18"/>
                <w:lang w:eastAsia="en-AU"/>
              </w:rPr>
            </w:pPr>
            <w:r w:rsidRPr="00F67E85">
              <w:rPr>
                <w:rFonts w:cs="Arial"/>
                <w:b/>
                <w:bCs/>
                <w:color w:val="FFFFFF"/>
                <w:sz w:val="18"/>
                <w:szCs w:val="18"/>
                <w:lang w:eastAsia="en-AU"/>
              </w:rPr>
              <w:t xml:space="preserve">71,200 </w:t>
            </w:r>
          </w:p>
        </w:tc>
        <w:tc>
          <w:tcPr>
            <w:tcW w:w="1120" w:type="dxa"/>
            <w:tcBorders>
              <w:top w:val="single" w:sz="4" w:space="0" w:color="5E8A00"/>
              <w:bottom w:val="nil"/>
            </w:tcBorders>
            <w:shd w:val="clear" w:color="000000" w:fill="5E8A00"/>
            <w:noWrap/>
            <w:vAlign w:val="center"/>
            <w:hideMark/>
          </w:tcPr>
          <w:p w:rsidR="00D67B5E" w:rsidRPr="00F67E85" w:rsidRDefault="00D67B5E" w:rsidP="0051046D">
            <w:pPr>
              <w:spacing w:after="0" w:line="240" w:lineRule="auto"/>
              <w:jc w:val="right"/>
              <w:rPr>
                <w:rFonts w:cs="Arial"/>
                <w:b/>
                <w:bCs/>
                <w:color w:val="FFFFFF"/>
                <w:sz w:val="18"/>
                <w:szCs w:val="18"/>
                <w:lang w:eastAsia="en-AU"/>
              </w:rPr>
            </w:pPr>
            <w:r w:rsidRPr="00F67E85">
              <w:rPr>
                <w:rFonts w:cs="Arial"/>
                <w:b/>
                <w:bCs/>
                <w:color w:val="FFFFFF"/>
                <w:sz w:val="18"/>
                <w:szCs w:val="18"/>
                <w:lang w:eastAsia="en-AU"/>
              </w:rPr>
              <w:t xml:space="preserve">86,000 </w:t>
            </w:r>
          </w:p>
        </w:tc>
        <w:tc>
          <w:tcPr>
            <w:tcW w:w="1120" w:type="dxa"/>
            <w:tcBorders>
              <w:top w:val="single" w:sz="4" w:space="0" w:color="5E8A00"/>
              <w:bottom w:val="nil"/>
            </w:tcBorders>
            <w:shd w:val="clear" w:color="000000" w:fill="5E8A00"/>
            <w:noWrap/>
            <w:vAlign w:val="center"/>
            <w:hideMark/>
          </w:tcPr>
          <w:p w:rsidR="00D67B5E" w:rsidRPr="00F67E85" w:rsidRDefault="00D67B5E" w:rsidP="0051046D">
            <w:pPr>
              <w:spacing w:after="0" w:line="240" w:lineRule="auto"/>
              <w:jc w:val="right"/>
              <w:rPr>
                <w:rFonts w:cs="Arial"/>
                <w:b/>
                <w:bCs/>
                <w:color w:val="FFFFFF"/>
                <w:sz w:val="18"/>
                <w:szCs w:val="18"/>
                <w:lang w:eastAsia="en-AU"/>
              </w:rPr>
            </w:pPr>
            <w:r w:rsidRPr="00F67E85">
              <w:rPr>
                <w:rFonts w:cs="Arial"/>
                <w:b/>
                <w:bCs/>
                <w:color w:val="FFFFFF"/>
                <w:sz w:val="18"/>
                <w:szCs w:val="18"/>
                <w:lang w:eastAsia="en-AU"/>
              </w:rPr>
              <w:t xml:space="preserve">123,000 </w:t>
            </w:r>
          </w:p>
        </w:tc>
        <w:tc>
          <w:tcPr>
            <w:tcW w:w="1120" w:type="dxa"/>
            <w:tcBorders>
              <w:top w:val="single" w:sz="4" w:space="0" w:color="5E8A00"/>
              <w:bottom w:val="nil"/>
            </w:tcBorders>
            <w:shd w:val="clear" w:color="000000" w:fill="5E8A00"/>
            <w:noWrap/>
            <w:vAlign w:val="center"/>
            <w:hideMark/>
          </w:tcPr>
          <w:p w:rsidR="00D67B5E" w:rsidRPr="00F67E85" w:rsidRDefault="00D67B5E" w:rsidP="0051046D">
            <w:pPr>
              <w:spacing w:after="0" w:line="240" w:lineRule="auto"/>
              <w:jc w:val="right"/>
              <w:rPr>
                <w:rFonts w:cs="Arial"/>
                <w:b/>
                <w:bCs/>
                <w:color w:val="FFFFFF"/>
                <w:sz w:val="18"/>
                <w:szCs w:val="18"/>
                <w:lang w:eastAsia="en-AU"/>
              </w:rPr>
            </w:pPr>
            <w:r w:rsidRPr="00F67E85">
              <w:rPr>
                <w:rFonts w:cs="Arial"/>
                <w:b/>
                <w:bCs/>
                <w:color w:val="FFFFFF"/>
                <w:sz w:val="18"/>
                <w:szCs w:val="18"/>
                <w:lang w:eastAsia="en-AU"/>
              </w:rPr>
              <w:t xml:space="preserve">162,900 </w:t>
            </w:r>
          </w:p>
        </w:tc>
        <w:tc>
          <w:tcPr>
            <w:tcW w:w="1120" w:type="dxa"/>
            <w:tcBorders>
              <w:top w:val="single" w:sz="4" w:space="0" w:color="5E8A00"/>
              <w:bottom w:val="nil"/>
              <w:right w:val="single" w:sz="4" w:space="0" w:color="5E8A00"/>
            </w:tcBorders>
            <w:shd w:val="clear" w:color="000000" w:fill="5E8A00"/>
            <w:noWrap/>
            <w:vAlign w:val="bottom"/>
            <w:hideMark/>
          </w:tcPr>
          <w:p w:rsidR="00D67B5E" w:rsidRPr="00F67E85" w:rsidRDefault="00D67B5E" w:rsidP="0051046D">
            <w:pPr>
              <w:spacing w:after="0" w:line="240" w:lineRule="auto"/>
              <w:jc w:val="right"/>
              <w:rPr>
                <w:rFonts w:cs="Arial"/>
                <w:b/>
                <w:bCs/>
                <w:color w:val="FFFFFF"/>
                <w:sz w:val="18"/>
                <w:szCs w:val="18"/>
                <w:lang w:eastAsia="en-AU"/>
              </w:rPr>
            </w:pPr>
            <w:r w:rsidRPr="00F67E85">
              <w:rPr>
                <w:rFonts w:cs="Arial"/>
                <w:b/>
                <w:bCs/>
                <w:color w:val="FFFFFF"/>
                <w:sz w:val="18"/>
                <w:szCs w:val="18"/>
                <w:lang w:eastAsia="en-AU"/>
              </w:rPr>
              <w:t>156%</w:t>
            </w:r>
          </w:p>
        </w:tc>
      </w:tr>
    </w:tbl>
    <w:p w:rsidR="00D67B5E" w:rsidRPr="007E7B89" w:rsidRDefault="00D67B5E" w:rsidP="00D67B5E">
      <w:pPr>
        <w:spacing w:after="0"/>
        <w:rPr>
          <w:sz w:val="16"/>
          <w:szCs w:val="16"/>
        </w:rPr>
      </w:pPr>
      <w:proofErr w:type="spellStart"/>
      <w:r w:rsidRPr="007E7B89">
        <w:rPr>
          <w:sz w:val="16"/>
          <w:szCs w:val="16"/>
        </w:rPr>
        <w:t>SoA</w:t>
      </w:r>
      <w:proofErr w:type="spellEnd"/>
      <w:r w:rsidRPr="007E7B89">
        <w:rPr>
          <w:sz w:val="16"/>
          <w:szCs w:val="16"/>
        </w:rPr>
        <w:t>: Statement of Attainment.</w:t>
      </w:r>
    </w:p>
    <w:p w:rsidR="00D67B5E" w:rsidRPr="001F29E3" w:rsidRDefault="00D67B5E" w:rsidP="00D67B5E">
      <w:pPr>
        <w:jc w:val="left"/>
        <w:rPr>
          <w:rFonts w:cs="Arial"/>
        </w:rPr>
      </w:pPr>
    </w:p>
    <w:p w:rsidR="00D67B5E" w:rsidRPr="001F29E3" w:rsidRDefault="005654CD" w:rsidP="00D67B5E">
      <w:pPr>
        <w:pStyle w:val="Caption"/>
        <w:spacing w:after="0"/>
        <w:jc w:val="left"/>
        <w:rPr>
          <w:rFonts w:cs="Arial"/>
        </w:rPr>
      </w:pPr>
      <w:r>
        <w:rPr>
          <w:rFonts w:cs="Arial"/>
        </w:rPr>
        <w:t>Table 2</w:t>
      </w:r>
      <w:r w:rsidR="00D67B5E" w:rsidRPr="001F29E3">
        <w:rPr>
          <w:rFonts w:cs="Arial"/>
        </w:rPr>
        <w:t>.</w:t>
      </w:r>
      <w:r w:rsidR="00D67B5E">
        <w:rPr>
          <w:rFonts w:cs="Arial"/>
        </w:rPr>
        <w:t>5.2</w:t>
      </w:r>
      <w:r w:rsidR="00D67B5E" w:rsidRPr="001F29E3">
        <w:rPr>
          <w:rFonts w:cs="Arial"/>
        </w:rPr>
        <w:t>: Unemployed students: government subsidised enrolments by qualification level, Q</w:t>
      </w:r>
      <w:r w:rsidR="00D67B5E">
        <w:rPr>
          <w:rFonts w:cs="Arial"/>
        </w:rPr>
        <w:t>2</w:t>
      </w:r>
      <w:r w:rsidR="00D67B5E" w:rsidRPr="001F29E3">
        <w:rPr>
          <w:rFonts w:cs="Arial"/>
        </w:rPr>
        <w:t xml:space="preserve"> </w:t>
      </w:r>
      <w:r w:rsidR="00D67B5E">
        <w:rPr>
          <w:rFonts w:cs="Arial"/>
        </w:rPr>
        <w:t xml:space="preserve">2011, Q2 </w:t>
      </w:r>
      <w:r w:rsidR="00D67B5E" w:rsidRPr="001F29E3">
        <w:rPr>
          <w:rFonts w:cs="Arial"/>
        </w:rPr>
        <w:t>2012 and Q</w:t>
      </w:r>
      <w:r w:rsidR="00D67B5E">
        <w:rPr>
          <w:rFonts w:cs="Arial"/>
        </w:rPr>
        <w:t>2</w:t>
      </w:r>
      <w:r w:rsidR="00D67B5E" w:rsidRPr="001F29E3">
        <w:rPr>
          <w:rFonts w:cs="Arial"/>
        </w:rPr>
        <w:t xml:space="preserve"> 2013</w:t>
      </w:r>
    </w:p>
    <w:tbl>
      <w:tblPr>
        <w:tblW w:w="8020" w:type="dxa"/>
        <w:tblInd w:w="103" w:type="dxa"/>
        <w:tblLook w:val="04A0" w:firstRow="1" w:lastRow="0" w:firstColumn="1" w:lastColumn="0" w:noHBand="0" w:noVBand="1"/>
      </w:tblPr>
      <w:tblGrid>
        <w:gridCol w:w="2420"/>
        <w:gridCol w:w="1120"/>
        <w:gridCol w:w="1120"/>
        <w:gridCol w:w="1120"/>
        <w:gridCol w:w="1120"/>
        <w:gridCol w:w="1120"/>
      </w:tblGrid>
      <w:tr w:rsidR="00D67B5E" w:rsidRPr="001D0105" w:rsidTr="0051046D">
        <w:trPr>
          <w:trHeight w:hRule="exact" w:val="760"/>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D67B5E" w:rsidRPr="001D0105" w:rsidRDefault="00D67B5E" w:rsidP="0051046D">
            <w:pPr>
              <w:spacing w:after="0" w:line="240" w:lineRule="auto"/>
              <w:jc w:val="left"/>
              <w:rPr>
                <w:rFonts w:cs="Arial"/>
                <w:b/>
                <w:bCs/>
                <w:color w:val="FFFFFF"/>
                <w:sz w:val="18"/>
                <w:szCs w:val="18"/>
                <w:lang w:eastAsia="en-AU"/>
              </w:rPr>
            </w:pPr>
            <w:r w:rsidRPr="001D0105">
              <w:rPr>
                <w:rFonts w:cs="Arial"/>
                <w:b/>
                <w:bCs/>
                <w:color w:val="FFFFFF"/>
                <w:sz w:val="18"/>
                <w:szCs w:val="18"/>
                <w:lang w:eastAsia="en-AU"/>
              </w:rPr>
              <w:t>Qualification level</w:t>
            </w:r>
          </w:p>
        </w:tc>
        <w:tc>
          <w:tcPr>
            <w:tcW w:w="1120" w:type="dxa"/>
            <w:tcBorders>
              <w:top w:val="single" w:sz="4" w:space="0" w:color="5E8A00"/>
              <w:bottom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 change</w:t>
            </w:r>
            <w:r w:rsidRPr="001D0105">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 change</w:t>
            </w:r>
            <w:r w:rsidRPr="001D0105">
              <w:rPr>
                <w:rFonts w:cs="Arial"/>
                <w:b/>
                <w:bCs/>
                <w:color w:val="FFFFFF"/>
                <w:sz w:val="18"/>
                <w:szCs w:val="18"/>
                <w:lang w:eastAsia="en-AU"/>
              </w:rPr>
              <w:br/>
              <w:t>Q2 2012-Q2 2013</w:t>
            </w:r>
          </w:p>
        </w:tc>
      </w:tr>
      <w:tr w:rsidR="00D67B5E" w:rsidRPr="001D010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1D0105" w:rsidRDefault="00D67B5E" w:rsidP="0051046D">
            <w:pPr>
              <w:spacing w:after="0" w:line="240" w:lineRule="auto"/>
              <w:jc w:val="left"/>
              <w:rPr>
                <w:rFonts w:cs="Arial"/>
                <w:color w:val="3E5B00"/>
                <w:sz w:val="18"/>
                <w:szCs w:val="18"/>
                <w:lang w:eastAsia="en-AU"/>
              </w:rPr>
            </w:pPr>
            <w:r w:rsidRPr="001D0105">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19,900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31,900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38,300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93%</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20%</w:t>
            </w:r>
          </w:p>
        </w:tc>
      </w:tr>
      <w:tr w:rsidR="00D67B5E" w:rsidRPr="001D010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1D0105" w:rsidRDefault="00D67B5E" w:rsidP="0051046D">
            <w:pPr>
              <w:spacing w:after="0" w:line="240" w:lineRule="auto"/>
              <w:jc w:val="left"/>
              <w:rPr>
                <w:rFonts w:cs="Arial"/>
                <w:color w:val="3E5B00"/>
                <w:sz w:val="18"/>
                <w:szCs w:val="18"/>
                <w:lang w:eastAsia="en-AU"/>
              </w:rPr>
            </w:pPr>
            <w:r w:rsidRPr="001D0105">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29,500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51,300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48,900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66%</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-5%</w:t>
            </w:r>
          </w:p>
        </w:tc>
      </w:tr>
      <w:tr w:rsidR="00D67B5E" w:rsidRPr="001D010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1D0105" w:rsidRDefault="00D67B5E" w:rsidP="0051046D">
            <w:pPr>
              <w:spacing w:after="0" w:line="240" w:lineRule="auto"/>
              <w:jc w:val="left"/>
              <w:rPr>
                <w:rFonts w:cs="Arial"/>
                <w:color w:val="3E5B00"/>
                <w:sz w:val="18"/>
                <w:szCs w:val="18"/>
                <w:lang w:eastAsia="en-AU"/>
              </w:rPr>
            </w:pPr>
            <w:r w:rsidRPr="001D0105">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12,700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13,400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10,200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-20%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-24%</w:t>
            </w:r>
          </w:p>
        </w:tc>
      </w:tr>
      <w:tr w:rsidR="00D67B5E" w:rsidRPr="001D010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1D0105" w:rsidRDefault="00D67B5E" w:rsidP="0051046D">
            <w:pPr>
              <w:spacing w:after="0" w:line="240" w:lineRule="auto"/>
              <w:jc w:val="left"/>
              <w:rPr>
                <w:rFonts w:cs="Arial"/>
                <w:color w:val="3E5B00"/>
                <w:sz w:val="18"/>
                <w:szCs w:val="18"/>
                <w:lang w:eastAsia="en-AU"/>
              </w:rPr>
            </w:pPr>
            <w:r w:rsidRPr="001D0105">
              <w:rPr>
                <w:rFonts w:cs="Arial"/>
                <w:color w:val="3E5B00"/>
                <w:sz w:val="18"/>
                <w:szCs w:val="18"/>
                <w:lang w:eastAsia="en-AU"/>
              </w:rPr>
              <w:t>Module Only</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3,400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3,000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3,400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-1%</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12%</w:t>
            </w:r>
          </w:p>
        </w:tc>
      </w:tr>
      <w:tr w:rsidR="00D67B5E" w:rsidRPr="001D0105"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1D0105" w:rsidRDefault="00D67B5E" w:rsidP="0051046D">
            <w:pPr>
              <w:spacing w:after="0" w:line="240" w:lineRule="auto"/>
              <w:jc w:val="left"/>
              <w:rPr>
                <w:rFonts w:cs="Arial"/>
                <w:color w:val="3E5B00"/>
                <w:sz w:val="18"/>
                <w:szCs w:val="18"/>
                <w:lang w:eastAsia="en-AU"/>
              </w:rPr>
            </w:pPr>
            <w:r w:rsidRPr="001D0105">
              <w:rPr>
                <w:rFonts w:cs="Arial"/>
                <w:color w:val="3E5B00"/>
                <w:sz w:val="18"/>
                <w:szCs w:val="18"/>
                <w:lang w:eastAsia="en-AU"/>
              </w:rPr>
              <w:t xml:space="preserve">Secondary, </w:t>
            </w:r>
            <w:proofErr w:type="spellStart"/>
            <w:r w:rsidRPr="001D0105">
              <w:rPr>
                <w:rFonts w:cs="Arial"/>
                <w:color w:val="3E5B00"/>
                <w:sz w:val="18"/>
                <w:szCs w:val="18"/>
                <w:lang w:eastAsia="en-AU"/>
              </w:rPr>
              <w:t>SoA</w:t>
            </w:r>
            <w:proofErr w:type="spellEnd"/>
            <w:r w:rsidRPr="001D0105">
              <w:rPr>
                <w:rFonts w:cs="Arial"/>
                <w:color w:val="3E5B00"/>
                <w:sz w:val="18"/>
                <w:szCs w:val="18"/>
                <w:lang w:eastAsia="en-AU"/>
              </w:rPr>
              <w:t xml:space="preserve"> and other</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3,500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5,000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 xml:space="preserve">4,600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31%</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D0105" w:rsidRDefault="00D67B5E" w:rsidP="0051046D">
            <w:pPr>
              <w:spacing w:after="0" w:line="240" w:lineRule="auto"/>
              <w:jc w:val="right"/>
              <w:rPr>
                <w:rFonts w:cs="Arial"/>
                <w:sz w:val="18"/>
                <w:szCs w:val="18"/>
                <w:lang w:eastAsia="en-AU"/>
              </w:rPr>
            </w:pPr>
            <w:r w:rsidRPr="001D0105">
              <w:rPr>
                <w:rFonts w:cs="Arial"/>
                <w:sz w:val="18"/>
                <w:szCs w:val="18"/>
                <w:lang w:eastAsia="en-AU"/>
              </w:rPr>
              <w:t>-7%</w:t>
            </w:r>
          </w:p>
        </w:tc>
      </w:tr>
      <w:tr w:rsidR="00D67B5E" w:rsidRPr="001D0105" w:rsidTr="0051046D">
        <w:trPr>
          <w:trHeight w:hRule="exact" w:val="284"/>
        </w:trPr>
        <w:tc>
          <w:tcPr>
            <w:tcW w:w="2420" w:type="dxa"/>
            <w:tcBorders>
              <w:top w:val="single" w:sz="4" w:space="0" w:color="5E8A00"/>
              <w:left w:val="single" w:sz="4" w:space="0" w:color="5E8A00"/>
              <w:bottom w:val="nil"/>
            </w:tcBorders>
            <w:shd w:val="clear" w:color="000000" w:fill="5E8A00"/>
            <w:noWrap/>
            <w:vAlign w:val="bottom"/>
            <w:hideMark/>
          </w:tcPr>
          <w:p w:rsidR="00D67B5E" w:rsidRPr="001D0105" w:rsidRDefault="00D67B5E" w:rsidP="0051046D">
            <w:pPr>
              <w:spacing w:after="0" w:line="240" w:lineRule="auto"/>
              <w:jc w:val="left"/>
              <w:rPr>
                <w:rFonts w:cs="Arial"/>
                <w:b/>
                <w:bCs/>
                <w:color w:val="FFFFFF"/>
                <w:sz w:val="18"/>
                <w:szCs w:val="18"/>
                <w:lang w:eastAsia="en-AU"/>
              </w:rPr>
            </w:pPr>
            <w:r w:rsidRPr="001D0105">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 xml:space="preserve">68,900 </w:t>
            </w:r>
          </w:p>
        </w:tc>
        <w:tc>
          <w:tcPr>
            <w:tcW w:w="1120" w:type="dxa"/>
            <w:tcBorders>
              <w:top w:val="single" w:sz="4" w:space="0" w:color="5E8A00"/>
              <w:bottom w:val="nil"/>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 xml:space="preserve">104,600 </w:t>
            </w:r>
          </w:p>
        </w:tc>
        <w:tc>
          <w:tcPr>
            <w:tcW w:w="1120" w:type="dxa"/>
            <w:tcBorders>
              <w:top w:val="single" w:sz="4" w:space="0" w:color="5E8A00"/>
              <w:bottom w:val="nil"/>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 xml:space="preserve">105,400 </w:t>
            </w:r>
          </w:p>
        </w:tc>
        <w:tc>
          <w:tcPr>
            <w:tcW w:w="1120" w:type="dxa"/>
            <w:tcBorders>
              <w:top w:val="single" w:sz="4" w:space="0" w:color="5E8A00"/>
              <w:bottom w:val="nil"/>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53%</w:t>
            </w:r>
          </w:p>
        </w:tc>
        <w:tc>
          <w:tcPr>
            <w:tcW w:w="1120" w:type="dxa"/>
            <w:tcBorders>
              <w:top w:val="single" w:sz="4" w:space="0" w:color="5E8A00"/>
              <w:bottom w:val="nil"/>
              <w:right w:val="single" w:sz="4" w:space="0" w:color="5E8A00"/>
            </w:tcBorders>
            <w:shd w:val="clear" w:color="000000" w:fill="5E8A00"/>
            <w:noWrap/>
            <w:vAlign w:val="center"/>
            <w:hideMark/>
          </w:tcPr>
          <w:p w:rsidR="00D67B5E" w:rsidRPr="001D0105" w:rsidRDefault="00D67B5E" w:rsidP="0051046D">
            <w:pPr>
              <w:spacing w:after="0" w:line="240" w:lineRule="auto"/>
              <w:jc w:val="right"/>
              <w:rPr>
                <w:rFonts w:cs="Arial"/>
                <w:b/>
                <w:bCs/>
                <w:color w:val="FFFFFF"/>
                <w:sz w:val="18"/>
                <w:szCs w:val="18"/>
                <w:lang w:eastAsia="en-AU"/>
              </w:rPr>
            </w:pPr>
            <w:r w:rsidRPr="001D0105">
              <w:rPr>
                <w:rFonts w:cs="Arial"/>
                <w:b/>
                <w:bCs/>
                <w:color w:val="FFFFFF"/>
                <w:sz w:val="18"/>
                <w:szCs w:val="18"/>
                <w:lang w:eastAsia="en-AU"/>
              </w:rPr>
              <w:t>1%</w:t>
            </w:r>
          </w:p>
        </w:tc>
      </w:tr>
    </w:tbl>
    <w:p w:rsidR="00D67B5E" w:rsidRPr="007E7B89" w:rsidRDefault="00D67B5E" w:rsidP="00D67B5E">
      <w:pPr>
        <w:spacing w:after="0"/>
        <w:rPr>
          <w:sz w:val="16"/>
          <w:szCs w:val="16"/>
        </w:rPr>
      </w:pPr>
      <w:proofErr w:type="spellStart"/>
      <w:r w:rsidRPr="007E7B89">
        <w:rPr>
          <w:sz w:val="16"/>
          <w:szCs w:val="16"/>
        </w:rPr>
        <w:t>SoA</w:t>
      </w:r>
      <w:proofErr w:type="spellEnd"/>
      <w:r w:rsidRPr="007E7B89">
        <w:rPr>
          <w:sz w:val="16"/>
          <w:szCs w:val="16"/>
        </w:rPr>
        <w:t>: Statement of Attainment.</w:t>
      </w:r>
    </w:p>
    <w:p w:rsidR="00D67B5E" w:rsidRDefault="00D67B5E" w:rsidP="00D67B5E">
      <w:pPr>
        <w:spacing w:after="0" w:line="240" w:lineRule="auto"/>
        <w:jc w:val="left"/>
        <w:rPr>
          <w:rFonts w:cs="Arial"/>
        </w:rPr>
      </w:pPr>
      <w:r>
        <w:rPr>
          <w:rFonts w:cs="Arial"/>
        </w:rPr>
        <w:br w:type="page"/>
      </w:r>
    </w:p>
    <w:p w:rsidR="00D67B5E" w:rsidRPr="001F29E3" w:rsidRDefault="00D67B5E" w:rsidP="00D67B5E">
      <w:pPr>
        <w:pStyle w:val="Heading2"/>
        <w:jc w:val="left"/>
      </w:pPr>
      <w:bookmarkStart w:id="84" w:name="_Toc366588123"/>
      <w:r w:rsidRPr="001F29E3">
        <w:lastRenderedPageBreak/>
        <w:t>Young People (A</w:t>
      </w:r>
      <w:r>
        <w:t>ged 15 to 19) W</w:t>
      </w:r>
      <w:r w:rsidRPr="001F29E3">
        <w:t xml:space="preserve">ithout Year 12 or </w:t>
      </w:r>
      <w:r>
        <w:t>E</w:t>
      </w:r>
      <w:r w:rsidRPr="001F29E3">
        <w:t>quivalent and</w:t>
      </w:r>
      <w:r w:rsidRPr="001F29E3">
        <w:br/>
        <w:t>Not at School</w:t>
      </w:r>
      <w:bookmarkEnd w:id="84"/>
    </w:p>
    <w:p w:rsidR="00D67B5E" w:rsidRDefault="00D67B5E" w:rsidP="00D67B5E">
      <w:pPr>
        <w:rPr>
          <w:rFonts w:cs="Arial"/>
        </w:rPr>
      </w:pPr>
    </w:p>
    <w:p w:rsidR="00D67B5E" w:rsidRDefault="00D67B5E" w:rsidP="00D67B5E">
      <w:pPr>
        <w:pStyle w:val="Heading3"/>
      </w:pPr>
      <w:r>
        <w:t>Enrolments</w:t>
      </w:r>
    </w:p>
    <w:p w:rsidR="00D67B5E" w:rsidRPr="001F29E3" w:rsidRDefault="00D67B5E" w:rsidP="00D67B5E">
      <w:pPr>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D67B5E" w:rsidRPr="001F29E3" w:rsidTr="0051046D">
        <w:trPr>
          <w:trHeight w:val="1449"/>
        </w:trPr>
        <w:tc>
          <w:tcPr>
            <w:tcW w:w="9088" w:type="dxa"/>
          </w:tcPr>
          <w:p w:rsidR="00D67B5E" w:rsidRDefault="00D67B5E" w:rsidP="0051046D">
            <w:pPr>
              <w:pStyle w:val="Heading3"/>
            </w:pPr>
            <w:r w:rsidRPr="007F6BFA">
              <w:t>Key Points</w:t>
            </w:r>
          </w:p>
          <w:p w:rsidR="00D67B5E" w:rsidRPr="00A326AF" w:rsidRDefault="00D67B5E" w:rsidP="0051046D"/>
          <w:p w:rsidR="00D67B5E" w:rsidRPr="007F6BFA" w:rsidRDefault="00D67B5E" w:rsidP="0051046D">
            <w:pPr>
              <w:pStyle w:val="ListBullet"/>
              <w:numPr>
                <w:ilvl w:val="0"/>
                <w:numId w:val="9"/>
              </w:numPr>
              <w:ind w:right="113"/>
              <w:rPr>
                <w:rFonts w:cs="Arial"/>
              </w:rPr>
            </w:pPr>
            <w:r w:rsidRPr="007F6BFA">
              <w:rPr>
                <w:rFonts w:cs="Arial"/>
              </w:rPr>
              <w:t xml:space="preserve">The total number of government subsidised enrolments at </w:t>
            </w:r>
            <w:r w:rsidR="00A516C2">
              <w:rPr>
                <w:rFonts w:cs="Arial"/>
              </w:rPr>
              <w:t>C</w:t>
            </w:r>
            <w:r w:rsidRPr="007F6BFA">
              <w:rPr>
                <w:rFonts w:cs="Arial"/>
              </w:rPr>
              <w:t>ertificate II and above of young people without a Year 12 or equivalent and not in school was 19,300 Q1 2013. This number is lower than the corresponding figures in Q2 2011 and Q2 2012.</w:t>
            </w:r>
          </w:p>
          <w:p w:rsidR="00D67B5E" w:rsidRPr="007F6BFA" w:rsidRDefault="00D67B5E" w:rsidP="0051046D">
            <w:pPr>
              <w:pStyle w:val="ListBullet"/>
              <w:numPr>
                <w:ilvl w:val="0"/>
                <w:numId w:val="9"/>
              </w:numPr>
              <w:ind w:right="113"/>
              <w:rPr>
                <w:rFonts w:cs="Arial"/>
              </w:rPr>
            </w:pPr>
            <w:r w:rsidRPr="007F6BFA">
              <w:rPr>
                <w:rFonts w:cs="Arial"/>
              </w:rPr>
              <w:t xml:space="preserve">Of those enrolments in industry-specific qualifications (16,300 enrolments) which exclude foundation skills courses in Q2 2013, 44 per cent were in courses related to </w:t>
            </w:r>
            <w:proofErr w:type="gramStart"/>
            <w:r w:rsidRPr="007F6BFA">
              <w:rPr>
                <w:rFonts w:cs="Arial"/>
              </w:rPr>
              <w:t>specialised</w:t>
            </w:r>
            <w:proofErr w:type="gramEnd"/>
            <w:r w:rsidRPr="007F6BFA">
              <w:rPr>
                <w:rFonts w:cs="Arial"/>
              </w:rPr>
              <w:t xml:space="preserve"> or in shortage occupations. </w:t>
            </w:r>
          </w:p>
        </w:tc>
      </w:tr>
    </w:tbl>
    <w:p w:rsidR="00D67B5E" w:rsidRDefault="00D67B5E" w:rsidP="00D67B5E">
      <w:pPr>
        <w:rPr>
          <w:rFonts w:cs="Arial"/>
        </w:rPr>
      </w:pPr>
    </w:p>
    <w:p w:rsidR="00D67B5E" w:rsidRPr="001F29E3" w:rsidRDefault="00D67B5E" w:rsidP="00D67B5E">
      <w:pPr>
        <w:rPr>
          <w:rFonts w:cs="Arial"/>
        </w:rPr>
      </w:pPr>
    </w:p>
    <w:p w:rsidR="00D67B5E" w:rsidRPr="001F29E3" w:rsidRDefault="005654CD" w:rsidP="00D67B5E">
      <w:pPr>
        <w:pStyle w:val="Caption"/>
        <w:spacing w:after="0"/>
        <w:jc w:val="left"/>
        <w:rPr>
          <w:rFonts w:cs="Arial"/>
        </w:rPr>
      </w:pPr>
      <w:r>
        <w:rPr>
          <w:rFonts w:cs="Arial"/>
        </w:rPr>
        <w:t>Table 2</w:t>
      </w:r>
      <w:r w:rsidR="00D67B5E" w:rsidRPr="001F29E3">
        <w:rPr>
          <w:rFonts w:cs="Arial"/>
        </w:rPr>
        <w:t>.</w:t>
      </w:r>
      <w:r w:rsidR="00D67B5E">
        <w:rPr>
          <w:rFonts w:cs="Arial"/>
        </w:rPr>
        <w:t>6.1:</w:t>
      </w:r>
      <w:r w:rsidR="00D67B5E" w:rsidRPr="001F29E3">
        <w:rPr>
          <w:rFonts w:cs="Arial"/>
        </w:rPr>
        <w:t xml:space="preserve"> Youth transition: government subsidised enrolments Cert II and above by students aged 15 to 19 who did not complete Year 12 or equivalent and not at school, 2008 – 2012</w:t>
      </w:r>
    </w:p>
    <w:tbl>
      <w:tblPr>
        <w:tblW w:w="9140" w:type="dxa"/>
        <w:tblInd w:w="108" w:type="dxa"/>
        <w:tblLook w:val="04A0" w:firstRow="1" w:lastRow="0" w:firstColumn="1" w:lastColumn="0" w:noHBand="0" w:noVBand="1"/>
      </w:tblPr>
      <w:tblGrid>
        <w:gridCol w:w="2420"/>
        <w:gridCol w:w="1120"/>
        <w:gridCol w:w="1120"/>
        <w:gridCol w:w="1120"/>
        <w:gridCol w:w="1120"/>
        <w:gridCol w:w="1120"/>
        <w:gridCol w:w="1120"/>
      </w:tblGrid>
      <w:tr w:rsidR="00D67B5E" w:rsidRPr="00AD0774" w:rsidTr="0051046D">
        <w:trPr>
          <w:trHeight w:hRule="exact" w:val="760"/>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D67B5E" w:rsidRPr="00AD0774" w:rsidRDefault="00D67B5E" w:rsidP="00F034AF">
            <w:pPr>
              <w:spacing w:after="0" w:line="240" w:lineRule="auto"/>
              <w:ind w:firstLineChars="100" w:firstLine="181"/>
              <w:jc w:val="left"/>
              <w:rPr>
                <w:rFonts w:cs="Arial"/>
                <w:b/>
                <w:bCs/>
                <w:color w:val="FFFFFF"/>
                <w:sz w:val="18"/>
                <w:szCs w:val="18"/>
                <w:lang w:eastAsia="en-AU"/>
              </w:rPr>
            </w:pPr>
            <w:r w:rsidRPr="00AD0774">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D67B5E" w:rsidRPr="00AD0774" w:rsidRDefault="00D67B5E" w:rsidP="00F034AF">
            <w:pPr>
              <w:spacing w:after="0" w:line="240" w:lineRule="auto"/>
              <w:ind w:firstLineChars="100" w:firstLine="181"/>
              <w:jc w:val="right"/>
              <w:rPr>
                <w:rFonts w:cs="Arial"/>
                <w:b/>
                <w:bCs/>
                <w:color w:val="FFFFFF"/>
                <w:sz w:val="18"/>
                <w:szCs w:val="18"/>
                <w:lang w:eastAsia="en-AU"/>
              </w:rPr>
            </w:pPr>
            <w:r w:rsidRPr="00AD0774">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D67B5E" w:rsidRPr="00AD0774" w:rsidRDefault="00D67B5E" w:rsidP="00F034AF">
            <w:pPr>
              <w:spacing w:after="0" w:line="240" w:lineRule="auto"/>
              <w:ind w:firstLineChars="100" w:firstLine="181"/>
              <w:jc w:val="right"/>
              <w:rPr>
                <w:rFonts w:cs="Arial"/>
                <w:b/>
                <w:bCs/>
                <w:color w:val="FFFFFF"/>
                <w:sz w:val="18"/>
                <w:szCs w:val="18"/>
                <w:lang w:eastAsia="en-AU"/>
              </w:rPr>
            </w:pPr>
            <w:r w:rsidRPr="00AD0774">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D67B5E" w:rsidRPr="00AD0774" w:rsidRDefault="00D67B5E" w:rsidP="00F034AF">
            <w:pPr>
              <w:spacing w:after="0" w:line="240" w:lineRule="auto"/>
              <w:ind w:firstLineChars="100" w:firstLine="181"/>
              <w:jc w:val="right"/>
              <w:rPr>
                <w:rFonts w:cs="Arial"/>
                <w:b/>
                <w:bCs/>
                <w:color w:val="FFFFFF"/>
                <w:sz w:val="18"/>
                <w:szCs w:val="18"/>
                <w:lang w:eastAsia="en-AU"/>
              </w:rPr>
            </w:pPr>
            <w:r w:rsidRPr="00AD0774">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D67B5E" w:rsidRPr="00AD0774" w:rsidRDefault="00D67B5E" w:rsidP="00F034AF">
            <w:pPr>
              <w:spacing w:after="0" w:line="240" w:lineRule="auto"/>
              <w:ind w:firstLineChars="100" w:firstLine="181"/>
              <w:jc w:val="right"/>
              <w:rPr>
                <w:rFonts w:cs="Arial"/>
                <w:b/>
                <w:bCs/>
                <w:color w:val="FFFFFF"/>
                <w:sz w:val="18"/>
                <w:szCs w:val="18"/>
                <w:lang w:eastAsia="en-AU"/>
              </w:rPr>
            </w:pPr>
            <w:r w:rsidRPr="00AD0774">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D67B5E" w:rsidRPr="00AD0774" w:rsidRDefault="00D67B5E" w:rsidP="00F034AF">
            <w:pPr>
              <w:spacing w:after="0" w:line="240" w:lineRule="auto"/>
              <w:ind w:firstLineChars="100" w:firstLine="181"/>
              <w:jc w:val="right"/>
              <w:rPr>
                <w:rFonts w:cs="Arial"/>
                <w:b/>
                <w:bCs/>
                <w:color w:val="FFFFFF"/>
                <w:sz w:val="18"/>
                <w:szCs w:val="18"/>
                <w:lang w:eastAsia="en-AU"/>
              </w:rPr>
            </w:pPr>
            <w:r w:rsidRPr="00AD0774">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AD0774" w:rsidRDefault="00D67B5E" w:rsidP="0051046D">
            <w:pPr>
              <w:spacing w:after="0" w:line="240" w:lineRule="auto"/>
              <w:jc w:val="right"/>
              <w:rPr>
                <w:rFonts w:cs="Arial"/>
                <w:b/>
                <w:bCs/>
                <w:color w:val="FFFFFF"/>
                <w:sz w:val="18"/>
                <w:szCs w:val="18"/>
                <w:lang w:eastAsia="en-AU"/>
              </w:rPr>
            </w:pPr>
            <w:r w:rsidRPr="00AD0774">
              <w:rPr>
                <w:rFonts w:cs="Arial"/>
                <w:b/>
                <w:bCs/>
                <w:color w:val="FFFFFF"/>
                <w:sz w:val="18"/>
                <w:szCs w:val="18"/>
                <w:lang w:eastAsia="en-AU"/>
              </w:rPr>
              <w:t>% change</w:t>
            </w:r>
            <w:r w:rsidRPr="00AD0774">
              <w:rPr>
                <w:rFonts w:cs="Arial"/>
                <w:b/>
                <w:bCs/>
                <w:color w:val="FFFFFF"/>
                <w:sz w:val="18"/>
                <w:szCs w:val="18"/>
                <w:lang w:eastAsia="en-AU"/>
              </w:rPr>
              <w:br/>
              <w:t>2008-2012</w:t>
            </w:r>
          </w:p>
        </w:tc>
      </w:tr>
      <w:tr w:rsidR="00D67B5E" w:rsidRPr="00AD0774"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AD0774" w:rsidRDefault="00D67B5E" w:rsidP="0051046D">
            <w:pPr>
              <w:spacing w:after="0" w:line="240" w:lineRule="auto"/>
              <w:jc w:val="left"/>
              <w:rPr>
                <w:rFonts w:cs="Arial"/>
                <w:color w:val="3E5B00"/>
                <w:sz w:val="18"/>
                <w:szCs w:val="18"/>
                <w:lang w:eastAsia="en-AU"/>
              </w:rPr>
            </w:pPr>
            <w:r w:rsidRPr="00AD0774">
              <w:rPr>
                <w:rFonts w:cs="Arial"/>
                <w:color w:val="3E5B00"/>
                <w:sz w:val="18"/>
                <w:szCs w:val="18"/>
                <w:lang w:eastAsia="en-AU"/>
              </w:rPr>
              <w:t>Cert II</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8,300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8,600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10,900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12,700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12,000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44%</w:t>
            </w:r>
          </w:p>
        </w:tc>
      </w:tr>
      <w:tr w:rsidR="00D67B5E" w:rsidRPr="00AD0774"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AD0774" w:rsidRDefault="00D67B5E" w:rsidP="0051046D">
            <w:pPr>
              <w:spacing w:after="0" w:line="240" w:lineRule="auto"/>
              <w:jc w:val="left"/>
              <w:rPr>
                <w:rFonts w:cs="Arial"/>
                <w:color w:val="3E5B00"/>
                <w:sz w:val="18"/>
                <w:szCs w:val="18"/>
                <w:lang w:eastAsia="en-AU"/>
              </w:rPr>
            </w:pPr>
            <w:r w:rsidRPr="00AD0774">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16,500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15,800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18,400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20,400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22,100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34%</w:t>
            </w:r>
          </w:p>
        </w:tc>
      </w:tr>
      <w:tr w:rsidR="00D67B5E" w:rsidRPr="00AD0774" w:rsidTr="0051046D">
        <w:trPr>
          <w:trHeight w:hRule="exact" w:val="284"/>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AD0774" w:rsidRDefault="00D67B5E" w:rsidP="0051046D">
            <w:pPr>
              <w:spacing w:after="0" w:line="240" w:lineRule="auto"/>
              <w:jc w:val="left"/>
              <w:rPr>
                <w:rFonts w:cs="Arial"/>
                <w:color w:val="3E5B00"/>
                <w:sz w:val="18"/>
                <w:szCs w:val="18"/>
                <w:lang w:eastAsia="en-AU"/>
              </w:rPr>
            </w:pPr>
            <w:r w:rsidRPr="00AD0774">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650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800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850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1,100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900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AD0774" w:rsidRDefault="00D67B5E" w:rsidP="0051046D">
            <w:pPr>
              <w:spacing w:after="0" w:line="240" w:lineRule="auto"/>
              <w:jc w:val="right"/>
              <w:rPr>
                <w:rFonts w:cs="Arial"/>
                <w:sz w:val="18"/>
                <w:szCs w:val="18"/>
                <w:lang w:eastAsia="en-AU"/>
              </w:rPr>
            </w:pPr>
            <w:r w:rsidRPr="00AD0774">
              <w:rPr>
                <w:rFonts w:cs="Arial"/>
                <w:sz w:val="18"/>
                <w:szCs w:val="18"/>
                <w:lang w:eastAsia="en-AU"/>
              </w:rPr>
              <w:t>45%</w:t>
            </w:r>
          </w:p>
        </w:tc>
      </w:tr>
      <w:tr w:rsidR="00D67B5E" w:rsidRPr="00AD0774" w:rsidTr="0051046D">
        <w:trPr>
          <w:trHeight w:hRule="exact" w:val="284"/>
        </w:trPr>
        <w:tc>
          <w:tcPr>
            <w:tcW w:w="2420" w:type="dxa"/>
            <w:tcBorders>
              <w:top w:val="single" w:sz="4" w:space="0" w:color="5E8A00"/>
              <w:left w:val="single" w:sz="4" w:space="0" w:color="5E8A00"/>
              <w:bottom w:val="nil"/>
            </w:tcBorders>
            <w:shd w:val="clear" w:color="000000" w:fill="5E8A00"/>
            <w:noWrap/>
            <w:vAlign w:val="bottom"/>
            <w:hideMark/>
          </w:tcPr>
          <w:p w:rsidR="00D67B5E" w:rsidRPr="00AD0774" w:rsidRDefault="00D67B5E" w:rsidP="0051046D">
            <w:pPr>
              <w:spacing w:after="0" w:line="240" w:lineRule="auto"/>
              <w:jc w:val="left"/>
              <w:rPr>
                <w:rFonts w:cs="Arial"/>
                <w:b/>
                <w:bCs/>
                <w:color w:val="FFFFFF"/>
                <w:sz w:val="18"/>
                <w:szCs w:val="18"/>
                <w:lang w:eastAsia="en-AU"/>
              </w:rPr>
            </w:pPr>
            <w:r w:rsidRPr="00AD0774">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bottom"/>
            <w:hideMark/>
          </w:tcPr>
          <w:p w:rsidR="00D67B5E" w:rsidRPr="00AD0774" w:rsidRDefault="00D67B5E" w:rsidP="0051046D">
            <w:pPr>
              <w:spacing w:after="0" w:line="240" w:lineRule="auto"/>
              <w:jc w:val="right"/>
              <w:rPr>
                <w:rFonts w:cs="Arial"/>
                <w:b/>
                <w:bCs/>
                <w:color w:val="FFFFFF"/>
                <w:sz w:val="18"/>
                <w:szCs w:val="18"/>
                <w:lang w:eastAsia="en-AU"/>
              </w:rPr>
            </w:pPr>
            <w:r w:rsidRPr="00AD0774">
              <w:rPr>
                <w:rFonts w:cs="Arial"/>
                <w:b/>
                <w:bCs/>
                <w:color w:val="FFFFFF"/>
                <w:sz w:val="18"/>
                <w:szCs w:val="18"/>
                <w:lang w:eastAsia="en-AU"/>
              </w:rPr>
              <w:t>25,500</w:t>
            </w:r>
          </w:p>
        </w:tc>
        <w:tc>
          <w:tcPr>
            <w:tcW w:w="1120" w:type="dxa"/>
            <w:tcBorders>
              <w:top w:val="single" w:sz="4" w:space="0" w:color="5E8A00"/>
              <w:bottom w:val="nil"/>
            </w:tcBorders>
            <w:shd w:val="clear" w:color="000000" w:fill="5E8A00"/>
            <w:noWrap/>
            <w:vAlign w:val="bottom"/>
            <w:hideMark/>
          </w:tcPr>
          <w:p w:rsidR="00D67B5E" w:rsidRPr="00AD0774" w:rsidRDefault="00D67B5E" w:rsidP="0051046D">
            <w:pPr>
              <w:spacing w:after="0" w:line="240" w:lineRule="auto"/>
              <w:jc w:val="right"/>
              <w:rPr>
                <w:rFonts w:cs="Arial"/>
                <w:b/>
                <w:bCs/>
                <w:color w:val="FFFFFF"/>
                <w:sz w:val="18"/>
                <w:szCs w:val="18"/>
                <w:lang w:eastAsia="en-AU"/>
              </w:rPr>
            </w:pPr>
            <w:r w:rsidRPr="00AD0774">
              <w:rPr>
                <w:rFonts w:cs="Arial"/>
                <w:b/>
                <w:bCs/>
                <w:color w:val="FFFFFF"/>
                <w:sz w:val="18"/>
                <w:szCs w:val="18"/>
                <w:lang w:eastAsia="en-AU"/>
              </w:rPr>
              <w:t>25,200</w:t>
            </w:r>
          </w:p>
        </w:tc>
        <w:tc>
          <w:tcPr>
            <w:tcW w:w="1120" w:type="dxa"/>
            <w:tcBorders>
              <w:top w:val="single" w:sz="4" w:space="0" w:color="5E8A00"/>
              <w:bottom w:val="nil"/>
            </w:tcBorders>
            <w:shd w:val="clear" w:color="000000" w:fill="5E8A00"/>
            <w:noWrap/>
            <w:vAlign w:val="bottom"/>
            <w:hideMark/>
          </w:tcPr>
          <w:p w:rsidR="00D67B5E" w:rsidRPr="00AD0774" w:rsidRDefault="00D67B5E" w:rsidP="0051046D">
            <w:pPr>
              <w:spacing w:after="0" w:line="240" w:lineRule="auto"/>
              <w:jc w:val="right"/>
              <w:rPr>
                <w:rFonts w:cs="Arial"/>
                <w:b/>
                <w:bCs/>
                <w:color w:val="FFFFFF"/>
                <w:sz w:val="18"/>
                <w:szCs w:val="18"/>
                <w:lang w:eastAsia="en-AU"/>
              </w:rPr>
            </w:pPr>
            <w:r w:rsidRPr="00AD0774">
              <w:rPr>
                <w:rFonts w:cs="Arial"/>
                <w:b/>
                <w:bCs/>
                <w:color w:val="FFFFFF"/>
                <w:sz w:val="18"/>
                <w:szCs w:val="18"/>
                <w:lang w:eastAsia="en-AU"/>
              </w:rPr>
              <w:t>30,100</w:t>
            </w:r>
          </w:p>
        </w:tc>
        <w:tc>
          <w:tcPr>
            <w:tcW w:w="1120" w:type="dxa"/>
            <w:tcBorders>
              <w:top w:val="single" w:sz="4" w:space="0" w:color="5E8A00"/>
              <w:bottom w:val="nil"/>
            </w:tcBorders>
            <w:shd w:val="clear" w:color="000000" w:fill="5E8A00"/>
            <w:noWrap/>
            <w:vAlign w:val="bottom"/>
            <w:hideMark/>
          </w:tcPr>
          <w:p w:rsidR="00D67B5E" w:rsidRPr="00AD0774" w:rsidRDefault="00D67B5E" w:rsidP="0051046D">
            <w:pPr>
              <w:spacing w:after="0" w:line="240" w:lineRule="auto"/>
              <w:jc w:val="right"/>
              <w:rPr>
                <w:rFonts w:cs="Arial"/>
                <w:b/>
                <w:bCs/>
                <w:color w:val="FFFFFF"/>
                <w:sz w:val="18"/>
                <w:szCs w:val="18"/>
                <w:lang w:eastAsia="en-AU"/>
              </w:rPr>
            </w:pPr>
            <w:r w:rsidRPr="00AD0774">
              <w:rPr>
                <w:rFonts w:cs="Arial"/>
                <w:b/>
                <w:bCs/>
                <w:color w:val="FFFFFF"/>
                <w:sz w:val="18"/>
                <w:szCs w:val="18"/>
                <w:lang w:eastAsia="en-AU"/>
              </w:rPr>
              <w:t>34,100</w:t>
            </w:r>
          </w:p>
        </w:tc>
        <w:tc>
          <w:tcPr>
            <w:tcW w:w="1120" w:type="dxa"/>
            <w:tcBorders>
              <w:top w:val="single" w:sz="4" w:space="0" w:color="5E8A00"/>
              <w:bottom w:val="nil"/>
            </w:tcBorders>
            <w:shd w:val="clear" w:color="000000" w:fill="5E8A00"/>
            <w:noWrap/>
            <w:vAlign w:val="bottom"/>
            <w:hideMark/>
          </w:tcPr>
          <w:p w:rsidR="00D67B5E" w:rsidRPr="00AD0774" w:rsidRDefault="00D67B5E" w:rsidP="0051046D">
            <w:pPr>
              <w:spacing w:after="0" w:line="240" w:lineRule="auto"/>
              <w:jc w:val="right"/>
              <w:rPr>
                <w:rFonts w:cs="Arial"/>
                <w:b/>
                <w:bCs/>
                <w:color w:val="FFFFFF"/>
                <w:sz w:val="18"/>
                <w:szCs w:val="18"/>
                <w:lang w:eastAsia="en-AU"/>
              </w:rPr>
            </w:pPr>
            <w:r w:rsidRPr="00AD0774">
              <w:rPr>
                <w:rFonts w:cs="Arial"/>
                <w:b/>
                <w:bCs/>
                <w:color w:val="FFFFFF"/>
                <w:sz w:val="18"/>
                <w:szCs w:val="18"/>
                <w:lang w:eastAsia="en-AU"/>
              </w:rPr>
              <w:t>35,000</w:t>
            </w:r>
          </w:p>
        </w:tc>
        <w:tc>
          <w:tcPr>
            <w:tcW w:w="1120" w:type="dxa"/>
            <w:tcBorders>
              <w:top w:val="single" w:sz="4" w:space="0" w:color="5E8A00"/>
              <w:bottom w:val="nil"/>
              <w:right w:val="single" w:sz="4" w:space="0" w:color="5E8A00"/>
            </w:tcBorders>
            <w:shd w:val="clear" w:color="000000" w:fill="5E8A00"/>
            <w:noWrap/>
            <w:vAlign w:val="center"/>
            <w:hideMark/>
          </w:tcPr>
          <w:p w:rsidR="00D67B5E" w:rsidRPr="00AD0774" w:rsidRDefault="00D67B5E" w:rsidP="0051046D">
            <w:pPr>
              <w:spacing w:after="0" w:line="240" w:lineRule="auto"/>
              <w:jc w:val="right"/>
              <w:rPr>
                <w:rFonts w:cs="Arial"/>
                <w:b/>
                <w:bCs/>
                <w:color w:val="FFFFFF"/>
                <w:sz w:val="18"/>
                <w:szCs w:val="18"/>
                <w:lang w:eastAsia="en-AU"/>
              </w:rPr>
            </w:pPr>
            <w:r w:rsidRPr="00AD0774">
              <w:rPr>
                <w:rFonts w:cs="Arial"/>
                <w:b/>
                <w:bCs/>
                <w:color w:val="FFFFFF"/>
                <w:sz w:val="18"/>
                <w:szCs w:val="18"/>
                <w:lang w:eastAsia="en-AU"/>
              </w:rPr>
              <w:t>37%</w:t>
            </w:r>
          </w:p>
        </w:tc>
      </w:tr>
    </w:tbl>
    <w:p w:rsidR="00D67B5E" w:rsidRDefault="00D67B5E" w:rsidP="00D67B5E">
      <w:pPr>
        <w:rPr>
          <w:rFonts w:cs="Arial"/>
        </w:rPr>
      </w:pPr>
    </w:p>
    <w:p w:rsidR="00D67B5E" w:rsidRPr="001F29E3" w:rsidRDefault="005654CD" w:rsidP="00D67B5E">
      <w:pPr>
        <w:pStyle w:val="Caption"/>
        <w:spacing w:after="0"/>
        <w:jc w:val="left"/>
        <w:rPr>
          <w:rFonts w:cs="Arial"/>
        </w:rPr>
      </w:pPr>
      <w:r>
        <w:rPr>
          <w:rFonts w:cs="Arial"/>
        </w:rPr>
        <w:t>Table 2</w:t>
      </w:r>
      <w:r w:rsidR="00D67B5E" w:rsidRPr="001F29E3">
        <w:rPr>
          <w:rFonts w:cs="Arial"/>
        </w:rPr>
        <w:t>.</w:t>
      </w:r>
      <w:r w:rsidR="00D67B5E">
        <w:rPr>
          <w:rFonts w:cs="Arial"/>
        </w:rPr>
        <w:t>6.2:</w:t>
      </w:r>
      <w:r w:rsidR="00D67B5E" w:rsidRPr="001F29E3">
        <w:rPr>
          <w:rFonts w:cs="Arial"/>
        </w:rPr>
        <w:t xml:space="preserve"> Youth transition: government subsidised enrolments Cert II and above by students aged 15 to 19 who did not complete Year 12 or equivalent and not at school, </w:t>
      </w:r>
      <w:r w:rsidR="00D67B5E">
        <w:rPr>
          <w:rFonts w:cs="Arial"/>
        </w:rPr>
        <w:t xml:space="preserve">Q2 2011, </w:t>
      </w:r>
      <w:r w:rsidR="00D67B5E" w:rsidRPr="001F29E3">
        <w:rPr>
          <w:rFonts w:cs="Arial"/>
        </w:rPr>
        <w:t>Q</w:t>
      </w:r>
      <w:r w:rsidR="00D67B5E">
        <w:rPr>
          <w:rFonts w:cs="Arial"/>
        </w:rPr>
        <w:t>2</w:t>
      </w:r>
      <w:r w:rsidR="00D67B5E" w:rsidRPr="001F29E3">
        <w:rPr>
          <w:rFonts w:cs="Arial"/>
        </w:rPr>
        <w:t xml:space="preserve"> 2012 and Q</w:t>
      </w:r>
      <w:r w:rsidR="00D67B5E">
        <w:rPr>
          <w:rFonts w:cs="Arial"/>
        </w:rPr>
        <w:t>2</w:t>
      </w:r>
      <w:r w:rsidR="00D67B5E" w:rsidRPr="001F29E3">
        <w:rPr>
          <w:rFonts w:cs="Arial"/>
        </w:rPr>
        <w:t xml:space="preserve"> 2013</w:t>
      </w:r>
    </w:p>
    <w:tbl>
      <w:tblPr>
        <w:tblW w:w="8020" w:type="dxa"/>
        <w:tblInd w:w="103" w:type="dxa"/>
        <w:tblLook w:val="04A0" w:firstRow="1" w:lastRow="0" w:firstColumn="1" w:lastColumn="0" w:noHBand="0" w:noVBand="1"/>
      </w:tblPr>
      <w:tblGrid>
        <w:gridCol w:w="2420"/>
        <w:gridCol w:w="1120"/>
        <w:gridCol w:w="1120"/>
        <w:gridCol w:w="1120"/>
        <w:gridCol w:w="1120"/>
        <w:gridCol w:w="1120"/>
      </w:tblGrid>
      <w:tr w:rsidR="00D67B5E" w:rsidRPr="00EF5C4D" w:rsidTr="0051046D">
        <w:trPr>
          <w:trHeight w:val="762"/>
        </w:trPr>
        <w:tc>
          <w:tcPr>
            <w:tcW w:w="2420" w:type="dxa"/>
            <w:tcBorders>
              <w:top w:val="single" w:sz="4" w:space="0" w:color="5E8A00"/>
              <w:left w:val="single" w:sz="4" w:space="0" w:color="5E8A00"/>
              <w:bottom w:val="single" w:sz="4" w:space="0" w:color="5E8A00"/>
            </w:tcBorders>
            <w:shd w:val="clear" w:color="000000" w:fill="5E8A00"/>
            <w:noWrap/>
            <w:vAlign w:val="center"/>
            <w:hideMark/>
          </w:tcPr>
          <w:p w:rsidR="00D67B5E" w:rsidRPr="00EF5C4D" w:rsidRDefault="00D67B5E" w:rsidP="0051046D">
            <w:pPr>
              <w:spacing w:after="0" w:line="240" w:lineRule="auto"/>
              <w:jc w:val="left"/>
              <w:rPr>
                <w:rFonts w:cs="Arial"/>
                <w:b/>
                <w:bCs/>
                <w:color w:val="FFFFFF"/>
                <w:sz w:val="18"/>
                <w:szCs w:val="18"/>
                <w:lang w:eastAsia="en-AU"/>
              </w:rPr>
            </w:pPr>
            <w:r w:rsidRPr="00EF5C4D">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noWrap/>
            <w:vAlign w:val="center"/>
            <w:hideMark/>
          </w:tcPr>
          <w:p w:rsidR="00D67B5E" w:rsidRPr="00EF5C4D" w:rsidRDefault="00D67B5E" w:rsidP="0051046D">
            <w:pPr>
              <w:spacing w:after="0" w:line="240" w:lineRule="auto"/>
              <w:jc w:val="right"/>
              <w:rPr>
                <w:rFonts w:cs="Arial"/>
                <w:b/>
                <w:bCs/>
                <w:color w:val="FFFFFF"/>
                <w:sz w:val="18"/>
                <w:szCs w:val="18"/>
                <w:lang w:eastAsia="en-AU"/>
              </w:rPr>
            </w:pPr>
            <w:r w:rsidRPr="00EF5C4D">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noWrap/>
            <w:vAlign w:val="center"/>
            <w:hideMark/>
          </w:tcPr>
          <w:p w:rsidR="00D67B5E" w:rsidRPr="00EF5C4D" w:rsidRDefault="00D67B5E" w:rsidP="0051046D">
            <w:pPr>
              <w:spacing w:after="0" w:line="240" w:lineRule="auto"/>
              <w:jc w:val="right"/>
              <w:rPr>
                <w:rFonts w:cs="Arial"/>
                <w:b/>
                <w:bCs/>
                <w:color w:val="FFFFFF"/>
                <w:sz w:val="18"/>
                <w:szCs w:val="18"/>
                <w:lang w:eastAsia="en-AU"/>
              </w:rPr>
            </w:pPr>
            <w:r w:rsidRPr="00EF5C4D">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noWrap/>
            <w:vAlign w:val="center"/>
            <w:hideMark/>
          </w:tcPr>
          <w:p w:rsidR="00D67B5E" w:rsidRPr="00EF5C4D" w:rsidRDefault="00D67B5E" w:rsidP="0051046D">
            <w:pPr>
              <w:spacing w:after="0" w:line="240" w:lineRule="auto"/>
              <w:jc w:val="right"/>
              <w:rPr>
                <w:rFonts w:cs="Arial"/>
                <w:b/>
                <w:bCs/>
                <w:color w:val="FFFFFF"/>
                <w:sz w:val="18"/>
                <w:szCs w:val="18"/>
                <w:lang w:eastAsia="en-AU"/>
              </w:rPr>
            </w:pPr>
            <w:r w:rsidRPr="00EF5C4D">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D67B5E" w:rsidRPr="00EF5C4D" w:rsidRDefault="00D67B5E" w:rsidP="0051046D">
            <w:pPr>
              <w:spacing w:after="0" w:line="240" w:lineRule="auto"/>
              <w:jc w:val="right"/>
              <w:rPr>
                <w:rFonts w:cs="Arial"/>
                <w:b/>
                <w:bCs/>
                <w:color w:val="FFFFFF"/>
                <w:sz w:val="18"/>
                <w:szCs w:val="18"/>
                <w:lang w:eastAsia="en-AU"/>
              </w:rPr>
            </w:pPr>
            <w:r w:rsidRPr="00EF5C4D">
              <w:rPr>
                <w:rFonts w:cs="Arial"/>
                <w:b/>
                <w:bCs/>
                <w:color w:val="FFFFFF"/>
                <w:sz w:val="18"/>
                <w:szCs w:val="18"/>
                <w:lang w:eastAsia="en-AU"/>
              </w:rPr>
              <w:t>% change</w:t>
            </w:r>
            <w:r w:rsidRPr="00EF5C4D">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EF5C4D" w:rsidRDefault="00D67B5E" w:rsidP="0051046D">
            <w:pPr>
              <w:spacing w:after="0" w:line="240" w:lineRule="auto"/>
              <w:jc w:val="right"/>
              <w:rPr>
                <w:rFonts w:cs="Arial"/>
                <w:b/>
                <w:bCs/>
                <w:color w:val="FFFFFF"/>
                <w:sz w:val="18"/>
                <w:szCs w:val="18"/>
                <w:lang w:eastAsia="en-AU"/>
              </w:rPr>
            </w:pPr>
            <w:r w:rsidRPr="00EF5C4D">
              <w:rPr>
                <w:rFonts w:cs="Arial"/>
                <w:b/>
                <w:bCs/>
                <w:color w:val="FFFFFF"/>
                <w:sz w:val="18"/>
                <w:szCs w:val="18"/>
                <w:lang w:eastAsia="en-AU"/>
              </w:rPr>
              <w:t>% change</w:t>
            </w:r>
            <w:r w:rsidRPr="00EF5C4D">
              <w:rPr>
                <w:rFonts w:cs="Arial"/>
                <w:b/>
                <w:bCs/>
                <w:color w:val="FFFFFF"/>
                <w:sz w:val="18"/>
                <w:szCs w:val="18"/>
                <w:lang w:eastAsia="en-AU"/>
              </w:rPr>
              <w:br/>
              <w:t>Q1 2012-Q1 2013</w:t>
            </w:r>
          </w:p>
        </w:tc>
      </w:tr>
      <w:tr w:rsidR="00D67B5E" w:rsidRPr="00EF5C4D" w:rsidTr="0051046D">
        <w:trPr>
          <w:trHeight w:val="342"/>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F5C4D" w:rsidRDefault="00D67B5E" w:rsidP="0051046D">
            <w:pPr>
              <w:spacing w:after="0" w:line="240" w:lineRule="auto"/>
              <w:jc w:val="left"/>
              <w:rPr>
                <w:rFonts w:cs="Arial"/>
                <w:color w:val="3E5B00"/>
                <w:sz w:val="18"/>
                <w:szCs w:val="18"/>
                <w:lang w:eastAsia="en-AU"/>
              </w:rPr>
            </w:pPr>
            <w:r w:rsidRPr="00EF5C4D">
              <w:rPr>
                <w:rFonts w:cs="Arial"/>
                <w:color w:val="3E5B00"/>
                <w:sz w:val="18"/>
                <w:szCs w:val="18"/>
                <w:lang w:eastAsia="en-AU"/>
              </w:rPr>
              <w:t>Cert II</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 xml:space="preserve">7,500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 xml:space="preserve">8,600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 xml:space="preserve">6,300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-16%</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-26%</w:t>
            </w:r>
          </w:p>
        </w:tc>
      </w:tr>
      <w:tr w:rsidR="00D67B5E" w:rsidRPr="00EF5C4D" w:rsidTr="0051046D">
        <w:trPr>
          <w:trHeight w:val="342"/>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F5C4D" w:rsidRDefault="00D67B5E" w:rsidP="0051046D">
            <w:pPr>
              <w:spacing w:after="0" w:line="240" w:lineRule="auto"/>
              <w:jc w:val="left"/>
              <w:rPr>
                <w:rFonts w:cs="Arial"/>
                <w:color w:val="3E5B00"/>
                <w:sz w:val="18"/>
                <w:szCs w:val="18"/>
                <w:lang w:eastAsia="en-AU"/>
              </w:rPr>
            </w:pPr>
            <w:r w:rsidRPr="00EF5C4D">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 xml:space="preserve">13,800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 xml:space="preserve">15,900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 xml:space="preserve">12,500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-9%</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-21%</w:t>
            </w:r>
          </w:p>
        </w:tc>
      </w:tr>
      <w:tr w:rsidR="00D67B5E" w:rsidRPr="00EF5C4D" w:rsidTr="0051046D">
        <w:trPr>
          <w:trHeight w:val="342"/>
        </w:trPr>
        <w:tc>
          <w:tcPr>
            <w:tcW w:w="242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EF5C4D" w:rsidRDefault="00D67B5E" w:rsidP="0051046D">
            <w:pPr>
              <w:spacing w:after="0" w:line="240" w:lineRule="auto"/>
              <w:jc w:val="left"/>
              <w:rPr>
                <w:rFonts w:cs="Arial"/>
                <w:color w:val="3E5B00"/>
                <w:sz w:val="18"/>
                <w:szCs w:val="18"/>
                <w:lang w:eastAsia="en-AU"/>
              </w:rPr>
            </w:pPr>
            <w:r w:rsidRPr="00EF5C4D">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 xml:space="preserve">1,200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 xml:space="preserve">850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 xml:space="preserve">450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-62%</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EF5C4D" w:rsidRDefault="00D67B5E" w:rsidP="0051046D">
            <w:pPr>
              <w:spacing w:after="0" w:line="240" w:lineRule="auto"/>
              <w:jc w:val="right"/>
              <w:rPr>
                <w:rFonts w:cs="Arial"/>
                <w:sz w:val="18"/>
                <w:szCs w:val="18"/>
                <w:lang w:eastAsia="en-AU"/>
              </w:rPr>
            </w:pPr>
            <w:r w:rsidRPr="00EF5C4D">
              <w:rPr>
                <w:rFonts w:cs="Arial"/>
                <w:sz w:val="18"/>
                <w:szCs w:val="18"/>
                <w:lang w:eastAsia="en-AU"/>
              </w:rPr>
              <w:t>-45%</w:t>
            </w:r>
          </w:p>
        </w:tc>
      </w:tr>
      <w:tr w:rsidR="00D67B5E" w:rsidRPr="00EF5C4D" w:rsidTr="0051046D">
        <w:trPr>
          <w:trHeight w:val="342"/>
        </w:trPr>
        <w:tc>
          <w:tcPr>
            <w:tcW w:w="2420" w:type="dxa"/>
            <w:tcBorders>
              <w:top w:val="single" w:sz="4" w:space="0" w:color="5E8A00"/>
              <w:left w:val="single" w:sz="4" w:space="0" w:color="5E8A00"/>
              <w:bottom w:val="nil"/>
            </w:tcBorders>
            <w:shd w:val="clear" w:color="000000" w:fill="5E8A00"/>
            <w:noWrap/>
            <w:vAlign w:val="bottom"/>
            <w:hideMark/>
          </w:tcPr>
          <w:p w:rsidR="00D67B5E" w:rsidRPr="00EF5C4D" w:rsidRDefault="00D67B5E" w:rsidP="0051046D">
            <w:pPr>
              <w:spacing w:after="0" w:line="240" w:lineRule="auto"/>
              <w:jc w:val="left"/>
              <w:rPr>
                <w:rFonts w:cs="Arial"/>
                <w:b/>
                <w:bCs/>
                <w:color w:val="FFFFFF"/>
                <w:sz w:val="18"/>
                <w:szCs w:val="18"/>
                <w:lang w:eastAsia="en-AU"/>
              </w:rPr>
            </w:pPr>
            <w:r w:rsidRPr="00EF5C4D">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D67B5E" w:rsidRPr="00EF5C4D" w:rsidRDefault="00D67B5E" w:rsidP="0051046D">
            <w:pPr>
              <w:spacing w:after="0" w:line="240" w:lineRule="auto"/>
              <w:jc w:val="right"/>
              <w:rPr>
                <w:rFonts w:cs="Arial"/>
                <w:b/>
                <w:bCs/>
                <w:color w:val="FFFFFF"/>
                <w:sz w:val="18"/>
                <w:szCs w:val="18"/>
                <w:lang w:eastAsia="en-AU"/>
              </w:rPr>
            </w:pPr>
            <w:r w:rsidRPr="00EF5C4D">
              <w:rPr>
                <w:rFonts w:cs="Arial"/>
                <w:b/>
                <w:bCs/>
                <w:color w:val="FFFFFF"/>
                <w:sz w:val="18"/>
                <w:szCs w:val="18"/>
                <w:lang w:eastAsia="en-AU"/>
              </w:rPr>
              <w:t xml:space="preserve">22,500 </w:t>
            </w:r>
          </w:p>
        </w:tc>
        <w:tc>
          <w:tcPr>
            <w:tcW w:w="1120" w:type="dxa"/>
            <w:tcBorders>
              <w:top w:val="single" w:sz="4" w:space="0" w:color="5E8A00"/>
              <w:bottom w:val="nil"/>
            </w:tcBorders>
            <w:shd w:val="clear" w:color="000000" w:fill="5E8A00"/>
            <w:noWrap/>
            <w:vAlign w:val="center"/>
            <w:hideMark/>
          </w:tcPr>
          <w:p w:rsidR="00D67B5E" w:rsidRPr="00EF5C4D" w:rsidRDefault="00D67B5E" w:rsidP="0051046D">
            <w:pPr>
              <w:spacing w:after="0" w:line="240" w:lineRule="auto"/>
              <w:jc w:val="right"/>
              <w:rPr>
                <w:rFonts w:cs="Arial"/>
                <w:b/>
                <w:bCs/>
                <w:color w:val="FFFFFF"/>
                <w:sz w:val="18"/>
                <w:szCs w:val="18"/>
                <w:lang w:eastAsia="en-AU"/>
              </w:rPr>
            </w:pPr>
            <w:r w:rsidRPr="00EF5C4D">
              <w:rPr>
                <w:rFonts w:cs="Arial"/>
                <w:b/>
                <w:bCs/>
                <w:color w:val="FFFFFF"/>
                <w:sz w:val="18"/>
                <w:szCs w:val="18"/>
                <w:lang w:eastAsia="en-AU"/>
              </w:rPr>
              <w:t xml:space="preserve">25,300 </w:t>
            </w:r>
          </w:p>
        </w:tc>
        <w:tc>
          <w:tcPr>
            <w:tcW w:w="1120" w:type="dxa"/>
            <w:tcBorders>
              <w:top w:val="single" w:sz="4" w:space="0" w:color="5E8A00"/>
              <w:bottom w:val="nil"/>
            </w:tcBorders>
            <w:shd w:val="clear" w:color="000000" w:fill="5E8A00"/>
            <w:noWrap/>
            <w:vAlign w:val="center"/>
            <w:hideMark/>
          </w:tcPr>
          <w:p w:rsidR="00D67B5E" w:rsidRPr="00EF5C4D" w:rsidRDefault="00D67B5E" w:rsidP="0051046D">
            <w:pPr>
              <w:spacing w:after="0" w:line="240" w:lineRule="auto"/>
              <w:jc w:val="right"/>
              <w:rPr>
                <w:rFonts w:cs="Arial"/>
                <w:b/>
                <w:bCs/>
                <w:color w:val="FFFFFF"/>
                <w:sz w:val="18"/>
                <w:szCs w:val="18"/>
                <w:lang w:eastAsia="en-AU"/>
              </w:rPr>
            </w:pPr>
            <w:r w:rsidRPr="00EF5C4D">
              <w:rPr>
                <w:rFonts w:cs="Arial"/>
                <w:b/>
                <w:bCs/>
                <w:color w:val="FFFFFF"/>
                <w:sz w:val="18"/>
                <w:szCs w:val="18"/>
                <w:lang w:eastAsia="en-AU"/>
              </w:rPr>
              <w:t xml:space="preserve">19,300 </w:t>
            </w:r>
          </w:p>
        </w:tc>
        <w:tc>
          <w:tcPr>
            <w:tcW w:w="1120" w:type="dxa"/>
            <w:tcBorders>
              <w:top w:val="single" w:sz="4" w:space="0" w:color="5E8A00"/>
              <w:bottom w:val="nil"/>
            </w:tcBorders>
            <w:shd w:val="clear" w:color="000000" w:fill="5E8A00"/>
            <w:noWrap/>
            <w:vAlign w:val="center"/>
            <w:hideMark/>
          </w:tcPr>
          <w:p w:rsidR="00D67B5E" w:rsidRPr="00EF5C4D" w:rsidRDefault="00D67B5E" w:rsidP="0051046D">
            <w:pPr>
              <w:spacing w:after="0" w:line="240" w:lineRule="auto"/>
              <w:jc w:val="right"/>
              <w:rPr>
                <w:rFonts w:cs="Arial"/>
                <w:b/>
                <w:bCs/>
                <w:color w:val="FFFFFF"/>
                <w:sz w:val="18"/>
                <w:szCs w:val="18"/>
                <w:lang w:eastAsia="en-AU"/>
              </w:rPr>
            </w:pPr>
            <w:r w:rsidRPr="00EF5C4D">
              <w:rPr>
                <w:rFonts w:cs="Arial"/>
                <w:b/>
                <w:bCs/>
                <w:color w:val="FFFFFF"/>
                <w:sz w:val="18"/>
                <w:szCs w:val="18"/>
                <w:lang w:eastAsia="en-AU"/>
              </w:rPr>
              <w:t>-14%</w:t>
            </w:r>
          </w:p>
        </w:tc>
        <w:tc>
          <w:tcPr>
            <w:tcW w:w="1120" w:type="dxa"/>
            <w:tcBorders>
              <w:top w:val="single" w:sz="4" w:space="0" w:color="5E8A00"/>
              <w:bottom w:val="nil"/>
              <w:right w:val="single" w:sz="4" w:space="0" w:color="5E8A00"/>
            </w:tcBorders>
            <w:shd w:val="clear" w:color="000000" w:fill="5E8A00"/>
            <w:noWrap/>
            <w:vAlign w:val="center"/>
            <w:hideMark/>
          </w:tcPr>
          <w:p w:rsidR="00D67B5E" w:rsidRPr="00EF5C4D" w:rsidRDefault="00D67B5E" w:rsidP="0051046D">
            <w:pPr>
              <w:spacing w:after="0" w:line="240" w:lineRule="auto"/>
              <w:jc w:val="right"/>
              <w:rPr>
                <w:rFonts w:cs="Arial"/>
                <w:b/>
                <w:bCs/>
                <w:color w:val="FFFFFF"/>
                <w:sz w:val="18"/>
                <w:szCs w:val="18"/>
                <w:lang w:eastAsia="en-AU"/>
              </w:rPr>
            </w:pPr>
            <w:r w:rsidRPr="00EF5C4D">
              <w:rPr>
                <w:rFonts w:cs="Arial"/>
                <w:b/>
                <w:bCs/>
                <w:color w:val="FFFFFF"/>
                <w:sz w:val="18"/>
                <w:szCs w:val="18"/>
                <w:lang w:eastAsia="en-AU"/>
              </w:rPr>
              <w:t>-24%</w:t>
            </w:r>
          </w:p>
        </w:tc>
      </w:tr>
    </w:tbl>
    <w:p w:rsidR="00D67B5E" w:rsidRDefault="00D67B5E" w:rsidP="00D67B5E">
      <w:pPr>
        <w:spacing w:after="0" w:line="240" w:lineRule="auto"/>
        <w:jc w:val="left"/>
        <w:rPr>
          <w:rFonts w:cs="Arial"/>
          <w:bCs/>
          <w:iCs/>
          <w:color w:val="76923C" w:themeColor="accent3" w:themeShade="BF"/>
          <w:sz w:val="28"/>
          <w:szCs w:val="28"/>
        </w:rPr>
      </w:pPr>
      <w:r>
        <w:br w:type="page"/>
      </w:r>
    </w:p>
    <w:p w:rsidR="00D67B5E" w:rsidRPr="001F29E3" w:rsidRDefault="00D67B5E" w:rsidP="00D67B5E">
      <w:pPr>
        <w:pStyle w:val="Heading2"/>
      </w:pPr>
      <w:bookmarkStart w:id="85" w:name="_Toc366588124"/>
      <w:r w:rsidRPr="001F29E3">
        <w:lastRenderedPageBreak/>
        <w:t>Older Students with Low Prior Qualifications</w:t>
      </w:r>
      <w:bookmarkEnd w:id="85"/>
    </w:p>
    <w:p w:rsidR="00D67B5E" w:rsidRDefault="00D67B5E" w:rsidP="00D67B5E">
      <w:pPr>
        <w:rPr>
          <w:rFonts w:cs="Arial"/>
        </w:rPr>
      </w:pPr>
    </w:p>
    <w:p w:rsidR="00D67B5E" w:rsidRDefault="00D67B5E" w:rsidP="00D67B5E">
      <w:pPr>
        <w:pStyle w:val="Heading3"/>
      </w:pPr>
      <w:r>
        <w:t>Enrolments</w:t>
      </w:r>
    </w:p>
    <w:p w:rsidR="00D67B5E" w:rsidRPr="001F29E3" w:rsidRDefault="00D67B5E" w:rsidP="00D67B5E">
      <w:pPr>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D67B5E" w:rsidRPr="00D54C88" w:rsidTr="0051046D">
        <w:trPr>
          <w:trHeight w:val="1449"/>
        </w:trPr>
        <w:tc>
          <w:tcPr>
            <w:tcW w:w="9088" w:type="dxa"/>
          </w:tcPr>
          <w:p w:rsidR="00D67B5E" w:rsidRDefault="00D67B5E" w:rsidP="0051046D">
            <w:pPr>
              <w:pStyle w:val="Heading3"/>
            </w:pPr>
            <w:r w:rsidRPr="00D54C88">
              <w:t>Key Points</w:t>
            </w:r>
          </w:p>
          <w:p w:rsidR="00D67B5E" w:rsidRPr="00A326AF" w:rsidRDefault="00D67B5E" w:rsidP="0051046D"/>
          <w:p w:rsidR="008603E7" w:rsidRDefault="00D67B5E" w:rsidP="008603E7">
            <w:pPr>
              <w:pStyle w:val="ListBullet"/>
              <w:numPr>
                <w:ilvl w:val="0"/>
                <w:numId w:val="9"/>
              </w:numPr>
              <w:ind w:right="113"/>
              <w:rPr>
                <w:rFonts w:cs="Arial"/>
              </w:rPr>
            </w:pPr>
            <w:r w:rsidRPr="00D54C88">
              <w:rPr>
                <w:rFonts w:cs="Arial"/>
              </w:rPr>
              <w:t>In Q2 2013, there were 163,050 students who wer</w:t>
            </w:r>
            <w:r w:rsidR="00A516C2">
              <w:rPr>
                <w:rFonts w:cs="Arial"/>
              </w:rPr>
              <w:t>e aged 20-64 and not holding a C</w:t>
            </w:r>
            <w:r w:rsidRPr="00D54C88">
              <w:rPr>
                <w:rFonts w:cs="Arial"/>
              </w:rPr>
              <w:t xml:space="preserve">ertificate III or above qualification enrolled in 207,400 </w:t>
            </w:r>
            <w:proofErr w:type="gramStart"/>
            <w:r w:rsidRPr="00D54C88">
              <w:rPr>
                <w:rFonts w:cs="Arial"/>
              </w:rPr>
              <w:t>government</w:t>
            </w:r>
            <w:proofErr w:type="gramEnd"/>
            <w:r w:rsidRPr="00D54C88">
              <w:rPr>
                <w:rFonts w:cs="Arial"/>
              </w:rPr>
              <w:t xml:space="preserve"> subsidised courses.</w:t>
            </w:r>
          </w:p>
          <w:p w:rsidR="00D67B5E" w:rsidRPr="00D54C88" w:rsidRDefault="008603E7" w:rsidP="008603E7">
            <w:pPr>
              <w:pStyle w:val="ListBullet"/>
              <w:numPr>
                <w:ilvl w:val="0"/>
                <w:numId w:val="9"/>
              </w:numPr>
              <w:ind w:right="113"/>
              <w:rPr>
                <w:rFonts w:cs="Arial"/>
              </w:rPr>
            </w:pPr>
            <w:r w:rsidRPr="00D54C88">
              <w:rPr>
                <w:rFonts w:cs="Arial"/>
              </w:rPr>
              <w:t xml:space="preserve"> </w:t>
            </w:r>
            <w:r w:rsidR="00D67B5E" w:rsidRPr="00D54C88">
              <w:rPr>
                <w:rFonts w:cs="Arial"/>
              </w:rPr>
              <w:t>Of enrolments in industry-specific qualifications (1</w:t>
            </w:r>
            <w:r w:rsidR="00D67B5E">
              <w:rPr>
                <w:rFonts w:cs="Arial"/>
              </w:rPr>
              <w:t>54</w:t>
            </w:r>
            <w:r w:rsidR="00D67B5E" w:rsidRPr="00D54C88">
              <w:rPr>
                <w:rFonts w:cs="Arial"/>
              </w:rPr>
              <w:t>,</w:t>
            </w:r>
            <w:r w:rsidR="00D67B5E">
              <w:rPr>
                <w:rFonts w:cs="Arial"/>
              </w:rPr>
              <w:t>8</w:t>
            </w:r>
            <w:r w:rsidR="00D67B5E" w:rsidRPr="00D54C88">
              <w:rPr>
                <w:rFonts w:cs="Arial"/>
              </w:rPr>
              <w:t xml:space="preserve">00 enrolments) which exclude foundation skills and short courses in Q2 2013, 40 per cent were in courses related to </w:t>
            </w:r>
            <w:proofErr w:type="gramStart"/>
            <w:r w:rsidR="00D67B5E" w:rsidRPr="00D54C88">
              <w:rPr>
                <w:rFonts w:cs="Arial"/>
              </w:rPr>
              <w:t>specialised</w:t>
            </w:r>
            <w:proofErr w:type="gramEnd"/>
            <w:r w:rsidR="00D67B5E" w:rsidRPr="00D54C88">
              <w:rPr>
                <w:rFonts w:cs="Arial"/>
              </w:rPr>
              <w:t xml:space="preserve"> or in shortage occupations.</w:t>
            </w:r>
          </w:p>
        </w:tc>
      </w:tr>
    </w:tbl>
    <w:p w:rsidR="00D67B5E" w:rsidRPr="001F29E3" w:rsidRDefault="00D67B5E" w:rsidP="00D67B5E">
      <w:pPr>
        <w:rPr>
          <w:rFonts w:cs="Arial"/>
        </w:rPr>
      </w:pPr>
    </w:p>
    <w:p w:rsidR="00D67B5E" w:rsidRDefault="00D67B5E" w:rsidP="00D67B5E">
      <w:pPr>
        <w:pStyle w:val="Caption"/>
        <w:spacing w:after="0"/>
        <w:jc w:val="left"/>
        <w:rPr>
          <w:rFonts w:cs="Arial"/>
        </w:rPr>
      </w:pPr>
    </w:p>
    <w:p w:rsidR="00D67B5E" w:rsidRDefault="005654CD" w:rsidP="00D67B5E">
      <w:pPr>
        <w:pStyle w:val="Caption"/>
        <w:spacing w:after="0"/>
        <w:jc w:val="left"/>
        <w:rPr>
          <w:rFonts w:cs="Arial"/>
        </w:rPr>
      </w:pPr>
      <w:r>
        <w:rPr>
          <w:rFonts w:cs="Arial"/>
        </w:rPr>
        <w:t>Table 2</w:t>
      </w:r>
      <w:r w:rsidR="00D67B5E" w:rsidRPr="001F29E3">
        <w:rPr>
          <w:rFonts w:cs="Arial"/>
        </w:rPr>
        <w:t>.</w:t>
      </w:r>
      <w:r w:rsidR="00D67B5E">
        <w:rPr>
          <w:rFonts w:cs="Arial"/>
        </w:rPr>
        <w:t>7.1</w:t>
      </w:r>
      <w:r w:rsidR="00D67B5E" w:rsidRPr="001F29E3">
        <w:rPr>
          <w:rFonts w:cs="Arial"/>
        </w:rPr>
        <w:t>: Government subsidised enrolments by students aged 20-64 not holding a Cert III or above</w:t>
      </w:r>
      <w:r w:rsidR="00D67B5E">
        <w:rPr>
          <w:rFonts w:cs="Arial"/>
        </w:rPr>
        <w:t>, 2008 – 2012</w:t>
      </w:r>
    </w:p>
    <w:tbl>
      <w:tblPr>
        <w:tblW w:w="8640" w:type="dxa"/>
        <w:tblInd w:w="108" w:type="dxa"/>
        <w:tblLook w:val="04A0" w:firstRow="1" w:lastRow="0" w:firstColumn="1" w:lastColumn="0" w:noHBand="0" w:noVBand="1"/>
      </w:tblPr>
      <w:tblGrid>
        <w:gridCol w:w="1920"/>
        <w:gridCol w:w="1120"/>
        <w:gridCol w:w="1120"/>
        <w:gridCol w:w="1120"/>
        <w:gridCol w:w="1120"/>
        <w:gridCol w:w="1120"/>
        <w:gridCol w:w="1120"/>
      </w:tblGrid>
      <w:tr w:rsidR="00D67B5E" w:rsidRPr="00156E3A" w:rsidTr="0051046D">
        <w:trPr>
          <w:trHeight w:hRule="exact" w:val="760"/>
        </w:trPr>
        <w:tc>
          <w:tcPr>
            <w:tcW w:w="1920" w:type="dxa"/>
            <w:tcBorders>
              <w:top w:val="single" w:sz="4" w:space="0" w:color="5E8A00"/>
              <w:left w:val="single" w:sz="4" w:space="0" w:color="5E8A00"/>
              <w:bottom w:val="single" w:sz="4" w:space="0" w:color="5E8A00"/>
            </w:tcBorders>
            <w:shd w:val="clear" w:color="000000" w:fill="5E8A00"/>
            <w:noWrap/>
            <w:vAlign w:val="center"/>
            <w:hideMark/>
          </w:tcPr>
          <w:p w:rsidR="00D67B5E" w:rsidRPr="00156E3A" w:rsidRDefault="00D67B5E" w:rsidP="00F034AF">
            <w:pPr>
              <w:spacing w:after="0" w:line="240" w:lineRule="auto"/>
              <w:ind w:firstLineChars="100" w:firstLine="161"/>
              <w:jc w:val="left"/>
              <w:rPr>
                <w:rFonts w:cs="Arial"/>
                <w:b/>
                <w:bCs/>
                <w:color w:val="FFFFFF"/>
                <w:sz w:val="16"/>
                <w:szCs w:val="16"/>
                <w:lang w:eastAsia="en-AU"/>
              </w:rPr>
            </w:pPr>
            <w:r w:rsidRPr="00156E3A">
              <w:rPr>
                <w:rFonts w:cs="Arial"/>
                <w:b/>
                <w:bCs/>
                <w:color w:val="FFFFFF"/>
                <w:sz w:val="16"/>
                <w:szCs w:val="16"/>
                <w:lang w:eastAsia="en-AU"/>
              </w:rPr>
              <w:t> </w:t>
            </w:r>
          </w:p>
        </w:tc>
        <w:tc>
          <w:tcPr>
            <w:tcW w:w="1120" w:type="dxa"/>
            <w:tcBorders>
              <w:top w:val="single" w:sz="4" w:space="0" w:color="5E8A00"/>
              <w:bottom w:val="single" w:sz="4" w:space="0" w:color="5E8A00"/>
            </w:tcBorders>
            <w:shd w:val="clear" w:color="000000" w:fill="5E8A00"/>
            <w:vAlign w:val="center"/>
            <w:hideMark/>
          </w:tcPr>
          <w:p w:rsidR="00D67B5E" w:rsidRPr="00156E3A" w:rsidRDefault="00D67B5E" w:rsidP="0051046D">
            <w:pPr>
              <w:spacing w:after="0" w:line="240" w:lineRule="auto"/>
              <w:jc w:val="right"/>
              <w:rPr>
                <w:rFonts w:cs="Arial"/>
                <w:b/>
                <w:bCs/>
                <w:color w:val="FFFFFF"/>
                <w:sz w:val="18"/>
                <w:szCs w:val="18"/>
                <w:lang w:eastAsia="en-AU"/>
              </w:rPr>
            </w:pPr>
            <w:r w:rsidRPr="00156E3A">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D67B5E" w:rsidRPr="00156E3A" w:rsidRDefault="00D67B5E" w:rsidP="0051046D">
            <w:pPr>
              <w:spacing w:after="0" w:line="240" w:lineRule="auto"/>
              <w:jc w:val="right"/>
              <w:rPr>
                <w:rFonts w:cs="Arial"/>
                <w:b/>
                <w:bCs/>
                <w:color w:val="FFFFFF"/>
                <w:sz w:val="18"/>
                <w:szCs w:val="18"/>
                <w:lang w:eastAsia="en-AU"/>
              </w:rPr>
            </w:pPr>
            <w:r w:rsidRPr="00156E3A">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D67B5E" w:rsidRPr="00156E3A" w:rsidRDefault="00D67B5E" w:rsidP="0051046D">
            <w:pPr>
              <w:spacing w:after="0" w:line="240" w:lineRule="auto"/>
              <w:jc w:val="right"/>
              <w:rPr>
                <w:rFonts w:cs="Arial"/>
                <w:b/>
                <w:bCs/>
                <w:color w:val="FFFFFF"/>
                <w:sz w:val="18"/>
                <w:szCs w:val="18"/>
                <w:lang w:eastAsia="en-AU"/>
              </w:rPr>
            </w:pPr>
            <w:r w:rsidRPr="00156E3A">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D67B5E" w:rsidRPr="00156E3A" w:rsidRDefault="00D67B5E" w:rsidP="0051046D">
            <w:pPr>
              <w:spacing w:after="0" w:line="240" w:lineRule="auto"/>
              <w:jc w:val="right"/>
              <w:rPr>
                <w:rFonts w:cs="Arial"/>
                <w:b/>
                <w:bCs/>
                <w:color w:val="FFFFFF"/>
                <w:sz w:val="18"/>
                <w:szCs w:val="18"/>
                <w:lang w:eastAsia="en-AU"/>
              </w:rPr>
            </w:pPr>
            <w:r w:rsidRPr="00156E3A">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D67B5E" w:rsidRPr="00156E3A" w:rsidRDefault="00D67B5E" w:rsidP="0051046D">
            <w:pPr>
              <w:spacing w:after="0" w:line="240" w:lineRule="auto"/>
              <w:jc w:val="right"/>
              <w:rPr>
                <w:rFonts w:cs="Arial"/>
                <w:b/>
                <w:bCs/>
                <w:color w:val="FFFFFF"/>
                <w:sz w:val="18"/>
                <w:szCs w:val="18"/>
                <w:lang w:eastAsia="en-AU"/>
              </w:rPr>
            </w:pPr>
            <w:r w:rsidRPr="00156E3A">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156E3A" w:rsidRDefault="00D67B5E" w:rsidP="0051046D">
            <w:pPr>
              <w:spacing w:after="0" w:line="240" w:lineRule="auto"/>
              <w:jc w:val="right"/>
              <w:rPr>
                <w:rFonts w:cs="Arial"/>
                <w:b/>
                <w:bCs/>
                <w:color w:val="FFFFFF"/>
                <w:sz w:val="18"/>
                <w:szCs w:val="18"/>
                <w:lang w:eastAsia="en-AU"/>
              </w:rPr>
            </w:pPr>
            <w:r w:rsidRPr="00156E3A">
              <w:rPr>
                <w:rFonts w:cs="Arial"/>
                <w:b/>
                <w:bCs/>
                <w:color w:val="FFFFFF"/>
                <w:sz w:val="18"/>
                <w:szCs w:val="18"/>
                <w:lang w:eastAsia="en-AU"/>
              </w:rPr>
              <w:t>% change</w:t>
            </w:r>
            <w:r w:rsidRPr="00156E3A">
              <w:rPr>
                <w:rFonts w:cs="Arial"/>
                <w:b/>
                <w:bCs/>
                <w:color w:val="FFFFFF"/>
                <w:sz w:val="18"/>
                <w:szCs w:val="18"/>
                <w:lang w:eastAsia="en-AU"/>
              </w:rPr>
              <w:br/>
              <w:t>2008-2012</w:t>
            </w:r>
          </w:p>
        </w:tc>
      </w:tr>
      <w:tr w:rsidR="00D67B5E" w:rsidRPr="00156E3A" w:rsidTr="0051046D">
        <w:trPr>
          <w:trHeight w:hRule="exact" w:val="284"/>
        </w:trPr>
        <w:tc>
          <w:tcPr>
            <w:tcW w:w="19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156E3A" w:rsidRDefault="00D67B5E" w:rsidP="0051046D">
            <w:pPr>
              <w:spacing w:after="0" w:line="240" w:lineRule="auto"/>
              <w:jc w:val="left"/>
              <w:rPr>
                <w:rFonts w:cs="Arial"/>
                <w:color w:val="3E5B00"/>
                <w:sz w:val="18"/>
                <w:szCs w:val="18"/>
                <w:lang w:eastAsia="en-AU"/>
              </w:rPr>
            </w:pPr>
            <w:r w:rsidRPr="00156E3A">
              <w:rPr>
                <w:rFonts w:cs="Arial"/>
                <w:color w:val="3E5B00"/>
                <w:sz w:val="18"/>
                <w:szCs w:val="18"/>
                <w:lang w:eastAsia="en-AU"/>
              </w:rPr>
              <w:t>Course Enrolments</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164,100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166,200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185,400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271,800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345,700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111%</w:t>
            </w:r>
          </w:p>
        </w:tc>
      </w:tr>
      <w:tr w:rsidR="00D67B5E" w:rsidRPr="00156E3A" w:rsidTr="0051046D">
        <w:trPr>
          <w:trHeight w:hRule="exact" w:val="284"/>
        </w:trPr>
        <w:tc>
          <w:tcPr>
            <w:tcW w:w="19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156E3A" w:rsidRDefault="00D67B5E" w:rsidP="0051046D">
            <w:pPr>
              <w:spacing w:after="0" w:line="240" w:lineRule="auto"/>
              <w:jc w:val="left"/>
              <w:rPr>
                <w:rFonts w:cs="Arial"/>
                <w:color w:val="3E5B00"/>
                <w:sz w:val="18"/>
                <w:szCs w:val="18"/>
                <w:lang w:eastAsia="en-AU"/>
              </w:rPr>
            </w:pPr>
            <w:r w:rsidRPr="00156E3A">
              <w:rPr>
                <w:rFonts w:cs="Arial"/>
                <w:color w:val="3E5B00"/>
                <w:sz w:val="18"/>
                <w:szCs w:val="18"/>
                <w:lang w:eastAsia="en-AU"/>
              </w:rPr>
              <w:t>Up-Skilling</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92,500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100,200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118,600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190,600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251,500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172%</w:t>
            </w:r>
          </w:p>
        </w:tc>
      </w:tr>
    </w:tbl>
    <w:p w:rsidR="00D67B5E" w:rsidRPr="001F29E3" w:rsidRDefault="00D67B5E" w:rsidP="00D67B5E">
      <w:pPr>
        <w:spacing w:after="0"/>
        <w:rPr>
          <w:rFonts w:cs="Arial"/>
          <w:sz w:val="16"/>
          <w:szCs w:val="16"/>
        </w:rPr>
      </w:pPr>
      <w:r w:rsidRPr="001F29E3">
        <w:rPr>
          <w:rFonts w:cs="Arial"/>
          <w:sz w:val="16"/>
          <w:szCs w:val="16"/>
        </w:rPr>
        <w:t>Up-skilling refers to studying at a higher level than their current qualification.</w:t>
      </w:r>
    </w:p>
    <w:p w:rsidR="00D67B5E" w:rsidRPr="00156E3A" w:rsidRDefault="00D67B5E" w:rsidP="00D67B5E"/>
    <w:p w:rsidR="00D67B5E" w:rsidRDefault="00D67B5E" w:rsidP="00D67B5E">
      <w:pPr>
        <w:pStyle w:val="Caption"/>
        <w:spacing w:after="0"/>
        <w:jc w:val="left"/>
        <w:rPr>
          <w:rFonts w:cs="Arial"/>
        </w:rPr>
      </w:pPr>
      <w:r>
        <w:rPr>
          <w:rFonts w:cs="Arial"/>
        </w:rPr>
        <w:t xml:space="preserve">Table </w:t>
      </w:r>
      <w:r w:rsidR="005654CD">
        <w:rPr>
          <w:rFonts w:cs="Arial"/>
        </w:rPr>
        <w:t>2</w:t>
      </w:r>
      <w:r w:rsidRPr="001F29E3">
        <w:rPr>
          <w:rFonts w:cs="Arial"/>
        </w:rPr>
        <w:t>.</w:t>
      </w:r>
      <w:r>
        <w:rPr>
          <w:rFonts w:cs="Arial"/>
        </w:rPr>
        <w:t>7.2</w:t>
      </w:r>
      <w:r w:rsidRPr="001F29E3">
        <w:rPr>
          <w:rFonts w:cs="Arial"/>
        </w:rPr>
        <w:t xml:space="preserve">: Government subsidised enrolments by students aged 20-64 not holding a Cert III or above, </w:t>
      </w:r>
      <w:r w:rsidRPr="001F29E3">
        <w:rPr>
          <w:rFonts w:cs="Arial"/>
        </w:rPr>
        <w:br/>
      </w:r>
      <w:r>
        <w:rPr>
          <w:rFonts w:cs="Arial"/>
        </w:rPr>
        <w:t xml:space="preserve">Q2 2011, </w:t>
      </w:r>
      <w:r w:rsidRPr="001F29E3">
        <w:rPr>
          <w:rFonts w:cs="Arial"/>
        </w:rPr>
        <w:t>Q</w:t>
      </w:r>
      <w:r>
        <w:rPr>
          <w:rFonts w:cs="Arial"/>
        </w:rPr>
        <w:t>2</w:t>
      </w:r>
      <w:r w:rsidRPr="001F29E3">
        <w:rPr>
          <w:rFonts w:cs="Arial"/>
        </w:rPr>
        <w:t xml:space="preserve"> 2012 and Q</w:t>
      </w:r>
      <w:r>
        <w:rPr>
          <w:rFonts w:cs="Arial"/>
        </w:rPr>
        <w:t>2</w:t>
      </w:r>
      <w:r w:rsidRPr="001F29E3">
        <w:rPr>
          <w:rFonts w:cs="Arial"/>
        </w:rPr>
        <w:t xml:space="preserve"> 2013</w:t>
      </w:r>
    </w:p>
    <w:tbl>
      <w:tblPr>
        <w:tblW w:w="7520" w:type="dxa"/>
        <w:tblInd w:w="108" w:type="dxa"/>
        <w:tblLook w:val="04A0" w:firstRow="1" w:lastRow="0" w:firstColumn="1" w:lastColumn="0" w:noHBand="0" w:noVBand="1"/>
      </w:tblPr>
      <w:tblGrid>
        <w:gridCol w:w="1920"/>
        <w:gridCol w:w="1120"/>
        <w:gridCol w:w="1120"/>
        <w:gridCol w:w="1120"/>
        <w:gridCol w:w="1120"/>
        <w:gridCol w:w="1120"/>
      </w:tblGrid>
      <w:tr w:rsidR="00D67B5E" w:rsidRPr="00156E3A" w:rsidTr="0051046D">
        <w:trPr>
          <w:trHeight w:hRule="exact" w:val="760"/>
        </w:trPr>
        <w:tc>
          <w:tcPr>
            <w:tcW w:w="1920" w:type="dxa"/>
            <w:tcBorders>
              <w:top w:val="single" w:sz="4" w:space="0" w:color="5E8A00"/>
              <w:left w:val="single" w:sz="4" w:space="0" w:color="5E8A00"/>
              <w:bottom w:val="single" w:sz="4" w:space="0" w:color="5E8A00"/>
            </w:tcBorders>
            <w:shd w:val="clear" w:color="000000" w:fill="5E8A00"/>
            <w:noWrap/>
            <w:vAlign w:val="center"/>
            <w:hideMark/>
          </w:tcPr>
          <w:p w:rsidR="00D67B5E" w:rsidRPr="00156E3A" w:rsidRDefault="00D67B5E" w:rsidP="00F034AF">
            <w:pPr>
              <w:spacing w:after="0" w:line="240" w:lineRule="auto"/>
              <w:ind w:firstLineChars="100" w:firstLine="161"/>
              <w:jc w:val="left"/>
              <w:rPr>
                <w:rFonts w:cs="Arial"/>
                <w:b/>
                <w:bCs/>
                <w:color w:val="FFFFFF"/>
                <w:sz w:val="16"/>
                <w:szCs w:val="16"/>
                <w:lang w:eastAsia="en-AU"/>
              </w:rPr>
            </w:pPr>
            <w:r w:rsidRPr="00156E3A">
              <w:rPr>
                <w:rFonts w:cs="Arial"/>
                <w:b/>
                <w:bCs/>
                <w:color w:val="FFFFFF"/>
                <w:sz w:val="16"/>
                <w:szCs w:val="16"/>
                <w:lang w:eastAsia="en-AU"/>
              </w:rPr>
              <w:t> </w:t>
            </w:r>
          </w:p>
        </w:tc>
        <w:tc>
          <w:tcPr>
            <w:tcW w:w="1120" w:type="dxa"/>
            <w:tcBorders>
              <w:top w:val="single" w:sz="4" w:space="0" w:color="5E8A00"/>
              <w:bottom w:val="single" w:sz="4" w:space="0" w:color="5E8A00"/>
            </w:tcBorders>
            <w:shd w:val="clear" w:color="000000" w:fill="5E8A00"/>
            <w:vAlign w:val="center"/>
            <w:hideMark/>
          </w:tcPr>
          <w:p w:rsidR="00D67B5E" w:rsidRPr="00156E3A" w:rsidRDefault="00D67B5E" w:rsidP="0051046D">
            <w:pPr>
              <w:spacing w:after="0" w:line="240" w:lineRule="auto"/>
              <w:jc w:val="right"/>
              <w:rPr>
                <w:rFonts w:cs="Arial"/>
                <w:b/>
                <w:bCs/>
                <w:color w:val="FFFFFF"/>
                <w:sz w:val="18"/>
                <w:szCs w:val="18"/>
                <w:lang w:eastAsia="en-AU"/>
              </w:rPr>
            </w:pPr>
            <w:r w:rsidRPr="00156E3A">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D67B5E" w:rsidRPr="00156E3A" w:rsidRDefault="00D67B5E" w:rsidP="0051046D">
            <w:pPr>
              <w:spacing w:after="0" w:line="240" w:lineRule="auto"/>
              <w:jc w:val="right"/>
              <w:rPr>
                <w:rFonts w:cs="Arial"/>
                <w:b/>
                <w:bCs/>
                <w:color w:val="FFFFFF"/>
                <w:sz w:val="18"/>
                <w:szCs w:val="18"/>
                <w:lang w:eastAsia="en-AU"/>
              </w:rPr>
            </w:pPr>
            <w:r w:rsidRPr="00156E3A">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D67B5E" w:rsidRPr="00156E3A" w:rsidRDefault="00D67B5E" w:rsidP="0051046D">
            <w:pPr>
              <w:spacing w:after="0" w:line="240" w:lineRule="auto"/>
              <w:jc w:val="right"/>
              <w:rPr>
                <w:rFonts w:cs="Arial"/>
                <w:b/>
                <w:bCs/>
                <w:color w:val="FFFFFF"/>
                <w:sz w:val="18"/>
                <w:szCs w:val="18"/>
                <w:lang w:eastAsia="en-AU"/>
              </w:rPr>
            </w:pPr>
            <w:r w:rsidRPr="00156E3A">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D67B5E" w:rsidRPr="00156E3A" w:rsidRDefault="00D67B5E" w:rsidP="0051046D">
            <w:pPr>
              <w:spacing w:after="0" w:line="240" w:lineRule="auto"/>
              <w:jc w:val="right"/>
              <w:rPr>
                <w:rFonts w:cs="Arial"/>
                <w:b/>
                <w:bCs/>
                <w:color w:val="FFFFFF"/>
                <w:sz w:val="18"/>
                <w:szCs w:val="18"/>
                <w:lang w:eastAsia="en-AU"/>
              </w:rPr>
            </w:pPr>
            <w:r w:rsidRPr="00156E3A">
              <w:rPr>
                <w:rFonts w:cs="Arial"/>
                <w:b/>
                <w:bCs/>
                <w:color w:val="FFFFFF"/>
                <w:sz w:val="18"/>
                <w:szCs w:val="18"/>
                <w:lang w:eastAsia="en-AU"/>
              </w:rPr>
              <w:t>% change</w:t>
            </w:r>
            <w:r w:rsidRPr="00156E3A">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156E3A" w:rsidRDefault="00D67B5E" w:rsidP="0051046D">
            <w:pPr>
              <w:spacing w:after="0" w:line="240" w:lineRule="auto"/>
              <w:jc w:val="right"/>
              <w:rPr>
                <w:rFonts w:cs="Arial"/>
                <w:b/>
                <w:bCs/>
                <w:color w:val="FFFFFF"/>
                <w:sz w:val="18"/>
                <w:szCs w:val="18"/>
                <w:lang w:eastAsia="en-AU"/>
              </w:rPr>
            </w:pPr>
            <w:r w:rsidRPr="00156E3A">
              <w:rPr>
                <w:rFonts w:cs="Arial"/>
                <w:b/>
                <w:bCs/>
                <w:color w:val="FFFFFF"/>
                <w:sz w:val="18"/>
                <w:szCs w:val="18"/>
                <w:lang w:eastAsia="en-AU"/>
              </w:rPr>
              <w:t>% change</w:t>
            </w:r>
            <w:r w:rsidRPr="00156E3A">
              <w:rPr>
                <w:rFonts w:cs="Arial"/>
                <w:b/>
                <w:bCs/>
                <w:color w:val="FFFFFF"/>
                <w:sz w:val="18"/>
                <w:szCs w:val="18"/>
                <w:lang w:eastAsia="en-AU"/>
              </w:rPr>
              <w:br/>
              <w:t>Q2 2012-Q2 2013</w:t>
            </w:r>
          </w:p>
        </w:tc>
      </w:tr>
      <w:tr w:rsidR="00D67B5E" w:rsidRPr="00156E3A" w:rsidTr="0051046D">
        <w:trPr>
          <w:trHeight w:hRule="exact" w:val="284"/>
        </w:trPr>
        <w:tc>
          <w:tcPr>
            <w:tcW w:w="19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156E3A" w:rsidRDefault="00D67B5E" w:rsidP="0051046D">
            <w:pPr>
              <w:spacing w:after="0" w:line="240" w:lineRule="auto"/>
              <w:jc w:val="left"/>
              <w:rPr>
                <w:rFonts w:cs="Arial"/>
                <w:color w:val="3E5B00"/>
                <w:sz w:val="18"/>
                <w:szCs w:val="18"/>
                <w:lang w:eastAsia="en-AU"/>
              </w:rPr>
            </w:pPr>
            <w:r w:rsidRPr="00156E3A">
              <w:rPr>
                <w:rFonts w:cs="Arial"/>
                <w:color w:val="3E5B00"/>
                <w:sz w:val="18"/>
                <w:szCs w:val="18"/>
                <w:lang w:eastAsia="en-AU"/>
              </w:rPr>
              <w:t>Course Enrolments</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156,500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233,100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207,400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ind w:firstLineChars="100" w:firstLine="180"/>
              <w:jc w:val="right"/>
              <w:rPr>
                <w:rFonts w:cs="Arial"/>
                <w:sz w:val="18"/>
                <w:szCs w:val="18"/>
                <w:lang w:eastAsia="en-AU"/>
              </w:rPr>
            </w:pPr>
            <w:r w:rsidRPr="00156E3A">
              <w:rPr>
                <w:rFonts w:cs="Arial"/>
                <w:sz w:val="18"/>
                <w:szCs w:val="18"/>
                <w:lang w:eastAsia="en-AU"/>
              </w:rPr>
              <w:t>32%</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ind w:firstLineChars="100" w:firstLine="180"/>
              <w:jc w:val="right"/>
              <w:rPr>
                <w:rFonts w:cs="Arial"/>
                <w:sz w:val="18"/>
                <w:szCs w:val="18"/>
                <w:lang w:eastAsia="en-AU"/>
              </w:rPr>
            </w:pPr>
            <w:r w:rsidRPr="00156E3A">
              <w:rPr>
                <w:rFonts w:cs="Arial"/>
                <w:sz w:val="18"/>
                <w:szCs w:val="18"/>
                <w:lang w:eastAsia="en-AU"/>
              </w:rPr>
              <w:t>-11%</w:t>
            </w:r>
          </w:p>
        </w:tc>
      </w:tr>
      <w:tr w:rsidR="00D67B5E" w:rsidRPr="00156E3A" w:rsidTr="0051046D">
        <w:trPr>
          <w:trHeight w:hRule="exact" w:val="284"/>
        </w:trPr>
        <w:tc>
          <w:tcPr>
            <w:tcW w:w="1920" w:type="dxa"/>
            <w:tcBorders>
              <w:top w:val="nil"/>
              <w:left w:val="single" w:sz="4" w:space="0" w:color="5E8A00"/>
              <w:bottom w:val="single" w:sz="4" w:space="0" w:color="5E8A00"/>
              <w:right w:val="single" w:sz="4" w:space="0" w:color="5E8A00"/>
            </w:tcBorders>
            <w:shd w:val="clear" w:color="000000" w:fill="FFFFFF"/>
            <w:noWrap/>
            <w:vAlign w:val="center"/>
            <w:hideMark/>
          </w:tcPr>
          <w:p w:rsidR="00D67B5E" w:rsidRPr="00156E3A" w:rsidRDefault="00D67B5E" w:rsidP="0051046D">
            <w:pPr>
              <w:spacing w:after="0" w:line="240" w:lineRule="auto"/>
              <w:jc w:val="left"/>
              <w:rPr>
                <w:rFonts w:cs="Arial"/>
                <w:color w:val="3E5B00"/>
                <w:sz w:val="18"/>
                <w:szCs w:val="18"/>
                <w:lang w:eastAsia="en-AU"/>
              </w:rPr>
            </w:pPr>
            <w:r w:rsidRPr="00156E3A">
              <w:rPr>
                <w:rFonts w:cs="Arial"/>
                <w:color w:val="3E5B00"/>
                <w:sz w:val="18"/>
                <w:szCs w:val="18"/>
                <w:lang w:eastAsia="en-AU"/>
              </w:rPr>
              <w:t>Up-Skilling</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115,600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176,500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jc w:val="right"/>
              <w:rPr>
                <w:rFonts w:cs="Arial"/>
                <w:sz w:val="18"/>
                <w:szCs w:val="18"/>
                <w:lang w:eastAsia="en-AU"/>
              </w:rPr>
            </w:pPr>
            <w:r w:rsidRPr="00156E3A">
              <w:rPr>
                <w:rFonts w:cs="Arial"/>
                <w:sz w:val="18"/>
                <w:szCs w:val="18"/>
                <w:lang w:eastAsia="en-AU"/>
              </w:rPr>
              <w:t xml:space="preserve">150,200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ind w:firstLineChars="100" w:firstLine="180"/>
              <w:jc w:val="right"/>
              <w:rPr>
                <w:rFonts w:cs="Arial"/>
                <w:sz w:val="18"/>
                <w:szCs w:val="18"/>
                <w:lang w:eastAsia="en-AU"/>
              </w:rPr>
            </w:pPr>
            <w:r w:rsidRPr="00156E3A">
              <w:rPr>
                <w:rFonts w:cs="Arial"/>
                <w:sz w:val="18"/>
                <w:szCs w:val="18"/>
                <w:lang w:eastAsia="en-AU"/>
              </w:rPr>
              <w:t>30%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156E3A" w:rsidRDefault="00D67B5E" w:rsidP="0051046D">
            <w:pPr>
              <w:spacing w:after="0" w:line="240" w:lineRule="auto"/>
              <w:ind w:firstLineChars="100" w:firstLine="180"/>
              <w:jc w:val="right"/>
              <w:rPr>
                <w:rFonts w:cs="Arial"/>
                <w:sz w:val="18"/>
                <w:szCs w:val="18"/>
                <w:lang w:eastAsia="en-AU"/>
              </w:rPr>
            </w:pPr>
            <w:r w:rsidRPr="00156E3A">
              <w:rPr>
                <w:rFonts w:cs="Arial"/>
                <w:sz w:val="18"/>
                <w:szCs w:val="18"/>
                <w:lang w:eastAsia="en-AU"/>
              </w:rPr>
              <w:t>-15%</w:t>
            </w:r>
          </w:p>
        </w:tc>
      </w:tr>
    </w:tbl>
    <w:p w:rsidR="00D67B5E" w:rsidRPr="00A326AF" w:rsidRDefault="00D67B5E" w:rsidP="008603E7">
      <w:pPr>
        <w:spacing w:after="0"/>
        <w:rPr>
          <w:rFonts w:cs="Arial"/>
          <w:b/>
          <w:bCs/>
          <w:szCs w:val="19"/>
        </w:rPr>
      </w:pPr>
      <w:r w:rsidRPr="001F29E3">
        <w:rPr>
          <w:rFonts w:cs="Arial"/>
          <w:sz w:val="16"/>
          <w:szCs w:val="16"/>
        </w:rPr>
        <w:t>Up-skilling refers to studying at a higher level than their current qualification.</w:t>
      </w:r>
      <w:r w:rsidR="008603E7" w:rsidRPr="00A326AF">
        <w:rPr>
          <w:rFonts w:cs="Arial"/>
          <w:b/>
          <w:bCs/>
          <w:szCs w:val="19"/>
        </w:rPr>
        <w:t xml:space="preserve"> </w:t>
      </w:r>
    </w:p>
    <w:p w:rsidR="00D67B5E" w:rsidRPr="001F29E3" w:rsidRDefault="00D67B5E" w:rsidP="00D67B5E">
      <w:pPr>
        <w:pStyle w:val="Heading2"/>
      </w:pPr>
      <w:r w:rsidRPr="001F29E3">
        <w:br w:type="page"/>
      </w:r>
      <w:bookmarkStart w:id="86" w:name="_Toc366588125"/>
      <w:r w:rsidRPr="001F29E3">
        <w:lastRenderedPageBreak/>
        <w:t>Foundation Level Training</w:t>
      </w:r>
      <w:bookmarkEnd w:id="86"/>
    </w:p>
    <w:p w:rsidR="00D67B5E" w:rsidRDefault="00D67B5E" w:rsidP="00D67B5E">
      <w:pPr>
        <w:rPr>
          <w:rFonts w:cs="Arial"/>
        </w:rPr>
      </w:pPr>
    </w:p>
    <w:p w:rsidR="00D67B5E" w:rsidRPr="001F29E3" w:rsidRDefault="00D67B5E" w:rsidP="00D67B5E">
      <w:pPr>
        <w:rPr>
          <w:rFonts w:cs="Arial"/>
        </w:rPr>
      </w:pPr>
      <w:r w:rsidRPr="001F29E3">
        <w:rPr>
          <w:rFonts w:cs="Arial"/>
        </w:rPr>
        <w:t xml:space="preserve">An efficient and effective training market </w:t>
      </w:r>
      <w:r>
        <w:rPr>
          <w:rFonts w:cs="Arial"/>
        </w:rPr>
        <w:t xml:space="preserve">is </w:t>
      </w:r>
      <w:r w:rsidRPr="001F29E3">
        <w:rPr>
          <w:rFonts w:cs="Arial"/>
        </w:rPr>
        <w:t xml:space="preserve">vital </w:t>
      </w:r>
      <w:r>
        <w:rPr>
          <w:rFonts w:cs="Arial"/>
        </w:rPr>
        <w:t xml:space="preserve">to </w:t>
      </w:r>
      <w:r w:rsidRPr="001F29E3">
        <w:rPr>
          <w:rFonts w:cs="Arial"/>
        </w:rPr>
        <w:t>provid</w:t>
      </w:r>
      <w:r>
        <w:rPr>
          <w:rFonts w:cs="Arial"/>
        </w:rPr>
        <w:t>e</w:t>
      </w:r>
      <w:r w:rsidRPr="001F29E3">
        <w:rPr>
          <w:rFonts w:cs="Arial"/>
        </w:rPr>
        <w:t xml:space="preserve"> better outcomes for </w:t>
      </w:r>
      <w:r>
        <w:rPr>
          <w:rFonts w:cs="Arial"/>
        </w:rPr>
        <w:t xml:space="preserve">students </w:t>
      </w:r>
      <w:r w:rsidRPr="001F29E3">
        <w:rPr>
          <w:rFonts w:cs="Arial"/>
        </w:rPr>
        <w:t xml:space="preserve">and employers, as well as the wider Victorian community. </w:t>
      </w:r>
      <w:r>
        <w:rPr>
          <w:rFonts w:cs="Arial"/>
        </w:rPr>
        <w:t xml:space="preserve">It is </w:t>
      </w:r>
      <w:r w:rsidRPr="001F29E3">
        <w:rPr>
          <w:rFonts w:cs="Arial"/>
        </w:rPr>
        <w:t>particular</w:t>
      </w:r>
      <w:r>
        <w:rPr>
          <w:rFonts w:cs="Arial"/>
        </w:rPr>
        <w:t>ly</w:t>
      </w:r>
      <w:r w:rsidRPr="001F29E3">
        <w:rPr>
          <w:rFonts w:cs="Arial"/>
        </w:rPr>
        <w:t xml:space="preserve"> importan</w:t>
      </w:r>
      <w:r>
        <w:rPr>
          <w:rFonts w:cs="Arial"/>
        </w:rPr>
        <w:t>t</w:t>
      </w:r>
      <w:r w:rsidRPr="001F29E3">
        <w:rPr>
          <w:rFonts w:cs="Arial"/>
        </w:rPr>
        <w:t xml:space="preserve"> </w:t>
      </w:r>
      <w:r>
        <w:rPr>
          <w:rFonts w:cs="Arial"/>
        </w:rPr>
        <w:t xml:space="preserve">to make sure </w:t>
      </w:r>
      <w:r w:rsidRPr="001F29E3">
        <w:rPr>
          <w:rFonts w:cs="Arial"/>
        </w:rPr>
        <w:t xml:space="preserve">school leavers and adults without </w:t>
      </w:r>
      <w:r>
        <w:rPr>
          <w:rFonts w:cs="Arial"/>
        </w:rPr>
        <w:t xml:space="preserve">solid literacy and numeracy skills </w:t>
      </w:r>
      <w:r w:rsidRPr="001F29E3">
        <w:rPr>
          <w:rFonts w:cs="Arial"/>
        </w:rPr>
        <w:t>are given the opportunity to acquire them</w:t>
      </w:r>
      <w:r>
        <w:rPr>
          <w:rFonts w:cs="Arial"/>
        </w:rPr>
        <w:t xml:space="preserve">. These skills will </w:t>
      </w:r>
      <w:r w:rsidRPr="001F29E3">
        <w:rPr>
          <w:rFonts w:cs="Arial"/>
        </w:rPr>
        <w:t xml:space="preserve">greatly improve their chances of </w:t>
      </w:r>
      <w:proofErr w:type="gramStart"/>
      <w:r w:rsidRPr="001F29E3">
        <w:rPr>
          <w:rFonts w:cs="Arial"/>
        </w:rPr>
        <w:t>employment,</w:t>
      </w:r>
      <w:proofErr w:type="gramEnd"/>
      <w:r w:rsidRPr="001F29E3">
        <w:rPr>
          <w:rFonts w:cs="Arial"/>
        </w:rPr>
        <w:t xml:space="preserve"> </w:t>
      </w:r>
      <w:r>
        <w:rPr>
          <w:rFonts w:cs="Arial"/>
        </w:rPr>
        <w:t xml:space="preserve">provide opportunities for </w:t>
      </w:r>
      <w:r w:rsidRPr="001F29E3">
        <w:rPr>
          <w:rFonts w:cs="Arial"/>
        </w:rPr>
        <w:t>further education and broader social participation.</w:t>
      </w:r>
    </w:p>
    <w:p w:rsidR="00D67B5E" w:rsidRPr="001F29E3" w:rsidRDefault="00D67B5E" w:rsidP="00D67B5E">
      <w:pPr>
        <w:pStyle w:val="Caption"/>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D67B5E" w:rsidRPr="00240F20" w:rsidTr="0051046D">
        <w:trPr>
          <w:trHeight w:val="1449"/>
        </w:trPr>
        <w:tc>
          <w:tcPr>
            <w:tcW w:w="9088" w:type="dxa"/>
          </w:tcPr>
          <w:p w:rsidR="00D67B5E" w:rsidRDefault="00D67B5E" w:rsidP="0051046D">
            <w:pPr>
              <w:pStyle w:val="Heading3"/>
            </w:pPr>
            <w:r w:rsidRPr="00240F20">
              <w:t>Key Points</w:t>
            </w:r>
          </w:p>
          <w:p w:rsidR="00D67B5E" w:rsidRPr="00A326AF" w:rsidRDefault="00D67B5E" w:rsidP="0051046D"/>
          <w:p w:rsidR="00D67B5E" w:rsidRPr="00240F20" w:rsidRDefault="00D67B5E" w:rsidP="0051046D">
            <w:pPr>
              <w:pStyle w:val="ListBullet"/>
              <w:numPr>
                <w:ilvl w:val="0"/>
                <w:numId w:val="11"/>
              </w:numPr>
              <w:ind w:right="113"/>
              <w:rPr>
                <w:rFonts w:cs="Arial"/>
              </w:rPr>
            </w:pPr>
            <w:r w:rsidRPr="00240F20">
              <w:rPr>
                <w:rFonts w:cs="Arial"/>
              </w:rPr>
              <w:t>Enrolments in government subsidised foundation skills courses were 96,100 in Q2 2013. This figure is higher compared to the corresponding figures over the same period in 2011 and 2012.</w:t>
            </w:r>
          </w:p>
          <w:p w:rsidR="00D67B5E" w:rsidRPr="00240F20" w:rsidRDefault="00D67B5E" w:rsidP="0051046D">
            <w:pPr>
              <w:pStyle w:val="ListBullet"/>
              <w:numPr>
                <w:ilvl w:val="0"/>
                <w:numId w:val="11"/>
              </w:numPr>
              <w:ind w:right="113"/>
              <w:rPr>
                <w:rFonts w:cs="Arial"/>
              </w:rPr>
            </w:pPr>
            <w:r w:rsidRPr="00240F20">
              <w:rPr>
                <w:rFonts w:cs="Arial"/>
              </w:rPr>
              <w:t>In terms of students, there were 82,400 government subsidised students enrolled in these courses in Q2 2013.  More than half (51 per cent) of these students were aged between 15 and 24 years.</w:t>
            </w:r>
          </w:p>
          <w:p w:rsidR="00D67B5E" w:rsidRPr="00240F20" w:rsidRDefault="00D67B5E" w:rsidP="0051046D">
            <w:pPr>
              <w:pStyle w:val="ListBullet"/>
              <w:numPr>
                <w:ilvl w:val="0"/>
                <w:numId w:val="11"/>
              </w:numPr>
              <w:ind w:right="113"/>
              <w:rPr>
                <w:rFonts w:cs="Arial"/>
              </w:rPr>
            </w:pPr>
            <w:r w:rsidRPr="00240F20">
              <w:rPr>
                <w:rFonts w:cs="Arial"/>
              </w:rPr>
              <w:t>The top three foundation skills course enrolments in Q2 2013 were Certificate I in Vocational Preparation, the Certificate II in General Education for Adults and the Certificate I in General Education for Adults.  Enrolments in these courses accounted for 63 per cent of all government subsidised foundation course enrolments.</w:t>
            </w:r>
          </w:p>
        </w:tc>
      </w:tr>
    </w:tbl>
    <w:p w:rsidR="00D67B5E" w:rsidRDefault="00D67B5E" w:rsidP="00D67B5E">
      <w:pPr>
        <w:pStyle w:val="Caption"/>
        <w:jc w:val="left"/>
        <w:rPr>
          <w:rFonts w:cs="Arial"/>
        </w:rPr>
      </w:pPr>
    </w:p>
    <w:p w:rsidR="00D67B5E" w:rsidRPr="001865CC" w:rsidRDefault="00D67B5E" w:rsidP="00D67B5E"/>
    <w:p w:rsidR="00D67B5E" w:rsidRPr="001F29E3" w:rsidRDefault="00D67B5E" w:rsidP="00D67B5E">
      <w:pPr>
        <w:pStyle w:val="Caption"/>
        <w:jc w:val="left"/>
        <w:rPr>
          <w:rFonts w:cs="Arial"/>
        </w:rPr>
      </w:pPr>
      <w:r>
        <w:rPr>
          <w:rFonts w:cs="Arial"/>
        </w:rPr>
        <w:t xml:space="preserve">Figure </w:t>
      </w:r>
      <w:r w:rsidR="005654CD">
        <w:rPr>
          <w:rFonts w:cs="Arial"/>
        </w:rPr>
        <w:t>2</w:t>
      </w:r>
      <w:r w:rsidRPr="001F29E3">
        <w:rPr>
          <w:rFonts w:cs="Arial"/>
        </w:rPr>
        <w:t>.</w:t>
      </w:r>
      <w:r>
        <w:rPr>
          <w:rFonts w:cs="Arial"/>
        </w:rPr>
        <w:t>1</w:t>
      </w:r>
      <w:r w:rsidRPr="001F29E3">
        <w:rPr>
          <w:rFonts w:cs="Arial"/>
        </w:rPr>
        <w:t>: Government subsidised enrolments in foundation skills courses, 2008 – 2012, Q</w:t>
      </w:r>
      <w:r>
        <w:rPr>
          <w:rFonts w:cs="Arial"/>
        </w:rPr>
        <w:t>2</w:t>
      </w:r>
      <w:r w:rsidRPr="001F29E3">
        <w:rPr>
          <w:rFonts w:cs="Arial"/>
        </w:rPr>
        <w:t xml:space="preserve"> 201</w:t>
      </w:r>
      <w:r>
        <w:rPr>
          <w:rFonts w:cs="Arial"/>
        </w:rPr>
        <w:t xml:space="preserve">1, </w:t>
      </w:r>
      <w:r>
        <w:rPr>
          <w:rFonts w:cs="Arial"/>
        </w:rPr>
        <w:br/>
        <w:t>Q2 2012</w:t>
      </w:r>
      <w:r w:rsidRPr="001F29E3">
        <w:rPr>
          <w:rFonts w:cs="Arial"/>
        </w:rPr>
        <w:t xml:space="preserve"> and Q1 2013</w:t>
      </w:r>
    </w:p>
    <w:p w:rsidR="00D67B5E" w:rsidRPr="001F29E3" w:rsidRDefault="00D67B5E" w:rsidP="00D67B5E">
      <w:pPr>
        <w:jc w:val="center"/>
        <w:rPr>
          <w:rFonts w:cs="Arial"/>
        </w:rPr>
      </w:pPr>
      <w:r>
        <w:rPr>
          <w:rFonts w:cs="Arial"/>
          <w:noProof/>
          <w:lang w:eastAsia="en-AU"/>
        </w:rPr>
        <w:drawing>
          <wp:inline distT="0" distB="0" distL="0" distR="0" wp14:anchorId="687B059D" wp14:editId="52933E50">
            <wp:extent cx="5895340" cy="3152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5340" cy="3152140"/>
                    </a:xfrm>
                    <a:prstGeom prst="rect">
                      <a:avLst/>
                    </a:prstGeom>
                    <a:noFill/>
                  </pic:spPr>
                </pic:pic>
              </a:graphicData>
            </a:graphic>
          </wp:inline>
        </w:drawing>
      </w:r>
    </w:p>
    <w:p w:rsidR="00D67B5E" w:rsidRDefault="00D67B5E" w:rsidP="00D67B5E">
      <w:pPr>
        <w:pStyle w:val="Caption"/>
      </w:pPr>
    </w:p>
    <w:p w:rsidR="00D67B5E" w:rsidRDefault="00D67B5E" w:rsidP="00D67B5E">
      <w:pPr>
        <w:spacing w:after="0" w:line="240" w:lineRule="auto"/>
        <w:jc w:val="left"/>
        <w:rPr>
          <w:rFonts w:cs="Arial"/>
          <w:b/>
          <w:bCs/>
          <w:color w:val="76923C" w:themeColor="accent3" w:themeShade="BF"/>
          <w:sz w:val="18"/>
          <w:szCs w:val="16"/>
        </w:rPr>
      </w:pPr>
      <w:r>
        <w:rPr>
          <w:rFonts w:cs="Arial"/>
        </w:rPr>
        <w:br w:type="page"/>
      </w:r>
    </w:p>
    <w:p w:rsidR="00D67B5E" w:rsidRDefault="00D67B5E" w:rsidP="00D67B5E">
      <w:pPr>
        <w:pStyle w:val="Caption"/>
        <w:spacing w:after="0" w:line="240" w:lineRule="auto"/>
        <w:jc w:val="left"/>
        <w:rPr>
          <w:rFonts w:cs="Arial"/>
        </w:rPr>
      </w:pPr>
      <w:r>
        <w:rPr>
          <w:rFonts w:cs="Arial"/>
        </w:rPr>
        <w:lastRenderedPageBreak/>
        <w:t xml:space="preserve">Table </w:t>
      </w:r>
      <w:r w:rsidR="005654CD">
        <w:rPr>
          <w:rFonts w:cs="Arial"/>
        </w:rPr>
        <w:t>2</w:t>
      </w:r>
      <w:r w:rsidRPr="001F29E3">
        <w:rPr>
          <w:rFonts w:cs="Arial"/>
        </w:rPr>
        <w:t>.</w:t>
      </w:r>
      <w:r>
        <w:rPr>
          <w:rFonts w:cs="Arial"/>
        </w:rPr>
        <w:t>8.1</w:t>
      </w:r>
      <w:r w:rsidRPr="001F29E3">
        <w:rPr>
          <w:rFonts w:cs="Arial"/>
        </w:rPr>
        <w:t>: Government subsidised student</w:t>
      </w:r>
      <w:r>
        <w:rPr>
          <w:rFonts w:cs="Arial"/>
        </w:rPr>
        <w:t xml:space="preserve"> contact hours </w:t>
      </w:r>
      <w:r w:rsidRPr="001F29E3">
        <w:rPr>
          <w:rFonts w:cs="Arial"/>
        </w:rPr>
        <w:t>in foundation skills courses, 2008-2012</w:t>
      </w:r>
    </w:p>
    <w:tbl>
      <w:tblPr>
        <w:tblW w:w="9100" w:type="dxa"/>
        <w:tblInd w:w="108" w:type="dxa"/>
        <w:tblLook w:val="04A0" w:firstRow="1" w:lastRow="0" w:firstColumn="1" w:lastColumn="0" w:noHBand="0" w:noVBand="1"/>
      </w:tblPr>
      <w:tblGrid>
        <w:gridCol w:w="2380"/>
        <w:gridCol w:w="1120"/>
        <w:gridCol w:w="1120"/>
        <w:gridCol w:w="1120"/>
        <w:gridCol w:w="1120"/>
        <w:gridCol w:w="1120"/>
        <w:gridCol w:w="1120"/>
      </w:tblGrid>
      <w:tr w:rsidR="00D67B5E" w:rsidRPr="00C7735A" w:rsidTr="0051046D">
        <w:trPr>
          <w:trHeight w:hRule="exact" w:val="760"/>
        </w:trPr>
        <w:tc>
          <w:tcPr>
            <w:tcW w:w="2380" w:type="dxa"/>
            <w:tcBorders>
              <w:top w:val="single" w:sz="4" w:space="0" w:color="5E8A00"/>
              <w:left w:val="single" w:sz="4" w:space="0" w:color="5E8A00"/>
              <w:bottom w:val="single" w:sz="4" w:space="0" w:color="5E8A00"/>
              <w:right w:val="single" w:sz="4" w:space="0" w:color="5E8A00"/>
            </w:tcBorders>
            <w:shd w:val="clear" w:color="000000" w:fill="5E8A00"/>
            <w:noWrap/>
            <w:vAlign w:val="center"/>
            <w:hideMark/>
          </w:tcPr>
          <w:p w:rsidR="00D67B5E" w:rsidRPr="00C7735A" w:rsidRDefault="00D67B5E" w:rsidP="00F034AF">
            <w:pPr>
              <w:spacing w:after="0" w:line="240" w:lineRule="auto"/>
              <w:ind w:firstLineChars="100" w:firstLine="181"/>
              <w:jc w:val="left"/>
              <w:rPr>
                <w:rFonts w:cs="Arial"/>
                <w:b/>
                <w:bCs/>
                <w:color w:val="FFFFFF"/>
                <w:sz w:val="18"/>
                <w:szCs w:val="18"/>
                <w:lang w:eastAsia="en-AU"/>
              </w:rPr>
            </w:pPr>
            <w:r w:rsidRPr="00C7735A">
              <w:rPr>
                <w:rFonts w:cs="Arial"/>
                <w:b/>
                <w:bCs/>
                <w:color w:val="FFFFFF"/>
                <w:sz w:val="18"/>
                <w:szCs w:val="18"/>
                <w:lang w:eastAsia="en-AU"/>
              </w:rPr>
              <w:t> </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67B5E" w:rsidRPr="00C7735A" w:rsidRDefault="00D67B5E" w:rsidP="00F034AF">
            <w:pPr>
              <w:spacing w:after="0" w:line="240" w:lineRule="auto"/>
              <w:ind w:firstLineChars="100" w:firstLine="181"/>
              <w:jc w:val="right"/>
              <w:rPr>
                <w:rFonts w:cs="Arial"/>
                <w:b/>
                <w:bCs/>
                <w:color w:val="FFFFFF"/>
                <w:sz w:val="18"/>
                <w:szCs w:val="18"/>
                <w:lang w:eastAsia="en-AU"/>
              </w:rPr>
            </w:pPr>
            <w:r w:rsidRPr="00C7735A">
              <w:rPr>
                <w:rFonts w:cs="Arial"/>
                <w:b/>
                <w:bCs/>
                <w:color w:val="FFFFFF"/>
                <w:sz w:val="18"/>
                <w:szCs w:val="18"/>
                <w:lang w:eastAsia="en-AU"/>
              </w:rPr>
              <w:t>2008</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67B5E" w:rsidRPr="00C7735A" w:rsidRDefault="00D67B5E" w:rsidP="00F034AF">
            <w:pPr>
              <w:spacing w:after="0" w:line="240" w:lineRule="auto"/>
              <w:ind w:firstLineChars="100" w:firstLine="181"/>
              <w:jc w:val="right"/>
              <w:rPr>
                <w:rFonts w:cs="Arial"/>
                <w:b/>
                <w:bCs/>
                <w:color w:val="FFFFFF"/>
                <w:sz w:val="18"/>
                <w:szCs w:val="18"/>
                <w:lang w:eastAsia="en-AU"/>
              </w:rPr>
            </w:pPr>
            <w:r w:rsidRPr="00C7735A">
              <w:rPr>
                <w:rFonts w:cs="Arial"/>
                <w:b/>
                <w:bCs/>
                <w:color w:val="FFFFFF"/>
                <w:sz w:val="18"/>
                <w:szCs w:val="18"/>
                <w:lang w:eastAsia="en-AU"/>
              </w:rPr>
              <w:t>2009</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67B5E" w:rsidRPr="00C7735A" w:rsidRDefault="00D67B5E" w:rsidP="00F034AF">
            <w:pPr>
              <w:spacing w:after="0" w:line="240" w:lineRule="auto"/>
              <w:ind w:firstLineChars="100" w:firstLine="181"/>
              <w:jc w:val="right"/>
              <w:rPr>
                <w:rFonts w:cs="Arial"/>
                <w:b/>
                <w:bCs/>
                <w:color w:val="FFFFFF"/>
                <w:sz w:val="18"/>
                <w:szCs w:val="18"/>
                <w:lang w:eastAsia="en-AU"/>
              </w:rPr>
            </w:pPr>
            <w:r w:rsidRPr="00C7735A">
              <w:rPr>
                <w:rFonts w:cs="Arial"/>
                <w:b/>
                <w:bCs/>
                <w:color w:val="FFFFFF"/>
                <w:sz w:val="18"/>
                <w:szCs w:val="18"/>
                <w:lang w:eastAsia="en-AU"/>
              </w:rPr>
              <w:t>2010</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67B5E" w:rsidRPr="00C7735A" w:rsidRDefault="00D67B5E" w:rsidP="00F034AF">
            <w:pPr>
              <w:spacing w:after="0" w:line="240" w:lineRule="auto"/>
              <w:ind w:firstLineChars="100" w:firstLine="181"/>
              <w:jc w:val="right"/>
              <w:rPr>
                <w:rFonts w:cs="Arial"/>
                <w:b/>
                <w:bCs/>
                <w:color w:val="FFFFFF"/>
                <w:sz w:val="18"/>
                <w:szCs w:val="18"/>
                <w:lang w:eastAsia="en-AU"/>
              </w:rPr>
            </w:pPr>
            <w:r w:rsidRPr="00C7735A">
              <w:rPr>
                <w:rFonts w:cs="Arial"/>
                <w:b/>
                <w:bCs/>
                <w:color w:val="FFFFFF"/>
                <w:sz w:val="18"/>
                <w:szCs w:val="18"/>
                <w:lang w:eastAsia="en-AU"/>
              </w:rPr>
              <w:t>2011</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67B5E" w:rsidRPr="00C7735A" w:rsidRDefault="00D67B5E" w:rsidP="00F034AF">
            <w:pPr>
              <w:spacing w:after="0" w:line="240" w:lineRule="auto"/>
              <w:ind w:firstLineChars="100" w:firstLine="181"/>
              <w:jc w:val="right"/>
              <w:rPr>
                <w:rFonts w:cs="Arial"/>
                <w:b/>
                <w:bCs/>
                <w:color w:val="FFFFFF"/>
                <w:sz w:val="18"/>
                <w:szCs w:val="18"/>
                <w:lang w:eastAsia="en-AU"/>
              </w:rPr>
            </w:pPr>
            <w:r w:rsidRPr="00C7735A">
              <w:rPr>
                <w:rFonts w:cs="Arial"/>
                <w:b/>
                <w:bCs/>
                <w:color w:val="FFFFFF"/>
                <w:sz w:val="18"/>
                <w:szCs w:val="18"/>
                <w:lang w:eastAsia="en-AU"/>
              </w:rPr>
              <w:t>2012</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67B5E" w:rsidRPr="00C7735A" w:rsidRDefault="00D67B5E" w:rsidP="0051046D">
            <w:pPr>
              <w:spacing w:after="0" w:line="240" w:lineRule="auto"/>
              <w:jc w:val="right"/>
              <w:rPr>
                <w:rFonts w:cs="Arial"/>
                <w:b/>
                <w:bCs/>
                <w:color w:val="FFFFFF"/>
                <w:sz w:val="18"/>
                <w:szCs w:val="18"/>
                <w:lang w:eastAsia="en-AU"/>
              </w:rPr>
            </w:pPr>
            <w:r w:rsidRPr="00C7735A">
              <w:rPr>
                <w:rFonts w:cs="Arial"/>
                <w:b/>
                <w:bCs/>
                <w:color w:val="FFFFFF"/>
                <w:sz w:val="18"/>
                <w:szCs w:val="18"/>
                <w:lang w:eastAsia="en-AU"/>
              </w:rPr>
              <w:t>% change</w:t>
            </w:r>
            <w:r w:rsidRPr="00C7735A">
              <w:rPr>
                <w:rFonts w:cs="Arial"/>
                <w:b/>
                <w:bCs/>
                <w:color w:val="FFFFFF"/>
                <w:sz w:val="18"/>
                <w:szCs w:val="18"/>
                <w:lang w:eastAsia="en-AU"/>
              </w:rPr>
              <w:br/>
              <w:t>2008-2012</w:t>
            </w:r>
          </w:p>
        </w:tc>
      </w:tr>
      <w:tr w:rsidR="00D67B5E" w:rsidRPr="00C7735A" w:rsidTr="0051046D">
        <w:trPr>
          <w:trHeight w:hRule="exact" w:val="284"/>
        </w:trPr>
        <w:tc>
          <w:tcPr>
            <w:tcW w:w="238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7735A" w:rsidRDefault="00D67B5E" w:rsidP="0051046D">
            <w:pPr>
              <w:spacing w:after="0" w:line="240" w:lineRule="auto"/>
              <w:jc w:val="left"/>
              <w:rPr>
                <w:rFonts w:cs="Arial"/>
                <w:color w:val="3E5B00"/>
                <w:sz w:val="18"/>
                <w:szCs w:val="18"/>
                <w:lang w:eastAsia="en-AU"/>
              </w:rPr>
            </w:pPr>
            <w:r w:rsidRPr="00C7735A">
              <w:rPr>
                <w:rFonts w:cs="Arial"/>
                <w:color w:val="3E5B00"/>
                <w:sz w:val="18"/>
                <w:szCs w:val="18"/>
                <w:lang w:eastAsia="en-AU"/>
              </w:rPr>
              <w:t>Student contact hours</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C7735A" w:rsidRDefault="00D67B5E" w:rsidP="0051046D">
            <w:pPr>
              <w:spacing w:after="0" w:line="240" w:lineRule="auto"/>
              <w:jc w:val="right"/>
              <w:rPr>
                <w:rFonts w:cs="Arial"/>
                <w:sz w:val="18"/>
                <w:szCs w:val="18"/>
                <w:lang w:eastAsia="en-AU"/>
              </w:rPr>
            </w:pPr>
            <w:r w:rsidRPr="00C7735A">
              <w:rPr>
                <w:rFonts w:cs="Arial"/>
                <w:sz w:val="18"/>
                <w:szCs w:val="18"/>
                <w:lang w:eastAsia="en-AU"/>
              </w:rPr>
              <w:t xml:space="preserve">6.8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C7735A" w:rsidRDefault="00D67B5E" w:rsidP="0051046D">
            <w:pPr>
              <w:spacing w:after="0" w:line="240" w:lineRule="auto"/>
              <w:jc w:val="right"/>
              <w:rPr>
                <w:rFonts w:cs="Arial"/>
                <w:sz w:val="18"/>
                <w:szCs w:val="18"/>
                <w:lang w:eastAsia="en-AU"/>
              </w:rPr>
            </w:pPr>
            <w:r w:rsidRPr="00C7735A">
              <w:rPr>
                <w:rFonts w:cs="Arial"/>
                <w:sz w:val="18"/>
                <w:szCs w:val="18"/>
                <w:lang w:eastAsia="en-AU"/>
              </w:rPr>
              <w:t xml:space="preserve">7.6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C7735A" w:rsidRDefault="00D67B5E" w:rsidP="0051046D">
            <w:pPr>
              <w:spacing w:after="0" w:line="240" w:lineRule="auto"/>
              <w:jc w:val="right"/>
              <w:rPr>
                <w:rFonts w:cs="Arial"/>
                <w:sz w:val="18"/>
                <w:szCs w:val="18"/>
                <w:lang w:eastAsia="en-AU"/>
              </w:rPr>
            </w:pPr>
            <w:r w:rsidRPr="00C7735A">
              <w:rPr>
                <w:rFonts w:cs="Arial"/>
                <w:sz w:val="18"/>
                <w:szCs w:val="18"/>
                <w:lang w:eastAsia="en-AU"/>
              </w:rPr>
              <w:t xml:space="preserve">7.1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C7735A" w:rsidRDefault="00D67B5E" w:rsidP="0051046D">
            <w:pPr>
              <w:spacing w:after="0" w:line="240" w:lineRule="auto"/>
              <w:jc w:val="right"/>
              <w:rPr>
                <w:rFonts w:cs="Arial"/>
                <w:sz w:val="18"/>
                <w:szCs w:val="18"/>
                <w:lang w:eastAsia="en-AU"/>
              </w:rPr>
            </w:pPr>
            <w:r w:rsidRPr="00C7735A">
              <w:rPr>
                <w:rFonts w:cs="Arial"/>
                <w:sz w:val="18"/>
                <w:szCs w:val="18"/>
                <w:lang w:eastAsia="en-AU"/>
              </w:rPr>
              <w:t xml:space="preserve">11.0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C7735A" w:rsidRDefault="00D67B5E" w:rsidP="0051046D">
            <w:pPr>
              <w:spacing w:after="0" w:line="240" w:lineRule="auto"/>
              <w:jc w:val="right"/>
              <w:rPr>
                <w:rFonts w:cs="Arial"/>
                <w:sz w:val="18"/>
                <w:szCs w:val="18"/>
                <w:lang w:eastAsia="en-AU"/>
              </w:rPr>
            </w:pPr>
            <w:r w:rsidRPr="00C7735A">
              <w:rPr>
                <w:rFonts w:cs="Arial"/>
                <w:sz w:val="18"/>
                <w:szCs w:val="18"/>
                <w:lang w:eastAsia="en-AU"/>
              </w:rPr>
              <w:t xml:space="preserve">19.2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C7735A" w:rsidRDefault="00D67B5E" w:rsidP="0051046D">
            <w:pPr>
              <w:spacing w:after="0" w:line="240" w:lineRule="auto"/>
              <w:ind w:firstLineChars="100" w:firstLine="180"/>
              <w:jc w:val="right"/>
              <w:rPr>
                <w:rFonts w:cs="Arial"/>
                <w:sz w:val="18"/>
                <w:szCs w:val="18"/>
                <w:lang w:eastAsia="en-AU"/>
              </w:rPr>
            </w:pPr>
            <w:r w:rsidRPr="00C7735A">
              <w:rPr>
                <w:rFonts w:cs="Arial"/>
                <w:sz w:val="18"/>
                <w:szCs w:val="18"/>
                <w:lang w:eastAsia="en-AU"/>
              </w:rPr>
              <w:t>180%</w:t>
            </w:r>
          </w:p>
        </w:tc>
      </w:tr>
    </w:tbl>
    <w:p w:rsidR="00D67B5E" w:rsidRDefault="00D67B5E" w:rsidP="00D67B5E">
      <w:pPr>
        <w:pStyle w:val="Caption"/>
        <w:jc w:val="left"/>
        <w:rPr>
          <w:rFonts w:cs="Arial"/>
        </w:rPr>
      </w:pPr>
    </w:p>
    <w:p w:rsidR="00D67B5E" w:rsidRDefault="00D67B5E" w:rsidP="00D67B5E">
      <w:pPr>
        <w:pStyle w:val="Caption"/>
        <w:spacing w:after="0" w:line="240" w:lineRule="auto"/>
        <w:jc w:val="left"/>
        <w:rPr>
          <w:rFonts w:cs="Arial"/>
        </w:rPr>
      </w:pPr>
      <w:r>
        <w:rPr>
          <w:rFonts w:cs="Arial"/>
        </w:rPr>
        <w:t xml:space="preserve">Table </w:t>
      </w:r>
      <w:r w:rsidR="005654CD">
        <w:rPr>
          <w:rFonts w:cs="Arial"/>
        </w:rPr>
        <w:t>2</w:t>
      </w:r>
      <w:r w:rsidRPr="001F29E3">
        <w:rPr>
          <w:rFonts w:cs="Arial"/>
        </w:rPr>
        <w:t>.</w:t>
      </w:r>
      <w:r>
        <w:rPr>
          <w:rFonts w:cs="Arial"/>
        </w:rPr>
        <w:t>8.2</w:t>
      </w:r>
      <w:r w:rsidRPr="001F29E3">
        <w:rPr>
          <w:rFonts w:cs="Arial"/>
        </w:rPr>
        <w:t>: Government subsidised student</w:t>
      </w:r>
      <w:r>
        <w:rPr>
          <w:rFonts w:cs="Arial"/>
        </w:rPr>
        <w:t xml:space="preserve"> contact hours </w:t>
      </w:r>
      <w:r w:rsidRPr="001F29E3">
        <w:rPr>
          <w:rFonts w:cs="Arial"/>
        </w:rPr>
        <w:t xml:space="preserve">in foundation skills courses, </w:t>
      </w:r>
      <w:r>
        <w:rPr>
          <w:rFonts w:cs="Arial"/>
        </w:rPr>
        <w:t xml:space="preserve">Q2 2011, </w:t>
      </w:r>
      <w:r w:rsidRPr="001F29E3">
        <w:rPr>
          <w:rFonts w:cs="Arial"/>
        </w:rPr>
        <w:t>Q</w:t>
      </w:r>
      <w:r>
        <w:rPr>
          <w:rFonts w:cs="Arial"/>
        </w:rPr>
        <w:t>2</w:t>
      </w:r>
      <w:r w:rsidRPr="001F29E3">
        <w:rPr>
          <w:rFonts w:cs="Arial"/>
        </w:rPr>
        <w:t xml:space="preserve"> 2012 and Q</w:t>
      </w:r>
      <w:r>
        <w:rPr>
          <w:rFonts w:cs="Arial"/>
        </w:rPr>
        <w:t>2</w:t>
      </w:r>
      <w:r w:rsidRPr="001F29E3">
        <w:rPr>
          <w:rFonts w:cs="Arial"/>
        </w:rPr>
        <w:t xml:space="preserve"> 2013</w:t>
      </w:r>
    </w:p>
    <w:tbl>
      <w:tblPr>
        <w:tblW w:w="7980" w:type="dxa"/>
        <w:tblInd w:w="108" w:type="dxa"/>
        <w:tblLook w:val="04A0" w:firstRow="1" w:lastRow="0" w:firstColumn="1" w:lastColumn="0" w:noHBand="0" w:noVBand="1"/>
      </w:tblPr>
      <w:tblGrid>
        <w:gridCol w:w="2380"/>
        <w:gridCol w:w="1120"/>
        <w:gridCol w:w="1120"/>
        <w:gridCol w:w="1120"/>
        <w:gridCol w:w="1120"/>
        <w:gridCol w:w="1120"/>
      </w:tblGrid>
      <w:tr w:rsidR="00D67B5E" w:rsidRPr="00C7735A" w:rsidTr="0051046D">
        <w:trPr>
          <w:trHeight w:hRule="exact" w:val="760"/>
        </w:trPr>
        <w:tc>
          <w:tcPr>
            <w:tcW w:w="2380" w:type="dxa"/>
            <w:tcBorders>
              <w:top w:val="single" w:sz="4" w:space="0" w:color="5E8A00"/>
              <w:left w:val="single" w:sz="4" w:space="0" w:color="5E8A00"/>
              <w:bottom w:val="single" w:sz="4" w:space="0" w:color="5E8A00"/>
              <w:right w:val="single" w:sz="4" w:space="0" w:color="5E8A00"/>
            </w:tcBorders>
            <w:shd w:val="clear" w:color="000000" w:fill="5E8A00"/>
            <w:noWrap/>
            <w:vAlign w:val="center"/>
            <w:hideMark/>
          </w:tcPr>
          <w:p w:rsidR="00D67B5E" w:rsidRPr="00C7735A" w:rsidRDefault="00D67B5E" w:rsidP="00F034AF">
            <w:pPr>
              <w:spacing w:after="0" w:line="240" w:lineRule="auto"/>
              <w:ind w:firstLineChars="100" w:firstLine="181"/>
              <w:jc w:val="left"/>
              <w:rPr>
                <w:rFonts w:cs="Arial"/>
                <w:b/>
                <w:bCs/>
                <w:color w:val="FFFFFF"/>
                <w:sz w:val="18"/>
                <w:szCs w:val="18"/>
                <w:lang w:eastAsia="en-AU"/>
              </w:rPr>
            </w:pPr>
            <w:r w:rsidRPr="00C7735A">
              <w:rPr>
                <w:rFonts w:cs="Arial"/>
                <w:b/>
                <w:bCs/>
                <w:color w:val="FFFFFF"/>
                <w:sz w:val="18"/>
                <w:szCs w:val="18"/>
                <w:lang w:eastAsia="en-AU"/>
              </w:rPr>
              <w:t> </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67B5E" w:rsidRPr="00C7735A" w:rsidRDefault="00D67B5E" w:rsidP="00F034AF">
            <w:pPr>
              <w:spacing w:after="0" w:line="240" w:lineRule="auto"/>
              <w:ind w:firstLineChars="100" w:firstLine="181"/>
              <w:jc w:val="right"/>
              <w:rPr>
                <w:rFonts w:cs="Arial"/>
                <w:b/>
                <w:bCs/>
                <w:color w:val="FFFFFF"/>
                <w:sz w:val="18"/>
                <w:szCs w:val="18"/>
                <w:lang w:eastAsia="en-AU"/>
              </w:rPr>
            </w:pPr>
            <w:r w:rsidRPr="00C7735A">
              <w:rPr>
                <w:rFonts w:cs="Arial"/>
                <w:b/>
                <w:bCs/>
                <w:color w:val="FFFFFF"/>
                <w:sz w:val="18"/>
                <w:szCs w:val="18"/>
                <w:lang w:eastAsia="en-AU"/>
              </w:rPr>
              <w:t>Q2 2011</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67B5E" w:rsidRPr="00C7735A" w:rsidRDefault="00D67B5E" w:rsidP="00F034AF">
            <w:pPr>
              <w:spacing w:after="0" w:line="240" w:lineRule="auto"/>
              <w:ind w:firstLineChars="100" w:firstLine="181"/>
              <w:jc w:val="right"/>
              <w:rPr>
                <w:rFonts w:cs="Arial"/>
                <w:b/>
                <w:bCs/>
                <w:color w:val="FFFFFF"/>
                <w:sz w:val="18"/>
                <w:szCs w:val="18"/>
                <w:lang w:eastAsia="en-AU"/>
              </w:rPr>
            </w:pPr>
            <w:r w:rsidRPr="00C7735A">
              <w:rPr>
                <w:rFonts w:cs="Arial"/>
                <w:b/>
                <w:bCs/>
                <w:color w:val="FFFFFF"/>
                <w:sz w:val="18"/>
                <w:szCs w:val="18"/>
                <w:lang w:eastAsia="en-AU"/>
              </w:rPr>
              <w:t>Q2 2012</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67B5E" w:rsidRPr="00C7735A" w:rsidRDefault="00D67B5E" w:rsidP="00F034AF">
            <w:pPr>
              <w:spacing w:after="0" w:line="240" w:lineRule="auto"/>
              <w:ind w:firstLineChars="100" w:firstLine="181"/>
              <w:jc w:val="right"/>
              <w:rPr>
                <w:rFonts w:cs="Arial"/>
                <w:b/>
                <w:bCs/>
                <w:color w:val="FFFFFF"/>
                <w:sz w:val="18"/>
                <w:szCs w:val="18"/>
                <w:lang w:eastAsia="en-AU"/>
              </w:rPr>
            </w:pPr>
            <w:r w:rsidRPr="00C7735A">
              <w:rPr>
                <w:rFonts w:cs="Arial"/>
                <w:b/>
                <w:bCs/>
                <w:color w:val="FFFFFF"/>
                <w:sz w:val="18"/>
                <w:szCs w:val="18"/>
                <w:lang w:eastAsia="en-AU"/>
              </w:rPr>
              <w:t>Q2 2013</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67B5E" w:rsidRPr="00C7735A" w:rsidRDefault="00D67B5E" w:rsidP="0051046D">
            <w:pPr>
              <w:spacing w:after="0" w:line="240" w:lineRule="auto"/>
              <w:jc w:val="center"/>
              <w:rPr>
                <w:rFonts w:cs="Arial"/>
                <w:b/>
                <w:bCs/>
                <w:color w:val="FFFFFF"/>
                <w:sz w:val="18"/>
                <w:szCs w:val="18"/>
                <w:lang w:eastAsia="en-AU"/>
              </w:rPr>
            </w:pPr>
            <w:r w:rsidRPr="00C7735A">
              <w:rPr>
                <w:rFonts w:cs="Arial"/>
                <w:b/>
                <w:bCs/>
                <w:color w:val="FFFFFF"/>
                <w:sz w:val="18"/>
                <w:szCs w:val="18"/>
                <w:lang w:eastAsia="en-AU"/>
              </w:rPr>
              <w:t>% change</w:t>
            </w:r>
            <w:r w:rsidRPr="00C7735A">
              <w:rPr>
                <w:rFonts w:cs="Arial"/>
                <w:b/>
                <w:bCs/>
                <w:color w:val="FFFFFF"/>
                <w:sz w:val="18"/>
                <w:szCs w:val="18"/>
                <w:lang w:eastAsia="en-AU"/>
              </w:rPr>
              <w:br/>
              <w:t>Q2 2011-Q2 2013 </w:t>
            </w:r>
          </w:p>
        </w:tc>
        <w:tc>
          <w:tcPr>
            <w:tcW w:w="1120" w:type="dxa"/>
            <w:tcBorders>
              <w:top w:val="single" w:sz="4" w:space="0" w:color="5E8A00"/>
              <w:left w:val="nil"/>
              <w:bottom w:val="single" w:sz="4" w:space="0" w:color="5E8A00"/>
              <w:right w:val="single" w:sz="4" w:space="0" w:color="5E8A00"/>
            </w:tcBorders>
            <w:shd w:val="clear" w:color="000000" w:fill="5E8A00"/>
            <w:vAlign w:val="center"/>
            <w:hideMark/>
          </w:tcPr>
          <w:p w:rsidR="00D67B5E" w:rsidRPr="00C7735A" w:rsidRDefault="00D67B5E" w:rsidP="0051046D">
            <w:pPr>
              <w:spacing w:after="0" w:line="240" w:lineRule="auto"/>
              <w:jc w:val="center"/>
              <w:rPr>
                <w:rFonts w:cs="Arial"/>
                <w:b/>
                <w:bCs/>
                <w:color w:val="FFFFFF"/>
                <w:sz w:val="18"/>
                <w:szCs w:val="18"/>
                <w:lang w:eastAsia="en-AU"/>
              </w:rPr>
            </w:pPr>
            <w:r w:rsidRPr="00C7735A">
              <w:rPr>
                <w:rFonts w:cs="Arial"/>
                <w:b/>
                <w:bCs/>
                <w:color w:val="FFFFFF"/>
                <w:sz w:val="18"/>
                <w:szCs w:val="18"/>
                <w:lang w:eastAsia="en-AU"/>
              </w:rPr>
              <w:t>% change</w:t>
            </w:r>
            <w:r w:rsidRPr="00C7735A">
              <w:rPr>
                <w:rFonts w:cs="Arial"/>
                <w:b/>
                <w:bCs/>
                <w:color w:val="FFFFFF"/>
                <w:sz w:val="18"/>
                <w:szCs w:val="18"/>
                <w:lang w:eastAsia="en-AU"/>
              </w:rPr>
              <w:br/>
              <w:t>Q2 2012-Q2 2013</w:t>
            </w:r>
          </w:p>
        </w:tc>
      </w:tr>
      <w:tr w:rsidR="00D67B5E" w:rsidRPr="00C7735A" w:rsidTr="0051046D">
        <w:trPr>
          <w:trHeight w:hRule="exact" w:val="284"/>
        </w:trPr>
        <w:tc>
          <w:tcPr>
            <w:tcW w:w="238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C7735A" w:rsidRDefault="00D67B5E" w:rsidP="0051046D">
            <w:pPr>
              <w:spacing w:after="0" w:line="240" w:lineRule="auto"/>
              <w:jc w:val="left"/>
              <w:rPr>
                <w:rFonts w:cs="Arial"/>
                <w:color w:val="3E5B00"/>
                <w:sz w:val="18"/>
                <w:szCs w:val="18"/>
                <w:lang w:eastAsia="en-AU"/>
              </w:rPr>
            </w:pPr>
            <w:r w:rsidRPr="00C7735A">
              <w:rPr>
                <w:rFonts w:cs="Arial"/>
                <w:color w:val="3E5B00"/>
                <w:sz w:val="18"/>
                <w:szCs w:val="18"/>
                <w:lang w:eastAsia="en-AU"/>
              </w:rPr>
              <w:t>Student contact hours</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C7735A" w:rsidRDefault="00D67B5E" w:rsidP="0051046D">
            <w:pPr>
              <w:spacing w:after="0" w:line="240" w:lineRule="auto"/>
              <w:jc w:val="right"/>
              <w:rPr>
                <w:rFonts w:cs="Arial"/>
                <w:sz w:val="18"/>
                <w:szCs w:val="18"/>
                <w:lang w:eastAsia="en-AU"/>
              </w:rPr>
            </w:pPr>
            <w:r w:rsidRPr="00C7735A">
              <w:rPr>
                <w:rFonts w:cs="Arial"/>
                <w:sz w:val="18"/>
                <w:szCs w:val="18"/>
                <w:lang w:eastAsia="en-AU"/>
              </w:rPr>
              <w:t xml:space="preserve">7.3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C7735A" w:rsidRDefault="00D67B5E" w:rsidP="0051046D">
            <w:pPr>
              <w:spacing w:after="0" w:line="240" w:lineRule="auto"/>
              <w:jc w:val="right"/>
              <w:rPr>
                <w:rFonts w:cs="Arial"/>
                <w:sz w:val="18"/>
                <w:szCs w:val="18"/>
                <w:lang w:eastAsia="en-AU"/>
              </w:rPr>
            </w:pPr>
            <w:r w:rsidRPr="00C7735A">
              <w:rPr>
                <w:rFonts w:cs="Arial"/>
                <w:sz w:val="18"/>
                <w:szCs w:val="18"/>
                <w:lang w:eastAsia="en-AU"/>
              </w:rPr>
              <w:t xml:space="preserve">12.6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C7735A" w:rsidRDefault="00D67B5E" w:rsidP="0051046D">
            <w:pPr>
              <w:spacing w:after="0" w:line="240" w:lineRule="auto"/>
              <w:jc w:val="right"/>
              <w:rPr>
                <w:rFonts w:cs="Arial"/>
                <w:sz w:val="18"/>
                <w:szCs w:val="18"/>
                <w:lang w:eastAsia="en-AU"/>
              </w:rPr>
            </w:pPr>
            <w:r w:rsidRPr="00C7735A">
              <w:rPr>
                <w:rFonts w:cs="Arial"/>
                <w:sz w:val="18"/>
                <w:szCs w:val="18"/>
                <w:lang w:eastAsia="en-AU"/>
              </w:rPr>
              <w:t xml:space="preserve">17.2 </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C7735A" w:rsidRDefault="00D67B5E" w:rsidP="0051046D">
            <w:pPr>
              <w:spacing w:after="0" w:line="240" w:lineRule="auto"/>
              <w:ind w:firstLineChars="100" w:firstLine="180"/>
              <w:jc w:val="right"/>
              <w:rPr>
                <w:rFonts w:cs="Arial"/>
                <w:sz w:val="18"/>
                <w:szCs w:val="18"/>
                <w:lang w:eastAsia="en-AU"/>
              </w:rPr>
            </w:pPr>
            <w:r w:rsidRPr="00C7735A">
              <w:rPr>
                <w:rFonts w:cs="Arial"/>
                <w:sz w:val="18"/>
                <w:szCs w:val="18"/>
                <w:lang w:eastAsia="en-AU"/>
              </w:rPr>
              <w:t>136%</w:t>
            </w:r>
          </w:p>
        </w:tc>
        <w:tc>
          <w:tcPr>
            <w:tcW w:w="1120" w:type="dxa"/>
            <w:tcBorders>
              <w:top w:val="nil"/>
              <w:left w:val="nil"/>
              <w:bottom w:val="single" w:sz="4" w:space="0" w:color="5E8A00"/>
              <w:right w:val="single" w:sz="4" w:space="0" w:color="5E8A00"/>
            </w:tcBorders>
            <w:shd w:val="clear" w:color="auto" w:fill="auto"/>
            <w:noWrap/>
            <w:vAlign w:val="bottom"/>
            <w:hideMark/>
          </w:tcPr>
          <w:p w:rsidR="00D67B5E" w:rsidRPr="00C7735A" w:rsidRDefault="00D67B5E" w:rsidP="0051046D">
            <w:pPr>
              <w:spacing w:after="0" w:line="240" w:lineRule="auto"/>
              <w:ind w:firstLineChars="100" w:firstLine="180"/>
              <w:jc w:val="right"/>
              <w:rPr>
                <w:rFonts w:cs="Arial"/>
                <w:sz w:val="18"/>
                <w:szCs w:val="18"/>
                <w:lang w:eastAsia="en-AU"/>
              </w:rPr>
            </w:pPr>
            <w:r w:rsidRPr="00C7735A">
              <w:rPr>
                <w:rFonts w:cs="Arial"/>
                <w:sz w:val="18"/>
                <w:szCs w:val="18"/>
                <w:lang w:eastAsia="en-AU"/>
              </w:rPr>
              <w:t>37%</w:t>
            </w:r>
          </w:p>
        </w:tc>
      </w:tr>
    </w:tbl>
    <w:p w:rsidR="00D67B5E" w:rsidRDefault="00D67B5E" w:rsidP="00D67B5E"/>
    <w:p w:rsidR="00D67B5E" w:rsidRPr="00C7735A" w:rsidRDefault="00D67B5E" w:rsidP="00D67B5E"/>
    <w:p w:rsidR="00D67B5E" w:rsidRDefault="005654CD" w:rsidP="00D67B5E">
      <w:pPr>
        <w:pStyle w:val="Caption"/>
        <w:jc w:val="left"/>
        <w:rPr>
          <w:rFonts w:cs="Arial"/>
        </w:rPr>
      </w:pPr>
      <w:r>
        <w:rPr>
          <w:rFonts w:cs="Arial"/>
        </w:rPr>
        <w:t>Table 2</w:t>
      </w:r>
      <w:r w:rsidR="00D67B5E" w:rsidRPr="001F29E3">
        <w:rPr>
          <w:rFonts w:cs="Arial"/>
        </w:rPr>
        <w:t>.</w:t>
      </w:r>
      <w:r w:rsidR="00D67B5E">
        <w:rPr>
          <w:rFonts w:cs="Arial"/>
        </w:rPr>
        <w:t>9.1</w:t>
      </w:r>
      <w:r w:rsidR="00D67B5E" w:rsidRPr="001F29E3">
        <w:rPr>
          <w:rFonts w:cs="Arial"/>
        </w:rPr>
        <w:t>: Government subsidised students in foundation skills courses by age group, 2008-2012</w:t>
      </w:r>
    </w:p>
    <w:tbl>
      <w:tblPr>
        <w:tblW w:w="9072" w:type="dxa"/>
        <w:tblInd w:w="108" w:type="dxa"/>
        <w:tblLook w:val="04A0" w:firstRow="1" w:lastRow="0" w:firstColumn="1" w:lastColumn="0" w:noHBand="0" w:noVBand="1"/>
      </w:tblPr>
      <w:tblGrid>
        <w:gridCol w:w="2552"/>
        <w:gridCol w:w="1075"/>
        <w:gridCol w:w="1075"/>
        <w:gridCol w:w="1075"/>
        <w:gridCol w:w="1075"/>
        <w:gridCol w:w="1075"/>
        <w:gridCol w:w="1145"/>
      </w:tblGrid>
      <w:tr w:rsidR="00D67B5E" w:rsidRPr="0086172F" w:rsidTr="0051046D">
        <w:trPr>
          <w:trHeight w:hRule="exact" w:val="760"/>
        </w:trPr>
        <w:tc>
          <w:tcPr>
            <w:tcW w:w="2552" w:type="dxa"/>
            <w:tcBorders>
              <w:top w:val="single" w:sz="4" w:space="0" w:color="5E8A00"/>
              <w:left w:val="single" w:sz="4" w:space="0" w:color="5E8A00"/>
              <w:bottom w:val="single" w:sz="4" w:space="0" w:color="5E8A00"/>
            </w:tcBorders>
            <w:shd w:val="clear" w:color="000000" w:fill="5E8A00"/>
            <w:noWrap/>
            <w:vAlign w:val="center"/>
            <w:hideMark/>
          </w:tcPr>
          <w:p w:rsidR="00D67B5E" w:rsidRPr="0086172F" w:rsidRDefault="00D67B5E" w:rsidP="00F034AF">
            <w:pPr>
              <w:spacing w:after="0" w:line="240" w:lineRule="auto"/>
              <w:ind w:firstLineChars="100" w:firstLine="181"/>
              <w:jc w:val="left"/>
              <w:rPr>
                <w:rFonts w:cs="Arial"/>
                <w:b/>
                <w:bCs/>
                <w:color w:val="FFFFFF"/>
                <w:sz w:val="18"/>
                <w:szCs w:val="18"/>
                <w:lang w:eastAsia="en-AU"/>
              </w:rPr>
            </w:pPr>
            <w:r w:rsidRPr="0086172F">
              <w:rPr>
                <w:rFonts w:cs="Arial"/>
                <w:b/>
                <w:bCs/>
                <w:color w:val="FFFFFF"/>
                <w:sz w:val="18"/>
                <w:szCs w:val="18"/>
                <w:lang w:eastAsia="en-AU"/>
              </w:rPr>
              <w:t> </w:t>
            </w:r>
          </w:p>
        </w:tc>
        <w:tc>
          <w:tcPr>
            <w:tcW w:w="1075" w:type="dxa"/>
            <w:tcBorders>
              <w:top w:val="single" w:sz="4" w:space="0" w:color="5E8A00"/>
              <w:bottom w:val="single" w:sz="4" w:space="0" w:color="5E8A00"/>
            </w:tcBorders>
            <w:shd w:val="clear" w:color="000000" w:fill="5E8A00"/>
            <w:vAlign w:val="center"/>
            <w:hideMark/>
          </w:tcPr>
          <w:p w:rsidR="00D67B5E" w:rsidRPr="0086172F" w:rsidRDefault="00D67B5E" w:rsidP="00F034AF">
            <w:pPr>
              <w:spacing w:after="0" w:line="240" w:lineRule="auto"/>
              <w:ind w:firstLineChars="100" w:firstLine="181"/>
              <w:jc w:val="right"/>
              <w:rPr>
                <w:rFonts w:cs="Arial"/>
                <w:b/>
                <w:bCs/>
                <w:color w:val="FFFFFF"/>
                <w:sz w:val="18"/>
                <w:szCs w:val="18"/>
                <w:lang w:eastAsia="en-AU"/>
              </w:rPr>
            </w:pPr>
            <w:r w:rsidRPr="0086172F">
              <w:rPr>
                <w:rFonts w:cs="Arial"/>
                <w:b/>
                <w:bCs/>
                <w:color w:val="FFFFFF"/>
                <w:sz w:val="18"/>
                <w:szCs w:val="18"/>
                <w:lang w:eastAsia="en-AU"/>
              </w:rPr>
              <w:t>2008</w:t>
            </w:r>
          </w:p>
        </w:tc>
        <w:tc>
          <w:tcPr>
            <w:tcW w:w="1075" w:type="dxa"/>
            <w:tcBorders>
              <w:top w:val="single" w:sz="4" w:space="0" w:color="5E8A00"/>
              <w:bottom w:val="single" w:sz="4" w:space="0" w:color="5E8A00"/>
            </w:tcBorders>
            <w:shd w:val="clear" w:color="000000" w:fill="5E8A00"/>
            <w:vAlign w:val="center"/>
            <w:hideMark/>
          </w:tcPr>
          <w:p w:rsidR="00D67B5E" w:rsidRPr="0086172F" w:rsidRDefault="00D67B5E" w:rsidP="00F034AF">
            <w:pPr>
              <w:spacing w:after="0" w:line="240" w:lineRule="auto"/>
              <w:ind w:firstLineChars="100" w:firstLine="181"/>
              <w:jc w:val="right"/>
              <w:rPr>
                <w:rFonts w:cs="Arial"/>
                <w:b/>
                <w:bCs/>
                <w:color w:val="FFFFFF"/>
                <w:sz w:val="18"/>
                <w:szCs w:val="18"/>
                <w:lang w:eastAsia="en-AU"/>
              </w:rPr>
            </w:pPr>
            <w:r w:rsidRPr="0086172F">
              <w:rPr>
                <w:rFonts w:cs="Arial"/>
                <w:b/>
                <w:bCs/>
                <w:color w:val="FFFFFF"/>
                <w:sz w:val="18"/>
                <w:szCs w:val="18"/>
                <w:lang w:eastAsia="en-AU"/>
              </w:rPr>
              <w:t>2009</w:t>
            </w:r>
          </w:p>
        </w:tc>
        <w:tc>
          <w:tcPr>
            <w:tcW w:w="1075" w:type="dxa"/>
            <w:tcBorders>
              <w:top w:val="single" w:sz="4" w:space="0" w:color="5E8A00"/>
              <w:bottom w:val="single" w:sz="4" w:space="0" w:color="5E8A00"/>
            </w:tcBorders>
            <w:shd w:val="clear" w:color="000000" w:fill="5E8A00"/>
            <w:vAlign w:val="center"/>
            <w:hideMark/>
          </w:tcPr>
          <w:p w:rsidR="00D67B5E" w:rsidRPr="0086172F" w:rsidRDefault="00D67B5E" w:rsidP="00F034AF">
            <w:pPr>
              <w:spacing w:after="0" w:line="240" w:lineRule="auto"/>
              <w:ind w:firstLineChars="100" w:firstLine="181"/>
              <w:jc w:val="right"/>
              <w:rPr>
                <w:rFonts w:cs="Arial"/>
                <w:b/>
                <w:bCs/>
                <w:color w:val="FFFFFF"/>
                <w:sz w:val="18"/>
                <w:szCs w:val="18"/>
                <w:lang w:eastAsia="en-AU"/>
              </w:rPr>
            </w:pPr>
            <w:r w:rsidRPr="0086172F">
              <w:rPr>
                <w:rFonts w:cs="Arial"/>
                <w:b/>
                <w:bCs/>
                <w:color w:val="FFFFFF"/>
                <w:sz w:val="18"/>
                <w:szCs w:val="18"/>
                <w:lang w:eastAsia="en-AU"/>
              </w:rPr>
              <w:t>2010</w:t>
            </w:r>
          </w:p>
        </w:tc>
        <w:tc>
          <w:tcPr>
            <w:tcW w:w="1075" w:type="dxa"/>
            <w:tcBorders>
              <w:top w:val="single" w:sz="4" w:space="0" w:color="5E8A00"/>
              <w:bottom w:val="single" w:sz="4" w:space="0" w:color="5E8A00"/>
            </w:tcBorders>
            <w:shd w:val="clear" w:color="000000" w:fill="5E8A00"/>
            <w:vAlign w:val="center"/>
            <w:hideMark/>
          </w:tcPr>
          <w:p w:rsidR="00D67B5E" w:rsidRPr="0086172F" w:rsidRDefault="00D67B5E" w:rsidP="00F034AF">
            <w:pPr>
              <w:spacing w:after="0" w:line="240" w:lineRule="auto"/>
              <w:ind w:firstLineChars="100" w:firstLine="181"/>
              <w:jc w:val="right"/>
              <w:rPr>
                <w:rFonts w:cs="Arial"/>
                <w:b/>
                <w:bCs/>
                <w:color w:val="FFFFFF"/>
                <w:sz w:val="18"/>
                <w:szCs w:val="18"/>
                <w:lang w:eastAsia="en-AU"/>
              </w:rPr>
            </w:pPr>
            <w:r w:rsidRPr="0086172F">
              <w:rPr>
                <w:rFonts w:cs="Arial"/>
                <w:b/>
                <w:bCs/>
                <w:color w:val="FFFFFF"/>
                <w:sz w:val="18"/>
                <w:szCs w:val="18"/>
                <w:lang w:eastAsia="en-AU"/>
              </w:rPr>
              <w:t>2011</w:t>
            </w:r>
          </w:p>
        </w:tc>
        <w:tc>
          <w:tcPr>
            <w:tcW w:w="1075" w:type="dxa"/>
            <w:tcBorders>
              <w:top w:val="single" w:sz="4" w:space="0" w:color="5E8A00"/>
              <w:bottom w:val="single" w:sz="4" w:space="0" w:color="5E8A00"/>
            </w:tcBorders>
            <w:shd w:val="clear" w:color="000000" w:fill="5E8A00"/>
            <w:vAlign w:val="center"/>
            <w:hideMark/>
          </w:tcPr>
          <w:p w:rsidR="00D67B5E" w:rsidRPr="0086172F" w:rsidRDefault="00D67B5E" w:rsidP="00F034AF">
            <w:pPr>
              <w:spacing w:after="0" w:line="240" w:lineRule="auto"/>
              <w:ind w:firstLineChars="100" w:firstLine="181"/>
              <w:jc w:val="right"/>
              <w:rPr>
                <w:rFonts w:cs="Arial"/>
                <w:b/>
                <w:bCs/>
                <w:color w:val="FFFFFF"/>
                <w:sz w:val="18"/>
                <w:szCs w:val="18"/>
                <w:lang w:eastAsia="en-AU"/>
              </w:rPr>
            </w:pPr>
            <w:r w:rsidRPr="0086172F">
              <w:rPr>
                <w:rFonts w:cs="Arial"/>
                <w:b/>
                <w:bCs/>
                <w:color w:val="FFFFFF"/>
                <w:sz w:val="18"/>
                <w:szCs w:val="18"/>
                <w:lang w:eastAsia="en-AU"/>
              </w:rPr>
              <w:t>2012</w:t>
            </w:r>
          </w:p>
        </w:tc>
        <w:tc>
          <w:tcPr>
            <w:tcW w:w="1145" w:type="dxa"/>
            <w:tcBorders>
              <w:top w:val="single" w:sz="4" w:space="0" w:color="5E8A00"/>
              <w:bottom w:val="single" w:sz="4" w:space="0" w:color="5E8A00"/>
              <w:right w:val="single" w:sz="4" w:space="0" w:color="5E8A00"/>
            </w:tcBorders>
            <w:shd w:val="clear" w:color="000000" w:fill="5E8A00"/>
            <w:vAlign w:val="center"/>
            <w:hideMark/>
          </w:tcPr>
          <w:p w:rsidR="00D67B5E" w:rsidRPr="0086172F" w:rsidRDefault="00D67B5E" w:rsidP="0051046D">
            <w:pPr>
              <w:spacing w:after="0" w:line="240" w:lineRule="auto"/>
              <w:jc w:val="right"/>
              <w:rPr>
                <w:rFonts w:cs="Arial"/>
                <w:b/>
                <w:bCs/>
                <w:color w:val="FFFFFF"/>
                <w:sz w:val="18"/>
                <w:szCs w:val="18"/>
                <w:lang w:eastAsia="en-AU"/>
              </w:rPr>
            </w:pPr>
            <w:r w:rsidRPr="0086172F">
              <w:rPr>
                <w:rFonts w:cs="Arial"/>
                <w:b/>
                <w:bCs/>
                <w:color w:val="FFFFFF"/>
                <w:sz w:val="18"/>
                <w:szCs w:val="18"/>
                <w:lang w:eastAsia="en-AU"/>
              </w:rPr>
              <w:t>% change</w:t>
            </w:r>
            <w:r w:rsidRPr="0086172F">
              <w:rPr>
                <w:rFonts w:cs="Arial"/>
                <w:b/>
                <w:bCs/>
                <w:color w:val="FFFFFF"/>
                <w:sz w:val="18"/>
                <w:szCs w:val="18"/>
                <w:lang w:eastAsia="en-AU"/>
              </w:rPr>
              <w:br/>
              <w:t>2008-2012</w:t>
            </w:r>
          </w:p>
        </w:tc>
      </w:tr>
      <w:tr w:rsidR="00D67B5E" w:rsidRPr="0086172F" w:rsidTr="0051046D">
        <w:trPr>
          <w:trHeight w:hRule="exact" w:val="284"/>
        </w:trPr>
        <w:tc>
          <w:tcPr>
            <w:tcW w:w="2552"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86172F" w:rsidRDefault="00D67B5E" w:rsidP="0051046D">
            <w:pPr>
              <w:spacing w:after="0" w:line="240" w:lineRule="auto"/>
              <w:jc w:val="left"/>
              <w:rPr>
                <w:rFonts w:cs="Arial"/>
                <w:color w:val="3E5B00"/>
                <w:sz w:val="18"/>
                <w:szCs w:val="18"/>
                <w:lang w:eastAsia="en-AU"/>
              </w:rPr>
            </w:pPr>
            <w:r w:rsidRPr="0086172F">
              <w:rPr>
                <w:rFonts w:cs="Arial"/>
                <w:color w:val="3E5B00"/>
                <w:sz w:val="18"/>
                <w:szCs w:val="18"/>
                <w:lang w:eastAsia="en-AU"/>
              </w:rPr>
              <w:t>15 to 19</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5,100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5,200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6,600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11,200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27,900</w:t>
            </w:r>
          </w:p>
        </w:tc>
        <w:tc>
          <w:tcPr>
            <w:tcW w:w="114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451%</w:t>
            </w:r>
          </w:p>
        </w:tc>
      </w:tr>
      <w:tr w:rsidR="00D67B5E" w:rsidRPr="0086172F" w:rsidTr="0051046D">
        <w:trPr>
          <w:trHeight w:hRule="exact" w:val="284"/>
        </w:trPr>
        <w:tc>
          <w:tcPr>
            <w:tcW w:w="2552"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86172F" w:rsidRDefault="00D67B5E" w:rsidP="0051046D">
            <w:pPr>
              <w:spacing w:after="0" w:line="240" w:lineRule="auto"/>
              <w:jc w:val="left"/>
              <w:rPr>
                <w:rFonts w:cs="Arial"/>
                <w:color w:val="3E5B00"/>
                <w:sz w:val="18"/>
                <w:szCs w:val="18"/>
                <w:lang w:eastAsia="en-AU"/>
              </w:rPr>
            </w:pPr>
            <w:r w:rsidRPr="0086172F">
              <w:rPr>
                <w:rFonts w:cs="Arial"/>
                <w:color w:val="3E5B00"/>
                <w:sz w:val="18"/>
                <w:szCs w:val="18"/>
                <w:lang w:eastAsia="en-AU"/>
              </w:rPr>
              <w:t>20 to 24</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2,700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2,500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3,100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6,000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18,800</w:t>
            </w:r>
          </w:p>
        </w:tc>
        <w:tc>
          <w:tcPr>
            <w:tcW w:w="114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602%</w:t>
            </w:r>
          </w:p>
        </w:tc>
      </w:tr>
      <w:tr w:rsidR="00D67B5E" w:rsidRPr="0086172F" w:rsidTr="0051046D">
        <w:trPr>
          <w:trHeight w:hRule="exact" w:val="284"/>
        </w:trPr>
        <w:tc>
          <w:tcPr>
            <w:tcW w:w="2552"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86172F" w:rsidRDefault="00D67B5E" w:rsidP="0051046D">
            <w:pPr>
              <w:spacing w:after="0" w:line="240" w:lineRule="auto"/>
              <w:jc w:val="left"/>
              <w:rPr>
                <w:rFonts w:cs="Arial"/>
                <w:color w:val="3E5B00"/>
                <w:sz w:val="18"/>
                <w:szCs w:val="18"/>
                <w:lang w:eastAsia="en-AU"/>
              </w:rPr>
            </w:pPr>
            <w:r w:rsidRPr="0086172F">
              <w:rPr>
                <w:rFonts w:cs="Arial"/>
                <w:color w:val="3E5B00"/>
                <w:sz w:val="18"/>
                <w:szCs w:val="18"/>
                <w:lang w:eastAsia="en-AU"/>
              </w:rPr>
              <w:t>25 to 44</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11,200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9,700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10,300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16,400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31,400</w:t>
            </w:r>
          </w:p>
        </w:tc>
        <w:tc>
          <w:tcPr>
            <w:tcW w:w="114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179%</w:t>
            </w:r>
          </w:p>
        </w:tc>
      </w:tr>
      <w:tr w:rsidR="00D67B5E" w:rsidRPr="0086172F" w:rsidTr="0051046D">
        <w:trPr>
          <w:trHeight w:hRule="exact" w:val="284"/>
        </w:trPr>
        <w:tc>
          <w:tcPr>
            <w:tcW w:w="2552"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86172F" w:rsidRDefault="00D67B5E" w:rsidP="0051046D">
            <w:pPr>
              <w:spacing w:after="0" w:line="240" w:lineRule="auto"/>
              <w:jc w:val="left"/>
              <w:rPr>
                <w:rFonts w:cs="Arial"/>
                <w:color w:val="3E5B00"/>
                <w:sz w:val="18"/>
                <w:szCs w:val="18"/>
                <w:lang w:eastAsia="en-AU"/>
              </w:rPr>
            </w:pPr>
            <w:r w:rsidRPr="0086172F">
              <w:rPr>
                <w:rFonts w:cs="Arial"/>
                <w:color w:val="3E5B00"/>
                <w:sz w:val="18"/>
                <w:szCs w:val="18"/>
                <w:lang w:eastAsia="en-AU"/>
              </w:rPr>
              <w:t>45 to 64</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5,300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4,800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5,100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8,700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16,600</w:t>
            </w:r>
          </w:p>
        </w:tc>
        <w:tc>
          <w:tcPr>
            <w:tcW w:w="114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214%</w:t>
            </w:r>
          </w:p>
        </w:tc>
      </w:tr>
      <w:tr w:rsidR="00D67B5E" w:rsidRPr="0086172F" w:rsidTr="0051046D">
        <w:trPr>
          <w:trHeight w:hRule="exact" w:val="284"/>
        </w:trPr>
        <w:tc>
          <w:tcPr>
            <w:tcW w:w="2552"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86172F" w:rsidRDefault="00D67B5E" w:rsidP="0051046D">
            <w:pPr>
              <w:spacing w:after="0" w:line="240" w:lineRule="auto"/>
              <w:jc w:val="left"/>
              <w:rPr>
                <w:rFonts w:cs="Arial"/>
                <w:color w:val="3E5B00"/>
                <w:sz w:val="18"/>
                <w:szCs w:val="18"/>
                <w:lang w:eastAsia="en-AU"/>
              </w:rPr>
            </w:pPr>
            <w:r w:rsidRPr="0086172F">
              <w:rPr>
                <w:rFonts w:cs="Arial"/>
                <w:color w:val="3E5B00"/>
                <w:sz w:val="18"/>
                <w:szCs w:val="18"/>
                <w:lang w:eastAsia="en-AU"/>
              </w:rPr>
              <w:t>Under 15, over 64, not stated</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900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900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700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1,200</w:t>
            </w:r>
          </w:p>
        </w:tc>
        <w:tc>
          <w:tcPr>
            <w:tcW w:w="107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3,400</w:t>
            </w:r>
          </w:p>
        </w:tc>
        <w:tc>
          <w:tcPr>
            <w:tcW w:w="1145" w:type="dxa"/>
            <w:tcBorders>
              <w:top w:val="nil"/>
              <w:left w:val="nil"/>
              <w:bottom w:val="single" w:sz="4" w:space="0" w:color="5E8A00"/>
              <w:right w:val="single" w:sz="4" w:space="0" w:color="5E8A00"/>
            </w:tcBorders>
            <w:shd w:val="clear" w:color="auto" w:fill="auto"/>
            <w:noWrap/>
            <w:vAlign w:val="center"/>
            <w:hideMark/>
          </w:tcPr>
          <w:p w:rsidR="00D67B5E" w:rsidRPr="0086172F" w:rsidRDefault="00D67B5E" w:rsidP="0051046D">
            <w:pPr>
              <w:spacing w:after="0" w:line="240" w:lineRule="auto"/>
              <w:jc w:val="right"/>
              <w:rPr>
                <w:rFonts w:cs="Arial"/>
                <w:sz w:val="18"/>
                <w:szCs w:val="18"/>
                <w:lang w:eastAsia="en-AU"/>
              </w:rPr>
            </w:pPr>
            <w:r w:rsidRPr="0086172F">
              <w:rPr>
                <w:rFonts w:cs="Arial"/>
                <w:sz w:val="18"/>
                <w:szCs w:val="18"/>
                <w:lang w:eastAsia="en-AU"/>
              </w:rPr>
              <w:t>269%</w:t>
            </w:r>
          </w:p>
        </w:tc>
      </w:tr>
      <w:tr w:rsidR="00D67B5E" w:rsidRPr="0086172F" w:rsidTr="0051046D">
        <w:trPr>
          <w:trHeight w:hRule="exact" w:val="284"/>
        </w:trPr>
        <w:tc>
          <w:tcPr>
            <w:tcW w:w="2552" w:type="dxa"/>
            <w:tcBorders>
              <w:top w:val="single" w:sz="4" w:space="0" w:color="5E8A00"/>
              <w:left w:val="single" w:sz="4" w:space="0" w:color="5E8A00"/>
              <w:bottom w:val="nil"/>
            </w:tcBorders>
            <w:shd w:val="clear" w:color="000000" w:fill="5E8A00"/>
            <w:noWrap/>
            <w:vAlign w:val="bottom"/>
            <w:hideMark/>
          </w:tcPr>
          <w:p w:rsidR="00D67B5E" w:rsidRPr="0086172F" w:rsidRDefault="00D67B5E" w:rsidP="0051046D">
            <w:pPr>
              <w:spacing w:after="0" w:line="240" w:lineRule="auto"/>
              <w:jc w:val="left"/>
              <w:rPr>
                <w:rFonts w:cs="Arial"/>
                <w:b/>
                <w:bCs/>
                <w:color w:val="FFFFFF"/>
                <w:sz w:val="18"/>
                <w:szCs w:val="18"/>
                <w:lang w:eastAsia="en-AU"/>
              </w:rPr>
            </w:pPr>
            <w:r w:rsidRPr="0086172F">
              <w:rPr>
                <w:rFonts w:cs="Arial"/>
                <w:b/>
                <w:bCs/>
                <w:color w:val="FFFFFF"/>
                <w:sz w:val="18"/>
                <w:szCs w:val="18"/>
                <w:lang w:eastAsia="en-AU"/>
              </w:rPr>
              <w:t>Total</w:t>
            </w:r>
          </w:p>
        </w:tc>
        <w:tc>
          <w:tcPr>
            <w:tcW w:w="1075" w:type="dxa"/>
            <w:tcBorders>
              <w:top w:val="single" w:sz="4" w:space="0" w:color="5E8A00"/>
              <w:bottom w:val="nil"/>
            </w:tcBorders>
            <w:shd w:val="clear" w:color="000000" w:fill="5E8A00"/>
            <w:noWrap/>
            <w:vAlign w:val="center"/>
            <w:hideMark/>
          </w:tcPr>
          <w:p w:rsidR="00D67B5E" w:rsidRPr="0086172F" w:rsidRDefault="00D67B5E" w:rsidP="0051046D">
            <w:pPr>
              <w:spacing w:after="0" w:line="240" w:lineRule="auto"/>
              <w:jc w:val="right"/>
              <w:rPr>
                <w:rFonts w:cs="Arial"/>
                <w:b/>
                <w:bCs/>
                <w:color w:val="FFFFFF"/>
                <w:sz w:val="18"/>
                <w:szCs w:val="18"/>
                <w:lang w:eastAsia="en-AU"/>
              </w:rPr>
            </w:pPr>
            <w:r>
              <w:rPr>
                <w:rFonts w:cs="Arial"/>
                <w:b/>
                <w:bCs/>
                <w:color w:val="FFFFFF"/>
                <w:sz w:val="18"/>
                <w:szCs w:val="18"/>
                <w:lang w:eastAsia="en-AU"/>
              </w:rPr>
              <w:t>2</w:t>
            </w:r>
            <w:r w:rsidRPr="0086172F">
              <w:rPr>
                <w:rFonts w:cs="Arial"/>
                <w:b/>
                <w:bCs/>
                <w:color w:val="FFFFFF"/>
                <w:sz w:val="18"/>
                <w:szCs w:val="18"/>
                <w:lang w:eastAsia="en-AU"/>
              </w:rPr>
              <w:t xml:space="preserve">5,200 </w:t>
            </w:r>
          </w:p>
        </w:tc>
        <w:tc>
          <w:tcPr>
            <w:tcW w:w="1075" w:type="dxa"/>
            <w:tcBorders>
              <w:top w:val="single" w:sz="4" w:space="0" w:color="5E8A00"/>
              <w:bottom w:val="nil"/>
            </w:tcBorders>
            <w:shd w:val="clear" w:color="000000" w:fill="5E8A00"/>
            <w:noWrap/>
            <w:vAlign w:val="center"/>
            <w:hideMark/>
          </w:tcPr>
          <w:p w:rsidR="00D67B5E" w:rsidRPr="0086172F" w:rsidRDefault="00D67B5E" w:rsidP="0051046D">
            <w:pPr>
              <w:spacing w:after="0" w:line="240" w:lineRule="auto"/>
              <w:jc w:val="right"/>
              <w:rPr>
                <w:rFonts w:cs="Arial"/>
                <w:b/>
                <w:bCs/>
                <w:color w:val="FFFFFF"/>
                <w:sz w:val="18"/>
                <w:szCs w:val="18"/>
                <w:lang w:eastAsia="en-AU"/>
              </w:rPr>
            </w:pPr>
            <w:r w:rsidRPr="0086172F">
              <w:rPr>
                <w:rFonts w:cs="Arial"/>
                <w:b/>
                <w:bCs/>
                <w:color w:val="FFFFFF"/>
                <w:sz w:val="18"/>
                <w:szCs w:val="18"/>
                <w:lang w:eastAsia="en-AU"/>
              </w:rPr>
              <w:t xml:space="preserve">23,200 </w:t>
            </w:r>
          </w:p>
        </w:tc>
        <w:tc>
          <w:tcPr>
            <w:tcW w:w="1075" w:type="dxa"/>
            <w:tcBorders>
              <w:top w:val="single" w:sz="4" w:space="0" w:color="5E8A00"/>
              <w:bottom w:val="nil"/>
            </w:tcBorders>
            <w:shd w:val="clear" w:color="000000" w:fill="5E8A00"/>
            <w:noWrap/>
            <w:vAlign w:val="center"/>
            <w:hideMark/>
          </w:tcPr>
          <w:p w:rsidR="00D67B5E" w:rsidRPr="0086172F" w:rsidRDefault="00D67B5E" w:rsidP="0051046D">
            <w:pPr>
              <w:spacing w:after="0" w:line="240" w:lineRule="auto"/>
              <w:jc w:val="right"/>
              <w:rPr>
                <w:rFonts w:cs="Arial"/>
                <w:b/>
                <w:bCs/>
                <w:color w:val="FFFFFF"/>
                <w:sz w:val="18"/>
                <w:szCs w:val="18"/>
                <w:lang w:eastAsia="en-AU"/>
              </w:rPr>
            </w:pPr>
            <w:r w:rsidRPr="0086172F">
              <w:rPr>
                <w:rFonts w:cs="Arial"/>
                <w:b/>
                <w:bCs/>
                <w:color w:val="FFFFFF"/>
                <w:sz w:val="18"/>
                <w:szCs w:val="18"/>
                <w:lang w:eastAsia="en-AU"/>
              </w:rPr>
              <w:t xml:space="preserve">25,700 </w:t>
            </w:r>
          </w:p>
        </w:tc>
        <w:tc>
          <w:tcPr>
            <w:tcW w:w="1075" w:type="dxa"/>
            <w:tcBorders>
              <w:top w:val="single" w:sz="4" w:space="0" w:color="5E8A00"/>
              <w:bottom w:val="nil"/>
            </w:tcBorders>
            <w:shd w:val="clear" w:color="000000" w:fill="5E8A00"/>
            <w:noWrap/>
            <w:vAlign w:val="center"/>
            <w:hideMark/>
          </w:tcPr>
          <w:p w:rsidR="00D67B5E" w:rsidRPr="0086172F" w:rsidRDefault="00D67B5E" w:rsidP="0051046D">
            <w:pPr>
              <w:spacing w:after="0" w:line="240" w:lineRule="auto"/>
              <w:jc w:val="right"/>
              <w:rPr>
                <w:rFonts w:cs="Arial"/>
                <w:b/>
                <w:bCs/>
                <w:color w:val="FFFFFF"/>
                <w:sz w:val="18"/>
                <w:szCs w:val="18"/>
                <w:lang w:eastAsia="en-AU"/>
              </w:rPr>
            </w:pPr>
            <w:r w:rsidRPr="0086172F">
              <w:rPr>
                <w:rFonts w:cs="Arial"/>
                <w:b/>
                <w:bCs/>
                <w:color w:val="FFFFFF"/>
                <w:sz w:val="18"/>
                <w:szCs w:val="18"/>
                <w:lang w:eastAsia="en-AU"/>
              </w:rPr>
              <w:t xml:space="preserve">43,500 </w:t>
            </w:r>
          </w:p>
        </w:tc>
        <w:tc>
          <w:tcPr>
            <w:tcW w:w="1075" w:type="dxa"/>
            <w:tcBorders>
              <w:top w:val="single" w:sz="4" w:space="0" w:color="5E8A00"/>
              <w:bottom w:val="nil"/>
            </w:tcBorders>
            <w:shd w:val="clear" w:color="000000" w:fill="5E8A00"/>
            <w:noWrap/>
            <w:vAlign w:val="center"/>
            <w:hideMark/>
          </w:tcPr>
          <w:p w:rsidR="00D67B5E" w:rsidRPr="0086172F" w:rsidRDefault="00D67B5E" w:rsidP="0051046D">
            <w:pPr>
              <w:spacing w:after="0" w:line="240" w:lineRule="auto"/>
              <w:jc w:val="right"/>
              <w:rPr>
                <w:rFonts w:cs="Arial"/>
                <w:b/>
                <w:bCs/>
                <w:color w:val="FFFFFF"/>
                <w:sz w:val="18"/>
                <w:szCs w:val="18"/>
                <w:lang w:eastAsia="en-AU"/>
              </w:rPr>
            </w:pPr>
            <w:r w:rsidRPr="0086172F">
              <w:rPr>
                <w:rFonts w:cs="Arial"/>
                <w:b/>
                <w:bCs/>
                <w:color w:val="FFFFFF"/>
                <w:sz w:val="18"/>
                <w:szCs w:val="18"/>
                <w:lang w:eastAsia="en-AU"/>
              </w:rPr>
              <w:t xml:space="preserve">98,100 </w:t>
            </w:r>
          </w:p>
        </w:tc>
        <w:tc>
          <w:tcPr>
            <w:tcW w:w="1145" w:type="dxa"/>
            <w:tcBorders>
              <w:top w:val="single" w:sz="4" w:space="0" w:color="5E8A00"/>
              <w:bottom w:val="nil"/>
              <w:right w:val="single" w:sz="4" w:space="0" w:color="5E8A00"/>
            </w:tcBorders>
            <w:shd w:val="clear" w:color="000000" w:fill="5E8A00"/>
            <w:noWrap/>
            <w:vAlign w:val="center"/>
            <w:hideMark/>
          </w:tcPr>
          <w:p w:rsidR="00D67B5E" w:rsidRPr="0086172F" w:rsidRDefault="00D67B5E" w:rsidP="0051046D">
            <w:pPr>
              <w:spacing w:after="0" w:line="240" w:lineRule="auto"/>
              <w:jc w:val="right"/>
              <w:rPr>
                <w:rFonts w:cs="Arial"/>
                <w:b/>
                <w:bCs/>
                <w:color w:val="FFFFFF"/>
                <w:sz w:val="18"/>
                <w:szCs w:val="18"/>
                <w:lang w:eastAsia="en-AU"/>
              </w:rPr>
            </w:pPr>
            <w:r w:rsidRPr="0086172F">
              <w:rPr>
                <w:rFonts w:cs="Arial"/>
                <w:b/>
                <w:bCs/>
                <w:color w:val="FFFFFF"/>
                <w:sz w:val="18"/>
                <w:szCs w:val="18"/>
                <w:lang w:eastAsia="en-AU"/>
              </w:rPr>
              <w:t>289%</w:t>
            </w:r>
          </w:p>
        </w:tc>
      </w:tr>
    </w:tbl>
    <w:p w:rsidR="00D67B5E" w:rsidRDefault="00D67B5E" w:rsidP="00D67B5E"/>
    <w:p w:rsidR="00D67B5E" w:rsidRDefault="00D67B5E" w:rsidP="00D67B5E">
      <w:pPr>
        <w:pStyle w:val="Caption"/>
        <w:jc w:val="left"/>
        <w:rPr>
          <w:rFonts w:cs="Arial"/>
        </w:rPr>
      </w:pPr>
      <w:r>
        <w:rPr>
          <w:rFonts w:cs="Arial"/>
        </w:rPr>
        <w:t xml:space="preserve">Table </w:t>
      </w:r>
      <w:r w:rsidR="005654CD">
        <w:rPr>
          <w:rFonts w:cs="Arial"/>
        </w:rPr>
        <w:t>2</w:t>
      </w:r>
      <w:r w:rsidRPr="001F29E3">
        <w:rPr>
          <w:rFonts w:cs="Arial"/>
        </w:rPr>
        <w:t>.</w:t>
      </w:r>
      <w:r>
        <w:rPr>
          <w:rFonts w:cs="Arial"/>
        </w:rPr>
        <w:t>9.2</w:t>
      </w:r>
      <w:r w:rsidRPr="001F29E3">
        <w:rPr>
          <w:rFonts w:cs="Arial"/>
        </w:rPr>
        <w:t xml:space="preserve">: Government subsidised students in foundation skills courses by age group, </w:t>
      </w:r>
      <w:r>
        <w:rPr>
          <w:rFonts w:cs="Arial"/>
        </w:rPr>
        <w:t xml:space="preserve">Q2 2011, </w:t>
      </w:r>
      <w:r w:rsidRPr="001F29E3">
        <w:rPr>
          <w:rFonts w:cs="Arial"/>
        </w:rPr>
        <w:t>Q</w:t>
      </w:r>
      <w:r>
        <w:rPr>
          <w:rFonts w:cs="Arial"/>
        </w:rPr>
        <w:t>2</w:t>
      </w:r>
      <w:r w:rsidRPr="001F29E3">
        <w:rPr>
          <w:rFonts w:cs="Arial"/>
        </w:rPr>
        <w:t xml:space="preserve"> 2012 and Q</w:t>
      </w:r>
      <w:r>
        <w:rPr>
          <w:rFonts w:cs="Arial"/>
        </w:rPr>
        <w:t>2</w:t>
      </w:r>
      <w:r w:rsidRPr="001F29E3">
        <w:rPr>
          <w:rFonts w:cs="Arial"/>
        </w:rPr>
        <w:t xml:space="preserve"> 2013</w:t>
      </w:r>
    </w:p>
    <w:tbl>
      <w:tblPr>
        <w:tblW w:w="8580" w:type="dxa"/>
        <w:tblInd w:w="108" w:type="dxa"/>
        <w:tblLook w:val="04A0" w:firstRow="1" w:lastRow="0" w:firstColumn="1" w:lastColumn="0" w:noHBand="0" w:noVBand="1"/>
      </w:tblPr>
      <w:tblGrid>
        <w:gridCol w:w="2980"/>
        <w:gridCol w:w="1120"/>
        <w:gridCol w:w="1120"/>
        <w:gridCol w:w="1120"/>
        <w:gridCol w:w="1120"/>
        <w:gridCol w:w="1120"/>
      </w:tblGrid>
      <w:tr w:rsidR="00D67B5E" w:rsidRPr="002D5B23" w:rsidTr="0051046D">
        <w:trPr>
          <w:trHeight w:hRule="exact" w:val="760"/>
        </w:trPr>
        <w:tc>
          <w:tcPr>
            <w:tcW w:w="2980" w:type="dxa"/>
            <w:tcBorders>
              <w:top w:val="single" w:sz="4" w:space="0" w:color="5E8A00"/>
              <w:left w:val="single" w:sz="4" w:space="0" w:color="5E8A00"/>
              <w:bottom w:val="single" w:sz="4" w:space="0" w:color="5E8A00"/>
            </w:tcBorders>
            <w:shd w:val="clear" w:color="000000" w:fill="5E8A00"/>
            <w:noWrap/>
            <w:vAlign w:val="center"/>
            <w:hideMark/>
          </w:tcPr>
          <w:p w:rsidR="00D67B5E" w:rsidRPr="002D5B23" w:rsidRDefault="00D67B5E" w:rsidP="00F034AF">
            <w:pPr>
              <w:spacing w:after="0" w:line="240" w:lineRule="auto"/>
              <w:ind w:leftChars="95" w:left="1911" w:hangingChars="958" w:hanging="1731"/>
              <w:jc w:val="left"/>
              <w:rPr>
                <w:rFonts w:cs="Arial"/>
                <w:b/>
                <w:bCs/>
                <w:color w:val="FFFFFF"/>
                <w:sz w:val="18"/>
                <w:szCs w:val="18"/>
                <w:lang w:eastAsia="en-AU"/>
              </w:rPr>
            </w:pPr>
            <w:r w:rsidRPr="002D5B23">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D67B5E" w:rsidRPr="002D5B23" w:rsidRDefault="00D67B5E" w:rsidP="0051046D">
            <w:pPr>
              <w:spacing w:after="0" w:line="240" w:lineRule="auto"/>
              <w:jc w:val="right"/>
              <w:rPr>
                <w:rFonts w:cs="Arial"/>
                <w:b/>
                <w:bCs/>
                <w:color w:val="FFFFFF"/>
                <w:sz w:val="18"/>
                <w:szCs w:val="18"/>
                <w:lang w:eastAsia="en-AU"/>
              </w:rPr>
            </w:pPr>
            <w:r w:rsidRPr="002D5B23">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D67B5E" w:rsidRPr="002D5B23" w:rsidRDefault="00D67B5E" w:rsidP="0051046D">
            <w:pPr>
              <w:spacing w:after="0" w:line="240" w:lineRule="auto"/>
              <w:jc w:val="right"/>
              <w:rPr>
                <w:rFonts w:cs="Arial"/>
                <w:b/>
                <w:bCs/>
                <w:color w:val="FFFFFF"/>
                <w:sz w:val="18"/>
                <w:szCs w:val="18"/>
                <w:lang w:eastAsia="en-AU"/>
              </w:rPr>
            </w:pPr>
            <w:r w:rsidRPr="002D5B23">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D67B5E" w:rsidRPr="002D5B23" w:rsidRDefault="00D67B5E" w:rsidP="0051046D">
            <w:pPr>
              <w:spacing w:after="0" w:line="240" w:lineRule="auto"/>
              <w:jc w:val="right"/>
              <w:rPr>
                <w:rFonts w:cs="Arial"/>
                <w:b/>
                <w:bCs/>
                <w:color w:val="FFFFFF"/>
                <w:sz w:val="18"/>
                <w:szCs w:val="18"/>
                <w:lang w:eastAsia="en-AU"/>
              </w:rPr>
            </w:pPr>
            <w:r w:rsidRPr="002D5B23">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D67B5E" w:rsidRPr="002D5B23" w:rsidRDefault="00D67B5E" w:rsidP="0051046D">
            <w:pPr>
              <w:spacing w:after="0" w:line="240" w:lineRule="auto"/>
              <w:jc w:val="right"/>
              <w:rPr>
                <w:rFonts w:cs="Arial"/>
                <w:b/>
                <w:bCs/>
                <w:color w:val="FFFFFF"/>
                <w:sz w:val="18"/>
                <w:szCs w:val="18"/>
                <w:lang w:eastAsia="en-AU"/>
              </w:rPr>
            </w:pPr>
            <w:r w:rsidRPr="002D5B23">
              <w:rPr>
                <w:rFonts w:cs="Arial"/>
                <w:b/>
                <w:bCs/>
                <w:color w:val="FFFFFF"/>
                <w:sz w:val="18"/>
                <w:szCs w:val="18"/>
                <w:lang w:eastAsia="en-AU"/>
              </w:rPr>
              <w:t>% change</w:t>
            </w:r>
            <w:r w:rsidRPr="002D5B23">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67B5E" w:rsidRPr="002D5B23" w:rsidRDefault="00D67B5E" w:rsidP="0051046D">
            <w:pPr>
              <w:spacing w:after="0" w:line="240" w:lineRule="auto"/>
              <w:jc w:val="right"/>
              <w:rPr>
                <w:rFonts w:cs="Arial"/>
                <w:b/>
                <w:bCs/>
                <w:color w:val="FFFFFF"/>
                <w:sz w:val="18"/>
                <w:szCs w:val="18"/>
                <w:lang w:eastAsia="en-AU"/>
              </w:rPr>
            </w:pPr>
            <w:r w:rsidRPr="002D5B23">
              <w:rPr>
                <w:rFonts w:cs="Arial"/>
                <w:b/>
                <w:bCs/>
                <w:color w:val="FFFFFF"/>
                <w:sz w:val="18"/>
                <w:szCs w:val="18"/>
                <w:lang w:eastAsia="en-AU"/>
              </w:rPr>
              <w:t>% change</w:t>
            </w:r>
            <w:r w:rsidRPr="002D5B23">
              <w:rPr>
                <w:rFonts w:cs="Arial"/>
                <w:b/>
                <w:bCs/>
                <w:color w:val="FFFFFF"/>
                <w:sz w:val="18"/>
                <w:szCs w:val="18"/>
                <w:lang w:eastAsia="en-AU"/>
              </w:rPr>
              <w:br/>
              <w:t>Q2 2012-Q2 2013</w:t>
            </w:r>
          </w:p>
        </w:tc>
      </w:tr>
      <w:tr w:rsidR="00D67B5E" w:rsidRPr="002D5B23" w:rsidTr="0051046D">
        <w:trPr>
          <w:trHeight w:hRule="exact" w:val="284"/>
        </w:trPr>
        <w:tc>
          <w:tcPr>
            <w:tcW w:w="298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2D5B23" w:rsidRDefault="00D67B5E" w:rsidP="0051046D">
            <w:pPr>
              <w:spacing w:after="0" w:line="240" w:lineRule="auto"/>
              <w:jc w:val="left"/>
              <w:rPr>
                <w:rFonts w:cs="Arial"/>
                <w:color w:val="3E5B00"/>
                <w:sz w:val="18"/>
                <w:szCs w:val="18"/>
                <w:lang w:eastAsia="en-AU"/>
              </w:rPr>
            </w:pPr>
            <w:r w:rsidRPr="002D5B23">
              <w:rPr>
                <w:rFonts w:cs="Arial"/>
                <w:color w:val="3E5B00"/>
                <w:sz w:val="18"/>
                <w:szCs w:val="18"/>
                <w:lang w:eastAsia="en-AU"/>
              </w:rPr>
              <w:t>15 to 19</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6,800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17,900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24,700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262%</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38%</w:t>
            </w:r>
          </w:p>
        </w:tc>
      </w:tr>
      <w:tr w:rsidR="00D67B5E" w:rsidRPr="002D5B23" w:rsidTr="0051046D">
        <w:trPr>
          <w:trHeight w:hRule="exact" w:val="284"/>
        </w:trPr>
        <w:tc>
          <w:tcPr>
            <w:tcW w:w="298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2D5B23" w:rsidRDefault="00D67B5E" w:rsidP="0051046D">
            <w:pPr>
              <w:spacing w:after="0" w:line="240" w:lineRule="auto"/>
              <w:jc w:val="left"/>
              <w:rPr>
                <w:rFonts w:cs="Arial"/>
                <w:color w:val="3E5B00"/>
                <w:sz w:val="18"/>
                <w:szCs w:val="18"/>
                <w:lang w:eastAsia="en-AU"/>
              </w:rPr>
            </w:pPr>
            <w:r w:rsidRPr="002D5B23">
              <w:rPr>
                <w:rFonts w:cs="Arial"/>
                <w:color w:val="3E5B00"/>
                <w:sz w:val="18"/>
                <w:szCs w:val="18"/>
                <w:lang w:eastAsia="en-AU"/>
              </w:rPr>
              <w:t>20 to 24</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3,500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12,100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17,100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390%</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41%</w:t>
            </w:r>
          </w:p>
        </w:tc>
      </w:tr>
      <w:tr w:rsidR="00D67B5E" w:rsidRPr="002D5B23" w:rsidTr="0051046D">
        <w:trPr>
          <w:trHeight w:hRule="exact" w:val="284"/>
        </w:trPr>
        <w:tc>
          <w:tcPr>
            <w:tcW w:w="298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2D5B23" w:rsidRDefault="00D67B5E" w:rsidP="0051046D">
            <w:pPr>
              <w:spacing w:after="0" w:line="240" w:lineRule="auto"/>
              <w:jc w:val="left"/>
              <w:rPr>
                <w:rFonts w:cs="Arial"/>
                <w:color w:val="3E5B00"/>
                <w:sz w:val="18"/>
                <w:szCs w:val="18"/>
                <w:lang w:eastAsia="en-AU"/>
              </w:rPr>
            </w:pPr>
            <w:r w:rsidRPr="002D5B23">
              <w:rPr>
                <w:rFonts w:cs="Arial"/>
                <w:color w:val="3E5B00"/>
                <w:sz w:val="18"/>
                <w:szCs w:val="18"/>
                <w:lang w:eastAsia="en-AU"/>
              </w:rPr>
              <w:t>25 to 44</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9,500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19,000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25,300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166%</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33%</w:t>
            </w:r>
          </w:p>
        </w:tc>
      </w:tr>
      <w:tr w:rsidR="00D67B5E" w:rsidRPr="002D5B23" w:rsidTr="0051046D">
        <w:trPr>
          <w:trHeight w:hRule="exact" w:val="284"/>
        </w:trPr>
        <w:tc>
          <w:tcPr>
            <w:tcW w:w="298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2D5B23" w:rsidRDefault="00D67B5E" w:rsidP="0051046D">
            <w:pPr>
              <w:spacing w:after="0" w:line="240" w:lineRule="auto"/>
              <w:jc w:val="left"/>
              <w:rPr>
                <w:rFonts w:cs="Arial"/>
                <w:color w:val="3E5B00"/>
                <w:sz w:val="18"/>
                <w:szCs w:val="18"/>
                <w:lang w:eastAsia="en-AU"/>
              </w:rPr>
            </w:pPr>
            <w:r w:rsidRPr="002D5B23">
              <w:rPr>
                <w:rFonts w:cs="Arial"/>
                <w:color w:val="3E5B00"/>
                <w:sz w:val="18"/>
                <w:szCs w:val="18"/>
                <w:lang w:eastAsia="en-AU"/>
              </w:rPr>
              <w:t>45 to 64</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5,200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10,400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13,200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154%</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26%</w:t>
            </w:r>
          </w:p>
        </w:tc>
      </w:tr>
      <w:tr w:rsidR="00D67B5E" w:rsidRPr="002D5B23" w:rsidTr="0051046D">
        <w:trPr>
          <w:trHeight w:hRule="exact" w:val="284"/>
        </w:trPr>
        <w:tc>
          <w:tcPr>
            <w:tcW w:w="2980" w:type="dxa"/>
            <w:tcBorders>
              <w:top w:val="nil"/>
              <w:left w:val="single" w:sz="4" w:space="0" w:color="5E8A00"/>
              <w:bottom w:val="single" w:sz="4" w:space="0" w:color="5E8A00"/>
              <w:right w:val="single" w:sz="4" w:space="0" w:color="5E8A00"/>
            </w:tcBorders>
            <w:shd w:val="clear" w:color="000000" w:fill="FFFFFF"/>
            <w:noWrap/>
            <w:vAlign w:val="bottom"/>
            <w:hideMark/>
          </w:tcPr>
          <w:p w:rsidR="00D67B5E" w:rsidRPr="002D5B23" w:rsidRDefault="00D67B5E" w:rsidP="0051046D">
            <w:pPr>
              <w:spacing w:after="0" w:line="240" w:lineRule="auto"/>
              <w:jc w:val="left"/>
              <w:rPr>
                <w:rFonts w:cs="Arial"/>
                <w:color w:val="3E5B00"/>
                <w:sz w:val="18"/>
                <w:szCs w:val="18"/>
                <w:lang w:eastAsia="en-AU"/>
              </w:rPr>
            </w:pPr>
            <w:r w:rsidRPr="002D5B23">
              <w:rPr>
                <w:rFonts w:cs="Arial"/>
                <w:color w:val="3E5B00"/>
                <w:sz w:val="18"/>
                <w:szCs w:val="18"/>
                <w:lang w:eastAsia="en-AU"/>
              </w:rPr>
              <w:t>Under 15, over 64, not stated</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500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2,200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 xml:space="preserve">2,100 </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333%</w:t>
            </w:r>
          </w:p>
        </w:tc>
        <w:tc>
          <w:tcPr>
            <w:tcW w:w="1120" w:type="dxa"/>
            <w:tcBorders>
              <w:top w:val="nil"/>
              <w:left w:val="nil"/>
              <w:bottom w:val="single" w:sz="4" w:space="0" w:color="5E8A00"/>
              <w:right w:val="single" w:sz="4" w:space="0" w:color="5E8A00"/>
            </w:tcBorders>
            <w:shd w:val="clear" w:color="auto" w:fill="auto"/>
            <w:noWrap/>
            <w:vAlign w:val="center"/>
            <w:hideMark/>
          </w:tcPr>
          <w:p w:rsidR="00D67B5E" w:rsidRPr="002D5B23" w:rsidRDefault="00D67B5E" w:rsidP="0051046D">
            <w:pPr>
              <w:spacing w:after="0" w:line="240" w:lineRule="auto"/>
              <w:jc w:val="right"/>
              <w:rPr>
                <w:rFonts w:cs="Arial"/>
                <w:sz w:val="18"/>
                <w:szCs w:val="18"/>
                <w:lang w:eastAsia="en-AU"/>
              </w:rPr>
            </w:pPr>
            <w:r w:rsidRPr="002D5B23">
              <w:rPr>
                <w:rFonts w:cs="Arial"/>
                <w:sz w:val="18"/>
                <w:szCs w:val="18"/>
                <w:lang w:eastAsia="en-AU"/>
              </w:rPr>
              <w:t>0%</w:t>
            </w:r>
          </w:p>
        </w:tc>
      </w:tr>
      <w:tr w:rsidR="00D67B5E" w:rsidRPr="002D5B23" w:rsidTr="0051046D">
        <w:trPr>
          <w:trHeight w:hRule="exact" w:val="284"/>
        </w:trPr>
        <w:tc>
          <w:tcPr>
            <w:tcW w:w="2980" w:type="dxa"/>
            <w:tcBorders>
              <w:top w:val="single" w:sz="4" w:space="0" w:color="5E8A00"/>
              <w:left w:val="single" w:sz="4" w:space="0" w:color="5E8A00"/>
              <w:bottom w:val="nil"/>
            </w:tcBorders>
            <w:shd w:val="clear" w:color="000000" w:fill="5E8A00"/>
            <w:noWrap/>
            <w:vAlign w:val="bottom"/>
            <w:hideMark/>
          </w:tcPr>
          <w:p w:rsidR="00D67B5E" w:rsidRPr="002D5B23" w:rsidRDefault="00D67B5E" w:rsidP="0051046D">
            <w:pPr>
              <w:spacing w:after="0" w:line="240" w:lineRule="auto"/>
              <w:jc w:val="left"/>
              <w:rPr>
                <w:rFonts w:cs="Arial"/>
                <w:b/>
                <w:bCs/>
                <w:color w:val="FFFFFF"/>
                <w:sz w:val="18"/>
                <w:szCs w:val="18"/>
                <w:lang w:eastAsia="en-AU"/>
              </w:rPr>
            </w:pPr>
            <w:r w:rsidRPr="002D5B23">
              <w:rPr>
                <w:rFonts w:cs="Arial"/>
                <w:b/>
                <w:bCs/>
                <w:color w:val="FFFFFF"/>
                <w:sz w:val="18"/>
                <w:szCs w:val="18"/>
                <w:lang w:eastAsia="en-AU"/>
              </w:rPr>
              <w:t>Total</w:t>
            </w:r>
          </w:p>
        </w:tc>
        <w:tc>
          <w:tcPr>
            <w:tcW w:w="1120" w:type="dxa"/>
            <w:tcBorders>
              <w:top w:val="single" w:sz="4" w:space="0" w:color="5E8A00"/>
              <w:bottom w:val="nil"/>
            </w:tcBorders>
            <w:shd w:val="clear" w:color="000000" w:fill="5E8A00"/>
            <w:noWrap/>
            <w:vAlign w:val="center"/>
            <w:hideMark/>
          </w:tcPr>
          <w:p w:rsidR="00D67B5E" w:rsidRPr="002D5B23" w:rsidRDefault="00D67B5E" w:rsidP="0051046D">
            <w:pPr>
              <w:spacing w:after="0" w:line="240" w:lineRule="auto"/>
              <w:jc w:val="right"/>
              <w:rPr>
                <w:rFonts w:cs="Arial"/>
                <w:b/>
                <w:bCs/>
                <w:color w:val="FFFFFF"/>
                <w:sz w:val="18"/>
                <w:szCs w:val="18"/>
                <w:lang w:eastAsia="en-AU"/>
              </w:rPr>
            </w:pPr>
            <w:r w:rsidRPr="002D5B23">
              <w:rPr>
                <w:rFonts w:cs="Arial"/>
                <w:b/>
                <w:bCs/>
                <w:color w:val="FFFFFF"/>
                <w:sz w:val="18"/>
                <w:szCs w:val="18"/>
                <w:lang w:eastAsia="en-AU"/>
              </w:rPr>
              <w:t xml:space="preserve">25,500 </w:t>
            </w:r>
          </w:p>
        </w:tc>
        <w:tc>
          <w:tcPr>
            <w:tcW w:w="1120" w:type="dxa"/>
            <w:tcBorders>
              <w:top w:val="single" w:sz="4" w:space="0" w:color="5E8A00"/>
              <w:bottom w:val="nil"/>
            </w:tcBorders>
            <w:shd w:val="clear" w:color="000000" w:fill="5E8A00"/>
            <w:noWrap/>
            <w:vAlign w:val="center"/>
            <w:hideMark/>
          </w:tcPr>
          <w:p w:rsidR="00D67B5E" w:rsidRPr="002D5B23" w:rsidRDefault="00D67B5E" w:rsidP="0051046D">
            <w:pPr>
              <w:spacing w:after="0" w:line="240" w:lineRule="auto"/>
              <w:jc w:val="right"/>
              <w:rPr>
                <w:rFonts w:cs="Arial"/>
                <w:b/>
                <w:bCs/>
                <w:color w:val="FFFFFF"/>
                <w:sz w:val="18"/>
                <w:szCs w:val="18"/>
                <w:lang w:eastAsia="en-AU"/>
              </w:rPr>
            </w:pPr>
            <w:r w:rsidRPr="002D5B23">
              <w:rPr>
                <w:rFonts w:cs="Arial"/>
                <w:b/>
                <w:bCs/>
                <w:color w:val="FFFFFF"/>
                <w:sz w:val="18"/>
                <w:szCs w:val="18"/>
                <w:lang w:eastAsia="en-AU"/>
              </w:rPr>
              <w:t xml:space="preserve">61,600 </w:t>
            </w:r>
          </w:p>
        </w:tc>
        <w:tc>
          <w:tcPr>
            <w:tcW w:w="1120" w:type="dxa"/>
            <w:tcBorders>
              <w:top w:val="single" w:sz="4" w:space="0" w:color="5E8A00"/>
              <w:bottom w:val="nil"/>
            </w:tcBorders>
            <w:shd w:val="clear" w:color="000000" w:fill="5E8A00"/>
            <w:noWrap/>
            <w:vAlign w:val="center"/>
            <w:hideMark/>
          </w:tcPr>
          <w:p w:rsidR="00D67B5E" w:rsidRPr="002D5B23" w:rsidRDefault="00D67B5E" w:rsidP="0051046D">
            <w:pPr>
              <w:spacing w:after="0" w:line="240" w:lineRule="auto"/>
              <w:jc w:val="right"/>
              <w:rPr>
                <w:rFonts w:cs="Arial"/>
                <w:b/>
                <w:bCs/>
                <w:color w:val="FFFFFF"/>
                <w:sz w:val="18"/>
                <w:szCs w:val="18"/>
                <w:lang w:eastAsia="en-AU"/>
              </w:rPr>
            </w:pPr>
            <w:r w:rsidRPr="002D5B23">
              <w:rPr>
                <w:rFonts w:cs="Arial"/>
                <w:b/>
                <w:bCs/>
                <w:color w:val="FFFFFF"/>
                <w:sz w:val="18"/>
                <w:szCs w:val="18"/>
                <w:lang w:eastAsia="en-AU"/>
              </w:rPr>
              <w:t xml:space="preserve">82,400 </w:t>
            </w:r>
          </w:p>
        </w:tc>
        <w:tc>
          <w:tcPr>
            <w:tcW w:w="1120" w:type="dxa"/>
            <w:tcBorders>
              <w:top w:val="single" w:sz="4" w:space="0" w:color="5E8A00"/>
              <w:bottom w:val="nil"/>
            </w:tcBorders>
            <w:shd w:val="clear" w:color="000000" w:fill="5E8A00"/>
            <w:noWrap/>
            <w:vAlign w:val="center"/>
            <w:hideMark/>
          </w:tcPr>
          <w:p w:rsidR="00D67B5E" w:rsidRPr="002D5B23" w:rsidRDefault="00D67B5E" w:rsidP="0051046D">
            <w:pPr>
              <w:spacing w:after="0" w:line="240" w:lineRule="auto"/>
              <w:jc w:val="right"/>
              <w:rPr>
                <w:rFonts w:cs="Arial"/>
                <w:b/>
                <w:bCs/>
                <w:color w:val="FFFFFF"/>
                <w:sz w:val="18"/>
                <w:szCs w:val="18"/>
                <w:lang w:eastAsia="en-AU"/>
              </w:rPr>
            </w:pPr>
            <w:r w:rsidRPr="002D5B23">
              <w:rPr>
                <w:rFonts w:cs="Arial"/>
                <w:b/>
                <w:bCs/>
                <w:color w:val="FFFFFF"/>
                <w:sz w:val="18"/>
                <w:szCs w:val="18"/>
                <w:lang w:eastAsia="en-AU"/>
              </w:rPr>
              <w:t>223%</w:t>
            </w:r>
          </w:p>
        </w:tc>
        <w:tc>
          <w:tcPr>
            <w:tcW w:w="1120" w:type="dxa"/>
            <w:tcBorders>
              <w:top w:val="single" w:sz="4" w:space="0" w:color="5E8A00"/>
              <w:bottom w:val="nil"/>
              <w:right w:val="single" w:sz="4" w:space="0" w:color="5E8A00"/>
            </w:tcBorders>
            <w:shd w:val="clear" w:color="000000" w:fill="5E8A00"/>
            <w:noWrap/>
            <w:vAlign w:val="center"/>
            <w:hideMark/>
          </w:tcPr>
          <w:p w:rsidR="00D67B5E" w:rsidRPr="002D5B23" w:rsidRDefault="00D67B5E" w:rsidP="0051046D">
            <w:pPr>
              <w:spacing w:after="0" w:line="240" w:lineRule="auto"/>
              <w:jc w:val="right"/>
              <w:rPr>
                <w:rFonts w:cs="Arial"/>
                <w:b/>
                <w:bCs/>
                <w:color w:val="FFFFFF"/>
                <w:sz w:val="18"/>
                <w:szCs w:val="18"/>
                <w:lang w:eastAsia="en-AU"/>
              </w:rPr>
            </w:pPr>
            <w:r w:rsidRPr="002D5B23">
              <w:rPr>
                <w:rFonts w:cs="Arial"/>
                <w:b/>
                <w:bCs/>
                <w:color w:val="FFFFFF"/>
                <w:sz w:val="18"/>
                <w:szCs w:val="18"/>
                <w:lang w:eastAsia="en-AU"/>
              </w:rPr>
              <w:t>34%</w:t>
            </w:r>
          </w:p>
        </w:tc>
      </w:tr>
    </w:tbl>
    <w:p w:rsidR="00D67B5E" w:rsidRPr="0086172F" w:rsidRDefault="00D67B5E" w:rsidP="00D67B5E"/>
    <w:p w:rsidR="00D67B5E" w:rsidRDefault="00D67B5E" w:rsidP="00D67B5E">
      <w:pPr>
        <w:spacing w:after="0" w:line="240" w:lineRule="auto"/>
        <w:jc w:val="left"/>
        <w:rPr>
          <w:rFonts w:cs="Arial"/>
          <w:b/>
          <w:bCs/>
          <w:color w:val="76923C" w:themeColor="accent3" w:themeShade="BF"/>
          <w:sz w:val="18"/>
          <w:szCs w:val="16"/>
        </w:rPr>
      </w:pPr>
      <w:r>
        <w:rPr>
          <w:rFonts w:cs="Arial"/>
        </w:rPr>
        <w:br w:type="page"/>
      </w:r>
    </w:p>
    <w:p w:rsidR="00D67B5E" w:rsidRPr="001F29E3" w:rsidRDefault="00D67B5E" w:rsidP="00D67B5E">
      <w:pPr>
        <w:pStyle w:val="Caption"/>
        <w:rPr>
          <w:rFonts w:cs="Arial"/>
        </w:rPr>
      </w:pPr>
    </w:p>
    <w:p w:rsidR="00D67B5E" w:rsidRPr="001F29E3" w:rsidRDefault="00D67B5E" w:rsidP="00D67B5E">
      <w:pPr>
        <w:pStyle w:val="Caption"/>
      </w:pPr>
      <w:r w:rsidRPr="002D5B23">
        <w:t xml:space="preserve">Table </w:t>
      </w:r>
      <w:r w:rsidR="005654CD">
        <w:t>2</w:t>
      </w:r>
      <w:r w:rsidRPr="002D5B23">
        <w:t>.</w:t>
      </w:r>
      <w:r>
        <w:t>10</w:t>
      </w:r>
      <w:r w:rsidRPr="002D5B23">
        <w:t xml:space="preserve">: Top 13 government subsidised foundation skills course enrolments, Q2 2011, Q2 2012 and </w:t>
      </w:r>
      <w:r>
        <w:br/>
      </w:r>
      <w:r w:rsidRPr="002D5B23">
        <w:t>Q2 2013</w:t>
      </w:r>
      <w:r w:rsidRPr="001F29E3">
        <w:t xml:space="preserve"> </w:t>
      </w:r>
    </w:p>
    <w:p w:rsidR="00704EB3" w:rsidRDefault="00D67B5E" w:rsidP="00D67B5E">
      <w:pPr>
        <w:pStyle w:val="Caption"/>
        <w:jc w:val="left"/>
        <w:rPr>
          <w:rFonts w:cs="Arial"/>
        </w:rPr>
      </w:pPr>
      <w:r w:rsidRPr="002D5B23">
        <w:rPr>
          <w:noProof/>
          <w:lang w:eastAsia="en-AU"/>
        </w:rPr>
        <w:drawing>
          <wp:inline distT="0" distB="0" distL="0" distR="0" wp14:anchorId="75CA5A93" wp14:editId="6F01BF99">
            <wp:extent cx="6138000" cy="282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38000" cy="2822400"/>
                    </a:xfrm>
                    <a:prstGeom prst="rect">
                      <a:avLst/>
                    </a:prstGeom>
                    <a:noFill/>
                    <a:ln>
                      <a:noFill/>
                    </a:ln>
                  </pic:spPr>
                </pic:pic>
              </a:graphicData>
            </a:graphic>
          </wp:inline>
        </w:drawing>
      </w:r>
      <w:bookmarkEnd w:id="43"/>
      <w:bookmarkEnd w:id="44"/>
      <w:bookmarkEnd w:id="61"/>
      <w:bookmarkEnd w:id="62"/>
      <w:bookmarkEnd w:id="63"/>
      <w:bookmarkEnd w:id="64"/>
      <w:bookmarkEnd w:id="65"/>
      <w:bookmarkEnd w:id="66"/>
      <w:bookmarkEnd w:id="67"/>
      <w:bookmarkEnd w:id="68"/>
      <w:bookmarkEnd w:id="69"/>
      <w:bookmarkEnd w:id="70"/>
      <w:bookmarkEnd w:id="71"/>
      <w:bookmarkEnd w:id="73"/>
      <w:bookmarkEnd w:id="74"/>
      <w:bookmarkEnd w:id="75"/>
      <w:bookmarkEnd w:id="76"/>
      <w:bookmarkEnd w:id="77"/>
      <w:bookmarkEnd w:id="78"/>
    </w:p>
    <w:p w:rsidR="00704EB3" w:rsidRDefault="00704EB3">
      <w:pPr>
        <w:spacing w:after="0" w:line="240" w:lineRule="auto"/>
        <w:jc w:val="left"/>
        <w:rPr>
          <w:rFonts w:cs="Arial"/>
          <w:b/>
          <w:bCs/>
          <w:color w:val="76923C" w:themeColor="accent3" w:themeShade="BF"/>
          <w:sz w:val="18"/>
          <w:szCs w:val="16"/>
        </w:rPr>
      </w:pPr>
      <w:r>
        <w:rPr>
          <w:rFonts w:cs="Arial"/>
        </w:rPr>
        <w:br w:type="page"/>
      </w:r>
    </w:p>
    <w:p w:rsidR="00704EB3" w:rsidRDefault="00704EB3" w:rsidP="00704EB3">
      <w:pPr>
        <w:pStyle w:val="Heading1"/>
        <w:rPr>
          <w:rStyle w:val="Heading1Char"/>
        </w:rPr>
      </w:pPr>
      <w:bookmarkStart w:id="87" w:name="_Toc366588126"/>
      <w:r>
        <w:rPr>
          <w:rStyle w:val="Heading1Char"/>
        </w:rPr>
        <w:lastRenderedPageBreak/>
        <w:t>Alignment of Training to Industry Skills Needs</w:t>
      </w:r>
      <w:bookmarkEnd w:id="87"/>
    </w:p>
    <w:p w:rsidR="00E1754F" w:rsidRDefault="00E1754F" w:rsidP="00E1754F">
      <w:pPr>
        <w:pStyle w:val="Heading3"/>
      </w:pPr>
    </w:p>
    <w:p w:rsidR="00704EB3" w:rsidRDefault="00704EB3" w:rsidP="00E1754F">
      <w:pPr>
        <w:pStyle w:val="Heading3"/>
      </w:pPr>
      <w:r>
        <w:t>Introduction</w:t>
      </w:r>
    </w:p>
    <w:p w:rsidR="00704EB3" w:rsidRPr="000E6968" w:rsidRDefault="00704EB3" w:rsidP="00704EB3">
      <w:pPr>
        <w:rPr>
          <w:rFonts w:cs="Arial"/>
        </w:rPr>
      </w:pPr>
      <w:r w:rsidRPr="000E6968">
        <w:rPr>
          <w:rFonts w:cs="Arial"/>
        </w:rPr>
        <w:t xml:space="preserve">Over the period between Q2 2012 and Q2 2013 there have been shifts </w:t>
      </w:r>
      <w:r w:rsidR="00EF799D">
        <w:rPr>
          <w:rFonts w:cs="Arial"/>
        </w:rPr>
        <w:t>towards</w:t>
      </w:r>
      <w:r w:rsidR="00EF799D" w:rsidRPr="000E6968">
        <w:rPr>
          <w:rFonts w:cs="Arial"/>
        </w:rPr>
        <w:t xml:space="preserve"> training</w:t>
      </w:r>
      <w:r w:rsidRPr="000E6968">
        <w:rPr>
          <w:rFonts w:cs="Arial"/>
        </w:rPr>
        <w:t xml:space="preserve"> delivered </w:t>
      </w:r>
      <w:r w:rsidR="00A13C46">
        <w:rPr>
          <w:rFonts w:cs="Arial"/>
        </w:rPr>
        <w:t>in</w:t>
      </w:r>
      <w:r w:rsidRPr="000E6968">
        <w:rPr>
          <w:rFonts w:cs="Arial"/>
        </w:rPr>
        <w:t xml:space="preserve"> areas that better meet the training requirements of the Victorian economy. The training market has been dynamic and responsive in seeking to align with</w:t>
      </w:r>
      <w:r>
        <w:rPr>
          <w:rFonts w:cs="Arial"/>
        </w:rPr>
        <w:t xml:space="preserve"> these</w:t>
      </w:r>
      <w:r w:rsidRPr="000E6968">
        <w:rPr>
          <w:rFonts w:cs="Arial"/>
        </w:rPr>
        <w:t xml:space="preserve"> areas of need. </w:t>
      </w:r>
    </w:p>
    <w:p w:rsidR="00513C7F" w:rsidRDefault="00704EB3" w:rsidP="00704EB3">
      <w:pPr>
        <w:rPr>
          <w:rFonts w:cs="Arial"/>
        </w:rPr>
      </w:pPr>
      <w:proofErr w:type="gramStart"/>
      <w:r w:rsidRPr="000E6968">
        <w:rPr>
          <w:rFonts w:cs="Arial"/>
        </w:rPr>
        <w:t>T</w:t>
      </w:r>
      <w:r w:rsidR="00513C7F">
        <w:rPr>
          <w:rFonts w:cs="Arial"/>
        </w:rPr>
        <w:t>he t</w:t>
      </w:r>
      <w:r w:rsidRPr="000E6968">
        <w:rPr>
          <w:rFonts w:cs="Arial"/>
        </w:rPr>
        <w:t xml:space="preserve">rends towards </w:t>
      </w:r>
      <w:r w:rsidR="00513C7F">
        <w:rPr>
          <w:rFonts w:cs="Arial"/>
        </w:rPr>
        <w:t xml:space="preserve">more </w:t>
      </w:r>
      <w:r w:rsidRPr="000E6968">
        <w:rPr>
          <w:rFonts w:cs="Arial"/>
        </w:rPr>
        <w:t xml:space="preserve">training in areas of specialised </w:t>
      </w:r>
      <w:r>
        <w:rPr>
          <w:rFonts w:cs="Arial"/>
        </w:rPr>
        <w:t xml:space="preserve">skills </w:t>
      </w:r>
      <w:r w:rsidRPr="000E6968">
        <w:rPr>
          <w:rFonts w:cs="Arial"/>
        </w:rPr>
        <w:t>and in shortage occupation</w:t>
      </w:r>
      <w:r>
        <w:rPr>
          <w:rFonts w:cs="Arial"/>
        </w:rPr>
        <w:t>s</w:t>
      </w:r>
      <w:r w:rsidRPr="000E6968">
        <w:rPr>
          <w:rFonts w:cs="Arial"/>
        </w:rPr>
        <w:t xml:space="preserve"> </w:t>
      </w:r>
      <w:r w:rsidR="00513C7F">
        <w:rPr>
          <w:rFonts w:cs="Arial"/>
        </w:rPr>
        <w:t>since 2008 has continued in 2013,</w:t>
      </w:r>
      <w:r w:rsidRPr="000E6968">
        <w:rPr>
          <w:rFonts w:cs="Arial"/>
        </w:rPr>
        <w:t xml:space="preserve"> as well as a shift to</w:t>
      </w:r>
      <w:r>
        <w:rPr>
          <w:rFonts w:cs="Arial"/>
        </w:rPr>
        <w:t>wards</w:t>
      </w:r>
      <w:r w:rsidRPr="000E6968">
        <w:rPr>
          <w:rFonts w:cs="Arial"/>
        </w:rPr>
        <w:t xml:space="preserve"> </w:t>
      </w:r>
      <w:r w:rsidR="00A13C46">
        <w:rPr>
          <w:rFonts w:cs="Arial"/>
        </w:rPr>
        <w:t xml:space="preserve">courses that support sectors with significant projected </w:t>
      </w:r>
      <w:r w:rsidRPr="000E6968">
        <w:rPr>
          <w:rFonts w:cs="Arial"/>
        </w:rPr>
        <w:t>employment growth</w:t>
      </w:r>
      <w:r w:rsidR="00A13C46">
        <w:rPr>
          <w:rFonts w:cs="Arial"/>
        </w:rPr>
        <w:t>.</w:t>
      </w:r>
      <w:proofErr w:type="gramEnd"/>
      <w:r w:rsidR="00A13C46">
        <w:rPr>
          <w:rFonts w:cs="Arial"/>
        </w:rPr>
        <w:t xml:space="preserve"> </w:t>
      </w:r>
    </w:p>
    <w:p w:rsidR="00704EB3" w:rsidRPr="001F29E3" w:rsidRDefault="00A13C46" w:rsidP="00513C7F">
      <w:r>
        <w:rPr>
          <w:rFonts w:cs="Arial"/>
        </w:rPr>
        <w:t>There has been</w:t>
      </w:r>
      <w:r w:rsidR="00704EB3" w:rsidRPr="000E6968">
        <w:rPr>
          <w:rFonts w:cs="Arial"/>
        </w:rPr>
        <w:t xml:space="preserve"> a reduction in </w:t>
      </w:r>
      <w:r w:rsidR="00DD3AC7">
        <w:rPr>
          <w:rFonts w:cs="Arial"/>
        </w:rPr>
        <w:t xml:space="preserve">courses </w:t>
      </w:r>
      <w:r w:rsidR="00DD3AC7" w:rsidRPr="000E6968">
        <w:rPr>
          <w:rFonts w:cs="Arial"/>
        </w:rPr>
        <w:t>that</w:t>
      </w:r>
      <w:r>
        <w:rPr>
          <w:rFonts w:cs="Arial"/>
        </w:rPr>
        <w:t xml:space="preserve"> experienced unprecedented high levels of enrolments in 2012 that were not aligned with the employment trends of related industries. </w:t>
      </w:r>
      <w:r w:rsidR="00704EB3" w:rsidRPr="000E6968">
        <w:rPr>
          <w:rFonts w:cs="Arial"/>
        </w:rPr>
        <w:t xml:space="preserve"> Challenges remain as government seeks to support apprenticeships in a climate of business contraction in trade related industries as well as managing growth in training areas that are not aligned with industry or student needs such as foundation skills</w:t>
      </w:r>
      <w:r w:rsidR="00704EB3">
        <w:rPr>
          <w:rFonts w:cs="Arial"/>
        </w:rPr>
        <w:t xml:space="preserve"> for individuals who already have </w:t>
      </w:r>
      <w:r w:rsidR="00704EB3" w:rsidRPr="00B92D59">
        <w:rPr>
          <w:rFonts w:cs="Arial"/>
          <w:szCs w:val="19"/>
        </w:rPr>
        <w:t>highly developed literacy, numeracy and workplace skills</w:t>
      </w:r>
      <w:r w:rsidR="00704EB3" w:rsidRPr="000E6968">
        <w:rPr>
          <w:rFonts w:cs="Arial"/>
        </w:rPr>
        <w:t xml:space="preserve"> </w:t>
      </w:r>
      <w:r w:rsidR="00704EB3">
        <w:rPr>
          <w:rFonts w:cs="Arial"/>
        </w:rPr>
        <w:t>and</w:t>
      </w:r>
      <w:r w:rsidR="00704EB3" w:rsidRPr="000E6968">
        <w:rPr>
          <w:rFonts w:cs="Arial"/>
        </w:rPr>
        <w:t xml:space="preserve"> RPL in unlicensed occupations.</w:t>
      </w:r>
    </w:p>
    <w:p w:rsidR="00704EB3" w:rsidRPr="009554C8" w:rsidRDefault="00704EB3" w:rsidP="00704EB3">
      <w:pPr>
        <w:rPr>
          <w:rFonts w:cs="Arial"/>
        </w:rPr>
      </w:pPr>
      <w:r w:rsidRPr="009554C8">
        <w:rPr>
          <w:rFonts w:cs="Arial"/>
        </w:rPr>
        <w:t xml:space="preserve">Under the new </w:t>
      </w:r>
      <w:r w:rsidR="001C5D5A">
        <w:rPr>
          <w:rFonts w:cs="Arial"/>
        </w:rPr>
        <w:t>subsidy bands</w:t>
      </w:r>
      <w:r w:rsidRPr="009554C8">
        <w:rPr>
          <w:rFonts w:cs="Arial"/>
        </w:rPr>
        <w:t>, weightings have been refined to apply at the course level to</w:t>
      </w:r>
      <w:r>
        <w:rPr>
          <w:rFonts w:cs="Arial"/>
        </w:rPr>
        <w:t xml:space="preserve"> strengthen </w:t>
      </w:r>
      <w:r w:rsidR="00A13C46">
        <w:rPr>
          <w:rFonts w:cs="Arial"/>
        </w:rPr>
        <w:t xml:space="preserve">Government investment in </w:t>
      </w:r>
      <w:r>
        <w:rPr>
          <w:rFonts w:cs="Arial"/>
        </w:rPr>
        <w:t xml:space="preserve">training </w:t>
      </w:r>
      <w:r w:rsidR="00A13C46">
        <w:rPr>
          <w:rFonts w:cs="Arial"/>
        </w:rPr>
        <w:t xml:space="preserve">for </w:t>
      </w:r>
      <w:r>
        <w:rPr>
          <w:rFonts w:cs="Arial"/>
        </w:rPr>
        <w:t>specialised skills, training to address skills in shortage</w:t>
      </w:r>
      <w:r w:rsidR="00A13C46">
        <w:rPr>
          <w:rFonts w:cs="Arial"/>
        </w:rPr>
        <w:t xml:space="preserve">, </w:t>
      </w:r>
      <w:r>
        <w:rPr>
          <w:rFonts w:cs="Arial"/>
        </w:rPr>
        <w:t xml:space="preserve">training related to areas of </w:t>
      </w:r>
      <w:r w:rsidR="007F0873">
        <w:rPr>
          <w:rFonts w:cs="Arial"/>
        </w:rPr>
        <w:t xml:space="preserve">growing </w:t>
      </w:r>
      <w:r>
        <w:rPr>
          <w:rFonts w:cs="Arial"/>
        </w:rPr>
        <w:t>employment opportunity</w:t>
      </w:r>
      <w:r w:rsidR="001C062F">
        <w:rPr>
          <w:rFonts w:cs="Arial"/>
        </w:rPr>
        <w:t xml:space="preserve"> and sectors delivering essential services</w:t>
      </w:r>
      <w:r w:rsidRPr="009554C8">
        <w:rPr>
          <w:rFonts w:cs="Arial"/>
        </w:rPr>
        <w:t xml:space="preserve">. </w:t>
      </w:r>
      <w:r>
        <w:rPr>
          <w:rFonts w:cs="Arial"/>
        </w:rPr>
        <w:t xml:space="preserve">The reforms also assessed </w:t>
      </w:r>
      <w:r w:rsidRPr="009554C8">
        <w:rPr>
          <w:rFonts w:cs="Arial"/>
        </w:rPr>
        <w:t>the extent to which government investment is required to stimulate delivery of, and participation in, this training to meet industry needs</w:t>
      </w:r>
      <w:r>
        <w:rPr>
          <w:rFonts w:cs="Arial"/>
        </w:rPr>
        <w:t>.</w:t>
      </w:r>
    </w:p>
    <w:p w:rsidR="00704EB3" w:rsidRPr="009554C8" w:rsidRDefault="00704EB3" w:rsidP="00704EB3">
      <w:pPr>
        <w:rPr>
          <w:rFonts w:cs="Arial"/>
        </w:rPr>
      </w:pPr>
      <w:r w:rsidRPr="009554C8">
        <w:rPr>
          <w:rFonts w:cs="Arial"/>
        </w:rPr>
        <w:t>Overall, the highest subsidy levels have been provided to courses where contribution to the economy is assessed as high, and where government subsidy is seen as essential in enabling delivery and participation in training.</w:t>
      </w:r>
    </w:p>
    <w:p w:rsidR="00704EB3" w:rsidRDefault="00704EB3" w:rsidP="00704EB3">
      <w:pPr>
        <w:spacing w:after="0" w:line="240" w:lineRule="auto"/>
        <w:jc w:val="left"/>
        <w:rPr>
          <w:rFonts w:cs="Arial"/>
          <w:sz w:val="16"/>
          <w:szCs w:val="16"/>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704EB3" w:rsidRPr="001F29E3" w:rsidTr="007D3481">
        <w:trPr>
          <w:trHeight w:val="1467"/>
        </w:trPr>
        <w:tc>
          <w:tcPr>
            <w:tcW w:w="9088" w:type="dxa"/>
            <w:tc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tcBorders>
          </w:tcPr>
          <w:p w:rsidR="00704EB3" w:rsidRDefault="00704EB3" w:rsidP="007D3481">
            <w:pPr>
              <w:pStyle w:val="Heading3"/>
            </w:pPr>
            <w:r w:rsidRPr="00D940E1">
              <w:t>Key Points</w:t>
            </w:r>
            <w:r w:rsidR="003323B6">
              <w:t xml:space="preserve"> </w:t>
            </w:r>
          </w:p>
          <w:p w:rsidR="00704EB3" w:rsidRPr="007D276C" w:rsidRDefault="00704EB3" w:rsidP="007D3481"/>
          <w:p w:rsidR="00704EB3" w:rsidRPr="00D940E1" w:rsidRDefault="00704EB3" w:rsidP="007D3481">
            <w:pPr>
              <w:pStyle w:val="ListBullet"/>
              <w:numPr>
                <w:ilvl w:val="0"/>
                <w:numId w:val="13"/>
              </w:numPr>
              <w:ind w:left="397" w:right="113" w:hanging="284"/>
              <w:rPr>
                <w:rFonts w:cs="Arial"/>
              </w:rPr>
            </w:pPr>
            <w:r w:rsidRPr="00D940E1">
              <w:rPr>
                <w:rFonts w:cs="Arial"/>
              </w:rPr>
              <w:t xml:space="preserve">Proportionally there has been a marked shift in commencement patterns when comparing Q2 2013 with Pre-July 2012. </w:t>
            </w:r>
            <w:r>
              <w:rPr>
                <w:rFonts w:cs="Arial"/>
              </w:rPr>
              <w:t>Data fr</w:t>
            </w:r>
            <w:r w:rsidRPr="00D940E1">
              <w:rPr>
                <w:rFonts w:cs="Arial"/>
              </w:rPr>
              <w:t xml:space="preserve">om Q2 2013 show </w:t>
            </w:r>
            <w:r>
              <w:rPr>
                <w:rFonts w:cs="Arial"/>
              </w:rPr>
              <w:t xml:space="preserve">that </w:t>
            </w:r>
            <w:r w:rsidRPr="00D940E1">
              <w:rPr>
                <w:rFonts w:cs="Arial"/>
              </w:rPr>
              <w:t xml:space="preserve">69 per cent of all government subsidised commencing enrolments were within subsidy bands A and B. This compared with 49 per cent of commencements in subsidy bands A and B over the same period in 2012. Courses such as the Certificate III in </w:t>
            </w:r>
            <w:proofErr w:type="spellStart"/>
            <w:r w:rsidRPr="00D940E1">
              <w:rPr>
                <w:rFonts w:cs="Arial"/>
              </w:rPr>
              <w:t>Electrotechnology</w:t>
            </w:r>
            <w:proofErr w:type="spellEnd"/>
            <w:r w:rsidRPr="00D940E1">
              <w:rPr>
                <w:rFonts w:cs="Arial"/>
              </w:rPr>
              <w:t xml:space="preserve"> Electrician, Certificate III in Carpentry, Certificate III in Aged Care and the course in Initial General Education for Adults are represented in these funding bands. </w:t>
            </w:r>
          </w:p>
          <w:p w:rsidR="00704EB3" w:rsidRPr="00D940E1" w:rsidRDefault="00704EB3" w:rsidP="007D3481">
            <w:pPr>
              <w:pStyle w:val="ListBullet"/>
              <w:numPr>
                <w:ilvl w:val="0"/>
                <w:numId w:val="13"/>
              </w:numPr>
              <w:ind w:left="397" w:right="113" w:hanging="284"/>
              <w:rPr>
                <w:rFonts w:cs="Arial"/>
              </w:rPr>
            </w:pPr>
            <w:r w:rsidRPr="00D940E1">
              <w:rPr>
                <w:rFonts w:cs="Arial"/>
              </w:rPr>
              <w:t>Courses with less vocational outcome, or labour market requirement (Band D &amp; E) represented 9 per cent of all government subsidised commencements in Q2 2013</w:t>
            </w:r>
            <w:r>
              <w:rPr>
                <w:rFonts w:cs="Arial"/>
              </w:rPr>
              <w:t>. It was 3</w:t>
            </w:r>
            <w:r w:rsidRPr="00D940E1">
              <w:rPr>
                <w:rFonts w:cs="Arial"/>
              </w:rPr>
              <w:t>1 per cent over the same period in 2012.</w:t>
            </w:r>
          </w:p>
        </w:tc>
      </w:tr>
    </w:tbl>
    <w:p w:rsidR="00704EB3" w:rsidRDefault="00704EB3" w:rsidP="00704EB3">
      <w:pPr>
        <w:pStyle w:val="Caption"/>
        <w:jc w:val="left"/>
        <w:rPr>
          <w:rFonts w:cs="Arial"/>
        </w:rPr>
      </w:pPr>
    </w:p>
    <w:p w:rsidR="00704EB3" w:rsidRDefault="00704EB3" w:rsidP="00704EB3">
      <w:pPr>
        <w:spacing w:after="200" w:line="276" w:lineRule="auto"/>
        <w:jc w:val="left"/>
        <w:rPr>
          <w:rFonts w:cs="Arial"/>
          <w:b/>
          <w:bCs/>
          <w:color w:val="76923C" w:themeColor="accent3" w:themeShade="BF"/>
          <w:sz w:val="18"/>
          <w:szCs w:val="16"/>
        </w:rPr>
      </w:pPr>
      <w:r>
        <w:rPr>
          <w:rFonts w:cs="Arial"/>
        </w:rPr>
        <w:br w:type="page"/>
      </w:r>
    </w:p>
    <w:p w:rsidR="00704EB3" w:rsidRPr="007D276C" w:rsidRDefault="005654CD" w:rsidP="00704EB3">
      <w:pPr>
        <w:pStyle w:val="Caption"/>
        <w:jc w:val="left"/>
        <w:rPr>
          <w:rFonts w:cs="Arial"/>
          <w:color w:val="auto"/>
        </w:rPr>
      </w:pPr>
      <w:r>
        <w:rPr>
          <w:rFonts w:cs="Arial"/>
        </w:rPr>
        <w:lastRenderedPageBreak/>
        <w:t>Figure 3.1</w:t>
      </w:r>
      <w:r w:rsidR="00704EB3" w:rsidRPr="001F29E3">
        <w:rPr>
          <w:rFonts w:cs="Arial"/>
        </w:rPr>
        <w:t xml:space="preserve">: Government subsidised </w:t>
      </w:r>
      <w:r w:rsidR="00704EB3">
        <w:rPr>
          <w:rFonts w:cs="Arial"/>
        </w:rPr>
        <w:t xml:space="preserve">commencing </w:t>
      </w:r>
      <w:r w:rsidR="00EF799D">
        <w:rPr>
          <w:rFonts w:cs="Arial"/>
        </w:rPr>
        <w:t xml:space="preserve">course </w:t>
      </w:r>
      <w:r w:rsidR="00704EB3" w:rsidRPr="001F29E3">
        <w:rPr>
          <w:rFonts w:cs="Arial"/>
        </w:rPr>
        <w:t>enrolments:</w:t>
      </w:r>
      <w:r w:rsidR="00704EB3">
        <w:rPr>
          <w:rFonts w:cs="Arial"/>
        </w:rPr>
        <w:t xml:space="preserve"> </w:t>
      </w:r>
      <w:r w:rsidR="00704EB3" w:rsidRPr="001F29E3">
        <w:rPr>
          <w:rFonts w:cs="Arial"/>
        </w:rPr>
        <w:t xml:space="preserve">proportion of commencing enrolments by </w:t>
      </w:r>
      <w:r w:rsidR="00704EB3">
        <w:rPr>
          <w:rFonts w:cs="Arial"/>
        </w:rPr>
        <w:t>subsidy</w:t>
      </w:r>
      <w:r w:rsidR="00704EB3" w:rsidRPr="001F29E3">
        <w:rPr>
          <w:rFonts w:cs="Arial"/>
        </w:rPr>
        <w:t xml:space="preserve"> band, </w:t>
      </w:r>
      <w:r w:rsidR="00704EB3">
        <w:rPr>
          <w:rFonts w:cs="Arial"/>
        </w:rPr>
        <w:t>Pre-July 2012, Q2 201</w:t>
      </w:r>
      <w:r w:rsidR="008A2B68">
        <w:rPr>
          <w:rFonts w:cs="Arial"/>
        </w:rPr>
        <w:t>3</w:t>
      </w:r>
      <w:r w:rsidR="00704EB3">
        <w:rPr>
          <w:rFonts w:cs="Arial"/>
        </w:rPr>
        <w:t xml:space="preserve">, </w:t>
      </w:r>
      <w:r w:rsidR="00704EB3" w:rsidRPr="001F29E3">
        <w:rPr>
          <w:rFonts w:cs="Arial"/>
        </w:rPr>
        <w:t>July-Dec</w:t>
      </w:r>
      <w:r w:rsidR="00704EB3">
        <w:rPr>
          <w:rFonts w:cs="Arial"/>
        </w:rPr>
        <w:t>ember</w:t>
      </w:r>
      <w:r w:rsidR="00704EB3" w:rsidRPr="001F29E3">
        <w:rPr>
          <w:rFonts w:cs="Arial"/>
        </w:rPr>
        <w:t xml:space="preserve"> 2012 </w:t>
      </w:r>
    </w:p>
    <w:p w:rsidR="00704EB3" w:rsidRPr="001F29E3" w:rsidRDefault="00704EB3" w:rsidP="00704EB3">
      <w:pPr>
        <w:rPr>
          <w:rFonts w:cs="Arial"/>
          <w:sz w:val="16"/>
          <w:szCs w:val="16"/>
        </w:rPr>
      </w:pPr>
      <w:r>
        <w:rPr>
          <w:rFonts w:cs="Arial"/>
          <w:noProof/>
          <w:sz w:val="16"/>
          <w:szCs w:val="16"/>
          <w:lang w:eastAsia="en-AU"/>
        </w:rPr>
        <w:drawing>
          <wp:inline distT="0" distB="0" distL="0" distR="0" wp14:anchorId="312036B6" wp14:editId="3BDFADC6">
            <wp:extent cx="5407660" cy="2170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7660" cy="2170430"/>
                    </a:xfrm>
                    <a:prstGeom prst="rect">
                      <a:avLst/>
                    </a:prstGeom>
                    <a:noFill/>
                  </pic:spPr>
                </pic:pic>
              </a:graphicData>
            </a:graphic>
          </wp:inline>
        </w:drawing>
      </w:r>
    </w:p>
    <w:p w:rsidR="00704EB3" w:rsidRPr="009554C8" w:rsidRDefault="00704EB3" w:rsidP="00704EB3">
      <w:pPr>
        <w:rPr>
          <w:rFonts w:cs="Arial"/>
          <w:sz w:val="16"/>
          <w:szCs w:val="16"/>
        </w:rPr>
      </w:pPr>
      <w:r>
        <w:rPr>
          <w:rFonts w:cs="Arial"/>
          <w:sz w:val="16"/>
          <w:szCs w:val="16"/>
        </w:rPr>
        <w:t>*Pre-July 2012 refers to January to June 2012.</w:t>
      </w:r>
    </w:p>
    <w:p w:rsidR="00704EB3" w:rsidRDefault="00704EB3" w:rsidP="00704EB3">
      <w:pPr>
        <w:rPr>
          <w:rFonts w:cs="Arial"/>
          <w:sz w:val="16"/>
          <w:szCs w:val="16"/>
        </w:rPr>
      </w:pPr>
      <w:r w:rsidRPr="001F29E3">
        <w:rPr>
          <w:rFonts w:cs="Arial"/>
          <w:sz w:val="16"/>
          <w:szCs w:val="16"/>
        </w:rPr>
        <w:t>Subsidy bands were introduced in 2012 and apply specifically to qualifications in 2012 and onward. In order to allow comparison with previous years, superseded courses have been assigned a subsidy band for analysis purposes only based on the bands of the current course to which they most closely align.</w:t>
      </w:r>
    </w:p>
    <w:p w:rsidR="00513C7F" w:rsidRDefault="00513C7F" w:rsidP="00513C7F"/>
    <w:p w:rsidR="00513C7F" w:rsidRDefault="00513C7F" w:rsidP="00513C7F">
      <w:pPr>
        <w:pStyle w:val="Heading3"/>
      </w:pPr>
      <w:r>
        <w:t>Enrolments by Industry</w:t>
      </w:r>
    </w:p>
    <w:p w:rsidR="00513C7F" w:rsidRDefault="00513C7F" w:rsidP="00513C7F">
      <w:r>
        <w:t>Victorian reforms in vocational training enhance the alignment between vocational training and the needs of industry. For students this provides the opportunity for improved career and education pathways and employment outcomes following completion of training. Analysis of vocational training data has shown a high correlation between share of employment and share of training delivery in Victoria's largest industries (also refer to figure below for a comparison between employment and enrolment by industry):</w:t>
      </w:r>
    </w:p>
    <w:p w:rsidR="00513C7F" w:rsidRDefault="00513C7F" w:rsidP="00513C7F"/>
    <w:p w:rsidR="00513C7F" w:rsidRDefault="00513C7F" w:rsidP="00513C7F">
      <w:pPr>
        <w:numPr>
          <w:ilvl w:val="0"/>
          <w:numId w:val="33"/>
        </w:numPr>
      </w:pPr>
      <w:r>
        <w:t xml:space="preserve">Fifty-three </w:t>
      </w:r>
      <w:r w:rsidRPr="00E42777">
        <w:t xml:space="preserve">per cent </w:t>
      </w:r>
      <w:r>
        <w:t>of training was delivered in the five highest employing Victorian industry sectors, which account for 50</w:t>
      </w:r>
      <w:r w:rsidRPr="00E42777">
        <w:t xml:space="preserve"> per cent</w:t>
      </w:r>
      <w:r>
        <w:t xml:space="preserve"> of all Victorian jobs – Health Care and Social Assistance, Retail Trade, Manufacturing, Construction and Professional, Scientific and Technical Services.  In Q2 2013, these five industries continue to make up 50 per cent of all industry-specific</w:t>
      </w:r>
      <w:r>
        <w:rPr>
          <w:rStyle w:val="FootnoteReference"/>
        </w:rPr>
        <w:footnoteReference w:id="5"/>
      </w:r>
      <w:r>
        <w:t xml:space="preserve"> enrolments.</w:t>
      </w:r>
    </w:p>
    <w:p w:rsidR="00513C7F" w:rsidRDefault="00513C7F" w:rsidP="00513C7F">
      <w:pPr>
        <w:numPr>
          <w:ilvl w:val="0"/>
          <w:numId w:val="33"/>
        </w:numPr>
      </w:pPr>
      <w:r>
        <w:t>Health Care and Social Assistance, forecast to remain Victoria’s largest industry employer through to 2017</w:t>
      </w:r>
      <w:r>
        <w:rPr>
          <w:rStyle w:val="FootnoteReference"/>
        </w:rPr>
        <w:footnoteReference w:id="6"/>
      </w:r>
      <w:r>
        <w:t>, saw the highest enrolment growth for industry-specific training in 2012 (16,200 additional enrolments in 2012 when compared with 2011). In Q2 2013, training in courses related to Health Care and Social Assistance continued to grow with 56,400 enrolments (4 per cent growth between Q2 2012 and Q2 2013).</w:t>
      </w:r>
    </w:p>
    <w:p w:rsidR="00513C7F" w:rsidRDefault="00513C7F" w:rsidP="00513C7F">
      <w:pPr>
        <w:numPr>
          <w:ilvl w:val="0"/>
          <w:numId w:val="33"/>
        </w:numPr>
      </w:pPr>
      <w:r>
        <w:t>In addition to the 414,000 enrolments in industry-specific training, there were 91,000 enrolments in Cross-industry training, which encompasses a broad range of skills applicable to all Victorian industries.</w:t>
      </w:r>
    </w:p>
    <w:p w:rsidR="00734456" w:rsidRDefault="00734456">
      <w:pPr>
        <w:spacing w:after="0" w:line="240" w:lineRule="auto"/>
        <w:jc w:val="left"/>
        <w:rPr>
          <w:b/>
          <w:bCs/>
          <w:color w:val="76923C" w:themeColor="accent3" w:themeShade="BF"/>
          <w:sz w:val="18"/>
          <w:szCs w:val="16"/>
        </w:rPr>
      </w:pPr>
      <w:r>
        <w:br w:type="page"/>
      </w:r>
    </w:p>
    <w:p w:rsidR="00513C7F" w:rsidRPr="0096468B" w:rsidRDefault="00513C7F" w:rsidP="00513C7F">
      <w:pPr>
        <w:pStyle w:val="Caption"/>
      </w:pPr>
      <w:r>
        <w:lastRenderedPageBreak/>
        <w:t>3.</w:t>
      </w:r>
      <w:r w:rsidR="008610B1">
        <w:t>2</w:t>
      </w:r>
      <w:r>
        <w:t xml:space="preserve">: Industry share of Victorian employment and vocational training 2012 </w:t>
      </w:r>
    </w:p>
    <w:p w:rsidR="00513C7F" w:rsidRDefault="00513C7F" w:rsidP="00513C7F">
      <w:pPr>
        <w:jc w:val="center"/>
      </w:pPr>
      <w:r>
        <w:rPr>
          <w:noProof/>
          <w:lang w:eastAsia="en-AU"/>
        </w:rPr>
        <w:drawing>
          <wp:inline distT="0" distB="0" distL="0" distR="0" wp14:anchorId="3C2AB13F" wp14:editId="4CDE8704">
            <wp:extent cx="5290676" cy="37052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7100" cy="3709724"/>
                    </a:xfrm>
                    <a:prstGeom prst="rect">
                      <a:avLst/>
                    </a:prstGeom>
                    <a:noFill/>
                    <a:ln>
                      <a:noFill/>
                    </a:ln>
                  </pic:spPr>
                </pic:pic>
              </a:graphicData>
            </a:graphic>
          </wp:inline>
        </w:drawing>
      </w:r>
    </w:p>
    <w:p w:rsidR="00513C7F" w:rsidRDefault="00513C7F" w:rsidP="00513C7F"/>
    <w:p w:rsidR="00513C7F" w:rsidRDefault="00513C7F" w:rsidP="00513C7F">
      <w:r>
        <w:t>The following table shows training in government subsidised qualifications, sorted highest to lowest by 2012 enrolments (excludes foundation training).  Rank by industry share of Victorian employment and equivalent 2008 ranks are also displayed.</w:t>
      </w:r>
    </w:p>
    <w:p w:rsidR="00513C7F" w:rsidRDefault="00513C7F" w:rsidP="00513C7F"/>
    <w:p w:rsidR="007A0034" w:rsidRDefault="007A0034">
      <w:pPr>
        <w:spacing w:after="0" w:line="240" w:lineRule="auto"/>
        <w:jc w:val="left"/>
        <w:rPr>
          <w:b/>
          <w:bCs/>
          <w:color w:val="76923C" w:themeColor="accent3" w:themeShade="BF"/>
          <w:sz w:val="18"/>
          <w:szCs w:val="16"/>
        </w:rPr>
      </w:pPr>
      <w:r>
        <w:br w:type="page"/>
      </w:r>
    </w:p>
    <w:p w:rsidR="00513C7F" w:rsidRPr="0096468B" w:rsidRDefault="00513C7F" w:rsidP="00513C7F">
      <w:pPr>
        <w:pStyle w:val="Caption"/>
      </w:pPr>
      <w:r>
        <w:lastRenderedPageBreak/>
        <w:t>Table 3.</w:t>
      </w:r>
      <w:r w:rsidR="00734456">
        <w:t>1</w:t>
      </w:r>
      <w:r>
        <w:t>: Industry-specific training and employment: 2012 vs. 2008</w:t>
      </w:r>
      <w:r>
        <w:rPr>
          <w:rStyle w:val="FootnoteReference"/>
        </w:rPr>
        <w:footnoteReference w:id="7"/>
      </w:r>
    </w:p>
    <w:p w:rsidR="00513C7F" w:rsidRPr="00FA0962" w:rsidRDefault="00513C7F" w:rsidP="00513C7F">
      <w:pPr>
        <w:spacing w:before="90"/>
      </w:pPr>
      <w:r>
        <w:rPr>
          <w:noProof/>
          <w:lang w:eastAsia="en-AU"/>
        </w:rPr>
        <w:drawing>
          <wp:inline distT="0" distB="0" distL="0" distR="0" wp14:anchorId="0FEE8916" wp14:editId="4D0DC24B">
            <wp:extent cx="6086475" cy="536364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7066" cy="5372973"/>
                    </a:xfrm>
                    <a:prstGeom prst="rect">
                      <a:avLst/>
                    </a:prstGeom>
                    <a:noFill/>
                    <a:ln>
                      <a:noFill/>
                    </a:ln>
                  </pic:spPr>
                </pic:pic>
              </a:graphicData>
            </a:graphic>
          </wp:inline>
        </w:drawing>
      </w:r>
    </w:p>
    <w:p w:rsidR="00513C7F" w:rsidRDefault="00513C7F" w:rsidP="00513C7F">
      <w:pPr>
        <w:pStyle w:val="Caption"/>
      </w:pPr>
    </w:p>
    <w:p w:rsidR="00513C7F" w:rsidRDefault="00513C7F" w:rsidP="00513C7F">
      <w:pPr>
        <w:spacing w:after="200" w:line="276" w:lineRule="auto"/>
        <w:jc w:val="left"/>
      </w:pPr>
      <w:r>
        <w:br w:type="page"/>
      </w:r>
    </w:p>
    <w:p w:rsidR="00513C7F" w:rsidRDefault="00513C7F" w:rsidP="00513C7F">
      <w:pPr>
        <w:pStyle w:val="Heading3"/>
      </w:pPr>
      <w:r>
        <w:lastRenderedPageBreak/>
        <w:t>Subsidy bands analysis per industry</w:t>
      </w:r>
    </w:p>
    <w:p w:rsidR="00513C7F" w:rsidRDefault="00513C7F" w:rsidP="00513C7F">
      <w:pPr>
        <w:rPr>
          <w:rFonts w:cs="Arial"/>
        </w:rPr>
      </w:pPr>
      <w:r>
        <w:rPr>
          <w:rFonts w:cs="Arial"/>
        </w:rPr>
        <w:t>The table below shows the top 5 industries for each subsidy band.</w:t>
      </w:r>
    </w:p>
    <w:p w:rsidR="00513C7F" w:rsidRDefault="00513C7F" w:rsidP="00513C7F">
      <w:pPr>
        <w:pStyle w:val="Caption"/>
      </w:pPr>
    </w:p>
    <w:p w:rsidR="00513C7F" w:rsidRPr="0096468B" w:rsidRDefault="008610B1" w:rsidP="00513C7F">
      <w:pPr>
        <w:pStyle w:val="Caption"/>
      </w:pPr>
      <w:r>
        <w:t>Table 3.</w:t>
      </w:r>
      <w:r w:rsidR="00734456">
        <w:t>2</w:t>
      </w:r>
      <w:r w:rsidR="00513C7F">
        <w:t>: Industry-specific training by funding band, Q2 2013</w:t>
      </w:r>
    </w:p>
    <w:tbl>
      <w:tblPr>
        <w:tblW w:w="6674" w:type="dxa"/>
        <w:tblInd w:w="93" w:type="dxa"/>
        <w:tblLook w:val="04A0" w:firstRow="1" w:lastRow="0" w:firstColumn="1" w:lastColumn="0" w:noHBand="0" w:noVBand="1"/>
      </w:tblPr>
      <w:tblGrid>
        <w:gridCol w:w="4660"/>
        <w:gridCol w:w="2014"/>
      </w:tblGrid>
      <w:tr w:rsidR="00513C7F" w:rsidRPr="0058331F" w:rsidTr="00752A8D">
        <w:trPr>
          <w:trHeight w:val="330"/>
        </w:trPr>
        <w:tc>
          <w:tcPr>
            <w:tcW w:w="4660" w:type="dxa"/>
            <w:tcBorders>
              <w:top w:val="single" w:sz="12" w:space="0" w:color="9BBB59"/>
              <w:left w:val="single" w:sz="12" w:space="0" w:color="9BBB59"/>
              <w:bottom w:val="single" w:sz="4" w:space="0" w:color="9BBB59"/>
              <w:right w:val="single" w:sz="4" w:space="0" w:color="9BBB59"/>
            </w:tcBorders>
            <w:shd w:val="clear" w:color="9BBB59" w:fill="9BBB59"/>
            <w:noWrap/>
            <w:vAlign w:val="bottom"/>
            <w:hideMark/>
          </w:tcPr>
          <w:p w:rsidR="00513C7F" w:rsidRPr="0058331F" w:rsidRDefault="00513C7F" w:rsidP="00752A8D">
            <w:pPr>
              <w:spacing w:after="0" w:line="240" w:lineRule="auto"/>
              <w:jc w:val="left"/>
              <w:rPr>
                <w:rFonts w:ascii="Calibri" w:hAnsi="Calibri"/>
                <w:b/>
                <w:bCs/>
                <w:color w:val="FFFFFF"/>
                <w:sz w:val="22"/>
                <w:szCs w:val="22"/>
                <w:lang w:eastAsia="en-AU"/>
              </w:rPr>
            </w:pPr>
            <w:r w:rsidRPr="0058331F">
              <w:rPr>
                <w:rFonts w:ascii="Calibri" w:hAnsi="Calibri"/>
                <w:b/>
                <w:bCs/>
                <w:color w:val="FFFFFF"/>
                <w:sz w:val="22"/>
                <w:szCs w:val="22"/>
                <w:lang w:eastAsia="en-AU"/>
              </w:rPr>
              <w:t>Funding band</w:t>
            </w:r>
          </w:p>
        </w:tc>
        <w:tc>
          <w:tcPr>
            <w:tcW w:w="2014" w:type="dxa"/>
            <w:tcBorders>
              <w:top w:val="single" w:sz="12" w:space="0" w:color="9BBB59"/>
              <w:left w:val="nil"/>
              <w:bottom w:val="single" w:sz="4" w:space="0" w:color="9BBB59"/>
              <w:right w:val="single" w:sz="12" w:space="0" w:color="9BBB59"/>
            </w:tcBorders>
            <w:shd w:val="clear" w:color="9BBB59" w:fill="9BBB59"/>
            <w:noWrap/>
            <w:vAlign w:val="bottom"/>
            <w:hideMark/>
          </w:tcPr>
          <w:p w:rsidR="00513C7F" w:rsidRPr="0058331F" w:rsidRDefault="00513C7F" w:rsidP="00D10224">
            <w:pPr>
              <w:spacing w:after="0" w:line="240" w:lineRule="auto"/>
              <w:jc w:val="left"/>
              <w:rPr>
                <w:rFonts w:ascii="Calibri" w:hAnsi="Calibri"/>
                <w:b/>
                <w:bCs/>
                <w:color w:val="FFFFFF"/>
                <w:sz w:val="22"/>
                <w:szCs w:val="22"/>
                <w:lang w:eastAsia="en-AU"/>
              </w:rPr>
            </w:pPr>
            <w:r w:rsidRPr="00D10224">
              <w:rPr>
                <w:rFonts w:ascii="Calibri" w:hAnsi="Calibri"/>
                <w:b/>
                <w:bCs/>
                <w:color w:val="FFFFFF" w:themeColor="background1"/>
                <w:sz w:val="22"/>
                <w:szCs w:val="22"/>
                <w:lang w:eastAsia="en-AU"/>
              </w:rPr>
              <w:t xml:space="preserve">% </w:t>
            </w:r>
            <w:r w:rsidR="00D10224" w:rsidRPr="00D10224">
              <w:rPr>
                <w:rFonts w:ascii="Calibri" w:hAnsi="Calibri"/>
                <w:b/>
                <w:bCs/>
                <w:color w:val="FFFFFF" w:themeColor="background1"/>
                <w:sz w:val="22"/>
                <w:szCs w:val="22"/>
                <w:lang w:eastAsia="en-AU"/>
              </w:rPr>
              <w:t xml:space="preserve">enrolments </w:t>
            </w:r>
            <w:r w:rsidRPr="00D10224">
              <w:rPr>
                <w:rFonts w:ascii="Calibri" w:hAnsi="Calibri"/>
                <w:b/>
                <w:bCs/>
                <w:color w:val="FFFFFF" w:themeColor="background1"/>
                <w:sz w:val="22"/>
                <w:szCs w:val="22"/>
                <w:lang w:eastAsia="en-AU"/>
              </w:rPr>
              <w:t>Q2 2013</w:t>
            </w:r>
          </w:p>
        </w:tc>
      </w:tr>
      <w:tr w:rsidR="00513C7F" w:rsidRPr="00EC7CF3" w:rsidTr="00752A8D">
        <w:trPr>
          <w:trHeight w:val="315"/>
        </w:trPr>
        <w:tc>
          <w:tcPr>
            <w:tcW w:w="6674" w:type="dxa"/>
            <w:gridSpan w:val="2"/>
            <w:tcBorders>
              <w:top w:val="nil"/>
              <w:left w:val="single" w:sz="12" w:space="0" w:color="9BBB59"/>
              <w:bottom w:val="single" w:sz="4" w:space="0" w:color="9BBB59"/>
              <w:right w:val="single" w:sz="12" w:space="0" w:color="9BBB59"/>
            </w:tcBorders>
            <w:shd w:val="clear" w:color="EBF1DE" w:fill="EBF1DE"/>
            <w:noWrap/>
            <w:vAlign w:val="bottom"/>
            <w:hideMark/>
          </w:tcPr>
          <w:p w:rsidR="00513C7F" w:rsidRPr="0058331F" w:rsidRDefault="00D10224" w:rsidP="00D10224">
            <w:pPr>
              <w:spacing w:after="0" w:line="240" w:lineRule="auto"/>
              <w:jc w:val="center"/>
              <w:rPr>
                <w:rFonts w:ascii="Calibri" w:hAnsi="Calibri"/>
                <w:b/>
                <w:bCs/>
                <w:sz w:val="20"/>
                <w:szCs w:val="20"/>
                <w:lang w:eastAsia="en-AU"/>
              </w:rPr>
            </w:pPr>
            <w:r>
              <w:rPr>
                <w:rFonts w:ascii="Calibri" w:hAnsi="Calibri"/>
                <w:b/>
                <w:bCs/>
                <w:sz w:val="20"/>
                <w:szCs w:val="20"/>
                <w:lang w:eastAsia="en-AU"/>
              </w:rPr>
              <w:t>Band A</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auto" w:fill="auto"/>
            <w:noWrap/>
            <w:vAlign w:val="bottom"/>
            <w:hideMark/>
          </w:tcPr>
          <w:p w:rsidR="00D10224" w:rsidRPr="0058331F" w:rsidRDefault="00D10224" w:rsidP="00752A8D">
            <w:pPr>
              <w:spacing w:after="0" w:line="240" w:lineRule="auto"/>
              <w:jc w:val="left"/>
              <w:rPr>
                <w:rFonts w:ascii="Calibri" w:hAnsi="Calibri"/>
                <w:sz w:val="18"/>
                <w:szCs w:val="18"/>
                <w:lang w:eastAsia="en-AU"/>
              </w:rPr>
            </w:pPr>
            <w:r w:rsidRPr="0058331F">
              <w:rPr>
                <w:rFonts w:ascii="Calibri" w:hAnsi="Calibri"/>
                <w:sz w:val="18"/>
                <w:szCs w:val="18"/>
                <w:lang w:eastAsia="en-AU"/>
              </w:rPr>
              <w:t>Construction</w:t>
            </w:r>
          </w:p>
        </w:tc>
        <w:tc>
          <w:tcPr>
            <w:tcW w:w="2014" w:type="dxa"/>
            <w:tcBorders>
              <w:top w:val="nil"/>
              <w:left w:val="nil"/>
              <w:bottom w:val="single" w:sz="4"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55%</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EBF1DE" w:fill="EBF1DE"/>
            <w:noWrap/>
            <w:vAlign w:val="bottom"/>
            <w:hideMark/>
          </w:tcPr>
          <w:p w:rsidR="00D10224" w:rsidRPr="0058331F" w:rsidRDefault="00D10224" w:rsidP="00752A8D">
            <w:pPr>
              <w:spacing w:after="0" w:line="240" w:lineRule="auto"/>
              <w:jc w:val="left"/>
              <w:rPr>
                <w:rFonts w:ascii="Calibri" w:hAnsi="Calibri"/>
                <w:sz w:val="18"/>
                <w:szCs w:val="18"/>
                <w:lang w:eastAsia="en-AU"/>
              </w:rPr>
            </w:pPr>
            <w:r w:rsidRPr="0058331F">
              <w:rPr>
                <w:rFonts w:ascii="Calibri" w:hAnsi="Calibri"/>
                <w:sz w:val="18"/>
                <w:szCs w:val="18"/>
                <w:lang w:eastAsia="en-AU"/>
              </w:rPr>
              <w:t>Manufacturing</w:t>
            </w:r>
          </w:p>
        </w:tc>
        <w:tc>
          <w:tcPr>
            <w:tcW w:w="2014" w:type="dxa"/>
            <w:tcBorders>
              <w:top w:val="nil"/>
              <w:left w:val="nil"/>
              <w:bottom w:val="single" w:sz="4" w:space="0" w:color="9BBB59"/>
              <w:right w:val="single" w:sz="12" w:space="0" w:color="9BBB59"/>
            </w:tcBorders>
            <w:shd w:val="clear" w:color="EBF1DE" w:fill="EBF1DE"/>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15%</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auto" w:fill="auto"/>
            <w:noWrap/>
            <w:vAlign w:val="bottom"/>
            <w:hideMark/>
          </w:tcPr>
          <w:p w:rsidR="00D10224" w:rsidRPr="0058331F" w:rsidRDefault="00D10224" w:rsidP="00752A8D">
            <w:pPr>
              <w:spacing w:after="0" w:line="240" w:lineRule="auto"/>
              <w:jc w:val="left"/>
              <w:rPr>
                <w:rFonts w:ascii="Calibri" w:hAnsi="Calibri"/>
                <w:sz w:val="18"/>
                <w:szCs w:val="18"/>
                <w:lang w:eastAsia="en-AU"/>
              </w:rPr>
            </w:pPr>
            <w:r w:rsidRPr="0058331F">
              <w:rPr>
                <w:rFonts w:ascii="Calibri" w:hAnsi="Calibri"/>
                <w:sz w:val="18"/>
                <w:szCs w:val="18"/>
                <w:lang w:eastAsia="en-AU"/>
              </w:rPr>
              <w:t>Other Services</w:t>
            </w:r>
          </w:p>
        </w:tc>
        <w:tc>
          <w:tcPr>
            <w:tcW w:w="2014" w:type="dxa"/>
            <w:tcBorders>
              <w:top w:val="nil"/>
              <w:left w:val="nil"/>
              <w:bottom w:val="single" w:sz="4"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13%</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EBF1DE" w:fill="EBF1DE"/>
            <w:noWrap/>
            <w:vAlign w:val="bottom"/>
            <w:hideMark/>
          </w:tcPr>
          <w:p w:rsidR="00D10224" w:rsidRPr="0058331F" w:rsidRDefault="00D10224" w:rsidP="00752A8D">
            <w:pPr>
              <w:spacing w:after="0" w:line="240" w:lineRule="auto"/>
              <w:jc w:val="left"/>
              <w:rPr>
                <w:rFonts w:ascii="Calibri" w:hAnsi="Calibri"/>
                <w:sz w:val="18"/>
                <w:szCs w:val="18"/>
                <w:lang w:eastAsia="en-AU"/>
              </w:rPr>
            </w:pPr>
            <w:r w:rsidRPr="0058331F">
              <w:rPr>
                <w:rFonts w:ascii="Calibri" w:hAnsi="Calibri"/>
                <w:sz w:val="18"/>
                <w:szCs w:val="18"/>
                <w:lang w:eastAsia="en-AU"/>
              </w:rPr>
              <w:t>Accommodation and Food Services</w:t>
            </w:r>
          </w:p>
        </w:tc>
        <w:tc>
          <w:tcPr>
            <w:tcW w:w="2014" w:type="dxa"/>
            <w:tcBorders>
              <w:top w:val="nil"/>
              <w:left w:val="nil"/>
              <w:bottom w:val="single" w:sz="4" w:space="0" w:color="9BBB59"/>
              <w:right w:val="single" w:sz="12" w:space="0" w:color="9BBB59"/>
            </w:tcBorders>
            <w:shd w:val="clear" w:color="EBF1DE" w:fill="EBF1DE"/>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8%</w:t>
            </w:r>
          </w:p>
        </w:tc>
      </w:tr>
      <w:tr w:rsidR="00D10224" w:rsidRPr="0058331F" w:rsidTr="00C91269">
        <w:trPr>
          <w:trHeight w:val="315"/>
        </w:trPr>
        <w:tc>
          <w:tcPr>
            <w:tcW w:w="4660" w:type="dxa"/>
            <w:tcBorders>
              <w:top w:val="nil"/>
              <w:left w:val="single" w:sz="12" w:space="0" w:color="9BBB59"/>
              <w:bottom w:val="single" w:sz="12" w:space="0" w:color="9BBB59"/>
              <w:right w:val="single" w:sz="4" w:space="0" w:color="9BBB59"/>
            </w:tcBorders>
            <w:shd w:val="clear" w:color="auto" w:fill="auto"/>
            <w:noWrap/>
            <w:vAlign w:val="bottom"/>
            <w:hideMark/>
          </w:tcPr>
          <w:p w:rsidR="00D10224" w:rsidRPr="0058331F" w:rsidRDefault="00D10224" w:rsidP="00752A8D">
            <w:pPr>
              <w:spacing w:after="0" w:line="240" w:lineRule="auto"/>
              <w:jc w:val="left"/>
              <w:rPr>
                <w:rFonts w:ascii="Calibri" w:hAnsi="Calibri"/>
                <w:sz w:val="18"/>
                <w:szCs w:val="18"/>
                <w:lang w:eastAsia="en-AU"/>
              </w:rPr>
            </w:pPr>
            <w:r w:rsidRPr="0058331F">
              <w:rPr>
                <w:rFonts w:ascii="Calibri" w:hAnsi="Calibri"/>
                <w:sz w:val="18"/>
                <w:szCs w:val="18"/>
                <w:lang w:eastAsia="en-AU"/>
              </w:rPr>
              <w:t>Retail Trade</w:t>
            </w:r>
          </w:p>
        </w:tc>
        <w:tc>
          <w:tcPr>
            <w:tcW w:w="2014" w:type="dxa"/>
            <w:tcBorders>
              <w:top w:val="nil"/>
              <w:left w:val="nil"/>
              <w:bottom w:val="single" w:sz="12"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4%</w:t>
            </w:r>
          </w:p>
        </w:tc>
      </w:tr>
      <w:tr w:rsidR="00513C7F" w:rsidRPr="00EC7CF3" w:rsidTr="00752A8D">
        <w:trPr>
          <w:trHeight w:val="330"/>
        </w:trPr>
        <w:tc>
          <w:tcPr>
            <w:tcW w:w="6674" w:type="dxa"/>
            <w:gridSpan w:val="2"/>
            <w:tcBorders>
              <w:top w:val="nil"/>
              <w:left w:val="single" w:sz="12" w:space="0" w:color="9BBB59"/>
              <w:bottom w:val="single" w:sz="4" w:space="0" w:color="9BBB59"/>
              <w:right w:val="single" w:sz="12" w:space="0" w:color="9BBB59"/>
            </w:tcBorders>
            <w:shd w:val="clear" w:color="EBF1DE" w:fill="EBF1DE"/>
            <w:noWrap/>
            <w:vAlign w:val="bottom"/>
            <w:hideMark/>
          </w:tcPr>
          <w:p w:rsidR="00513C7F" w:rsidRPr="0058331F" w:rsidRDefault="00513C7F" w:rsidP="00752A8D">
            <w:pPr>
              <w:spacing w:after="0" w:line="240" w:lineRule="auto"/>
              <w:jc w:val="center"/>
              <w:rPr>
                <w:rFonts w:ascii="Calibri" w:hAnsi="Calibri"/>
                <w:b/>
                <w:bCs/>
                <w:sz w:val="20"/>
                <w:szCs w:val="20"/>
                <w:lang w:eastAsia="en-AU"/>
              </w:rPr>
            </w:pPr>
            <w:r w:rsidRPr="0058331F">
              <w:rPr>
                <w:rFonts w:ascii="Calibri" w:hAnsi="Calibri"/>
                <w:b/>
                <w:bCs/>
                <w:sz w:val="20"/>
                <w:szCs w:val="20"/>
                <w:lang w:eastAsia="en-AU"/>
              </w:rPr>
              <w:t>Band B</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auto" w:fill="auto"/>
            <w:noWrap/>
            <w:vAlign w:val="bottom"/>
            <w:hideMark/>
          </w:tcPr>
          <w:p w:rsidR="00D10224" w:rsidRPr="0058331F" w:rsidRDefault="00D10224" w:rsidP="00C91269">
            <w:pPr>
              <w:spacing w:after="0" w:line="240" w:lineRule="auto"/>
              <w:jc w:val="left"/>
              <w:rPr>
                <w:rFonts w:ascii="Calibri" w:hAnsi="Calibri"/>
                <w:sz w:val="18"/>
                <w:szCs w:val="18"/>
                <w:lang w:eastAsia="en-AU"/>
              </w:rPr>
            </w:pPr>
            <w:r w:rsidRPr="0058331F">
              <w:rPr>
                <w:rFonts w:ascii="Calibri" w:hAnsi="Calibri"/>
                <w:sz w:val="18"/>
                <w:szCs w:val="18"/>
                <w:lang w:eastAsia="en-AU"/>
              </w:rPr>
              <w:t>Health Care and Social Assistance</w:t>
            </w:r>
          </w:p>
        </w:tc>
        <w:tc>
          <w:tcPr>
            <w:tcW w:w="2014" w:type="dxa"/>
            <w:tcBorders>
              <w:top w:val="nil"/>
              <w:left w:val="nil"/>
              <w:bottom w:val="single" w:sz="4"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30%</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EBF1DE" w:fill="EBF1DE"/>
            <w:noWrap/>
            <w:vAlign w:val="bottom"/>
          </w:tcPr>
          <w:p w:rsidR="00D10224" w:rsidRPr="0058331F" w:rsidRDefault="00D10224" w:rsidP="00C91269">
            <w:pPr>
              <w:spacing w:after="0" w:line="240" w:lineRule="auto"/>
              <w:jc w:val="left"/>
              <w:rPr>
                <w:rFonts w:ascii="Calibri" w:hAnsi="Calibri"/>
                <w:sz w:val="18"/>
                <w:szCs w:val="18"/>
                <w:lang w:eastAsia="en-AU"/>
              </w:rPr>
            </w:pPr>
            <w:r w:rsidRPr="0058331F">
              <w:rPr>
                <w:rFonts w:ascii="Calibri" w:hAnsi="Calibri"/>
                <w:sz w:val="18"/>
                <w:szCs w:val="18"/>
                <w:lang w:eastAsia="en-AU"/>
              </w:rPr>
              <w:t>Transport, Postal and Warehousing</w:t>
            </w:r>
          </w:p>
        </w:tc>
        <w:tc>
          <w:tcPr>
            <w:tcW w:w="2014" w:type="dxa"/>
            <w:tcBorders>
              <w:top w:val="nil"/>
              <w:left w:val="nil"/>
              <w:bottom w:val="single" w:sz="4" w:space="0" w:color="9BBB59"/>
              <w:right w:val="single" w:sz="12" w:space="0" w:color="9BBB59"/>
            </w:tcBorders>
            <w:shd w:val="clear" w:color="EBF1DE" w:fill="EBF1DE"/>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21%</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auto" w:fill="auto"/>
            <w:noWrap/>
            <w:vAlign w:val="bottom"/>
          </w:tcPr>
          <w:p w:rsidR="00D10224" w:rsidRPr="0058331F" w:rsidRDefault="00D10224" w:rsidP="00C91269">
            <w:pPr>
              <w:spacing w:after="0" w:line="240" w:lineRule="auto"/>
              <w:jc w:val="left"/>
              <w:rPr>
                <w:rFonts w:ascii="Calibri" w:hAnsi="Calibri"/>
                <w:sz w:val="18"/>
                <w:szCs w:val="18"/>
                <w:lang w:eastAsia="en-AU"/>
              </w:rPr>
            </w:pPr>
            <w:r w:rsidRPr="0058331F">
              <w:rPr>
                <w:rFonts w:ascii="Calibri" w:hAnsi="Calibri"/>
                <w:sz w:val="18"/>
                <w:szCs w:val="18"/>
                <w:lang w:eastAsia="en-AU"/>
              </w:rPr>
              <w:t>Manufacturing</w:t>
            </w:r>
          </w:p>
        </w:tc>
        <w:tc>
          <w:tcPr>
            <w:tcW w:w="2014" w:type="dxa"/>
            <w:tcBorders>
              <w:top w:val="nil"/>
              <w:left w:val="nil"/>
              <w:bottom w:val="single" w:sz="4"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16%</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EBF1DE" w:fill="EBF1DE"/>
            <w:noWrap/>
            <w:vAlign w:val="bottom"/>
          </w:tcPr>
          <w:p w:rsidR="00D10224" w:rsidRPr="0058331F" w:rsidRDefault="00D10224" w:rsidP="00C91269">
            <w:pPr>
              <w:spacing w:after="0" w:line="240" w:lineRule="auto"/>
              <w:jc w:val="left"/>
              <w:rPr>
                <w:rFonts w:ascii="Calibri" w:hAnsi="Calibri"/>
                <w:sz w:val="18"/>
                <w:szCs w:val="18"/>
                <w:lang w:eastAsia="en-AU"/>
              </w:rPr>
            </w:pPr>
            <w:r w:rsidRPr="0058331F">
              <w:rPr>
                <w:rFonts w:ascii="Calibri" w:hAnsi="Calibri"/>
                <w:sz w:val="18"/>
                <w:szCs w:val="18"/>
                <w:lang w:eastAsia="en-AU"/>
              </w:rPr>
              <w:t>Construction</w:t>
            </w:r>
          </w:p>
        </w:tc>
        <w:tc>
          <w:tcPr>
            <w:tcW w:w="2014" w:type="dxa"/>
            <w:tcBorders>
              <w:top w:val="nil"/>
              <w:left w:val="nil"/>
              <w:bottom w:val="single" w:sz="4" w:space="0" w:color="9BBB59"/>
              <w:right w:val="single" w:sz="12" w:space="0" w:color="9BBB59"/>
            </w:tcBorders>
            <w:shd w:val="clear" w:color="EBF1DE" w:fill="EBF1DE"/>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8%</w:t>
            </w:r>
          </w:p>
        </w:tc>
      </w:tr>
      <w:tr w:rsidR="00D10224" w:rsidRPr="0058331F" w:rsidTr="00C91269">
        <w:trPr>
          <w:trHeight w:val="315"/>
        </w:trPr>
        <w:tc>
          <w:tcPr>
            <w:tcW w:w="4660" w:type="dxa"/>
            <w:tcBorders>
              <w:top w:val="nil"/>
              <w:left w:val="single" w:sz="12" w:space="0" w:color="9BBB59"/>
              <w:bottom w:val="nil"/>
              <w:right w:val="single" w:sz="4" w:space="0" w:color="9BBB59"/>
            </w:tcBorders>
            <w:shd w:val="clear" w:color="auto" w:fill="auto"/>
            <w:noWrap/>
            <w:vAlign w:val="bottom"/>
          </w:tcPr>
          <w:p w:rsidR="00D10224" w:rsidRPr="0058331F" w:rsidRDefault="00D10224" w:rsidP="00752A8D">
            <w:pPr>
              <w:spacing w:after="0" w:line="240" w:lineRule="auto"/>
              <w:jc w:val="left"/>
              <w:rPr>
                <w:rFonts w:ascii="Calibri" w:hAnsi="Calibri"/>
                <w:sz w:val="18"/>
                <w:szCs w:val="18"/>
                <w:lang w:eastAsia="en-AU"/>
              </w:rPr>
            </w:pPr>
            <w:r w:rsidRPr="0058331F">
              <w:rPr>
                <w:rFonts w:ascii="Calibri" w:hAnsi="Calibri"/>
                <w:sz w:val="18"/>
                <w:szCs w:val="18"/>
                <w:lang w:eastAsia="en-AU"/>
              </w:rPr>
              <w:t>Accommodation and Food Services</w:t>
            </w:r>
          </w:p>
        </w:tc>
        <w:tc>
          <w:tcPr>
            <w:tcW w:w="2014" w:type="dxa"/>
            <w:tcBorders>
              <w:top w:val="nil"/>
              <w:left w:val="nil"/>
              <w:bottom w:val="nil"/>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6%</w:t>
            </w:r>
          </w:p>
        </w:tc>
      </w:tr>
      <w:tr w:rsidR="00513C7F" w:rsidRPr="00EC7CF3" w:rsidTr="00752A8D">
        <w:trPr>
          <w:trHeight w:val="330"/>
        </w:trPr>
        <w:tc>
          <w:tcPr>
            <w:tcW w:w="6674" w:type="dxa"/>
            <w:gridSpan w:val="2"/>
            <w:tcBorders>
              <w:top w:val="single" w:sz="12" w:space="0" w:color="9BBB59"/>
              <w:left w:val="single" w:sz="12" w:space="0" w:color="9BBB59"/>
              <w:bottom w:val="single" w:sz="4" w:space="0" w:color="9BBB59"/>
              <w:right w:val="single" w:sz="12" w:space="0" w:color="9BBB59"/>
            </w:tcBorders>
            <w:shd w:val="clear" w:color="EBF1DE" w:fill="EBF1DE"/>
            <w:noWrap/>
            <w:vAlign w:val="bottom"/>
            <w:hideMark/>
          </w:tcPr>
          <w:p w:rsidR="00513C7F" w:rsidRPr="0058331F" w:rsidRDefault="00513C7F" w:rsidP="00752A8D">
            <w:pPr>
              <w:spacing w:after="0" w:line="240" w:lineRule="auto"/>
              <w:jc w:val="center"/>
              <w:rPr>
                <w:rFonts w:ascii="Calibri" w:hAnsi="Calibri"/>
                <w:b/>
                <w:bCs/>
                <w:sz w:val="20"/>
                <w:szCs w:val="20"/>
                <w:lang w:eastAsia="en-AU"/>
              </w:rPr>
            </w:pPr>
            <w:r w:rsidRPr="0058331F">
              <w:rPr>
                <w:rFonts w:ascii="Calibri" w:hAnsi="Calibri"/>
                <w:b/>
                <w:bCs/>
                <w:sz w:val="20"/>
                <w:szCs w:val="20"/>
                <w:lang w:eastAsia="en-AU"/>
              </w:rPr>
              <w:t>Band C</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auto" w:fill="auto"/>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Health Care and Social Assistance</w:t>
            </w:r>
          </w:p>
        </w:tc>
        <w:tc>
          <w:tcPr>
            <w:tcW w:w="2014" w:type="dxa"/>
            <w:tcBorders>
              <w:top w:val="nil"/>
              <w:left w:val="nil"/>
              <w:bottom w:val="single" w:sz="4"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35%</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EBF1DE" w:fill="EBF1DE"/>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Cross-industry e.g. project managers</w:t>
            </w:r>
          </w:p>
        </w:tc>
        <w:tc>
          <w:tcPr>
            <w:tcW w:w="2014" w:type="dxa"/>
            <w:tcBorders>
              <w:top w:val="nil"/>
              <w:left w:val="nil"/>
              <w:bottom w:val="single" w:sz="4" w:space="0" w:color="9BBB59"/>
              <w:right w:val="single" w:sz="12" w:space="0" w:color="9BBB59"/>
            </w:tcBorders>
            <w:shd w:val="clear" w:color="EBF1DE" w:fill="EBF1DE"/>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25%</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auto" w:fill="auto"/>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Education and Training</w:t>
            </w:r>
          </w:p>
        </w:tc>
        <w:tc>
          <w:tcPr>
            <w:tcW w:w="2014" w:type="dxa"/>
            <w:tcBorders>
              <w:top w:val="nil"/>
              <w:left w:val="nil"/>
              <w:bottom w:val="single" w:sz="4"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7%</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EBF1DE" w:fill="EBF1DE"/>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Professional, Scientific and Technical Services</w:t>
            </w:r>
          </w:p>
        </w:tc>
        <w:tc>
          <w:tcPr>
            <w:tcW w:w="2014" w:type="dxa"/>
            <w:tcBorders>
              <w:top w:val="nil"/>
              <w:left w:val="nil"/>
              <w:bottom w:val="single" w:sz="4" w:space="0" w:color="9BBB59"/>
              <w:right w:val="single" w:sz="12" w:space="0" w:color="9BBB59"/>
            </w:tcBorders>
            <w:shd w:val="clear" w:color="EBF1DE" w:fill="EBF1DE"/>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5%</w:t>
            </w:r>
          </w:p>
        </w:tc>
      </w:tr>
      <w:tr w:rsidR="00D10224" w:rsidRPr="0058331F" w:rsidTr="00C91269">
        <w:trPr>
          <w:trHeight w:val="315"/>
        </w:trPr>
        <w:tc>
          <w:tcPr>
            <w:tcW w:w="4660" w:type="dxa"/>
            <w:tcBorders>
              <w:top w:val="nil"/>
              <w:left w:val="single" w:sz="12" w:space="0" w:color="9BBB59"/>
              <w:bottom w:val="single" w:sz="12" w:space="0" w:color="9BBB59"/>
              <w:right w:val="single" w:sz="4" w:space="0" w:color="9BBB59"/>
            </w:tcBorders>
            <w:shd w:val="clear" w:color="auto" w:fill="auto"/>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Administrative and Support Services</w:t>
            </w:r>
          </w:p>
        </w:tc>
        <w:tc>
          <w:tcPr>
            <w:tcW w:w="2014" w:type="dxa"/>
            <w:tcBorders>
              <w:top w:val="nil"/>
              <w:left w:val="nil"/>
              <w:bottom w:val="single" w:sz="12"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4%</w:t>
            </w:r>
          </w:p>
        </w:tc>
      </w:tr>
      <w:tr w:rsidR="00513C7F" w:rsidRPr="00EC7CF3" w:rsidTr="00752A8D">
        <w:trPr>
          <w:trHeight w:val="330"/>
        </w:trPr>
        <w:tc>
          <w:tcPr>
            <w:tcW w:w="6674" w:type="dxa"/>
            <w:gridSpan w:val="2"/>
            <w:tcBorders>
              <w:top w:val="nil"/>
              <w:left w:val="single" w:sz="12" w:space="0" w:color="9BBB59"/>
              <w:bottom w:val="single" w:sz="4" w:space="0" w:color="9BBB59"/>
              <w:right w:val="single" w:sz="12" w:space="0" w:color="9BBB59"/>
            </w:tcBorders>
            <w:shd w:val="clear" w:color="EBF1DE" w:fill="EBF1DE"/>
            <w:noWrap/>
            <w:vAlign w:val="bottom"/>
            <w:hideMark/>
          </w:tcPr>
          <w:p w:rsidR="00513C7F" w:rsidRPr="0058331F" w:rsidRDefault="00513C7F" w:rsidP="00752A8D">
            <w:pPr>
              <w:spacing w:after="0" w:line="240" w:lineRule="auto"/>
              <w:jc w:val="center"/>
              <w:rPr>
                <w:rFonts w:ascii="Calibri" w:hAnsi="Calibri"/>
                <w:b/>
                <w:bCs/>
                <w:sz w:val="20"/>
                <w:szCs w:val="20"/>
                <w:lang w:eastAsia="en-AU"/>
              </w:rPr>
            </w:pPr>
            <w:r w:rsidRPr="0058331F">
              <w:rPr>
                <w:rFonts w:ascii="Calibri" w:hAnsi="Calibri"/>
                <w:b/>
                <w:bCs/>
                <w:sz w:val="20"/>
                <w:szCs w:val="20"/>
                <w:lang w:eastAsia="en-AU"/>
              </w:rPr>
              <w:t>Band D</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auto" w:fill="auto"/>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Cross-industry e.g. project managers</w:t>
            </w:r>
          </w:p>
        </w:tc>
        <w:tc>
          <w:tcPr>
            <w:tcW w:w="2014" w:type="dxa"/>
            <w:tcBorders>
              <w:top w:val="nil"/>
              <w:left w:val="nil"/>
              <w:bottom w:val="single" w:sz="4"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35%</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EBF1DE" w:fill="EBF1DE"/>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Administrative and Support Services</w:t>
            </w:r>
          </w:p>
        </w:tc>
        <w:tc>
          <w:tcPr>
            <w:tcW w:w="2014" w:type="dxa"/>
            <w:tcBorders>
              <w:top w:val="nil"/>
              <w:left w:val="nil"/>
              <w:bottom w:val="single" w:sz="4" w:space="0" w:color="9BBB59"/>
              <w:right w:val="single" w:sz="12" w:space="0" w:color="9BBB59"/>
            </w:tcBorders>
            <w:shd w:val="clear" w:color="EBF1DE" w:fill="EBF1DE"/>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13%</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auto" w:fill="auto"/>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Retail Trade</w:t>
            </w:r>
          </w:p>
        </w:tc>
        <w:tc>
          <w:tcPr>
            <w:tcW w:w="2014" w:type="dxa"/>
            <w:tcBorders>
              <w:top w:val="nil"/>
              <w:left w:val="nil"/>
              <w:bottom w:val="single" w:sz="4"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10%</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EBF1DE" w:fill="EBF1DE"/>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Professional, Scientific and Technical Services</w:t>
            </w:r>
          </w:p>
        </w:tc>
        <w:tc>
          <w:tcPr>
            <w:tcW w:w="2014" w:type="dxa"/>
            <w:tcBorders>
              <w:top w:val="nil"/>
              <w:left w:val="nil"/>
              <w:bottom w:val="single" w:sz="4" w:space="0" w:color="9BBB59"/>
              <w:right w:val="single" w:sz="12" w:space="0" w:color="9BBB59"/>
            </w:tcBorders>
            <w:shd w:val="clear" w:color="EBF1DE" w:fill="EBF1DE"/>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8%</w:t>
            </w:r>
          </w:p>
        </w:tc>
      </w:tr>
      <w:tr w:rsidR="00D10224" w:rsidRPr="0058331F" w:rsidTr="00C91269">
        <w:trPr>
          <w:trHeight w:val="315"/>
        </w:trPr>
        <w:tc>
          <w:tcPr>
            <w:tcW w:w="4660" w:type="dxa"/>
            <w:tcBorders>
              <w:top w:val="nil"/>
              <w:left w:val="single" w:sz="12" w:space="0" w:color="9BBB59"/>
              <w:bottom w:val="nil"/>
              <w:right w:val="single" w:sz="4" w:space="0" w:color="9BBB59"/>
            </w:tcBorders>
            <w:shd w:val="clear" w:color="auto" w:fill="auto"/>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Arts and Recreation Services</w:t>
            </w:r>
          </w:p>
        </w:tc>
        <w:tc>
          <w:tcPr>
            <w:tcW w:w="2014" w:type="dxa"/>
            <w:tcBorders>
              <w:top w:val="nil"/>
              <w:left w:val="nil"/>
              <w:bottom w:val="nil"/>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7%</w:t>
            </w:r>
          </w:p>
        </w:tc>
      </w:tr>
      <w:tr w:rsidR="00513C7F" w:rsidRPr="00EC7CF3" w:rsidTr="00752A8D">
        <w:trPr>
          <w:trHeight w:val="330"/>
        </w:trPr>
        <w:tc>
          <w:tcPr>
            <w:tcW w:w="6674" w:type="dxa"/>
            <w:gridSpan w:val="2"/>
            <w:tcBorders>
              <w:top w:val="single" w:sz="12" w:space="0" w:color="9BBB59"/>
              <w:left w:val="single" w:sz="12" w:space="0" w:color="9BBB59"/>
              <w:bottom w:val="single" w:sz="4" w:space="0" w:color="9BBB59"/>
              <w:right w:val="single" w:sz="12" w:space="0" w:color="9BBB59"/>
            </w:tcBorders>
            <w:shd w:val="clear" w:color="EBF1DE" w:fill="EBF1DE"/>
            <w:noWrap/>
            <w:vAlign w:val="bottom"/>
            <w:hideMark/>
          </w:tcPr>
          <w:p w:rsidR="00513C7F" w:rsidRPr="0058331F" w:rsidRDefault="00513C7F" w:rsidP="00752A8D">
            <w:pPr>
              <w:spacing w:after="0" w:line="240" w:lineRule="auto"/>
              <w:jc w:val="center"/>
              <w:rPr>
                <w:rFonts w:ascii="Calibri" w:hAnsi="Calibri"/>
                <w:b/>
                <w:bCs/>
                <w:sz w:val="20"/>
                <w:szCs w:val="20"/>
                <w:lang w:eastAsia="en-AU"/>
              </w:rPr>
            </w:pPr>
            <w:r w:rsidRPr="0058331F">
              <w:rPr>
                <w:rFonts w:ascii="Calibri" w:hAnsi="Calibri"/>
                <w:b/>
                <w:bCs/>
                <w:sz w:val="20"/>
                <w:szCs w:val="20"/>
                <w:lang w:eastAsia="en-AU"/>
              </w:rPr>
              <w:t>Band E</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auto" w:fill="auto"/>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Cross-industry e.g. project managers</w:t>
            </w:r>
          </w:p>
        </w:tc>
        <w:tc>
          <w:tcPr>
            <w:tcW w:w="2014" w:type="dxa"/>
            <w:tcBorders>
              <w:top w:val="nil"/>
              <w:left w:val="nil"/>
              <w:bottom w:val="single" w:sz="4"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34%</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EBF1DE" w:fill="EBF1DE"/>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Retail Trade</w:t>
            </w:r>
          </w:p>
        </w:tc>
        <w:tc>
          <w:tcPr>
            <w:tcW w:w="2014" w:type="dxa"/>
            <w:tcBorders>
              <w:top w:val="nil"/>
              <w:left w:val="nil"/>
              <w:bottom w:val="single" w:sz="4" w:space="0" w:color="9BBB59"/>
              <w:right w:val="single" w:sz="12" w:space="0" w:color="9BBB59"/>
            </w:tcBorders>
            <w:shd w:val="clear" w:color="EBF1DE" w:fill="EBF1DE"/>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17%</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auto" w:fill="auto"/>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Accommodation and Food Services</w:t>
            </w:r>
          </w:p>
        </w:tc>
        <w:tc>
          <w:tcPr>
            <w:tcW w:w="2014" w:type="dxa"/>
            <w:tcBorders>
              <w:top w:val="nil"/>
              <w:left w:val="nil"/>
              <w:bottom w:val="single" w:sz="4"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16%</w:t>
            </w:r>
          </w:p>
        </w:tc>
      </w:tr>
      <w:tr w:rsidR="00D10224" w:rsidRPr="0058331F" w:rsidTr="00C91269">
        <w:trPr>
          <w:trHeight w:val="300"/>
        </w:trPr>
        <w:tc>
          <w:tcPr>
            <w:tcW w:w="4660" w:type="dxa"/>
            <w:tcBorders>
              <w:top w:val="nil"/>
              <w:left w:val="single" w:sz="12" w:space="0" w:color="9BBB59"/>
              <w:bottom w:val="single" w:sz="4" w:space="0" w:color="9BBB59"/>
              <w:right w:val="single" w:sz="4" w:space="0" w:color="9BBB59"/>
            </w:tcBorders>
            <w:shd w:val="clear" w:color="EBF1DE" w:fill="EBF1DE"/>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Arts and Recreation Services</w:t>
            </w:r>
          </w:p>
        </w:tc>
        <w:tc>
          <w:tcPr>
            <w:tcW w:w="2014" w:type="dxa"/>
            <w:tcBorders>
              <w:top w:val="nil"/>
              <w:left w:val="nil"/>
              <w:bottom w:val="single" w:sz="4" w:space="0" w:color="9BBB59"/>
              <w:right w:val="single" w:sz="12" w:space="0" w:color="9BBB59"/>
            </w:tcBorders>
            <w:shd w:val="clear" w:color="EBF1DE" w:fill="EBF1DE"/>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14%</w:t>
            </w:r>
          </w:p>
        </w:tc>
      </w:tr>
      <w:tr w:rsidR="00D10224" w:rsidRPr="0058331F" w:rsidTr="00C91269">
        <w:trPr>
          <w:trHeight w:val="315"/>
        </w:trPr>
        <w:tc>
          <w:tcPr>
            <w:tcW w:w="4660" w:type="dxa"/>
            <w:tcBorders>
              <w:top w:val="nil"/>
              <w:left w:val="single" w:sz="12" w:space="0" w:color="9BBB59"/>
              <w:bottom w:val="single" w:sz="12" w:space="0" w:color="9BBB59"/>
              <w:right w:val="single" w:sz="4" w:space="0" w:color="9BBB59"/>
            </w:tcBorders>
            <w:shd w:val="clear" w:color="auto" w:fill="auto"/>
            <w:noWrap/>
            <w:hideMark/>
          </w:tcPr>
          <w:p w:rsidR="00D10224" w:rsidRPr="00D10224" w:rsidRDefault="00D10224" w:rsidP="00D10224">
            <w:pPr>
              <w:spacing w:after="0" w:line="240" w:lineRule="auto"/>
              <w:jc w:val="left"/>
              <w:rPr>
                <w:rFonts w:ascii="Calibri" w:hAnsi="Calibri"/>
                <w:sz w:val="18"/>
                <w:szCs w:val="18"/>
                <w:lang w:eastAsia="en-AU"/>
              </w:rPr>
            </w:pPr>
            <w:r w:rsidRPr="00D10224">
              <w:rPr>
                <w:rFonts w:ascii="Calibri" w:hAnsi="Calibri"/>
                <w:sz w:val="18"/>
                <w:szCs w:val="18"/>
                <w:lang w:eastAsia="en-AU"/>
              </w:rPr>
              <w:t>Manufacturing</w:t>
            </w:r>
          </w:p>
        </w:tc>
        <w:tc>
          <w:tcPr>
            <w:tcW w:w="2014" w:type="dxa"/>
            <w:tcBorders>
              <w:top w:val="nil"/>
              <w:left w:val="nil"/>
              <w:bottom w:val="single" w:sz="12" w:space="0" w:color="9BBB59"/>
              <w:right w:val="single" w:sz="12" w:space="0" w:color="9BBB59"/>
            </w:tcBorders>
            <w:shd w:val="clear" w:color="auto" w:fill="auto"/>
            <w:noWrap/>
            <w:hideMark/>
          </w:tcPr>
          <w:p w:rsidR="00D10224" w:rsidRPr="00D10224" w:rsidRDefault="00D10224" w:rsidP="00D10224">
            <w:pPr>
              <w:spacing w:after="0" w:line="240" w:lineRule="auto"/>
              <w:jc w:val="right"/>
              <w:rPr>
                <w:rFonts w:ascii="Calibri" w:hAnsi="Calibri"/>
                <w:sz w:val="18"/>
                <w:szCs w:val="18"/>
                <w:lang w:eastAsia="en-AU"/>
              </w:rPr>
            </w:pPr>
            <w:r w:rsidRPr="00D10224">
              <w:rPr>
                <w:rFonts w:ascii="Calibri" w:hAnsi="Calibri"/>
                <w:sz w:val="18"/>
                <w:szCs w:val="18"/>
                <w:lang w:eastAsia="en-AU"/>
              </w:rPr>
              <w:t>12%</w:t>
            </w:r>
          </w:p>
        </w:tc>
      </w:tr>
    </w:tbl>
    <w:p w:rsidR="00513C7F" w:rsidRDefault="00513C7F" w:rsidP="00513C7F">
      <w:pPr>
        <w:rPr>
          <w:rFonts w:cs="Arial"/>
        </w:rPr>
      </w:pPr>
    </w:p>
    <w:tbl>
      <w:tblPr>
        <w:tblW w:w="5000" w:type="pct"/>
        <w:tblBorders>
          <w:top w:val="single" w:sz="6" w:space="0" w:color="76923C"/>
          <w:left w:val="single" w:sz="6" w:space="0" w:color="76923C"/>
          <w:bottom w:val="single" w:sz="6" w:space="0" w:color="76923C"/>
          <w:right w:val="single" w:sz="6" w:space="0" w:color="76923C"/>
        </w:tblBorders>
        <w:tblLayout w:type="fixed"/>
        <w:tblCellMar>
          <w:left w:w="0" w:type="dxa"/>
          <w:right w:w="0" w:type="dxa"/>
        </w:tblCellMar>
        <w:tblLook w:val="01E0" w:firstRow="1" w:lastRow="1" w:firstColumn="1" w:lastColumn="1" w:noHBand="0" w:noVBand="0"/>
      </w:tblPr>
      <w:tblGrid>
        <w:gridCol w:w="9088"/>
      </w:tblGrid>
      <w:tr w:rsidR="00513C7F" w:rsidRPr="001F29E3" w:rsidTr="00752A8D">
        <w:tc>
          <w:tcPr>
            <w:tcW w:w="9088" w:type="dxa"/>
            <w:tc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tcBorders>
          </w:tcPr>
          <w:p w:rsidR="00513C7F" w:rsidRDefault="00513C7F" w:rsidP="00752A8D">
            <w:pPr>
              <w:pStyle w:val="Heading3"/>
            </w:pPr>
            <w:r w:rsidRPr="00D940E1">
              <w:t>Key Points</w:t>
            </w:r>
          </w:p>
          <w:p w:rsidR="00513C7F" w:rsidRDefault="00513C7F" w:rsidP="00752A8D">
            <w:pPr>
              <w:pStyle w:val="ListBullet"/>
              <w:numPr>
                <w:ilvl w:val="0"/>
                <w:numId w:val="13"/>
              </w:numPr>
              <w:ind w:left="397" w:right="113" w:hanging="284"/>
              <w:rPr>
                <w:rFonts w:cs="Arial"/>
              </w:rPr>
            </w:pPr>
            <w:r>
              <w:rPr>
                <w:rFonts w:cs="Arial"/>
              </w:rPr>
              <w:t xml:space="preserve">Over half of delivery in Band </w:t>
            </w:r>
            <w:proofErr w:type="gramStart"/>
            <w:r>
              <w:rPr>
                <w:rFonts w:cs="Arial"/>
              </w:rPr>
              <w:t>A</w:t>
            </w:r>
            <w:proofErr w:type="gramEnd"/>
            <w:r>
              <w:rPr>
                <w:rFonts w:cs="Arial"/>
              </w:rPr>
              <w:t xml:space="preserve"> (apprenticeships and </w:t>
            </w:r>
            <w:r w:rsidR="00D10224">
              <w:rPr>
                <w:rFonts w:cs="Arial"/>
              </w:rPr>
              <w:t>non-apprenticeships) is in the C</w:t>
            </w:r>
            <w:r>
              <w:rPr>
                <w:rFonts w:cs="Arial"/>
              </w:rPr>
              <w:t>onstruction industry.</w:t>
            </w:r>
          </w:p>
          <w:p w:rsidR="00513C7F" w:rsidRPr="00EC7CF3" w:rsidRDefault="00513C7F" w:rsidP="00D10224">
            <w:pPr>
              <w:pStyle w:val="ListBullet"/>
              <w:numPr>
                <w:ilvl w:val="0"/>
                <w:numId w:val="13"/>
              </w:numPr>
              <w:ind w:left="397" w:right="113" w:hanging="284"/>
              <w:rPr>
                <w:rFonts w:cs="Arial"/>
              </w:rPr>
            </w:pPr>
            <w:r>
              <w:rPr>
                <w:rFonts w:cs="Arial"/>
              </w:rPr>
              <w:t xml:space="preserve">The largest block of deliver in Band B is </w:t>
            </w:r>
            <w:r w:rsidR="00D10224">
              <w:rPr>
                <w:rFonts w:cs="Arial"/>
              </w:rPr>
              <w:t>for Health Care and Social Assistance (30 per cent) and Transport, Postal and Warehousing (21 per cent)</w:t>
            </w:r>
          </w:p>
        </w:tc>
      </w:tr>
    </w:tbl>
    <w:p w:rsidR="00513C7F" w:rsidRDefault="00513C7F" w:rsidP="00513C7F">
      <w:pPr>
        <w:rPr>
          <w:rFonts w:cs="Arial"/>
        </w:rPr>
      </w:pPr>
    </w:p>
    <w:p w:rsidR="00513C7F" w:rsidRDefault="00513C7F" w:rsidP="00513C7F">
      <w:pPr>
        <w:spacing w:after="200" w:line="276" w:lineRule="auto"/>
        <w:jc w:val="left"/>
      </w:pPr>
      <w:r>
        <w:br w:type="page"/>
      </w:r>
    </w:p>
    <w:p w:rsidR="00513C7F" w:rsidRDefault="00513C7F" w:rsidP="00513C7F">
      <w:pPr>
        <w:pStyle w:val="Heading3"/>
      </w:pPr>
      <w:r>
        <w:lastRenderedPageBreak/>
        <w:t>Enrolments by Occupation</w:t>
      </w:r>
    </w:p>
    <w:p w:rsidR="00513C7F" w:rsidRDefault="00513C7F" w:rsidP="00513C7F">
      <w:pPr>
        <w:spacing w:after="200" w:line="276" w:lineRule="auto"/>
        <w:jc w:val="left"/>
      </w:pPr>
      <w:r>
        <w:t xml:space="preserve">In the second quarter of 2013, the 5 highest numbers of enrolments within Bands A and B were in courses related to the following occupations: </w:t>
      </w:r>
    </w:p>
    <w:p w:rsidR="00513C7F" w:rsidRPr="003144C4" w:rsidRDefault="00513C7F" w:rsidP="00513C7F">
      <w:pPr>
        <w:pStyle w:val="ListParagraph"/>
        <w:numPr>
          <w:ilvl w:val="0"/>
          <w:numId w:val="35"/>
        </w:numPr>
        <w:spacing w:after="90" w:line="220" w:lineRule="atLeast"/>
        <w:contextualSpacing/>
        <w:jc w:val="both"/>
        <w:rPr>
          <w:rFonts w:ascii="Arial" w:hAnsi="Arial"/>
          <w:sz w:val="19"/>
          <w:szCs w:val="24"/>
        </w:rPr>
      </w:pPr>
      <w:r w:rsidRPr="003144C4">
        <w:rPr>
          <w:rFonts w:ascii="Arial" w:hAnsi="Arial"/>
          <w:sz w:val="19"/>
          <w:szCs w:val="24"/>
        </w:rPr>
        <w:t>Aged or Disabled Carer (11,200 enrolments in Q2 2013)</w:t>
      </w:r>
    </w:p>
    <w:p w:rsidR="00513C7F" w:rsidRPr="003144C4" w:rsidRDefault="00513C7F" w:rsidP="00513C7F">
      <w:pPr>
        <w:pStyle w:val="ListParagraph"/>
        <w:numPr>
          <w:ilvl w:val="0"/>
          <w:numId w:val="35"/>
        </w:numPr>
        <w:spacing w:after="90" w:line="220" w:lineRule="atLeast"/>
        <w:contextualSpacing/>
        <w:jc w:val="both"/>
        <w:rPr>
          <w:rFonts w:ascii="Arial" w:hAnsi="Arial"/>
          <w:sz w:val="19"/>
          <w:szCs w:val="24"/>
        </w:rPr>
      </w:pPr>
      <w:r w:rsidRPr="003144C4">
        <w:rPr>
          <w:rFonts w:ascii="Arial" w:hAnsi="Arial"/>
          <w:sz w:val="19"/>
          <w:szCs w:val="24"/>
        </w:rPr>
        <w:t>Warehouse Administrator (8,250 enrolments in Q2 2013)</w:t>
      </w:r>
    </w:p>
    <w:p w:rsidR="00513C7F" w:rsidRPr="003144C4" w:rsidRDefault="00513C7F" w:rsidP="00513C7F">
      <w:pPr>
        <w:pStyle w:val="ListParagraph"/>
        <w:numPr>
          <w:ilvl w:val="0"/>
          <w:numId w:val="35"/>
        </w:numPr>
        <w:spacing w:after="90" w:line="220" w:lineRule="atLeast"/>
        <w:contextualSpacing/>
        <w:jc w:val="both"/>
        <w:rPr>
          <w:rFonts w:ascii="Arial" w:hAnsi="Arial"/>
          <w:sz w:val="19"/>
          <w:szCs w:val="24"/>
        </w:rPr>
      </w:pPr>
      <w:r w:rsidRPr="003144C4">
        <w:rPr>
          <w:rFonts w:ascii="Arial" w:hAnsi="Arial"/>
          <w:sz w:val="19"/>
          <w:szCs w:val="24"/>
        </w:rPr>
        <w:t>Engineering Production Worker (6,400 enrolments in Q2 2013)</w:t>
      </w:r>
    </w:p>
    <w:p w:rsidR="00513C7F" w:rsidRPr="003144C4" w:rsidRDefault="00513C7F" w:rsidP="00513C7F">
      <w:pPr>
        <w:pStyle w:val="ListParagraph"/>
        <w:numPr>
          <w:ilvl w:val="0"/>
          <w:numId w:val="35"/>
        </w:numPr>
        <w:spacing w:after="90" w:line="220" w:lineRule="atLeast"/>
        <w:contextualSpacing/>
        <w:jc w:val="both"/>
        <w:rPr>
          <w:rFonts w:ascii="Arial" w:hAnsi="Arial"/>
          <w:sz w:val="19"/>
          <w:szCs w:val="24"/>
        </w:rPr>
      </w:pPr>
      <w:r w:rsidRPr="003144C4">
        <w:rPr>
          <w:rFonts w:ascii="Arial" w:hAnsi="Arial"/>
          <w:sz w:val="19"/>
          <w:szCs w:val="24"/>
        </w:rPr>
        <w:t>Electrician (General) (6,400 enrolments in Q2 2013)</w:t>
      </w:r>
    </w:p>
    <w:p w:rsidR="00513C7F" w:rsidRPr="003144C4" w:rsidRDefault="00513C7F" w:rsidP="00513C7F">
      <w:pPr>
        <w:pStyle w:val="ListParagraph"/>
        <w:numPr>
          <w:ilvl w:val="0"/>
          <w:numId w:val="35"/>
        </w:numPr>
        <w:spacing w:after="90" w:line="220" w:lineRule="atLeast"/>
        <w:contextualSpacing/>
        <w:jc w:val="both"/>
        <w:rPr>
          <w:rFonts w:ascii="Arial" w:hAnsi="Arial"/>
          <w:sz w:val="19"/>
          <w:szCs w:val="24"/>
        </w:rPr>
      </w:pPr>
      <w:r w:rsidRPr="003144C4">
        <w:rPr>
          <w:rFonts w:ascii="Arial" w:hAnsi="Arial"/>
          <w:sz w:val="19"/>
          <w:szCs w:val="24"/>
        </w:rPr>
        <w:t>Truck Driver (General) (6,100 enrolments in Q2 2013)</w:t>
      </w:r>
    </w:p>
    <w:p w:rsidR="00513C7F" w:rsidRDefault="00513C7F" w:rsidP="00513C7F">
      <w:pPr>
        <w:pStyle w:val="ListParagraph"/>
        <w:ind w:left="360"/>
      </w:pPr>
    </w:p>
    <w:p w:rsidR="008603E7" w:rsidRDefault="00513C7F" w:rsidP="008603E7">
      <w:r>
        <w:t>Employment trends within these occupations are outlined in the table below and show employment numbers in 2011-12, average annual employment needs</w:t>
      </w:r>
      <w:r>
        <w:rPr>
          <w:rStyle w:val="FootnoteReference"/>
        </w:rPr>
        <w:footnoteReference w:id="8"/>
      </w:r>
      <w:r>
        <w:t xml:space="preserve"> over the next 5 years as well as patterns of forecast employment growth to 2016-17. Employment trends indicate growth in four of the five occupational groups related to highest number of courses in Bands A and B. Engineering Productions Workers are forecast to see dampened demand over the next five years. These workers predominantly work in the Manufacturing industry, a critical industry for the Victorian economy undergoing significant industrial transition, and therefore remain a critical area for public investment in vocational training.</w:t>
      </w:r>
    </w:p>
    <w:p w:rsidR="00513C7F" w:rsidRDefault="008603E7" w:rsidP="008603E7">
      <w:r>
        <w:t xml:space="preserve"> </w:t>
      </w:r>
    </w:p>
    <w:p w:rsidR="00513C7F" w:rsidRPr="0096468B" w:rsidRDefault="00513C7F" w:rsidP="00513C7F">
      <w:pPr>
        <w:pStyle w:val="Caption"/>
      </w:pPr>
      <w:r>
        <w:t>Table 3.</w:t>
      </w:r>
      <w:r w:rsidR="00734456">
        <w:t>3</w:t>
      </w:r>
      <w:r>
        <w:t xml:space="preserve">: Employment trends in selected occupations (Band </w:t>
      </w:r>
      <w:proofErr w:type="gramStart"/>
      <w:r>
        <w:t>A</w:t>
      </w:r>
      <w:proofErr w:type="gramEnd"/>
      <w:r>
        <w:t xml:space="preserve"> &amp; B), 2011-12 to 2016-17</w:t>
      </w:r>
    </w:p>
    <w:p w:rsidR="00513C7F" w:rsidRPr="00DC64BD" w:rsidRDefault="00513C7F" w:rsidP="00513C7F">
      <w:r w:rsidRPr="00DC64BD">
        <w:rPr>
          <w:noProof/>
          <w:lang w:eastAsia="en-AU"/>
        </w:rPr>
        <w:drawing>
          <wp:inline distT="0" distB="0" distL="0" distR="0" wp14:anchorId="23E3A505" wp14:editId="6F3E6843">
            <wp:extent cx="5731510" cy="1173168"/>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1173168"/>
                    </a:xfrm>
                    <a:prstGeom prst="rect">
                      <a:avLst/>
                    </a:prstGeom>
                    <a:noFill/>
                    <a:ln>
                      <a:noFill/>
                    </a:ln>
                  </pic:spPr>
                </pic:pic>
              </a:graphicData>
            </a:graphic>
          </wp:inline>
        </w:drawing>
      </w:r>
    </w:p>
    <w:p w:rsidR="00513C7F" w:rsidRDefault="00513C7F" w:rsidP="00513C7F">
      <w:pPr>
        <w:spacing w:after="200" w:line="276" w:lineRule="auto"/>
        <w:jc w:val="left"/>
      </w:pPr>
      <w:r>
        <w:rPr>
          <w:rFonts w:cs="Arial"/>
          <w:sz w:val="16"/>
          <w:szCs w:val="16"/>
        </w:rPr>
        <w:t xml:space="preserve">Source: </w:t>
      </w:r>
      <w:r w:rsidRPr="0038002F">
        <w:rPr>
          <w:rFonts w:cs="Arial"/>
          <w:sz w:val="16"/>
          <w:szCs w:val="16"/>
        </w:rPr>
        <w:t>Monash Centre for Policy Studies (2012) Employment Forecasting Model.</w:t>
      </w:r>
    </w:p>
    <w:p w:rsidR="00513C7F" w:rsidRDefault="00513C7F" w:rsidP="00513C7F">
      <w:pPr>
        <w:spacing w:after="200" w:line="276" w:lineRule="auto"/>
        <w:jc w:val="left"/>
      </w:pPr>
      <w:r>
        <w:t xml:space="preserve">The 5 highest </w:t>
      </w:r>
      <w:proofErr w:type="gramStart"/>
      <w:r>
        <w:t>number</w:t>
      </w:r>
      <w:proofErr w:type="gramEnd"/>
      <w:r>
        <w:t xml:space="preserve"> of enrolments within Band D and E in Q2 2013 were in courses related to the following occupations: </w:t>
      </w:r>
    </w:p>
    <w:p w:rsidR="00513C7F" w:rsidRPr="003144C4" w:rsidRDefault="00513C7F" w:rsidP="00513C7F">
      <w:pPr>
        <w:pStyle w:val="ListParagraph"/>
        <w:numPr>
          <w:ilvl w:val="0"/>
          <w:numId w:val="35"/>
        </w:numPr>
        <w:spacing w:after="90" w:line="220" w:lineRule="atLeast"/>
        <w:contextualSpacing/>
        <w:jc w:val="both"/>
        <w:rPr>
          <w:rFonts w:ascii="Arial" w:hAnsi="Arial"/>
          <w:sz w:val="19"/>
          <w:szCs w:val="24"/>
        </w:rPr>
      </w:pPr>
      <w:r w:rsidRPr="003144C4">
        <w:rPr>
          <w:rFonts w:ascii="Arial" w:hAnsi="Arial"/>
          <w:sz w:val="19"/>
          <w:szCs w:val="24"/>
        </w:rPr>
        <w:t>Office Manager (10,800 enrolments in Q2 2013)</w:t>
      </w:r>
    </w:p>
    <w:p w:rsidR="00513C7F" w:rsidRPr="003144C4" w:rsidRDefault="00513C7F" w:rsidP="00513C7F">
      <w:pPr>
        <w:pStyle w:val="ListParagraph"/>
        <w:numPr>
          <w:ilvl w:val="0"/>
          <w:numId w:val="35"/>
        </w:numPr>
        <w:spacing w:after="90" w:line="220" w:lineRule="atLeast"/>
        <w:contextualSpacing/>
        <w:jc w:val="both"/>
        <w:rPr>
          <w:rFonts w:ascii="Arial" w:hAnsi="Arial"/>
          <w:sz w:val="19"/>
          <w:szCs w:val="24"/>
        </w:rPr>
      </w:pPr>
      <w:r w:rsidRPr="003144C4">
        <w:rPr>
          <w:rFonts w:ascii="Arial" w:hAnsi="Arial"/>
          <w:sz w:val="19"/>
          <w:szCs w:val="24"/>
        </w:rPr>
        <w:t>Sales Assistant (General)  (5,450 enrolments in Q2 2013)</w:t>
      </w:r>
    </w:p>
    <w:p w:rsidR="00513C7F" w:rsidRPr="003144C4" w:rsidRDefault="00513C7F" w:rsidP="00513C7F">
      <w:pPr>
        <w:pStyle w:val="ListParagraph"/>
        <w:numPr>
          <w:ilvl w:val="0"/>
          <w:numId w:val="35"/>
        </w:numPr>
        <w:spacing w:after="90" w:line="220" w:lineRule="atLeast"/>
        <w:contextualSpacing/>
        <w:jc w:val="both"/>
        <w:rPr>
          <w:rFonts w:ascii="Arial" w:hAnsi="Arial"/>
          <w:sz w:val="19"/>
          <w:szCs w:val="24"/>
        </w:rPr>
      </w:pPr>
      <w:r w:rsidRPr="003144C4">
        <w:rPr>
          <w:rFonts w:ascii="Arial" w:hAnsi="Arial"/>
          <w:sz w:val="19"/>
          <w:szCs w:val="24"/>
        </w:rPr>
        <w:t>General Clerk (5,350 enrolments in Q2 2013)</w:t>
      </w:r>
    </w:p>
    <w:p w:rsidR="00513C7F" w:rsidRPr="003144C4" w:rsidRDefault="00513C7F" w:rsidP="00513C7F">
      <w:pPr>
        <w:pStyle w:val="ListParagraph"/>
        <w:numPr>
          <w:ilvl w:val="0"/>
          <w:numId w:val="35"/>
        </w:numPr>
        <w:spacing w:after="90" w:line="220" w:lineRule="atLeast"/>
        <w:contextualSpacing/>
        <w:jc w:val="both"/>
        <w:rPr>
          <w:rFonts w:ascii="Arial" w:hAnsi="Arial"/>
          <w:sz w:val="19"/>
          <w:szCs w:val="24"/>
        </w:rPr>
      </w:pPr>
      <w:r w:rsidRPr="003144C4">
        <w:rPr>
          <w:rFonts w:ascii="Arial" w:hAnsi="Arial"/>
          <w:sz w:val="19"/>
          <w:szCs w:val="24"/>
        </w:rPr>
        <w:t>Waiter (4,200 enrolments in Q2 2013)</w:t>
      </w:r>
    </w:p>
    <w:p w:rsidR="00513C7F" w:rsidRPr="003144C4" w:rsidRDefault="00513C7F" w:rsidP="00513C7F">
      <w:pPr>
        <w:pStyle w:val="ListParagraph"/>
        <w:numPr>
          <w:ilvl w:val="0"/>
          <w:numId w:val="35"/>
        </w:numPr>
        <w:spacing w:after="90" w:line="220" w:lineRule="atLeast"/>
        <w:contextualSpacing/>
        <w:jc w:val="both"/>
        <w:rPr>
          <w:rFonts w:ascii="Arial" w:hAnsi="Arial"/>
          <w:sz w:val="19"/>
          <w:szCs w:val="24"/>
        </w:rPr>
      </w:pPr>
      <w:r w:rsidRPr="003144C4">
        <w:rPr>
          <w:rFonts w:ascii="Arial" w:hAnsi="Arial"/>
          <w:sz w:val="19"/>
          <w:szCs w:val="24"/>
        </w:rPr>
        <w:t>Factory Process Workers (other) (4,000 enrolments in Q2 2013)</w:t>
      </w:r>
    </w:p>
    <w:p w:rsidR="00513C7F" w:rsidRDefault="00513C7F" w:rsidP="00513C7F">
      <w:pPr>
        <w:pStyle w:val="ListParagraph"/>
        <w:ind w:left="360"/>
      </w:pPr>
    </w:p>
    <w:p w:rsidR="00513C7F" w:rsidRDefault="00513C7F" w:rsidP="00513C7F">
      <w:r>
        <w:t xml:space="preserve">As above, </w:t>
      </w:r>
      <w:r w:rsidR="00B3209C">
        <w:t>Table 3.</w:t>
      </w:r>
      <w:r w:rsidR="000315BF">
        <w:t>5</w:t>
      </w:r>
      <w:r>
        <w:t xml:space="preserve"> shows employment trends for occupations related to top 5 highest numbers of enrolments within Band D and E. Characteristic of these occupations in the Victorian labour market are jobs that have high levels of turnover and mixed employment prospects. Office Managers, for example are likely to remain fairly stable through to 2016-17, while Sales Assistants and Factory Process Workers are forecast to decline. General Clerks and Waiters are forecast to see employment growth, however present less of a requirement for vocational training investment made by government to support meeting this labour market need.</w:t>
      </w:r>
    </w:p>
    <w:p w:rsidR="00513C7F" w:rsidRDefault="00513C7F" w:rsidP="00513C7F"/>
    <w:p w:rsidR="007A0034" w:rsidRDefault="007A0034">
      <w:pPr>
        <w:spacing w:after="0" w:line="240" w:lineRule="auto"/>
        <w:jc w:val="left"/>
        <w:rPr>
          <w:b/>
          <w:bCs/>
          <w:color w:val="76923C" w:themeColor="accent3" w:themeShade="BF"/>
          <w:sz w:val="18"/>
          <w:szCs w:val="16"/>
        </w:rPr>
      </w:pPr>
      <w:r>
        <w:br w:type="page"/>
      </w:r>
    </w:p>
    <w:p w:rsidR="00513C7F" w:rsidRPr="0096468B" w:rsidRDefault="00513C7F" w:rsidP="00513C7F">
      <w:pPr>
        <w:pStyle w:val="Caption"/>
      </w:pPr>
      <w:r>
        <w:lastRenderedPageBreak/>
        <w:t>Table 3.</w:t>
      </w:r>
      <w:r w:rsidR="00734456">
        <w:t>4</w:t>
      </w:r>
      <w:r>
        <w:t>: Employment trends in selected occupations (Band D &amp; E), 2011-12 to 2016-17</w:t>
      </w:r>
    </w:p>
    <w:p w:rsidR="00513C7F" w:rsidRPr="003C309B" w:rsidRDefault="00513C7F" w:rsidP="00513C7F">
      <w:pPr>
        <w:spacing w:after="200" w:line="276" w:lineRule="auto"/>
        <w:jc w:val="left"/>
        <w:rPr>
          <w:rFonts w:cs="Arial"/>
          <w:bCs/>
          <w:iCs/>
          <w:color w:val="76923C" w:themeColor="accent3" w:themeShade="BF"/>
          <w:sz w:val="28"/>
          <w:szCs w:val="28"/>
        </w:rPr>
      </w:pPr>
      <w:r w:rsidRPr="008B5A8D">
        <w:rPr>
          <w:noProof/>
          <w:lang w:eastAsia="en-AU"/>
        </w:rPr>
        <w:drawing>
          <wp:inline distT="0" distB="0" distL="0" distR="0" wp14:anchorId="4832BC10" wp14:editId="5D65970A">
            <wp:extent cx="5731510" cy="1272637"/>
            <wp:effectExtent l="0" t="0" r="254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1272637"/>
                    </a:xfrm>
                    <a:prstGeom prst="rect">
                      <a:avLst/>
                    </a:prstGeom>
                    <a:noFill/>
                    <a:ln>
                      <a:noFill/>
                    </a:ln>
                  </pic:spPr>
                </pic:pic>
              </a:graphicData>
            </a:graphic>
          </wp:inline>
        </w:drawing>
      </w:r>
      <w:r>
        <w:rPr>
          <w:rFonts w:cs="Arial"/>
          <w:sz w:val="16"/>
          <w:szCs w:val="16"/>
        </w:rPr>
        <w:t xml:space="preserve">Source: </w:t>
      </w:r>
      <w:r w:rsidRPr="0038002F">
        <w:rPr>
          <w:rFonts w:cs="Arial"/>
          <w:sz w:val="16"/>
          <w:szCs w:val="16"/>
        </w:rPr>
        <w:t xml:space="preserve"> Monash Centre for Policy Studies (2012) Employment Forecasting Model.</w:t>
      </w:r>
    </w:p>
    <w:p w:rsidR="00E82D09" w:rsidRPr="008145D4" w:rsidRDefault="004679ED" w:rsidP="00704EB3">
      <w:pPr>
        <w:rPr>
          <w:rFonts w:cs="Arial"/>
          <w:b/>
          <w:color w:val="76923C" w:themeColor="accent3" w:themeShade="BF"/>
          <w:sz w:val="16"/>
          <w:szCs w:val="16"/>
        </w:rPr>
      </w:pPr>
      <w:r>
        <w:rPr>
          <w:b/>
          <w:color w:val="76923C" w:themeColor="accent3" w:themeShade="BF"/>
        </w:rPr>
        <w:t xml:space="preserve">Enrolments by </w:t>
      </w:r>
      <w:r w:rsidR="008145D4" w:rsidRPr="008145D4">
        <w:rPr>
          <w:b/>
          <w:color w:val="76923C" w:themeColor="accent3" w:themeShade="BF"/>
        </w:rPr>
        <w:t>Apprentices</w:t>
      </w:r>
    </w:p>
    <w:p w:rsidR="008A7538" w:rsidRDefault="003323B6" w:rsidP="008A7538">
      <w:pPr>
        <w:pStyle w:val="ListBullet"/>
        <w:numPr>
          <w:ilvl w:val="0"/>
          <w:numId w:val="0"/>
        </w:numPr>
        <w:ind w:right="113"/>
        <w:rPr>
          <w:rFonts w:cs="Arial"/>
        </w:rPr>
      </w:pPr>
      <w:r>
        <w:rPr>
          <w:rFonts w:cs="Arial"/>
        </w:rPr>
        <w:t xml:space="preserve">Since July </w:t>
      </w:r>
      <w:r w:rsidR="004679ED">
        <w:rPr>
          <w:rFonts w:cs="Arial"/>
        </w:rPr>
        <w:t>2012 courses</w:t>
      </w:r>
      <w:r w:rsidR="00513C7F">
        <w:rPr>
          <w:rFonts w:cs="Arial"/>
        </w:rPr>
        <w:t xml:space="preserve"> </w:t>
      </w:r>
      <w:r w:rsidR="00E82D09">
        <w:rPr>
          <w:rFonts w:cs="Arial"/>
        </w:rPr>
        <w:t>such as Apprenticeships, attract government subsidy at the high</w:t>
      </w:r>
      <w:r w:rsidR="008A7538">
        <w:rPr>
          <w:rFonts w:cs="Arial"/>
        </w:rPr>
        <w:t xml:space="preserve">est level in recognition of current and projected future industry skill needs. However, even though Apprenticeships receive the highest level of subsidy, due to external factors there has been a dampening of enrolments in Q2 2013 compared to Q2 2012 and Q2 2011. In Victoria just over half </w:t>
      </w:r>
      <w:r w:rsidR="00D45101">
        <w:rPr>
          <w:rFonts w:cs="Arial"/>
        </w:rPr>
        <w:t>(</w:t>
      </w:r>
      <w:r w:rsidR="00BE6285">
        <w:rPr>
          <w:rFonts w:cs="Arial"/>
        </w:rPr>
        <w:t xml:space="preserve">55 per cent) </w:t>
      </w:r>
      <w:r w:rsidR="008A7538">
        <w:rPr>
          <w:rFonts w:cs="Arial"/>
        </w:rPr>
        <w:t xml:space="preserve">of all Apprentice enrolments in Q2 2013 were in the Construction </w:t>
      </w:r>
      <w:r w:rsidR="003552D9">
        <w:rPr>
          <w:rFonts w:cs="Arial"/>
        </w:rPr>
        <w:t>industry</w:t>
      </w:r>
      <w:r w:rsidR="008A7538">
        <w:rPr>
          <w:rFonts w:cs="Arial"/>
        </w:rPr>
        <w:t>, this sector has been facing some challenging business conditions over recent years. A</w:t>
      </w:r>
      <w:r w:rsidR="008A7538" w:rsidRPr="006C38AA">
        <w:rPr>
          <w:rFonts w:cs="Arial"/>
        </w:rPr>
        <w:t>pprentice numbers are highly correlated with business conditions</w:t>
      </w:r>
      <w:r w:rsidR="003552D9">
        <w:rPr>
          <w:rFonts w:cs="Arial"/>
        </w:rPr>
        <w:t xml:space="preserve"> and t</w:t>
      </w:r>
      <w:r w:rsidR="008A7538">
        <w:rPr>
          <w:rFonts w:cs="Arial"/>
        </w:rPr>
        <w:t>his close relationship is demonstrated in the chart on the following page which shows similar trends between apprenticeship commencements</w:t>
      </w:r>
      <w:r w:rsidR="008A7538">
        <w:rPr>
          <w:rStyle w:val="FootnoteReference"/>
        </w:rPr>
        <w:footnoteReference w:id="9"/>
      </w:r>
      <w:r w:rsidR="008A7538">
        <w:rPr>
          <w:rFonts w:cs="Arial"/>
        </w:rPr>
        <w:t xml:space="preserve"> and new dwelling commencements</w:t>
      </w:r>
      <w:r w:rsidR="008A7538">
        <w:rPr>
          <w:rStyle w:val="FootnoteReference"/>
        </w:rPr>
        <w:footnoteReference w:id="10"/>
      </w:r>
      <w:r w:rsidR="008A7538">
        <w:rPr>
          <w:rFonts w:cs="Arial"/>
        </w:rPr>
        <w:t>, especially in the last few years.</w:t>
      </w:r>
      <w:r w:rsidR="00482F83">
        <w:rPr>
          <w:rFonts w:cs="Arial"/>
        </w:rPr>
        <w:t xml:space="preserve"> </w:t>
      </w:r>
    </w:p>
    <w:p w:rsidR="008A7538" w:rsidRDefault="008A7538" w:rsidP="008A7538">
      <w:pPr>
        <w:pStyle w:val="ListBullet"/>
        <w:numPr>
          <w:ilvl w:val="0"/>
          <w:numId w:val="0"/>
        </w:numPr>
        <w:ind w:right="113"/>
        <w:rPr>
          <w:rFonts w:cs="Arial"/>
        </w:rPr>
      </w:pPr>
      <w:r>
        <w:rPr>
          <w:rFonts w:cs="Arial"/>
        </w:rPr>
        <w:t>Recent data released by the National Centre for Vocational Education Research (NCVER) show that Victoria is not the only jurisdiction that has experienced reductions in apprentices and trainees in-training in traditional trades. States such as NSW and Queensland are also having similar trends. This is probably reflective of difficult business conditions for this industry being faced across Australia.</w:t>
      </w:r>
    </w:p>
    <w:p w:rsidR="00482F83" w:rsidRDefault="00482F83" w:rsidP="00C36320"/>
    <w:p w:rsidR="008A7538" w:rsidRPr="003552D9" w:rsidRDefault="008A7538" w:rsidP="003552D9">
      <w:pPr>
        <w:pStyle w:val="Caption"/>
      </w:pPr>
      <w:r w:rsidRPr="003552D9">
        <w:t>Figure 3.</w:t>
      </w:r>
      <w:r w:rsidR="008610B1">
        <w:t>3</w:t>
      </w:r>
      <w:r w:rsidRPr="003552D9">
        <w:t>: Number of apprenticeship commencements and new dwelling units commenced all sectors</w:t>
      </w:r>
      <w:r w:rsidRPr="003552D9">
        <w:br/>
        <w:t xml:space="preserve">Quarter 1 2000 to Quarter 2 2013 </w:t>
      </w:r>
    </w:p>
    <w:p w:rsidR="008A7538" w:rsidRPr="00601D9A" w:rsidRDefault="008A7538" w:rsidP="008A7538">
      <w:r>
        <w:rPr>
          <w:noProof/>
          <w:lang w:eastAsia="en-AU"/>
        </w:rPr>
        <w:drawing>
          <wp:inline distT="0" distB="0" distL="0" distR="0" wp14:anchorId="0F1A4D9D" wp14:editId="7F203ADA">
            <wp:extent cx="5519941" cy="34377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18849" cy="3437113"/>
                    </a:xfrm>
                    <a:prstGeom prst="rect">
                      <a:avLst/>
                    </a:prstGeom>
                    <a:noFill/>
                  </pic:spPr>
                </pic:pic>
              </a:graphicData>
            </a:graphic>
          </wp:inline>
        </w:drawing>
      </w:r>
    </w:p>
    <w:p w:rsidR="008A7538" w:rsidRDefault="008A7538" w:rsidP="008A7538">
      <w:pPr>
        <w:spacing w:after="0" w:line="240" w:lineRule="auto"/>
        <w:jc w:val="left"/>
        <w:rPr>
          <w:rFonts w:cs="Arial"/>
        </w:rPr>
      </w:pPr>
    </w:p>
    <w:p w:rsidR="00197840" w:rsidRPr="006B0F2D" w:rsidRDefault="00197840" w:rsidP="00197840">
      <w:pPr>
        <w:pStyle w:val="Caption"/>
      </w:pPr>
      <w:r>
        <w:lastRenderedPageBreak/>
        <w:t>Figure 3</w:t>
      </w:r>
      <w:r w:rsidRPr="001F29E3">
        <w:t>.</w:t>
      </w:r>
      <w:r w:rsidR="008610B1">
        <w:t>4</w:t>
      </w:r>
      <w:r w:rsidRPr="001F29E3">
        <w:t>:</w:t>
      </w:r>
      <w:r>
        <w:t xml:space="preserve"> Number of </w:t>
      </w:r>
      <w:r w:rsidRPr="006B0F2D">
        <w:rPr>
          <w:lang w:val="en-US"/>
        </w:rPr>
        <w:t>Apprentices and trainees in-training in traditional trades, Vic, N</w:t>
      </w:r>
      <w:r>
        <w:rPr>
          <w:lang w:val="en-US"/>
        </w:rPr>
        <w:t xml:space="preserve">ew </w:t>
      </w:r>
      <w:r w:rsidRPr="006B0F2D">
        <w:rPr>
          <w:lang w:val="en-US"/>
        </w:rPr>
        <w:t>S</w:t>
      </w:r>
      <w:r>
        <w:rPr>
          <w:lang w:val="en-US"/>
        </w:rPr>
        <w:t xml:space="preserve">outh </w:t>
      </w:r>
      <w:r w:rsidRPr="006B0F2D">
        <w:rPr>
          <w:lang w:val="en-US"/>
        </w:rPr>
        <w:t>W</w:t>
      </w:r>
      <w:r>
        <w:rPr>
          <w:lang w:val="en-US"/>
        </w:rPr>
        <w:t>ales</w:t>
      </w:r>
      <w:r w:rsidRPr="006B0F2D">
        <w:rPr>
          <w:lang w:val="en-US"/>
        </w:rPr>
        <w:t xml:space="preserve"> and Q</w:t>
      </w:r>
      <w:r>
        <w:rPr>
          <w:lang w:val="en-US"/>
        </w:rPr>
        <w:t xml:space="preserve">ueensland, </w:t>
      </w:r>
      <w:r w:rsidRPr="006B0F2D">
        <w:rPr>
          <w:lang w:val="en-US"/>
        </w:rPr>
        <w:t>Q</w:t>
      </w:r>
      <w:r>
        <w:rPr>
          <w:lang w:val="en-US"/>
        </w:rPr>
        <w:t>uarter 1</w:t>
      </w:r>
      <w:r w:rsidRPr="006B0F2D">
        <w:rPr>
          <w:lang w:val="en-US"/>
        </w:rPr>
        <w:t xml:space="preserve"> 2008 </w:t>
      </w:r>
      <w:r>
        <w:rPr>
          <w:lang w:val="en-US"/>
        </w:rPr>
        <w:t>–</w:t>
      </w:r>
      <w:r w:rsidRPr="006B0F2D">
        <w:rPr>
          <w:lang w:val="en-US"/>
        </w:rPr>
        <w:t xml:space="preserve"> Q</w:t>
      </w:r>
      <w:r>
        <w:rPr>
          <w:lang w:val="en-US"/>
        </w:rPr>
        <w:t xml:space="preserve">uarter </w:t>
      </w:r>
      <w:r w:rsidRPr="006B0F2D">
        <w:rPr>
          <w:lang w:val="en-US"/>
        </w:rPr>
        <w:t>4 2012</w:t>
      </w:r>
      <w:r>
        <w:rPr>
          <w:lang w:val="en-US"/>
        </w:rPr>
        <w:t xml:space="preserve"> (NCVER)</w:t>
      </w:r>
    </w:p>
    <w:p w:rsidR="00197840" w:rsidRDefault="00197840" w:rsidP="00197840">
      <w:r w:rsidRPr="00426187">
        <w:rPr>
          <w:noProof/>
          <w:lang w:eastAsia="en-AU"/>
        </w:rPr>
        <w:drawing>
          <wp:inline distT="0" distB="0" distL="0" distR="0" wp14:anchorId="127EAD97" wp14:editId="20D63F04">
            <wp:extent cx="5346000" cy="3333600"/>
            <wp:effectExtent l="0" t="0" r="762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46000" cy="3333600"/>
                    </a:xfrm>
                    <a:prstGeom prst="rect">
                      <a:avLst/>
                    </a:prstGeom>
                    <a:noFill/>
                    <a:ln>
                      <a:noFill/>
                    </a:ln>
                  </pic:spPr>
                </pic:pic>
              </a:graphicData>
            </a:graphic>
          </wp:inline>
        </w:drawing>
      </w:r>
    </w:p>
    <w:p w:rsidR="00197840" w:rsidRDefault="00197840" w:rsidP="00197840">
      <w:pPr>
        <w:rPr>
          <w:sz w:val="16"/>
          <w:szCs w:val="16"/>
        </w:rPr>
      </w:pPr>
      <w:r w:rsidRPr="00227312">
        <w:rPr>
          <w:sz w:val="16"/>
          <w:szCs w:val="16"/>
        </w:rPr>
        <w:t>Source: Apprentices and Trainees December 2012, VO</w:t>
      </w:r>
      <w:r>
        <w:rPr>
          <w:sz w:val="16"/>
          <w:szCs w:val="16"/>
        </w:rPr>
        <w:t>C</w:t>
      </w:r>
      <w:r w:rsidRPr="00227312">
        <w:rPr>
          <w:sz w:val="16"/>
          <w:szCs w:val="16"/>
        </w:rPr>
        <w:t>STATS NCVER</w:t>
      </w:r>
    </w:p>
    <w:p w:rsidR="008A7538" w:rsidRDefault="008A7538" w:rsidP="00E82D09">
      <w:pPr>
        <w:pStyle w:val="ListBullet"/>
        <w:numPr>
          <w:ilvl w:val="0"/>
          <w:numId w:val="0"/>
        </w:numPr>
        <w:ind w:right="113"/>
        <w:rPr>
          <w:rFonts w:cs="Arial"/>
        </w:rPr>
      </w:pPr>
    </w:p>
    <w:p w:rsidR="00DD3AC7" w:rsidRDefault="00DD3AC7" w:rsidP="00DD3AC7">
      <w:pPr>
        <w:pStyle w:val="Caption"/>
        <w:spacing w:after="0"/>
        <w:jc w:val="left"/>
        <w:rPr>
          <w:rFonts w:cs="Arial"/>
        </w:rPr>
      </w:pPr>
      <w:r>
        <w:rPr>
          <w:rFonts w:cs="Arial"/>
        </w:rPr>
        <w:t>Table 3</w:t>
      </w:r>
      <w:r w:rsidRPr="001F29E3">
        <w:rPr>
          <w:rFonts w:cs="Arial"/>
        </w:rPr>
        <w:t>.</w:t>
      </w:r>
      <w:r w:rsidR="00734456">
        <w:rPr>
          <w:rFonts w:cs="Arial"/>
        </w:rPr>
        <w:t>5</w:t>
      </w:r>
      <w:r>
        <w:rPr>
          <w:rFonts w:cs="Arial"/>
        </w:rPr>
        <w:t>.1</w:t>
      </w:r>
      <w:r w:rsidRPr="001F29E3">
        <w:rPr>
          <w:rFonts w:cs="Arial"/>
        </w:rPr>
        <w:t xml:space="preserve">: Government subsidised enrolments by apprentices by </w:t>
      </w:r>
      <w:r>
        <w:rPr>
          <w:rFonts w:cs="Arial"/>
        </w:rPr>
        <w:t>age</w:t>
      </w:r>
      <w:r w:rsidRPr="001F29E3">
        <w:rPr>
          <w:rFonts w:cs="Arial"/>
        </w:rPr>
        <w:t>, 2008–2012</w:t>
      </w:r>
    </w:p>
    <w:tbl>
      <w:tblPr>
        <w:tblW w:w="9300" w:type="dxa"/>
        <w:tblInd w:w="108" w:type="dxa"/>
        <w:tblLook w:val="04A0" w:firstRow="1" w:lastRow="0" w:firstColumn="1" w:lastColumn="0" w:noHBand="0" w:noVBand="1"/>
      </w:tblPr>
      <w:tblGrid>
        <w:gridCol w:w="2580"/>
        <w:gridCol w:w="1120"/>
        <w:gridCol w:w="1120"/>
        <w:gridCol w:w="1120"/>
        <w:gridCol w:w="1120"/>
        <w:gridCol w:w="1120"/>
        <w:gridCol w:w="1120"/>
      </w:tblGrid>
      <w:tr w:rsidR="00DD3AC7" w:rsidRPr="00867C79" w:rsidTr="00DD3AC7">
        <w:trPr>
          <w:trHeight w:hRule="exact" w:val="760"/>
        </w:trPr>
        <w:tc>
          <w:tcPr>
            <w:tcW w:w="2580" w:type="dxa"/>
            <w:tcBorders>
              <w:top w:val="single" w:sz="4" w:space="0" w:color="5E8A00"/>
              <w:left w:val="single" w:sz="4" w:space="0" w:color="5E8A00"/>
              <w:bottom w:val="single" w:sz="4" w:space="0" w:color="5E8A00"/>
            </w:tcBorders>
            <w:shd w:val="clear" w:color="000000" w:fill="5E8A00"/>
            <w:noWrap/>
            <w:vAlign w:val="center"/>
            <w:hideMark/>
          </w:tcPr>
          <w:p w:rsidR="00DD3AC7" w:rsidRPr="00867C79" w:rsidRDefault="00DD3AC7" w:rsidP="00DD3AC7">
            <w:pPr>
              <w:spacing w:after="0" w:line="240" w:lineRule="auto"/>
              <w:ind w:firstLineChars="100" w:firstLine="181"/>
              <w:jc w:val="left"/>
              <w:rPr>
                <w:rFonts w:cs="Arial"/>
                <w:b/>
                <w:bCs/>
                <w:color w:val="FFFFFF"/>
                <w:sz w:val="18"/>
                <w:szCs w:val="18"/>
                <w:lang w:eastAsia="en-AU"/>
              </w:rPr>
            </w:pPr>
            <w:r w:rsidRPr="00867C79">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DD3AC7" w:rsidRPr="00867C79" w:rsidRDefault="00DD3AC7" w:rsidP="00DD3AC7">
            <w:pPr>
              <w:spacing w:after="0" w:line="240" w:lineRule="auto"/>
              <w:ind w:firstLineChars="100" w:firstLine="181"/>
              <w:jc w:val="right"/>
              <w:rPr>
                <w:rFonts w:cs="Arial"/>
                <w:b/>
                <w:bCs/>
                <w:color w:val="FFFFFF"/>
                <w:sz w:val="18"/>
                <w:szCs w:val="18"/>
                <w:lang w:eastAsia="en-AU"/>
              </w:rPr>
            </w:pPr>
            <w:r w:rsidRPr="00867C79">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DD3AC7" w:rsidRPr="00867C79" w:rsidRDefault="00DD3AC7" w:rsidP="00DD3AC7">
            <w:pPr>
              <w:spacing w:after="0" w:line="240" w:lineRule="auto"/>
              <w:ind w:firstLineChars="100" w:firstLine="181"/>
              <w:jc w:val="right"/>
              <w:rPr>
                <w:rFonts w:cs="Arial"/>
                <w:b/>
                <w:bCs/>
                <w:color w:val="FFFFFF"/>
                <w:sz w:val="18"/>
                <w:szCs w:val="18"/>
                <w:lang w:eastAsia="en-AU"/>
              </w:rPr>
            </w:pPr>
            <w:r w:rsidRPr="00867C79">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DD3AC7" w:rsidRPr="00867C79" w:rsidRDefault="00DD3AC7" w:rsidP="00DD3AC7">
            <w:pPr>
              <w:spacing w:after="0" w:line="240" w:lineRule="auto"/>
              <w:ind w:firstLineChars="100" w:firstLine="181"/>
              <w:jc w:val="right"/>
              <w:rPr>
                <w:rFonts w:cs="Arial"/>
                <w:b/>
                <w:bCs/>
                <w:color w:val="FFFFFF"/>
                <w:sz w:val="18"/>
                <w:szCs w:val="18"/>
                <w:lang w:eastAsia="en-AU"/>
              </w:rPr>
            </w:pPr>
            <w:r w:rsidRPr="00867C79">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DD3AC7" w:rsidRPr="00867C79" w:rsidRDefault="00DD3AC7" w:rsidP="00DD3AC7">
            <w:pPr>
              <w:spacing w:after="0" w:line="240" w:lineRule="auto"/>
              <w:ind w:firstLineChars="100" w:firstLine="181"/>
              <w:jc w:val="right"/>
              <w:rPr>
                <w:rFonts w:cs="Arial"/>
                <w:b/>
                <w:bCs/>
                <w:color w:val="FFFFFF"/>
                <w:sz w:val="18"/>
                <w:szCs w:val="18"/>
                <w:lang w:eastAsia="en-AU"/>
              </w:rPr>
            </w:pPr>
            <w:r w:rsidRPr="00867C79">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DD3AC7" w:rsidRPr="00867C79" w:rsidRDefault="00DD3AC7" w:rsidP="00DD3AC7">
            <w:pPr>
              <w:spacing w:after="0" w:line="240" w:lineRule="auto"/>
              <w:ind w:firstLineChars="100" w:firstLine="181"/>
              <w:jc w:val="right"/>
              <w:rPr>
                <w:rFonts w:cs="Arial"/>
                <w:b/>
                <w:bCs/>
                <w:color w:val="FFFFFF"/>
                <w:sz w:val="18"/>
                <w:szCs w:val="18"/>
                <w:lang w:eastAsia="en-AU"/>
              </w:rPr>
            </w:pPr>
            <w:r w:rsidRPr="00867C79">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 change</w:t>
            </w:r>
            <w:r w:rsidRPr="00867C79">
              <w:rPr>
                <w:rFonts w:cs="Arial"/>
                <w:b/>
                <w:bCs/>
                <w:color w:val="FFFFFF"/>
                <w:sz w:val="18"/>
                <w:szCs w:val="18"/>
                <w:lang w:eastAsia="en-AU"/>
              </w:rPr>
              <w:br/>
              <w:t>2008-2012</w:t>
            </w:r>
          </w:p>
        </w:tc>
      </w:tr>
      <w:tr w:rsidR="00DD3AC7" w:rsidRPr="00867C79" w:rsidTr="00DD3AC7">
        <w:trPr>
          <w:trHeight w:hRule="exact" w:val="284"/>
        </w:trPr>
        <w:tc>
          <w:tcPr>
            <w:tcW w:w="2580" w:type="dxa"/>
            <w:tcBorders>
              <w:top w:val="nil"/>
              <w:left w:val="single" w:sz="4" w:space="0" w:color="5E8A00"/>
              <w:bottom w:val="single" w:sz="4" w:space="0" w:color="5E8A00"/>
              <w:right w:val="single" w:sz="4" w:space="0" w:color="5E8A00"/>
            </w:tcBorders>
            <w:shd w:val="clear" w:color="000000" w:fill="FFFFFF"/>
            <w:noWrap/>
            <w:vAlign w:val="center"/>
            <w:hideMark/>
          </w:tcPr>
          <w:p w:rsidR="00DD3AC7" w:rsidRPr="00867C79" w:rsidRDefault="00DD3AC7" w:rsidP="00DD3AC7">
            <w:pPr>
              <w:spacing w:after="0" w:line="240" w:lineRule="auto"/>
              <w:jc w:val="left"/>
              <w:rPr>
                <w:rFonts w:cs="Arial"/>
                <w:color w:val="3E5B00"/>
                <w:sz w:val="18"/>
                <w:szCs w:val="18"/>
                <w:lang w:eastAsia="en-AU"/>
              </w:rPr>
            </w:pPr>
            <w:r w:rsidRPr="00867C79">
              <w:rPr>
                <w:rFonts w:cs="Arial"/>
                <w:color w:val="3E5B00"/>
                <w:sz w:val="18"/>
                <w:szCs w:val="18"/>
                <w:lang w:eastAsia="en-AU"/>
              </w:rPr>
              <w:t>15 to 19</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19,100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18,400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19,400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19,300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17,300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-9%</w:t>
            </w:r>
          </w:p>
        </w:tc>
      </w:tr>
      <w:tr w:rsidR="00DD3AC7" w:rsidRPr="00867C79" w:rsidTr="00DD3AC7">
        <w:trPr>
          <w:trHeight w:hRule="exact" w:val="284"/>
        </w:trPr>
        <w:tc>
          <w:tcPr>
            <w:tcW w:w="2580" w:type="dxa"/>
            <w:tcBorders>
              <w:top w:val="nil"/>
              <w:left w:val="single" w:sz="4" w:space="0" w:color="5E8A00"/>
              <w:bottom w:val="single" w:sz="4" w:space="0" w:color="5E8A00"/>
              <w:right w:val="single" w:sz="4" w:space="0" w:color="5E8A00"/>
            </w:tcBorders>
            <w:shd w:val="clear" w:color="000000" w:fill="FFFFFF"/>
            <w:noWrap/>
            <w:vAlign w:val="center"/>
            <w:hideMark/>
          </w:tcPr>
          <w:p w:rsidR="00DD3AC7" w:rsidRPr="00867C79" w:rsidRDefault="00DD3AC7" w:rsidP="00DD3AC7">
            <w:pPr>
              <w:spacing w:after="0" w:line="240" w:lineRule="auto"/>
              <w:jc w:val="left"/>
              <w:rPr>
                <w:rFonts w:cs="Arial"/>
                <w:color w:val="3E5B00"/>
                <w:sz w:val="18"/>
                <w:szCs w:val="18"/>
                <w:lang w:eastAsia="en-AU"/>
              </w:rPr>
            </w:pPr>
            <w:r w:rsidRPr="00867C79">
              <w:rPr>
                <w:rFonts w:cs="Arial"/>
                <w:color w:val="3E5B00"/>
                <w:sz w:val="18"/>
                <w:szCs w:val="18"/>
                <w:lang w:eastAsia="en-AU"/>
              </w:rPr>
              <w:t>20 to 24</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16,300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16,500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18,100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18,500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18,800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15%</w:t>
            </w:r>
          </w:p>
        </w:tc>
      </w:tr>
      <w:tr w:rsidR="00DD3AC7" w:rsidRPr="00867C79" w:rsidTr="00DD3AC7">
        <w:trPr>
          <w:trHeight w:hRule="exact" w:val="284"/>
        </w:trPr>
        <w:tc>
          <w:tcPr>
            <w:tcW w:w="2580" w:type="dxa"/>
            <w:tcBorders>
              <w:top w:val="nil"/>
              <w:left w:val="single" w:sz="4" w:space="0" w:color="5E8A00"/>
              <w:bottom w:val="single" w:sz="4" w:space="0" w:color="5E8A00"/>
              <w:right w:val="single" w:sz="4" w:space="0" w:color="5E8A00"/>
            </w:tcBorders>
            <w:shd w:val="clear" w:color="000000" w:fill="FFFFFF"/>
            <w:noWrap/>
            <w:vAlign w:val="center"/>
            <w:hideMark/>
          </w:tcPr>
          <w:p w:rsidR="00DD3AC7" w:rsidRPr="00867C79" w:rsidRDefault="00DD3AC7" w:rsidP="00DD3AC7">
            <w:pPr>
              <w:spacing w:after="0" w:line="240" w:lineRule="auto"/>
              <w:jc w:val="left"/>
              <w:rPr>
                <w:rFonts w:cs="Arial"/>
                <w:color w:val="3E5B00"/>
                <w:sz w:val="18"/>
                <w:szCs w:val="18"/>
                <w:lang w:eastAsia="en-AU"/>
              </w:rPr>
            </w:pPr>
            <w:r w:rsidRPr="00867C79">
              <w:rPr>
                <w:rFonts w:cs="Arial"/>
                <w:color w:val="3E5B00"/>
                <w:sz w:val="18"/>
                <w:szCs w:val="18"/>
                <w:lang w:eastAsia="en-AU"/>
              </w:rPr>
              <w:t>25 to 44</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5,900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6,300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7,100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7,800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8,100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36%</w:t>
            </w:r>
          </w:p>
        </w:tc>
      </w:tr>
      <w:tr w:rsidR="00DD3AC7" w:rsidRPr="00867C79" w:rsidTr="00DD3AC7">
        <w:trPr>
          <w:trHeight w:hRule="exact" w:val="284"/>
        </w:trPr>
        <w:tc>
          <w:tcPr>
            <w:tcW w:w="2580" w:type="dxa"/>
            <w:tcBorders>
              <w:top w:val="nil"/>
              <w:left w:val="single" w:sz="4" w:space="0" w:color="5E8A00"/>
              <w:bottom w:val="single" w:sz="4" w:space="0" w:color="5E8A00"/>
              <w:right w:val="single" w:sz="4" w:space="0" w:color="5E8A00"/>
            </w:tcBorders>
            <w:shd w:val="clear" w:color="000000" w:fill="FFFFFF"/>
            <w:noWrap/>
            <w:vAlign w:val="center"/>
            <w:hideMark/>
          </w:tcPr>
          <w:p w:rsidR="00DD3AC7" w:rsidRPr="00867C79" w:rsidRDefault="00DD3AC7" w:rsidP="00DD3AC7">
            <w:pPr>
              <w:spacing w:after="0" w:line="240" w:lineRule="auto"/>
              <w:jc w:val="left"/>
              <w:rPr>
                <w:rFonts w:cs="Arial"/>
                <w:color w:val="3E5B00"/>
                <w:sz w:val="18"/>
                <w:szCs w:val="18"/>
                <w:lang w:eastAsia="en-AU"/>
              </w:rPr>
            </w:pPr>
            <w:r w:rsidRPr="00867C79">
              <w:rPr>
                <w:rFonts w:cs="Arial"/>
                <w:color w:val="3E5B00"/>
                <w:sz w:val="18"/>
                <w:szCs w:val="18"/>
                <w:lang w:eastAsia="en-AU"/>
              </w:rPr>
              <w:t>45 to 64</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500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500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600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650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850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70%</w:t>
            </w:r>
          </w:p>
        </w:tc>
      </w:tr>
      <w:tr w:rsidR="00DD3AC7" w:rsidRPr="00867C79" w:rsidTr="00DD3AC7">
        <w:trPr>
          <w:trHeight w:hRule="exact" w:val="284"/>
        </w:trPr>
        <w:tc>
          <w:tcPr>
            <w:tcW w:w="2580" w:type="dxa"/>
            <w:tcBorders>
              <w:top w:val="nil"/>
              <w:left w:val="single" w:sz="4" w:space="0" w:color="5E8A00"/>
              <w:bottom w:val="single" w:sz="4" w:space="0" w:color="5E8A00"/>
              <w:right w:val="single" w:sz="4" w:space="0" w:color="5E8A00"/>
            </w:tcBorders>
            <w:shd w:val="clear" w:color="000000" w:fill="FFFFFF"/>
            <w:noWrap/>
            <w:vAlign w:val="center"/>
            <w:hideMark/>
          </w:tcPr>
          <w:p w:rsidR="00DD3AC7" w:rsidRPr="00867C79" w:rsidRDefault="00DD3AC7" w:rsidP="00DD3AC7">
            <w:pPr>
              <w:spacing w:after="0" w:line="240" w:lineRule="auto"/>
              <w:jc w:val="left"/>
              <w:rPr>
                <w:rFonts w:cs="Arial"/>
                <w:color w:val="3E5B00"/>
                <w:sz w:val="18"/>
                <w:szCs w:val="18"/>
                <w:lang w:eastAsia="en-AU"/>
              </w:rPr>
            </w:pPr>
            <w:r w:rsidRPr="00867C79">
              <w:rPr>
                <w:rFonts w:cs="Arial"/>
                <w:color w:val="3E5B00"/>
                <w:sz w:val="18"/>
                <w:szCs w:val="18"/>
                <w:lang w:eastAsia="en-AU"/>
              </w:rPr>
              <w:t>Under 15, over 64, not stated</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50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30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20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20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-80%</w:t>
            </w:r>
          </w:p>
        </w:tc>
      </w:tr>
      <w:tr w:rsidR="00DD3AC7" w:rsidRPr="00867C79" w:rsidTr="00DD3AC7">
        <w:trPr>
          <w:trHeight w:hRule="exact" w:val="284"/>
        </w:trPr>
        <w:tc>
          <w:tcPr>
            <w:tcW w:w="2580" w:type="dxa"/>
            <w:tcBorders>
              <w:top w:val="single" w:sz="4" w:space="0" w:color="5E8A00"/>
              <w:left w:val="single" w:sz="4" w:space="0" w:color="5E8A00"/>
              <w:bottom w:val="nil"/>
            </w:tcBorders>
            <w:shd w:val="clear" w:color="000000" w:fill="5E8A00"/>
            <w:noWrap/>
            <w:vAlign w:val="center"/>
            <w:hideMark/>
          </w:tcPr>
          <w:p w:rsidR="00DD3AC7" w:rsidRPr="00867C79" w:rsidRDefault="00DD3AC7" w:rsidP="00DD3AC7">
            <w:pPr>
              <w:spacing w:after="0" w:line="240" w:lineRule="auto"/>
              <w:jc w:val="left"/>
              <w:rPr>
                <w:rFonts w:cs="Arial"/>
                <w:b/>
                <w:bCs/>
                <w:color w:val="FFFFFF"/>
                <w:sz w:val="18"/>
                <w:szCs w:val="18"/>
                <w:lang w:eastAsia="en-AU"/>
              </w:rPr>
            </w:pPr>
            <w:r w:rsidRPr="00867C79">
              <w:rPr>
                <w:rFonts w:cs="Arial"/>
                <w:b/>
                <w:bCs/>
                <w:color w:val="FFFFFF"/>
                <w:sz w:val="18"/>
                <w:szCs w:val="18"/>
                <w:lang w:eastAsia="en-AU"/>
              </w:rPr>
              <w:t>Apprentices</w:t>
            </w:r>
          </w:p>
        </w:tc>
        <w:tc>
          <w:tcPr>
            <w:tcW w:w="1120" w:type="dxa"/>
            <w:tcBorders>
              <w:top w:val="single" w:sz="4" w:space="0" w:color="5E8A00"/>
              <w:bottom w:val="nil"/>
            </w:tcBorders>
            <w:shd w:val="clear" w:color="000000" w:fill="5E8A00"/>
            <w:noWrap/>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 xml:space="preserve">41,900 </w:t>
            </w:r>
          </w:p>
        </w:tc>
        <w:tc>
          <w:tcPr>
            <w:tcW w:w="1120" w:type="dxa"/>
            <w:tcBorders>
              <w:top w:val="single" w:sz="4" w:space="0" w:color="5E8A00"/>
              <w:bottom w:val="nil"/>
            </w:tcBorders>
            <w:shd w:val="clear" w:color="000000" w:fill="5E8A00"/>
            <w:noWrap/>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 xml:space="preserve">41,600 </w:t>
            </w:r>
          </w:p>
        </w:tc>
        <w:tc>
          <w:tcPr>
            <w:tcW w:w="1120" w:type="dxa"/>
            <w:tcBorders>
              <w:top w:val="single" w:sz="4" w:space="0" w:color="5E8A00"/>
              <w:bottom w:val="nil"/>
            </w:tcBorders>
            <w:shd w:val="clear" w:color="000000" w:fill="5E8A00"/>
            <w:noWrap/>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 xml:space="preserve">45,300 </w:t>
            </w:r>
          </w:p>
        </w:tc>
        <w:tc>
          <w:tcPr>
            <w:tcW w:w="1120" w:type="dxa"/>
            <w:tcBorders>
              <w:top w:val="single" w:sz="4" w:space="0" w:color="5E8A00"/>
              <w:bottom w:val="nil"/>
            </w:tcBorders>
            <w:shd w:val="clear" w:color="000000" w:fill="5E8A00"/>
            <w:noWrap/>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 xml:space="preserve">46,300 </w:t>
            </w:r>
          </w:p>
        </w:tc>
        <w:tc>
          <w:tcPr>
            <w:tcW w:w="1120" w:type="dxa"/>
            <w:tcBorders>
              <w:top w:val="single" w:sz="4" w:space="0" w:color="5E8A00"/>
              <w:bottom w:val="nil"/>
            </w:tcBorders>
            <w:shd w:val="clear" w:color="000000" w:fill="5E8A00"/>
            <w:noWrap/>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 xml:space="preserve">45,000 </w:t>
            </w:r>
          </w:p>
        </w:tc>
        <w:tc>
          <w:tcPr>
            <w:tcW w:w="1120" w:type="dxa"/>
            <w:tcBorders>
              <w:top w:val="single" w:sz="4" w:space="0" w:color="5E8A00"/>
              <w:bottom w:val="nil"/>
              <w:right w:val="single" w:sz="4" w:space="0" w:color="5E8A00"/>
            </w:tcBorders>
            <w:shd w:val="clear" w:color="000000" w:fill="5E8A00"/>
            <w:noWrap/>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8%</w:t>
            </w:r>
          </w:p>
        </w:tc>
      </w:tr>
    </w:tbl>
    <w:p w:rsidR="00DD3AC7" w:rsidRDefault="00DD3AC7" w:rsidP="00DD3AC7"/>
    <w:p w:rsidR="00DD3AC7" w:rsidRDefault="00DD3AC7" w:rsidP="00DD3AC7">
      <w:pPr>
        <w:pStyle w:val="Caption"/>
        <w:spacing w:after="0"/>
      </w:pPr>
      <w:r>
        <w:t>Table 3</w:t>
      </w:r>
      <w:r w:rsidRPr="001F29E3">
        <w:t>.</w:t>
      </w:r>
      <w:r w:rsidR="00734456">
        <w:t>5</w:t>
      </w:r>
      <w:r>
        <w:t>.2</w:t>
      </w:r>
      <w:r w:rsidRPr="001F29E3">
        <w:t xml:space="preserve">: Government subsidised enrolments by apprentices by </w:t>
      </w:r>
      <w:r>
        <w:t>age</w:t>
      </w:r>
      <w:r w:rsidRPr="001F29E3">
        <w:t>, Q</w:t>
      </w:r>
      <w:r>
        <w:t>2</w:t>
      </w:r>
      <w:r w:rsidRPr="001F29E3">
        <w:t xml:space="preserve"> 201</w:t>
      </w:r>
      <w:r>
        <w:t xml:space="preserve">1, Q2 2012 and Q2 </w:t>
      </w:r>
      <w:r w:rsidRPr="001F29E3">
        <w:t>2013</w:t>
      </w:r>
    </w:p>
    <w:tbl>
      <w:tblPr>
        <w:tblW w:w="8505" w:type="dxa"/>
        <w:tblInd w:w="108" w:type="dxa"/>
        <w:tblLook w:val="04A0" w:firstRow="1" w:lastRow="0" w:firstColumn="1" w:lastColumn="0" w:noHBand="0" w:noVBand="1"/>
      </w:tblPr>
      <w:tblGrid>
        <w:gridCol w:w="2580"/>
        <w:gridCol w:w="1120"/>
        <w:gridCol w:w="1120"/>
        <w:gridCol w:w="1120"/>
        <w:gridCol w:w="1290"/>
        <w:gridCol w:w="1275"/>
      </w:tblGrid>
      <w:tr w:rsidR="00DD3AC7" w:rsidRPr="00867C79" w:rsidTr="00DD3AC7">
        <w:trPr>
          <w:trHeight w:hRule="exact" w:val="760"/>
        </w:trPr>
        <w:tc>
          <w:tcPr>
            <w:tcW w:w="2580" w:type="dxa"/>
            <w:tcBorders>
              <w:top w:val="single" w:sz="4" w:space="0" w:color="5E8A00"/>
              <w:left w:val="single" w:sz="4" w:space="0" w:color="5E8A00"/>
              <w:bottom w:val="single" w:sz="4" w:space="0" w:color="5E8A00"/>
            </w:tcBorders>
            <w:shd w:val="clear" w:color="000000" w:fill="5E8A00"/>
            <w:noWrap/>
            <w:vAlign w:val="center"/>
            <w:hideMark/>
          </w:tcPr>
          <w:p w:rsidR="00DD3AC7" w:rsidRPr="00867C79" w:rsidRDefault="00DD3AC7" w:rsidP="00DD3AC7">
            <w:pPr>
              <w:spacing w:after="0" w:line="240" w:lineRule="auto"/>
              <w:ind w:firstLineChars="100" w:firstLine="181"/>
              <w:jc w:val="left"/>
              <w:rPr>
                <w:rFonts w:cs="Arial"/>
                <w:b/>
                <w:bCs/>
                <w:color w:val="FFFFFF"/>
                <w:sz w:val="18"/>
                <w:szCs w:val="18"/>
                <w:lang w:eastAsia="en-AU"/>
              </w:rPr>
            </w:pPr>
            <w:r w:rsidRPr="00867C79">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DD3AC7" w:rsidRPr="00867C79" w:rsidRDefault="00DD3AC7" w:rsidP="00DD3AC7">
            <w:pPr>
              <w:spacing w:after="0" w:line="240" w:lineRule="auto"/>
              <w:ind w:firstLineChars="100" w:firstLine="181"/>
              <w:jc w:val="right"/>
              <w:rPr>
                <w:rFonts w:cs="Arial"/>
                <w:b/>
                <w:bCs/>
                <w:color w:val="FFFFFF"/>
                <w:sz w:val="18"/>
                <w:szCs w:val="18"/>
                <w:lang w:eastAsia="en-AU"/>
              </w:rPr>
            </w:pPr>
            <w:r w:rsidRPr="00867C79">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DD3AC7" w:rsidRPr="00867C79" w:rsidRDefault="00DD3AC7" w:rsidP="00DD3AC7">
            <w:pPr>
              <w:spacing w:after="0" w:line="240" w:lineRule="auto"/>
              <w:ind w:firstLineChars="100" w:firstLine="181"/>
              <w:jc w:val="right"/>
              <w:rPr>
                <w:rFonts w:cs="Arial"/>
                <w:b/>
                <w:bCs/>
                <w:color w:val="FFFFFF"/>
                <w:sz w:val="18"/>
                <w:szCs w:val="18"/>
                <w:lang w:eastAsia="en-AU"/>
              </w:rPr>
            </w:pPr>
            <w:r w:rsidRPr="00867C79">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DD3AC7" w:rsidRPr="00867C79" w:rsidRDefault="00DD3AC7" w:rsidP="00DD3AC7">
            <w:pPr>
              <w:spacing w:after="0" w:line="240" w:lineRule="auto"/>
              <w:ind w:firstLineChars="100" w:firstLine="181"/>
              <w:jc w:val="right"/>
              <w:rPr>
                <w:rFonts w:cs="Arial"/>
                <w:b/>
                <w:bCs/>
                <w:color w:val="FFFFFF"/>
                <w:sz w:val="18"/>
                <w:szCs w:val="18"/>
                <w:lang w:eastAsia="en-AU"/>
              </w:rPr>
            </w:pPr>
            <w:r w:rsidRPr="00867C79">
              <w:rPr>
                <w:rFonts w:cs="Arial"/>
                <w:b/>
                <w:bCs/>
                <w:color w:val="FFFFFF"/>
                <w:sz w:val="18"/>
                <w:szCs w:val="18"/>
                <w:lang w:eastAsia="en-AU"/>
              </w:rPr>
              <w:t>Q2 2013</w:t>
            </w:r>
          </w:p>
        </w:tc>
        <w:tc>
          <w:tcPr>
            <w:tcW w:w="1290" w:type="dxa"/>
            <w:tcBorders>
              <w:top w:val="single" w:sz="4" w:space="0" w:color="5E8A00"/>
              <w:bottom w:val="single" w:sz="4" w:space="0" w:color="5E8A00"/>
            </w:tcBorders>
            <w:shd w:val="clear" w:color="000000" w:fill="5E8A00"/>
            <w:vAlign w:val="center"/>
            <w:hideMark/>
          </w:tcPr>
          <w:p w:rsidR="00DD3AC7" w:rsidRPr="00867C79" w:rsidRDefault="00DD3AC7" w:rsidP="00DD3AC7">
            <w:pPr>
              <w:spacing w:after="0" w:line="240" w:lineRule="auto"/>
              <w:ind w:firstLineChars="100" w:firstLine="181"/>
              <w:jc w:val="right"/>
              <w:rPr>
                <w:rFonts w:cs="Arial"/>
                <w:b/>
                <w:bCs/>
                <w:color w:val="FFFFFF"/>
                <w:sz w:val="18"/>
                <w:szCs w:val="18"/>
                <w:lang w:eastAsia="en-AU"/>
              </w:rPr>
            </w:pPr>
            <w:r>
              <w:rPr>
                <w:rFonts w:cs="Arial"/>
                <w:b/>
                <w:bCs/>
                <w:color w:val="FFFFFF"/>
                <w:sz w:val="18"/>
                <w:szCs w:val="18"/>
                <w:lang w:eastAsia="en-AU"/>
              </w:rPr>
              <w:t xml:space="preserve">% </w:t>
            </w:r>
            <w:r w:rsidRPr="00867C79">
              <w:rPr>
                <w:rFonts w:cs="Arial"/>
                <w:b/>
                <w:bCs/>
                <w:color w:val="FFFFFF"/>
                <w:sz w:val="18"/>
                <w:szCs w:val="18"/>
                <w:lang w:eastAsia="en-AU"/>
              </w:rPr>
              <w:t>change</w:t>
            </w:r>
            <w:r w:rsidRPr="00867C79">
              <w:rPr>
                <w:rFonts w:cs="Arial"/>
                <w:b/>
                <w:bCs/>
                <w:color w:val="FFFFFF"/>
                <w:sz w:val="18"/>
                <w:szCs w:val="18"/>
                <w:lang w:eastAsia="en-AU"/>
              </w:rPr>
              <w:br/>
              <w:t>Q2 2011-Q2 2013 </w:t>
            </w:r>
          </w:p>
        </w:tc>
        <w:tc>
          <w:tcPr>
            <w:tcW w:w="1275" w:type="dxa"/>
            <w:tcBorders>
              <w:top w:val="single" w:sz="4" w:space="0" w:color="5E8A00"/>
              <w:bottom w:val="single" w:sz="4" w:space="0" w:color="5E8A00"/>
              <w:right w:val="nil"/>
            </w:tcBorders>
            <w:shd w:val="clear" w:color="000000" w:fill="5E8A00"/>
            <w:vAlign w:val="center"/>
            <w:hideMark/>
          </w:tcPr>
          <w:p w:rsidR="00DD3AC7" w:rsidRPr="00867C79" w:rsidRDefault="00DD3AC7" w:rsidP="00DD3AC7">
            <w:pPr>
              <w:spacing w:after="0" w:line="240" w:lineRule="auto"/>
              <w:ind w:firstLineChars="100" w:firstLine="181"/>
              <w:jc w:val="right"/>
              <w:rPr>
                <w:rFonts w:cs="Arial"/>
                <w:b/>
                <w:bCs/>
                <w:color w:val="FFFFFF"/>
                <w:sz w:val="18"/>
                <w:szCs w:val="18"/>
                <w:lang w:eastAsia="en-AU"/>
              </w:rPr>
            </w:pPr>
            <w:r w:rsidRPr="00867C79">
              <w:rPr>
                <w:rFonts w:cs="Arial"/>
                <w:b/>
                <w:bCs/>
                <w:color w:val="FFFFFF"/>
                <w:sz w:val="18"/>
                <w:szCs w:val="18"/>
                <w:lang w:eastAsia="en-AU"/>
              </w:rPr>
              <w:t>% change</w:t>
            </w:r>
            <w:r w:rsidRPr="00867C79">
              <w:rPr>
                <w:rFonts w:cs="Arial"/>
                <w:b/>
                <w:bCs/>
                <w:color w:val="FFFFFF"/>
                <w:sz w:val="18"/>
                <w:szCs w:val="18"/>
                <w:lang w:eastAsia="en-AU"/>
              </w:rPr>
              <w:br/>
              <w:t>Q2 2012-Q2 2013</w:t>
            </w:r>
          </w:p>
        </w:tc>
      </w:tr>
      <w:tr w:rsidR="00DD3AC7" w:rsidRPr="00867C79" w:rsidTr="00DD3AC7">
        <w:trPr>
          <w:trHeight w:hRule="exact" w:val="284"/>
        </w:trPr>
        <w:tc>
          <w:tcPr>
            <w:tcW w:w="2580" w:type="dxa"/>
            <w:tcBorders>
              <w:top w:val="nil"/>
              <w:left w:val="single" w:sz="4" w:space="0" w:color="5E8A00"/>
              <w:bottom w:val="single" w:sz="4" w:space="0" w:color="5E8A00"/>
              <w:right w:val="single" w:sz="4" w:space="0" w:color="5E8A00"/>
            </w:tcBorders>
            <w:shd w:val="clear" w:color="000000" w:fill="FFFFFF"/>
            <w:noWrap/>
            <w:vAlign w:val="center"/>
            <w:hideMark/>
          </w:tcPr>
          <w:p w:rsidR="00DD3AC7" w:rsidRPr="00867C79" w:rsidRDefault="00DD3AC7" w:rsidP="00DD3AC7">
            <w:pPr>
              <w:spacing w:after="0" w:line="240" w:lineRule="auto"/>
              <w:jc w:val="left"/>
              <w:rPr>
                <w:rFonts w:cs="Arial"/>
                <w:color w:val="3E5B00"/>
                <w:sz w:val="18"/>
                <w:szCs w:val="18"/>
                <w:lang w:eastAsia="en-AU"/>
              </w:rPr>
            </w:pPr>
            <w:r w:rsidRPr="00867C79">
              <w:rPr>
                <w:rFonts w:cs="Arial"/>
                <w:color w:val="3E5B00"/>
                <w:sz w:val="18"/>
                <w:szCs w:val="18"/>
                <w:lang w:eastAsia="en-AU"/>
              </w:rPr>
              <w:t>15 to 19</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14,700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13,900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11,400 </w:t>
            </w:r>
          </w:p>
        </w:tc>
        <w:tc>
          <w:tcPr>
            <w:tcW w:w="129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-22%</w:t>
            </w:r>
          </w:p>
        </w:tc>
        <w:tc>
          <w:tcPr>
            <w:tcW w:w="1275"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-18%</w:t>
            </w:r>
          </w:p>
        </w:tc>
      </w:tr>
      <w:tr w:rsidR="00DD3AC7" w:rsidRPr="00867C79" w:rsidTr="00DD3AC7">
        <w:trPr>
          <w:trHeight w:hRule="exact" w:val="284"/>
        </w:trPr>
        <w:tc>
          <w:tcPr>
            <w:tcW w:w="2580" w:type="dxa"/>
            <w:tcBorders>
              <w:top w:val="nil"/>
              <w:left w:val="single" w:sz="4" w:space="0" w:color="5E8A00"/>
              <w:bottom w:val="single" w:sz="4" w:space="0" w:color="5E8A00"/>
              <w:right w:val="single" w:sz="4" w:space="0" w:color="5E8A00"/>
            </w:tcBorders>
            <w:shd w:val="clear" w:color="000000" w:fill="FFFFFF"/>
            <w:noWrap/>
            <w:vAlign w:val="center"/>
            <w:hideMark/>
          </w:tcPr>
          <w:p w:rsidR="00DD3AC7" w:rsidRPr="00867C79" w:rsidRDefault="00DD3AC7" w:rsidP="00DD3AC7">
            <w:pPr>
              <w:spacing w:after="0" w:line="240" w:lineRule="auto"/>
              <w:jc w:val="left"/>
              <w:rPr>
                <w:rFonts w:cs="Arial"/>
                <w:color w:val="3E5B00"/>
                <w:sz w:val="18"/>
                <w:szCs w:val="18"/>
                <w:lang w:eastAsia="en-AU"/>
              </w:rPr>
            </w:pPr>
            <w:r w:rsidRPr="00867C79">
              <w:rPr>
                <w:rFonts w:cs="Arial"/>
                <w:color w:val="3E5B00"/>
                <w:sz w:val="18"/>
                <w:szCs w:val="18"/>
                <w:lang w:eastAsia="en-AU"/>
              </w:rPr>
              <w:t>20 to 24</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15,800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16,600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15,500 </w:t>
            </w:r>
          </w:p>
        </w:tc>
        <w:tc>
          <w:tcPr>
            <w:tcW w:w="129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-2%</w:t>
            </w:r>
          </w:p>
        </w:tc>
        <w:tc>
          <w:tcPr>
            <w:tcW w:w="1275"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-7%</w:t>
            </w:r>
          </w:p>
        </w:tc>
      </w:tr>
      <w:tr w:rsidR="00DD3AC7" w:rsidRPr="00867C79" w:rsidTr="00DD3AC7">
        <w:trPr>
          <w:trHeight w:hRule="exact" w:val="284"/>
        </w:trPr>
        <w:tc>
          <w:tcPr>
            <w:tcW w:w="2580" w:type="dxa"/>
            <w:tcBorders>
              <w:top w:val="nil"/>
              <w:left w:val="single" w:sz="4" w:space="0" w:color="5E8A00"/>
              <w:bottom w:val="single" w:sz="4" w:space="0" w:color="5E8A00"/>
              <w:right w:val="single" w:sz="4" w:space="0" w:color="5E8A00"/>
            </w:tcBorders>
            <w:shd w:val="clear" w:color="000000" w:fill="FFFFFF"/>
            <w:noWrap/>
            <w:vAlign w:val="center"/>
            <w:hideMark/>
          </w:tcPr>
          <w:p w:rsidR="00DD3AC7" w:rsidRPr="00867C79" w:rsidRDefault="00DD3AC7" w:rsidP="00DD3AC7">
            <w:pPr>
              <w:spacing w:after="0" w:line="240" w:lineRule="auto"/>
              <w:jc w:val="left"/>
              <w:rPr>
                <w:rFonts w:cs="Arial"/>
                <w:color w:val="3E5B00"/>
                <w:sz w:val="18"/>
                <w:szCs w:val="18"/>
                <w:lang w:eastAsia="en-AU"/>
              </w:rPr>
            </w:pPr>
            <w:r w:rsidRPr="00867C79">
              <w:rPr>
                <w:rFonts w:cs="Arial"/>
                <w:color w:val="3E5B00"/>
                <w:sz w:val="18"/>
                <w:szCs w:val="18"/>
                <w:lang w:eastAsia="en-AU"/>
              </w:rPr>
              <w:t>25 to 44</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6,300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6,600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6,600 </w:t>
            </w:r>
          </w:p>
        </w:tc>
        <w:tc>
          <w:tcPr>
            <w:tcW w:w="129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6%</w:t>
            </w:r>
          </w:p>
        </w:tc>
        <w:tc>
          <w:tcPr>
            <w:tcW w:w="1275"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1%</w:t>
            </w:r>
          </w:p>
        </w:tc>
      </w:tr>
      <w:tr w:rsidR="00DD3AC7" w:rsidRPr="00867C79" w:rsidTr="00DD3AC7">
        <w:trPr>
          <w:trHeight w:hRule="exact" w:val="284"/>
        </w:trPr>
        <w:tc>
          <w:tcPr>
            <w:tcW w:w="2580" w:type="dxa"/>
            <w:tcBorders>
              <w:top w:val="nil"/>
              <w:left w:val="single" w:sz="4" w:space="0" w:color="5E8A00"/>
              <w:bottom w:val="single" w:sz="4" w:space="0" w:color="5E8A00"/>
              <w:right w:val="single" w:sz="4" w:space="0" w:color="5E8A00"/>
            </w:tcBorders>
            <w:shd w:val="clear" w:color="000000" w:fill="FFFFFF"/>
            <w:noWrap/>
            <w:vAlign w:val="center"/>
            <w:hideMark/>
          </w:tcPr>
          <w:p w:rsidR="00DD3AC7" w:rsidRPr="00867C79" w:rsidRDefault="00DD3AC7" w:rsidP="00DD3AC7">
            <w:pPr>
              <w:spacing w:after="0" w:line="240" w:lineRule="auto"/>
              <w:jc w:val="left"/>
              <w:rPr>
                <w:rFonts w:cs="Arial"/>
                <w:color w:val="3E5B00"/>
                <w:sz w:val="18"/>
                <w:szCs w:val="18"/>
                <w:lang w:eastAsia="en-AU"/>
              </w:rPr>
            </w:pPr>
            <w:r w:rsidRPr="00867C79">
              <w:rPr>
                <w:rFonts w:cs="Arial"/>
                <w:color w:val="3E5B00"/>
                <w:sz w:val="18"/>
                <w:szCs w:val="18"/>
                <w:lang w:eastAsia="en-AU"/>
              </w:rPr>
              <w:t>45 to 64</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550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600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800 </w:t>
            </w:r>
          </w:p>
        </w:tc>
        <w:tc>
          <w:tcPr>
            <w:tcW w:w="129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44%</w:t>
            </w:r>
          </w:p>
        </w:tc>
        <w:tc>
          <w:tcPr>
            <w:tcW w:w="1275"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36%</w:t>
            </w:r>
          </w:p>
        </w:tc>
      </w:tr>
      <w:tr w:rsidR="00DD3AC7" w:rsidRPr="00867C79" w:rsidTr="00DD3AC7">
        <w:trPr>
          <w:trHeight w:hRule="exact" w:val="284"/>
        </w:trPr>
        <w:tc>
          <w:tcPr>
            <w:tcW w:w="2580" w:type="dxa"/>
            <w:tcBorders>
              <w:top w:val="nil"/>
              <w:left w:val="single" w:sz="4" w:space="0" w:color="5E8A00"/>
              <w:bottom w:val="single" w:sz="4" w:space="0" w:color="5E8A00"/>
              <w:right w:val="single" w:sz="4" w:space="0" w:color="5E8A00"/>
            </w:tcBorders>
            <w:shd w:val="clear" w:color="000000" w:fill="FFFFFF"/>
            <w:noWrap/>
            <w:vAlign w:val="center"/>
            <w:hideMark/>
          </w:tcPr>
          <w:p w:rsidR="00DD3AC7" w:rsidRPr="00867C79" w:rsidRDefault="00DD3AC7" w:rsidP="00DD3AC7">
            <w:pPr>
              <w:spacing w:after="0" w:line="240" w:lineRule="auto"/>
              <w:jc w:val="left"/>
              <w:rPr>
                <w:rFonts w:cs="Arial"/>
                <w:color w:val="3E5B00"/>
                <w:sz w:val="18"/>
                <w:szCs w:val="18"/>
                <w:lang w:eastAsia="en-AU"/>
              </w:rPr>
            </w:pPr>
            <w:r w:rsidRPr="00867C79">
              <w:rPr>
                <w:rFonts w:cs="Arial"/>
                <w:color w:val="3E5B00"/>
                <w:sz w:val="18"/>
                <w:szCs w:val="18"/>
                <w:lang w:eastAsia="en-AU"/>
              </w:rPr>
              <w:t>Under 15, over 64, not stated</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40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10 </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 xml:space="preserve">20 </w:t>
            </w:r>
          </w:p>
        </w:tc>
        <w:tc>
          <w:tcPr>
            <w:tcW w:w="1290"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-63%</w:t>
            </w:r>
          </w:p>
        </w:tc>
        <w:tc>
          <w:tcPr>
            <w:tcW w:w="1275" w:type="dxa"/>
            <w:tcBorders>
              <w:top w:val="nil"/>
              <w:left w:val="nil"/>
              <w:bottom w:val="single" w:sz="4" w:space="0" w:color="5E8A00"/>
              <w:right w:val="single" w:sz="4" w:space="0" w:color="5E8A00"/>
            </w:tcBorders>
            <w:shd w:val="clear" w:color="auto" w:fill="auto"/>
            <w:noWrap/>
            <w:vAlign w:val="center"/>
            <w:hideMark/>
          </w:tcPr>
          <w:p w:rsidR="00DD3AC7" w:rsidRPr="00867C79" w:rsidRDefault="00DD3AC7" w:rsidP="00DD3AC7">
            <w:pPr>
              <w:spacing w:after="0" w:line="240" w:lineRule="auto"/>
              <w:jc w:val="right"/>
              <w:rPr>
                <w:rFonts w:cs="Arial"/>
                <w:sz w:val="18"/>
                <w:szCs w:val="18"/>
                <w:lang w:eastAsia="en-AU"/>
              </w:rPr>
            </w:pPr>
            <w:r w:rsidRPr="00867C79">
              <w:rPr>
                <w:rFonts w:cs="Arial"/>
                <w:sz w:val="18"/>
                <w:szCs w:val="18"/>
                <w:lang w:eastAsia="en-AU"/>
              </w:rPr>
              <w:t>114%</w:t>
            </w:r>
          </w:p>
        </w:tc>
      </w:tr>
      <w:tr w:rsidR="00DD3AC7" w:rsidRPr="00867C79" w:rsidTr="00DD3AC7">
        <w:trPr>
          <w:trHeight w:hRule="exact" w:val="284"/>
        </w:trPr>
        <w:tc>
          <w:tcPr>
            <w:tcW w:w="2580" w:type="dxa"/>
            <w:tcBorders>
              <w:top w:val="single" w:sz="4" w:space="0" w:color="5E8A00"/>
              <w:left w:val="single" w:sz="4" w:space="0" w:color="5E8A00"/>
              <w:bottom w:val="nil"/>
            </w:tcBorders>
            <w:shd w:val="clear" w:color="000000" w:fill="5E8A00"/>
            <w:noWrap/>
            <w:vAlign w:val="center"/>
            <w:hideMark/>
          </w:tcPr>
          <w:p w:rsidR="00DD3AC7" w:rsidRPr="00867C79" w:rsidRDefault="00DD3AC7" w:rsidP="00DD3AC7">
            <w:pPr>
              <w:spacing w:after="0" w:line="240" w:lineRule="auto"/>
              <w:jc w:val="left"/>
              <w:rPr>
                <w:rFonts w:cs="Arial"/>
                <w:b/>
                <w:bCs/>
                <w:color w:val="FFFFFF"/>
                <w:sz w:val="18"/>
                <w:szCs w:val="18"/>
                <w:lang w:eastAsia="en-AU"/>
              </w:rPr>
            </w:pPr>
            <w:r w:rsidRPr="00867C79">
              <w:rPr>
                <w:rFonts w:cs="Arial"/>
                <w:b/>
                <w:bCs/>
                <w:color w:val="FFFFFF"/>
                <w:sz w:val="18"/>
                <w:szCs w:val="18"/>
                <w:lang w:eastAsia="en-AU"/>
              </w:rPr>
              <w:t>Apprentices</w:t>
            </w:r>
          </w:p>
        </w:tc>
        <w:tc>
          <w:tcPr>
            <w:tcW w:w="1120" w:type="dxa"/>
            <w:tcBorders>
              <w:top w:val="single" w:sz="4" w:space="0" w:color="5E8A00"/>
              <w:bottom w:val="single" w:sz="4" w:space="0" w:color="5E8A00"/>
            </w:tcBorders>
            <w:shd w:val="clear" w:color="000000" w:fill="5E8A00"/>
            <w:noWrap/>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 xml:space="preserve">37,400 </w:t>
            </w:r>
          </w:p>
        </w:tc>
        <w:tc>
          <w:tcPr>
            <w:tcW w:w="1120" w:type="dxa"/>
            <w:tcBorders>
              <w:top w:val="single" w:sz="4" w:space="0" w:color="5E8A00"/>
              <w:bottom w:val="single" w:sz="4" w:space="0" w:color="5E8A00"/>
            </w:tcBorders>
            <w:shd w:val="clear" w:color="000000" w:fill="5E8A00"/>
            <w:noWrap/>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 xml:space="preserve">37,700 </w:t>
            </w:r>
          </w:p>
        </w:tc>
        <w:tc>
          <w:tcPr>
            <w:tcW w:w="1120" w:type="dxa"/>
            <w:tcBorders>
              <w:top w:val="single" w:sz="4" w:space="0" w:color="5E8A00"/>
              <w:bottom w:val="single" w:sz="4" w:space="0" w:color="5E8A00"/>
            </w:tcBorders>
            <w:shd w:val="clear" w:color="000000" w:fill="5E8A00"/>
            <w:noWrap/>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 xml:space="preserve">34,400 </w:t>
            </w:r>
          </w:p>
        </w:tc>
        <w:tc>
          <w:tcPr>
            <w:tcW w:w="1290" w:type="dxa"/>
            <w:tcBorders>
              <w:top w:val="single" w:sz="4" w:space="0" w:color="5E8A00"/>
              <w:bottom w:val="nil"/>
            </w:tcBorders>
            <w:shd w:val="clear" w:color="000000" w:fill="5E8A00"/>
            <w:noWrap/>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-8%</w:t>
            </w:r>
          </w:p>
        </w:tc>
        <w:tc>
          <w:tcPr>
            <w:tcW w:w="1275" w:type="dxa"/>
            <w:tcBorders>
              <w:top w:val="single" w:sz="4" w:space="0" w:color="5E8A00"/>
              <w:bottom w:val="nil"/>
              <w:right w:val="single" w:sz="4" w:space="0" w:color="5E8A00"/>
            </w:tcBorders>
            <w:shd w:val="clear" w:color="000000" w:fill="5E8A00"/>
            <w:noWrap/>
            <w:vAlign w:val="center"/>
            <w:hideMark/>
          </w:tcPr>
          <w:p w:rsidR="00DD3AC7" w:rsidRPr="00867C79" w:rsidRDefault="00DD3AC7" w:rsidP="00DD3AC7">
            <w:pPr>
              <w:spacing w:after="0" w:line="240" w:lineRule="auto"/>
              <w:jc w:val="right"/>
              <w:rPr>
                <w:rFonts w:cs="Arial"/>
                <w:b/>
                <w:bCs/>
                <w:color w:val="FFFFFF"/>
                <w:sz w:val="18"/>
                <w:szCs w:val="18"/>
                <w:lang w:eastAsia="en-AU"/>
              </w:rPr>
            </w:pPr>
            <w:r w:rsidRPr="00867C79">
              <w:rPr>
                <w:rFonts w:cs="Arial"/>
                <w:b/>
                <w:bCs/>
                <w:color w:val="FFFFFF"/>
                <w:sz w:val="18"/>
                <w:szCs w:val="18"/>
                <w:lang w:eastAsia="en-AU"/>
              </w:rPr>
              <w:t>-9%</w:t>
            </w:r>
          </w:p>
        </w:tc>
      </w:tr>
      <w:tr w:rsidR="00DD3AC7" w:rsidRPr="00867C79" w:rsidTr="00DD3AC7">
        <w:trPr>
          <w:trHeight w:val="255"/>
        </w:trPr>
        <w:tc>
          <w:tcPr>
            <w:tcW w:w="2580" w:type="dxa"/>
            <w:tcBorders>
              <w:top w:val="nil"/>
              <w:left w:val="nil"/>
              <w:bottom w:val="nil"/>
              <w:right w:val="nil"/>
            </w:tcBorders>
            <w:shd w:val="clear" w:color="auto" w:fill="auto"/>
            <w:noWrap/>
            <w:vAlign w:val="bottom"/>
            <w:hideMark/>
          </w:tcPr>
          <w:p w:rsidR="00DD3AC7" w:rsidRPr="00867C79" w:rsidRDefault="00DD3AC7" w:rsidP="00DD3AC7">
            <w:pPr>
              <w:spacing w:after="0" w:line="240" w:lineRule="auto"/>
              <w:jc w:val="left"/>
              <w:rPr>
                <w:rFonts w:cs="Arial"/>
                <w:color w:val="000000"/>
                <w:sz w:val="18"/>
                <w:szCs w:val="18"/>
                <w:lang w:eastAsia="en-AU"/>
              </w:rPr>
            </w:pPr>
          </w:p>
        </w:tc>
        <w:tc>
          <w:tcPr>
            <w:tcW w:w="1120" w:type="dxa"/>
            <w:tcBorders>
              <w:top w:val="nil"/>
              <w:left w:val="nil"/>
              <w:bottom w:val="nil"/>
              <w:right w:val="nil"/>
            </w:tcBorders>
            <w:shd w:val="clear" w:color="auto" w:fill="auto"/>
            <w:noWrap/>
            <w:vAlign w:val="bottom"/>
            <w:hideMark/>
          </w:tcPr>
          <w:p w:rsidR="00DD3AC7" w:rsidRPr="00867C79" w:rsidRDefault="00DD3AC7" w:rsidP="00DD3AC7">
            <w:pPr>
              <w:spacing w:after="0" w:line="240" w:lineRule="auto"/>
              <w:jc w:val="left"/>
              <w:rPr>
                <w:rFonts w:cs="Arial"/>
                <w:color w:val="000000"/>
                <w:sz w:val="18"/>
                <w:szCs w:val="18"/>
                <w:lang w:eastAsia="en-AU"/>
              </w:rPr>
            </w:pPr>
          </w:p>
        </w:tc>
        <w:tc>
          <w:tcPr>
            <w:tcW w:w="1120" w:type="dxa"/>
            <w:tcBorders>
              <w:top w:val="nil"/>
              <w:left w:val="nil"/>
              <w:bottom w:val="nil"/>
              <w:right w:val="nil"/>
            </w:tcBorders>
            <w:shd w:val="clear" w:color="auto" w:fill="auto"/>
            <w:noWrap/>
            <w:vAlign w:val="bottom"/>
            <w:hideMark/>
          </w:tcPr>
          <w:p w:rsidR="00DD3AC7" w:rsidRPr="00867C79" w:rsidRDefault="00DD3AC7" w:rsidP="00DD3AC7">
            <w:pPr>
              <w:spacing w:after="0" w:line="240" w:lineRule="auto"/>
              <w:jc w:val="left"/>
              <w:rPr>
                <w:rFonts w:cs="Arial"/>
                <w:color w:val="000000"/>
                <w:sz w:val="18"/>
                <w:szCs w:val="18"/>
                <w:lang w:eastAsia="en-AU"/>
              </w:rPr>
            </w:pPr>
          </w:p>
        </w:tc>
        <w:tc>
          <w:tcPr>
            <w:tcW w:w="1120" w:type="dxa"/>
            <w:tcBorders>
              <w:top w:val="nil"/>
              <w:left w:val="nil"/>
              <w:bottom w:val="nil"/>
              <w:right w:val="nil"/>
            </w:tcBorders>
            <w:shd w:val="clear" w:color="auto" w:fill="auto"/>
            <w:noWrap/>
            <w:vAlign w:val="bottom"/>
            <w:hideMark/>
          </w:tcPr>
          <w:p w:rsidR="00DD3AC7" w:rsidRPr="00867C79" w:rsidRDefault="00DD3AC7" w:rsidP="00DD3AC7">
            <w:pPr>
              <w:spacing w:after="0" w:line="240" w:lineRule="auto"/>
              <w:jc w:val="left"/>
              <w:rPr>
                <w:rFonts w:cs="Arial"/>
                <w:color w:val="000000"/>
                <w:sz w:val="18"/>
                <w:szCs w:val="18"/>
                <w:lang w:eastAsia="en-AU"/>
              </w:rPr>
            </w:pPr>
          </w:p>
        </w:tc>
        <w:tc>
          <w:tcPr>
            <w:tcW w:w="1290" w:type="dxa"/>
            <w:tcBorders>
              <w:top w:val="nil"/>
              <w:left w:val="nil"/>
              <w:bottom w:val="nil"/>
              <w:right w:val="nil"/>
            </w:tcBorders>
            <w:shd w:val="clear" w:color="auto" w:fill="auto"/>
            <w:noWrap/>
            <w:vAlign w:val="bottom"/>
            <w:hideMark/>
          </w:tcPr>
          <w:p w:rsidR="00DD3AC7" w:rsidRPr="00867C79" w:rsidRDefault="00DD3AC7" w:rsidP="00DD3AC7">
            <w:pPr>
              <w:spacing w:after="0" w:line="240" w:lineRule="auto"/>
              <w:jc w:val="left"/>
              <w:rPr>
                <w:rFonts w:cs="Arial"/>
                <w:color w:val="000000"/>
                <w:sz w:val="18"/>
                <w:szCs w:val="18"/>
                <w:lang w:eastAsia="en-AU"/>
              </w:rPr>
            </w:pPr>
          </w:p>
        </w:tc>
        <w:tc>
          <w:tcPr>
            <w:tcW w:w="1275" w:type="dxa"/>
            <w:tcBorders>
              <w:top w:val="nil"/>
              <w:left w:val="nil"/>
              <w:bottom w:val="nil"/>
              <w:right w:val="nil"/>
            </w:tcBorders>
            <w:shd w:val="clear" w:color="auto" w:fill="auto"/>
            <w:noWrap/>
            <w:vAlign w:val="bottom"/>
            <w:hideMark/>
          </w:tcPr>
          <w:p w:rsidR="00DD3AC7" w:rsidRPr="00867C79" w:rsidRDefault="00DD3AC7" w:rsidP="00DD3AC7">
            <w:pPr>
              <w:spacing w:after="0" w:line="240" w:lineRule="auto"/>
              <w:jc w:val="left"/>
              <w:rPr>
                <w:rFonts w:cs="Arial"/>
                <w:color w:val="000000"/>
                <w:sz w:val="18"/>
                <w:szCs w:val="18"/>
                <w:lang w:eastAsia="en-AU"/>
              </w:rPr>
            </w:pPr>
          </w:p>
        </w:tc>
      </w:tr>
    </w:tbl>
    <w:p w:rsidR="00DD3AC7" w:rsidRDefault="00DD3AC7" w:rsidP="00DD3AC7">
      <w:pPr>
        <w:pStyle w:val="Caption"/>
        <w:spacing w:after="0"/>
        <w:jc w:val="left"/>
        <w:rPr>
          <w:rFonts w:cs="Arial"/>
        </w:rPr>
      </w:pPr>
    </w:p>
    <w:p w:rsidR="00DD3AC7" w:rsidRDefault="00DD3AC7">
      <w:pPr>
        <w:spacing w:after="0" w:line="240" w:lineRule="auto"/>
        <w:jc w:val="left"/>
        <w:rPr>
          <w:rFonts w:cs="Arial"/>
          <w:b/>
          <w:bCs/>
          <w:color w:val="76923C" w:themeColor="accent3" w:themeShade="BF"/>
          <w:sz w:val="18"/>
          <w:szCs w:val="16"/>
        </w:rPr>
      </w:pPr>
      <w:r>
        <w:rPr>
          <w:rFonts w:cs="Arial"/>
        </w:rPr>
        <w:br w:type="page"/>
      </w:r>
    </w:p>
    <w:p w:rsidR="00DD3AC7" w:rsidRDefault="00DD3AC7" w:rsidP="00DD3AC7">
      <w:pPr>
        <w:pStyle w:val="Caption"/>
        <w:spacing w:after="0"/>
        <w:jc w:val="left"/>
        <w:rPr>
          <w:rFonts w:cs="Arial"/>
        </w:rPr>
      </w:pPr>
      <w:r>
        <w:rPr>
          <w:rFonts w:cs="Arial"/>
        </w:rPr>
        <w:lastRenderedPageBreak/>
        <w:t>Table 3</w:t>
      </w:r>
      <w:r w:rsidRPr="001F29E3">
        <w:rPr>
          <w:rFonts w:cs="Arial"/>
        </w:rPr>
        <w:t>.</w:t>
      </w:r>
      <w:r w:rsidR="00734456">
        <w:rPr>
          <w:rFonts w:cs="Arial"/>
        </w:rPr>
        <w:t>6</w:t>
      </w:r>
      <w:r w:rsidRPr="001F29E3">
        <w:rPr>
          <w:rFonts w:cs="Arial"/>
        </w:rPr>
        <w:t xml:space="preserve">: Government subsidised enrolments by apprentices by </w:t>
      </w:r>
      <w:r>
        <w:rPr>
          <w:rFonts w:cs="Arial"/>
        </w:rPr>
        <w:t>industry</w:t>
      </w:r>
      <w:r w:rsidRPr="001F29E3">
        <w:rPr>
          <w:rFonts w:cs="Arial"/>
        </w:rPr>
        <w:t>, Q</w:t>
      </w:r>
      <w:r>
        <w:rPr>
          <w:rFonts w:cs="Arial"/>
        </w:rPr>
        <w:t>2</w:t>
      </w:r>
      <w:r w:rsidRPr="001F29E3">
        <w:rPr>
          <w:rFonts w:cs="Arial"/>
        </w:rPr>
        <w:t xml:space="preserve"> 201</w:t>
      </w:r>
      <w:r>
        <w:rPr>
          <w:rFonts w:cs="Arial"/>
        </w:rPr>
        <w:t xml:space="preserve">1, Q2 2012 and </w:t>
      </w:r>
      <w:r>
        <w:rPr>
          <w:rFonts w:cs="Arial"/>
        </w:rPr>
        <w:br/>
        <w:t xml:space="preserve">Q2 </w:t>
      </w:r>
      <w:r w:rsidRPr="001F29E3">
        <w:rPr>
          <w:rFonts w:cs="Arial"/>
        </w:rPr>
        <w:t>2013</w:t>
      </w:r>
    </w:p>
    <w:tbl>
      <w:tblPr>
        <w:tblW w:w="9840" w:type="dxa"/>
        <w:tblInd w:w="108" w:type="dxa"/>
        <w:tblLook w:val="04A0" w:firstRow="1" w:lastRow="0" w:firstColumn="1" w:lastColumn="0" w:noHBand="0" w:noVBand="1"/>
      </w:tblPr>
      <w:tblGrid>
        <w:gridCol w:w="4240"/>
        <w:gridCol w:w="1120"/>
        <w:gridCol w:w="1120"/>
        <w:gridCol w:w="1120"/>
        <w:gridCol w:w="1120"/>
        <w:gridCol w:w="1120"/>
      </w:tblGrid>
      <w:tr w:rsidR="00DD3AC7" w:rsidRPr="00165FD1" w:rsidTr="00DD3AC7">
        <w:trPr>
          <w:trHeight w:hRule="exact" w:val="760"/>
        </w:trPr>
        <w:tc>
          <w:tcPr>
            <w:tcW w:w="4240" w:type="dxa"/>
            <w:tcBorders>
              <w:top w:val="single" w:sz="4" w:space="0" w:color="5E8A00"/>
              <w:left w:val="single" w:sz="4" w:space="0" w:color="5E8A00"/>
              <w:bottom w:val="single" w:sz="4" w:space="0" w:color="5E8A00"/>
            </w:tcBorders>
            <w:shd w:val="clear" w:color="000000" w:fill="5E8A00"/>
            <w:noWrap/>
            <w:vAlign w:val="center"/>
            <w:hideMark/>
          </w:tcPr>
          <w:p w:rsidR="00DD3AC7" w:rsidRPr="00165FD1" w:rsidRDefault="00DD3AC7" w:rsidP="00DD3AC7">
            <w:pPr>
              <w:spacing w:after="0" w:line="240" w:lineRule="auto"/>
              <w:ind w:firstLineChars="100" w:firstLine="181"/>
              <w:jc w:val="left"/>
              <w:rPr>
                <w:rFonts w:cs="Arial"/>
                <w:b/>
                <w:bCs/>
                <w:color w:val="FFFFFF"/>
                <w:sz w:val="18"/>
                <w:szCs w:val="18"/>
                <w:lang w:eastAsia="en-AU"/>
              </w:rPr>
            </w:pPr>
            <w:r w:rsidRPr="00165FD1">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DD3AC7" w:rsidRPr="00165FD1" w:rsidRDefault="00DD3AC7" w:rsidP="00DD3AC7">
            <w:pPr>
              <w:spacing w:after="0" w:line="240" w:lineRule="auto"/>
              <w:ind w:firstLineChars="100" w:firstLine="181"/>
              <w:jc w:val="right"/>
              <w:rPr>
                <w:rFonts w:cs="Arial"/>
                <w:b/>
                <w:bCs/>
                <w:color w:val="FFFFFF"/>
                <w:sz w:val="18"/>
                <w:szCs w:val="18"/>
                <w:lang w:eastAsia="en-AU"/>
              </w:rPr>
            </w:pPr>
            <w:r w:rsidRPr="00165FD1">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DD3AC7" w:rsidRPr="00165FD1" w:rsidRDefault="00DD3AC7" w:rsidP="00DD3AC7">
            <w:pPr>
              <w:spacing w:after="0" w:line="240" w:lineRule="auto"/>
              <w:ind w:firstLineChars="100" w:firstLine="181"/>
              <w:jc w:val="right"/>
              <w:rPr>
                <w:rFonts w:cs="Arial"/>
                <w:b/>
                <w:bCs/>
                <w:color w:val="FFFFFF"/>
                <w:sz w:val="18"/>
                <w:szCs w:val="18"/>
                <w:lang w:eastAsia="en-AU"/>
              </w:rPr>
            </w:pPr>
            <w:r w:rsidRPr="00165FD1">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DD3AC7" w:rsidRPr="00165FD1" w:rsidRDefault="00DD3AC7" w:rsidP="00DD3AC7">
            <w:pPr>
              <w:spacing w:after="0" w:line="240" w:lineRule="auto"/>
              <w:ind w:firstLineChars="100" w:firstLine="181"/>
              <w:jc w:val="right"/>
              <w:rPr>
                <w:rFonts w:cs="Arial"/>
                <w:b/>
                <w:bCs/>
                <w:color w:val="FFFFFF"/>
                <w:sz w:val="18"/>
                <w:szCs w:val="18"/>
                <w:lang w:eastAsia="en-AU"/>
              </w:rPr>
            </w:pPr>
            <w:r w:rsidRPr="00165FD1">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DD3AC7" w:rsidRPr="00165FD1" w:rsidRDefault="00DD3AC7" w:rsidP="00DD3AC7">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 change</w:t>
            </w:r>
            <w:r w:rsidRPr="00165FD1">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DD3AC7" w:rsidRPr="00165FD1" w:rsidRDefault="00DD3AC7" w:rsidP="00DD3AC7">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 change</w:t>
            </w:r>
            <w:r w:rsidRPr="00165FD1">
              <w:rPr>
                <w:rFonts w:cs="Arial"/>
                <w:b/>
                <w:bCs/>
                <w:color w:val="FFFFFF"/>
                <w:sz w:val="18"/>
                <w:szCs w:val="18"/>
                <w:lang w:eastAsia="en-AU"/>
              </w:rPr>
              <w:br/>
              <w:t>Q2 2012-Q2 2013</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A: Agriculture, Forestry and Fishing</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30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40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70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109%</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82%</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C: Manufacturing</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5,400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5,600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5,400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-3%</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D: Electricity, Gas, Water and Waste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250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200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-97%</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-97%</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E: Construction</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21,200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21,000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19,000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-10%</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F: Wholesale Trade</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90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40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-58%</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-51%</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G: Retail Trade</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1,500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1,700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1,500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-3%</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-11%</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H: Accommodation and Food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2,100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2,100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2,000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-6%</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M: Professional, Scientific and Technical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150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11%</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18%</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N: Administrative and Support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450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450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250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-44%</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-43%</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O: Public Administration and Safety</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80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90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19%</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2%</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Q: Health Care and Social Assistance</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100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80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60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-43%</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-31%</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R: Arts and Recreation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550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550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-2%</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-6%</w:t>
            </w:r>
          </w:p>
        </w:tc>
      </w:tr>
      <w:tr w:rsidR="00DD3AC7" w:rsidRPr="00165FD1" w:rsidTr="00DD3AC7">
        <w:trPr>
          <w:trHeight w:hRule="exact" w:val="284"/>
        </w:trPr>
        <w:tc>
          <w:tcPr>
            <w:tcW w:w="4240" w:type="dxa"/>
            <w:tcBorders>
              <w:top w:val="nil"/>
              <w:left w:val="single" w:sz="4" w:space="0" w:color="5E8A00"/>
              <w:bottom w:val="single" w:sz="4" w:space="0" w:color="5E8A00"/>
              <w:right w:val="single" w:sz="4" w:space="0" w:color="5E8A00"/>
            </w:tcBorders>
            <w:shd w:val="clear" w:color="000000" w:fill="FFFFFF"/>
            <w:noWrap/>
            <w:vAlign w:val="bottom"/>
            <w:hideMark/>
          </w:tcPr>
          <w:p w:rsidR="00DD3AC7" w:rsidRPr="00165FD1" w:rsidRDefault="00DD3AC7" w:rsidP="00DD3AC7">
            <w:pPr>
              <w:spacing w:after="0" w:line="240" w:lineRule="auto"/>
              <w:jc w:val="left"/>
              <w:rPr>
                <w:rFonts w:cs="Arial"/>
                <w:color w:val="3E5B00"/>
                <w:sz w:val="18"/>
                <w:szCs w:val="18"/>
                <w:lang w:eastAsia="en-AU"/>
              </w:rPr>
            </w:pPr>
            <w:r w:rsidRPr="00165FD1">
              <w:rPr>
                <w:rFonts w:cs="Arial"/>
                <w:color w:val="3E5B00"/>
                <w:sz w:val="18"/>
                <w:szCs w:val="18"/>
                <w:lang w:eastAsia="en-AU"/>
              </w:rPr>
              <w:t>S: Other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5,500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5,700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5,400</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-2%</w:t>
            </w:r>
          </w:p>
        </w:tc>
        <w:tc>
          <w:tcPr>
            <w:tcW w:w="1120" w:type="dxa"/>
            <w:tcBorders>
              <w:top w:val="nil"/>
              <w:left w:val="nil"/>
              <w:bottom w:val="single" w:sz="4" w:space="0" w:color="5E8A00"/>
              <w:right w:val="single" w:sz="4" w:space="0" w:color="5E8A00"/>
            </w:tcBorders>
            <w:shd w:val="clear" w:color="auto" w:fill="auto"/>
            <w:noWrap/>
            <w:vAlign w:val="center"/>
            <w:hideMark/>
          </w:tcPr>
          <w:p w:rsidR="00DD3AC7" w:rsidRPr="00165FD1" w:rsidRDefault="00DD3AC7" w:rsidP="00DD3AC7">
            <w:pPr>
              <w:spacing w:after="0" w:line="240" w:lineRule="auto"/>
              <w:jc w:val="right"/>
              <w:rPr>
                <w:rFonts w:cs="Arial"/>
                <w:sz w:val="18"/>
                <w:szCs w:val="18"/>
                <w:lang w:eastAsia="en-AU"/>
              </w:rPr>
            </w:pPr>
            <w:r w:rsidRPr="00165FD1">
              <w:rPr>
                <w:rFonts w:cs="Arial"/>
                <w:sz w:val="18"/>
                <w:szCs w:val="18"/>
                <w:lang w:eastAsia="en-AU"/>
              </w:rPr>
              <w:t>-6%</w:t>
            </w:r>
          </w:p>
        </w:tc>
      </w:tr>
      <w:tr w:rsidR="00DD3AC7" w:rsidRPr="00165FD1" w:rsidTr="00DD3AC7">
        <w:trPr>
          <w:trHeight w:hRule="exact" w:val="284"/>
        </w:trPr>
        <w:tc>
          <w:tcPr>
            <w:tcW w:w="4240" w:type="dxa"/>
            <w:tcBorders>
              <w:top w:val="single" w:sz="4" w:space="0" w:color="5E8A00"/>
              <w:left w:val="single" w:sz="4" w:space="0" w:color="5E8A00"/>
              <w:bottom w:val="single" w:sz="4" w:space="0" w:color="5E8A00"/>
            </w:tcBorders>
            <w:shd w:val="clear" w:color="000000" w:fill="5E8A00"/>
            <w:noWrap/>
            <w:vAlign w:val="bottom"/>
            <w:hideMark/>
          </w:tcPr>
          <w:p w:rsidR="00DD3AC7" w:rsidRPr="00165FD1" w:rsidRDefault="00DD3AC7" w:rsidP="00DD3AC7">
            <w:pPr>
              <w:spacing w:after="0" w:line="240" w:lineRule="auto"/>
              <w:jc w:val="left"/>
              <w:rPr>
                <w:rFonts w:cs="Arial"/>
                <w:b/>
                <w:bCs/>
                <w:color w:val="FFFFFF"/>
                <w:sz w:val="18"/>
                <w:szCs w:val="18"/>
                <w:lang w:eastAsia="en-AU"/>
              </w:rPr>
            </w:pPr>
            <w:r w:rsidRPr="00165FD1">
              <w:rPr>
                <w:rFonts w:cs="Arial"/>
                <w:b/>
                <w:bCs/>
                <w:color w:val="FFFFFF"/>
                <w:sz w:val="18"/>
                <w:szCs w:val="18"/>
                <w:lang w:eastAsia="en-AU"/>
              </w:rPr>
              <w:t>Apprentices</w:t>
            </w:r>
          </w:p>
        </w:tc>
        <w:tc>
          <w:tcPr>
            <w:tcW w:w="1120" w:type="dxa"/>
            <w:tcBorders>
              <w:top w:val="single" w:sz="4" w:space="0" w:color="5E8A00"/>
              <w:bottom w:val="single" w:sz="4" w:space="0" w:color="5E8A00"/>
            </w:tcBorders>
            <w:shd w:val="clear" w:color="000000" w:fill="5E8A00"/>
            <w:noWrap/>
            <w:vAlign w:val="center"/>
            <w:hideMark/>
          </w:tcPr>
          <w:p w:rsidR="00DD3AC7" w:rsidRPr="00165FD1" w:rsidRDefault="00DD3AC7" w:rsidP="00DD3AC7">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37,400</w:t>
            </w:r>
          </w:p>
        </w:tc>
        <w:tc>
          <w:tcPr>
            <w:tcW w:w="1120" w:type="dxa"/>
            <w:tcBorders>
              <w:top w:val="single" w:sz="4" w:space="0" w:color="5E8A00"/>
              <w:bottom w:val="single" w:sz="4" w:space="0" w:color="5E8A00"/>
            </w:tcBorders>
            <w:shd w:val="clear" w:color="000000" w:fill="5E8A00"/>
            <w:noWrap/>
            <w:vAlign w:val="center"/>
            <w:hideMark/>
          </w:tcPr>
          <w:p w:rsidR="00DD3AC7" w:rsidRPr="00165FD1" w:rsidRDefault="00DD3AC7" w:rsidP="00DD3AC7">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37,700</w:t>
            </w:r>
          </w:p>
        </w:tc>
        <w:tc>
          <w:tcPr>
            <w:tcW w:w="1120" w:type="dxa"/>
            <w:tcBorders>
              <w:top w:val="single" w:sz="4" w:space="0" w:color="5E8A00"/>
              <w:bottom w:val="single" w:sz="4" w:space="0" w:color="5E8A00"/>
            </w:tcBorders>
            <w:shd w:val="clear" w:color="000000" w:fill="5E8A00"/>
            <w:noWrap/>
            <w:vAlign w:val="center"/>
            <w:hideMark/>
          </w:tcPr>
          <w:p w:rsidR="00DD3AC7" w:rsidRPr="00165FD1" w:rsidRDefault="00DD3AC7" w:rsidP="00DD3AC7">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34,400</w:t>
            </w:r>
          </w:p>
        </w:tc>
        <w:tc>
          <w:tcPr>
            <w:tcW w:w="1120" w:type="dxa"/>
            <w:tcBorders>
              <w:top w:val="single" w:sz="4" w:space="0" w:color="5E8A00"/>
              <w:bottom w:val="single" w:sz="4" w:space="0" w:color="5E8A00"/>
            </w:tcBorders>
            <w:shd w:val="clear" w:color="000000" w:fill="5E8A00"/>
            <w:noWrap/>
            <w:vAlign w:val="center"/>
            <w:hideMark/>
          </w:tcPr>
          <w:p w:rsidR="00DD3AC7" w:rsidRPr="00165FD1" w:rsidRDefault="00DD3AC7" w:rsidP="00DD3AC7">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-8%</w:t>
            </w:r>
          </w:p>
        </w:tc>
        <w:tc>
          <w:tcPr>
            <w:tcW w:w="1120" w:type="dxa"/>
            <w:tcBorders>
              <w:top w:val="single" w:sz="4" w:space="0" w:color="5E8A00"/>
              <w:bottom w:val="single" w:sz="4" w:space="0" w:color="5E8A00"/>
              <w:right w:val="single" w:sz="4" w:space="0" w:color="5E8A00"/>
            </w:tcBorders>
            <w:shd w:val="clear" w:color="000000" w:fill="5E8A00"/>
            <w:noWrap/>
            <w:vAlign w:val="center"/>
            <w:hideMark/>
          </w:tcPr>
          <w:p w:rsidR="00DD3AC7" w:rsidRPr="00165FD1" w:rsidRDefault="00DD3AC7" w:rsidP="00DD3AC7">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-9%</w:t>
            </w:r>
          </w:p>
        </w:tc>
      </w:tr>
    </w:tbl>
    <w:p w:rsidR="00DD3AC7" w:rsidRDefault="00DD3AC7" w:rsidP="00E82D09">
      <w:pPr>
        <w:pStyle w:val="ListBullet"/>
        <w:numPr>
          <w:ilvl w:val="0"/>
          <w:numId w:val="0"/>
        </w:numPr>
        <w:ind w:right="113"/>
        <w:rPr>
          <w:rFonts w:cs="Arial"/>
        </w:rPr>
      </w:pPr>
    </w:p>
    <w:p w:rsidR="00DD3AC7" w:rsidRDefault="00DD3AC7" w:rsidP="00DD3AC7">
      <w:pPr>
        <w:rPr>
          <w:b/>
          <w:color w:val="76923C" w:themeColor="accent3" w:themeShade="BF"/>
        </w:rPr>
      </w:pPr>
    </w:p>
    <w:p w:rsidR="00197840" w:rsidRPr="00DD3AC7" w:rsidRDefault="00DD3AC7" w:rsidP="00DD3AC7">
      <w:pPr>
        <w:rPr>
          <w:b/>
          <w:color w:val="76923C" w:themeColor="accent3" w:themeShade="BF"/>
        </w:rPr>
      </w:pPr>
      <w:r w:rsidRPr="00DD3AC7">
        <w:rPr>
          <w:b/>
          <w:color w:val="76923C" w:themeColor="accent3" w:themeShade="BF"/>
        </w:rPr>
        <w:t>Enrolments by Trainees</w:t>
      </w:r>
    </w:p>
    <w:p w:rsidR="001D1656" w:rsidRDefault="001D1656" w:rsidP="001D1656">
      <w:r>
        <w:t xml:space="preserve">While there has been a decline in enrolments in Traineeships in Q2 2013, this has come from courses that now attract subsidy at the lowest level (band E), where there was unprecedented high level of enrolments that did not match employment trends for related industries. </w:t>
      </w:r>
      <w:r w:rsidRPr="00A37E72">
        <w:t xml:space="preserve">The reduction in traineeship enrolments is </w:t>
      </w:r>
      <w:r>
        <w:t xml:space="preserve">also </w:t>
      </w:r>
      <w:r w:rsidRPr="00A37E72">
        <w:t xml:space="preserve">attributable to </w:t>
      </w:r>
      <w:r>
        <w:t>changes to</w:t>
      </w:r>
      <w:r w:rsidRPr="00A37E72">
        <w:t xml:space="preserve"> </w:t>
      </w:r>
      <w:r>
        <w:t xml:space="preserve">Commonwealth </w:t>
      </w:r>
      <w:r w:rsidRPr="00A37E72">
        <w:t>government incentives</w:t>
      </w:r>
      <w:r w:rsidRPr="00A37E72">
        <w:rPr>
          <w:rStyle w:val="FootnoteReference"/>
        </w:rPr>
        <w:footnoteReference w:id="11"/>
      </w:r>
      <w:r>
        <w:t>.</w:t>
      </w:r>
      <w:r w:rsidRPr="00A37E72">
        <w:t xml:space="preserve"> </w:t>
      </w:r>
    </w:p>
    <w:p w:rsidR="001B690A" w:rsidRDefault="001D1656" w:rsidP="008603E7">
      <w:pPr>
        <w:rPr>
          <w:rFonts w:cs="Arial"/>
          <w:b/>
          <w:bCs/>
          <w:color w:val="76923C" w:themeColor="accent3" w:themeShade="BF"/>
          <w:sz w:val="18"/>
          <w:szCs w:val="16"/>
        </w:rPr>
      </w:pPr>
      <w:r>
        <w:rPr>
          <w:color w:val="000000" w:themeColor="text1"/>
        </w:rPr>
        <w:t xml:space="preserve">The chart </w:t>
      </w:r>
      <w:r w:rsidR="00233452">
        <w:rPr>
          <w:color w:val="000000" w:themeColor="text1"/>
        </w:rPr>
        <w:t>on the opposite page</w:t>
      </w:r>
      <w:r>
        <w:rPr>
          <w:color w:val="000000" w:themeColor="text1"/>
        </w:rPr>
        <w:t xml:space="preserve"> shows that the decline is predominantly from courses in that attract the lowest subsidy (band E) which are deemed to have </w:t>
      </w:r>
      <w:r w:rsidRPr="00D940E1">
        <w:rPr>
          <w:rFonts w:cs="Arial"/>
        </w:rPr>
        <w:t>less vocational outcome or labour market requirement</w:t>
      </w:r>
      <w:r>
        <w:rPr>
          <w:rFonts w:cs="Arial"/>
        </w:rPr>
        <w:t>. Courses in group are such as Certificate II in Retail, Certificate III in Retail, Certificate III in H</w:t>
      </w:r>
      <w:r w:rsidRPr="00236DE0">
        <w:rPr>
          <w:color w:val="000000" w:themeColor="text1"/>
        </w:rPr>
        <w:t>ospitality</w:t>
      </w:r>
      <w:r>
        <w:rPr>
          <w:color w:val="000000" w:themeColor="text1"/>
        </w:rPr>
        <w:t xml:space="preserve">, </w:t>
      </w:r>
      <w:r w:rsidRPr="00A641C4">
        <w:rPr>
          <w:color w:val="000000" w:themeColor="text1"/>
        </w:rPr>
        <w:t xml:space="preserve">Certificate III in </w:t>
      </w:r>
      <w:r w:rsidRPr="00AE063E">
        <w:rPr>
          <w:color w:val="000000" w:themeColor="text1"/>
        </w:rPr>
        <w:t>Process Manufacturing, and Certificate III in Customer Contact.</w:t>
      </w:r>
      <w:r>
        <w:rPr>
          <w:color w:val="000000" w:themeColor="text1"/>
        </w:rPr>
        <w:t xml:space="preserve"> There was a spike in these courses in 2012 and the 2013 reductions need to be seen in this context.</w:t>
      </w:r>
      <w:r>
        <w:t xml:space="preserve"> In contrast there has been an increase in enrolments in Traineeships that now attract subsidy at band B, reflecting industry need for graduates from these courses.</w:t>
      </w:r>
      <w:r w:rsidR="008603E7">
        <w:rPr>
          <w:rFonts w:cs="Arial"/>
          <w:b/>
          <w:bCs/>
          <w:color w:val="76923C" w:themeColor="accent3" w:themeShade="BF"/>
          <w:sz w:val="18"/>
          <w:szCs w:val="16"/>
        </w:rPr>
        <w:t xml:space="preserve"> </w:t>
      </w:r>
    </w:p>
    <w:p w:rsidR="00DD3AC7" w:rsidRDefault="00DD3AC7">
      <w:pPr>
        <w:spacing w:after="0" w:line="240" w:lineRule="auto"/>
        <w:jc w:val="left"/>
        <w:rPr>
          <w:rFonts w:cs="Arial"/>
          <w:b/>
          <w:bCs/>
          <w:color w:val="76923C" w:themeColor="accent3" w:themeShade="BF"/>
          <w:sz w:val="18"/>
          <w:szCs w:val="16"/>
        </w:rPr>
      </w:pPr>
      <w:r>
        <w:rPr>
          <w:rFonts w:cs="Arial"/>
        </w:rPr>
        <w:br w:type="page"/>
      </w:r>
    </w:p>
    <w:p w:rsidR="00C36320" w:rsidRPr="00E925B6" w:rsidRDefault="00C36320" w:rsidP="00C36320">
      <w:pPr>
        <w:pStyle w:val="Caption"/>
        <w:jc w:val="left"/>
        <w:rPr>
          <w:rFonts w:cs="Arial"/>
        </w:rPr>
      </w:pPr>
      <w:r>
        <w:rPr>
          <w:rFonts w:cs="Arial"/>
        </w:rPr>
        <w:lastRenderedPageBreak/>
        <w:t>Figure 3</w:t>
      </w:r>
      <w:r w:rsidRPr="00A5568B">
        <w:rPr>
          <w:rFonts w:cs="Arial"/>
        </w:rPr>
        <w:t>.</w:t>
      </w:r>
      <w:r w:rsidR="00525112">
        <w:rPr>
          <w:rFonts w:cs="Arial"/>
        </w:rPr>
        <w:t>4</w:t>
      </w:r>
      <w:r w:rsidRPr="00A5568B">
        <w:rPr>
          <w:rFonts w:cs="Arial"/>
        </w:rPr>
        <w:t xml:space="preserve">: Government subsidised traineeship enrolments by funding band, Q2 2011, Q2 2012 and </w:t>
      </w:r>
      <w:r>
        <w:rPr>
          <w:rFonts w:cs="Arial"/>
        </w:rPr>
        <w:br/>
      </w:r>
      <w:r w:rsidRPr="00A5568B">
        <w:rPr>
          <w:rFonts w:cs="Arial"/>
        </w:rPr>
        <w:t>Q2 2013</w:t>
      </w:r>
    </w:p>
    <w:p w:rsidR="00C36320" w:rsidRPr="001F29E3" w:rsidRDefault="00C36320" w:rsidP="00C36320">
      <w:pPr>
        <w:pStyle w:val="Caption"/>
        <w:jc w:val="left"/>
        <w:rPr>
          <w:rFonts w:cs="Arial"/>
        </w:rPr>
      </w:pPr>
      <w:r w:rsidRPr="00A5568B">
        <w:rPr>
          <w:noProof/>
          <w:lang w:eastAsia="en-AU"/>
        </w:rPr>
        <w:drawing>
          <wp:inline distT="0" distB="0" distL="0" distR="0" wp14:anchorId="563C4907" wp14:editId="61CA83CF">
            <wp:extent cx="5760720" cy="274560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720" cy="2745606"/>
                    </a:xfrm>
                    <a:prstGeom prst="rect">
                      <a:avLst/>
                    </a:prstGeom>
                    <a:noFill/>
                    <a:ln>
                      <a:noFill/>
                    </a:ln>
                  </pic:spPr>
                </pic:pic>
              </a:graphicData>
            </a:graphic>
          </wp:inline>
        </w:drawing>
      </w:r>
    </w:p>
    <w:p w:rsidR="008D2D17" w:rsidRDefault="008D2D17" w:rsidP="008D2D17">
      <w:pPr>
        <w:pStyle w:val="Heading3"/>
      </w:pPr>
    </w:p>
    <w:p w:rsidR="008D2D17" w:rsidRPr="00EB4EE5" w:rsidRDefault="008D2D17" w:rsidP="008D2D17">
      <w:pPr>
        <w:pStyle w:val="Caption"/>
        <w:spacing w:after="0"/>
        <w:jc w:val="left"/>
        <w:rPr>
          <w:rFonts w:cs="Arial"/>
        </w:rPr>
      </w:pPr>
    </w:p>
    <w:p w:rsidR="008D2D17" w:rsidRDefault="008D2D17" w:rsidP="008D2D17">
      <w:pPr>
        <w:pStyle w:val="Caption"/>
        <w:spacing w:after="0"/>
        <w:jc w:val="left"/>
        <w:rPr>
          <w:rFonts w:cs="Arial"/>
        </w:rPr>
      </w:pPr>
      <w:r>
        <w:rPr>
          <w:rFonts w:cs="Arial"/>
        </w:rPr>
        <w:t>Table 3</w:t>
      </w:r>
      <w:r w:rsidRPr="001F29E3">
        <w:rPr>
          <w:rFonts w:cs="Arial"/>
        </w:rPr>
        <w:t>.</w:t>
      </w:r>
      <w:r w:rsidR="00734456">
        <w:rPr>
          <w:rFonts w:cs="Arial"/>
        </w:rPr>
        <w:t>7</w:t>
      </w:r>
      <w:r>
        <w:rPr>
          <w:rFonts w:cs="Arial"/>
        </w:rPr>
        <w:t>.1</w:t>
      </w:r>
      <w:r w:rsidRPr="001F29E3">
        <w:rPr>
          <w:rFonts w:cs="Arial"/>
        </w:rPr>
        <w:t xml:space="preserve">: Government subsidised enrolments by trainees by </w:t>
      </w:r>
      <w:r>
        <w:rPr>
          <w:rFonts w:cs="Arial"/>
        </w:rPr>
        <w:t>age</w:t>
      </w:r>
      <w:r w:rsidRPr="001F29E3">
        <w:rPr>
          <w:rFonts w:cs="Arial"/>
        </w:rPr>
        <w:t>, 2008–2012</w:t>
      </w:r>
    </w:p>
    <w:tbl>
      <w:tblPr>
        <w:tblW w:w="9280" w:type="dxa"/>
        <w:tblInd w:w="108" w:type="dxa"/>
        <w:tblLook w:val="04A0" w:firstRow="1" w:lastRow="0" w:firstColumn="1" w:lastColumn="0" w:noHBand="0" w:noVBand="1"/>
      </w:tblPr>
      <w:tblGrid>
        <w:gridCol w:w="2560"/>
        <w:gridCol w:w="1120"/>
        <w:gridCol w:w="1120"/>
        <w:gridCol w:w="1120"/>
        <w:gridCol w:w="1120"/>
        <w:gridCol w:w="1120"/>
        <w:gridCol w:w="1120"/>
      </w:tblGrid>
      <w:tr w:rsidR="008D2D17" w:rsidRPr="0061781E" w:rsidTr="00752A8D">
        <w:trPr>
          <w:trHeight w:val="762"/>
        </w:trPr>
        <w:tc>
          <w:tcPr>
            <w:tcW w:w="2560" w:type="dxa"/>
            <w:tcBorders>
              <w:top w:val="single" w:sz="4" w:space="0" w:color="5E8A00"/>
              <w:left w:val="single" w:sz="4" w:space="0" w:color="5E8A00"/>
              <w:bottom w:val="single" w:sz="4" w:space="0" w:color="5E8A00"/>
            </w:tcBorders>
            <w:shd w:val="clear" w:color="000000" w:fill="5E8A00"/>
            <w:noWrap/>
            <w:vAlign w:val="center"/>
            <w:hideMark/>
          </w:tcPr>
          <w:p w:rsidR="008D2D17" w:rsidRPr="0061781E" w:rsidRDefault="008D2D17" w:rsidP="00752A8D">
            <w:pPr>
              <w:spacing w:after="0" w:line="240" w:lineRule="auto"/>
              <w:ind w:firstLineChars="100" w:firstLine="181"/>
              <w:jc w:val="left"/>
              <w:rPr>
                <w:rFonts w:cs="Arial"/>
                <w:b/>
                <w:bCs/>
                <w:color w:val="FFFFFF"/>
                <w:sz w:val="18"/>
                <w:szCs w:val="18"/>
                <w:lang w:eastAsia="en-AU"/>
              </w:rPr>
            </w:pPr>
            <w:r w:rsidRPr="0061781E">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8D2D17" w:rsidRPr="0061781E" w:rsidRDefault="008D2D17" w:rsidP="00752A8D">
            <w:pPr>
              <w:spacing w:after="0" w:line="240" w:lineRule="auto"/>
              <w:ind w:firstLineChars="100" w:firstLine="181"/>
              <w:jc w:val="right"/>
              <w:rPr>
                <w:rFonts w:cs="Arial"/>
                <w:b/>
                <w:bCs/>
                <w:color w:val="FFFFFF"/>
                <w:sz w:val="18"/>
                <w:szCs w:val="18"/>
                <w:lang w:eastAsia="en-AU"/>
              </w:rPr>
            </w:pPr>
            <w:r w:rsidRPr="0061781E">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8D2D17" w:rsidRPr="0061781E" w:rsidRDefault="008D2D17" w:rsidP="00752A8D">
            <w:pPr>
              <w:spacing w:after="0" w:line="240" w:lineRule="auto"/>
              <w:ind w:firstLineChars="100" w:firstLine="181"/>
              <w:jc w:val="right"/>
              <w:rPr>
                <w:rFonts w:cs="Arial"/>
                <w:b/>
                <w:bCs/>
                <w:color w:val="FFFFFF"/>
                <w:sz w:val="18"/>
                <w:szCs w:val="18"/>
                <w:lang w:eastAsia="en-AU"/>
              </w:rPr>
            </w:pPr>
            <w:r w:rsidRPr="0061781E">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8D2D17" w:rsidRPr="0061781E" w:rsidRDefault="008D2D17" w:rsidP="00752A8D">
            <w:pPr>
              <w:spacing w:after="0" w:line="240" w:lineRule="auto"/>
              <w:ind w:firstLineChars="100" w:firstLine="181"/>
              <w:jc w:val="right"/>
              <w:rPr>
                <w:rFonts w:cs="Arial"/>
                <w:b/>
                <w:bCs/>
                <w:color w:val="FFFFFF"/>
                <w:sz w:val="18"/>
                <w:szCs w:val="18"/>
                <w:lang w:eastAsia="en-AU"/>
              </w:rPr>
            </w:pPr>
            <w:r w:rsidRPr="0061781E">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8D2D17" w:rsidRPr="0061781E" w:rsidRDefault="008D2D17" w:rsidP="00752A8D">
            <w:pPr>
              <w:spacing w:after="0" w:line="240" w:lineRule="auto"/>
              <w:ind w:firstLineChars="100" w:firstLine="181"/>
              <w:jc w:val="right"/>
              <w:rPr>
                <w:rFonts w:cs="Arial"/>
                <w:b/>
                <w:bCs/>
                <w:color w:val="FFFFFF"/>
                <w:sz w:val="18"/>
                <w:szCs w:val="18"/>
                <w:lang w:eastAsia="en-AU"/>
              </w:rPr>
            </w:pPr>
            <w:r w:rsidRPr="0061781E">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8D2D17" w:rsidRPr="0061781E" w:rsidRDefault="008D2D17" w:rsidP="00752A8D">
            <w:pPr>
              <w:spacing w:after="0" w:line="240" w:lineRule="auto"/>
              <w:ind w:firstLineChars="100" w:firstLine="181"/>
              <w:jc w:val="right"/>
              <w:rPr>
                <w:rFonts w:cs="Arial"/>
                <w:b/>
                <w:bCs/>
                <w:color w:val="FFFFFF"/>
                <w:sz w:val="18"/>
                <w:szCs w:val="18"/>
                <w:lang w:eastAsia="en-AU"/>
              </w:rPr>
            </w:pPr>
            <w:r w:rsidRPr="0061781E">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 change</w:t>
            </w:r>
            <w:r w:rsidRPr="0061781E">
              <w:rPr>
                <w:rFonts w:cs="Arial"/>
                <w:b/>
                <w:bCs/>
                <w:color w:val="FFFFFF"/>
                <w:sz w:val="18"/>
                <w:szCs w:val="18"/>
                <w:lang w:eastAsia="en-AU"/>
              </w:rPr>
              <w:br/>
              <w:t>2008-2012</w:t>
            </w:r>
          </w:p>
        </w:tc>
      </w:tr>
      <w:tr w:rsidR="008D2D17" w:rsidRPr="0061781E" w:rsidTr="00752A8D">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61781E" w:rsidRDefault="008D2D17" w:rsidP="00752A8D">
            <w:pPr>
              <w:spacing w:after="0" w:line="240" w:lineRule="auto"/>
              <w:jc w:val="left"/>
              <w:rPr>
                <w:rFonts w:cs="Arial"/>
                <w:color w:val="3E5B00"/>
                <w:sz w:val="18"/>
                <w:szCs w:val="18"/>
                <w:lang w:eastAsia="en-AU"/>
              </w:rPr>
            </w:pPr>
            <w:r w:rsidRPr="0061781E">
              <w:rPr>
                <w:rFonts w:cs="Arial"/>
                <w:color w:val="3E5B00"/>
                <w:sz w:val="18"/>
                <w:szCs w:val="18"/>
                <w:lang w:eastAsia="en-AU"/>
              </w:rPr>
              <w:t>15 to 19</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21,300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20,800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22,700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26,100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25,500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20%</w:t>
            </w:r>
          </w:p>
        </w:tc>
      </w:tr>
      <w:tr w:rsidR="008D2D17" w:rsidRPr="0061781E" w:rsidTr="00752A8D">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61781E" w:rsidRDefault="008D2D17" w:rsidP="00752A8D">
            <w:pPr>
              <w:spacing w:after="0" w:line="240" w:lineRule="auto"/>
              <w:jc w:val="left"/>
              <w:rPr>
                <w:rFonts w:cs="Arial"/>
                <w:color w:val="3E5B00"/>
                <w:sz w:val="18"/>
                <w:szCs w:val="18"/>
                <w:lang w:eastAsia="en-AU"/>
              </w:rPr>
            </w:pPr>
            <w:r w:rsidRPr="0061781E">
              <w:rPr>
                <w:rFonts w:cs="Arial"/>
                <w:color w:val="3E5B00"/>
                <w:sz w:val="18"/>
                <w:szCs w:val="18"/>
                <w:lang w:eastAsia="en-AU"/>
              </w:rPr>
              <w:t>20 to 24</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12,900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11,000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12,500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15,300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15,500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20%</w:t>
            </w:r>
          </w:p>
        </w:tc>
      </w:tr>
      <w:tr w:rsidR="008D2D17" w:rsidRPr="0061781E" w:rsidTr="00752A8D">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61781E" w:rsidRDefault="008D2D17" w:rsidP="00752A8D">
            <w:pPr>
              <w:spacing w:after="0" w:line="240" w:lineRule="auto"/>
              <w:jc w:val="left"/>
              <w:rPr>
                <w:rFonts w:cs="Arial"/>
                <w:color w:val="3E5B00"/>
                <w:sz w:val="18"/>
                <w:szCs w:val="18"/>
                <w:lang w:eastAsia="en-AU"/>
              </w:rPr>
            </w:pPr>
            <w:r w:rsidRPr="0061781E">
              <w:rPr>
                <w:rFonts w:cs="Arial"/>
                <w:color w:val="3E5B00"/>
                <w:sz w:val="18"/>
                <w:szCs w:val="18"/>
                <w:lang w:eastAsia="en-AU"/>
              </w:rPr>
              <w:t>25 to 44</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14,500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12,400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14,800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24,600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29,600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104%</w:t>
            </w:r>
          </w:p>
        </w:tc>
      </w:tr>
      <w:tr w:rsidR="008D2D17" w:rsidRPr="0061781E" w:rsidTr="00752A8D">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61781E" w:rsidRDefault="008D2D17" w:rsidP="00752A8D">
            <w:pPr>
              <w:spacing w:after="0" w:line="240" w:lineRule="auto"/>
              <w:jc w:val="left"/>
              <w:rPr>
                <w:rFonts w:cs="Arial"/>
                <w:color w:val="3E5B00"/>
                <w:sz w:val="18"/>
                <w:szCs w:val="18"/>
                <w:lang w:eastAsia="en-AU"/>
              </w:rPr>
            </w:pPr>
            <w:r w:rsidRPr="0061781E">
              <w:rPr>
                <w:rFonts w:cs="Arial"/>
                <w:color w:val="3E5B00"/>
                <w:sz w:val="18"/>
                <w:szCs w:val="18"/>
                <w:lang w:eastAsia="en-AU"/>
              </w:rPr>
              <w:t>45 to 64</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4,800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4,600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6,500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13,600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18,000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276%</w:t>
            </w:r>
          </w:p>
        </w:tc>
      </w:tr>
      <w:tr w:rsidR="008D2D17" w:rsidRPr="0061781E" w:rsidTr="00752A8D">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61781E" w:rsidRDefault="008D2D17" w:rsidP="00752A8D">
            <w:pPr>
              <w:spacing w:after="0" w:line="240" w:lineRule="auto"/>
              <w:jc w:val="left"/>
              <w:rPr>
                <w:rFonts w:cs="Arial"/>
                <w:color w:val="3E5B00"/>
                <w:sz w:val="18"/>
                <w:szCs w:val="18"/>
                <w:lang w:eastAsia="en-AU"/>
              </w:rPr>
            </w:pPr>
            <w:r w:rsidRPr="0061781E">
              <w:rPr>
                <w:rFonts w:cs="Arial"/>
                <w:color w:val="3E5B00"/>
                <w:sz w:val="18"/>
                <w:szCs w:val="18"/>
                <w:lang w:eastAsia="en-AU"/>
              </w:rPr>
              <w:t>Under 15, over 64, not stated</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600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450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600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700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10%</w:t>
            </w:r>
          </w:p>
        </w:tc>
      </w:tr>
      <w:tr w:rsidR="008D2D17" w:rsidRPr="0061781E" w:rsidTr="00752A8D">
        <w:trPr>
          <w:trHeight w:hRule="exact" w:val="284"/>
        </w:trPr>
        <w:tc>
          <w:tcPr>
            <w:tcW w:w="2560" w:type="dxa"/>
            <w:tcBorders>
              <w:top w:val="single" w:sz="4" w:space="0" w:color="5E8A00"/>
              <w:left w:val="single" w:sz="4" w:space="0" w:color="5E8A00"/>
              <w:bottom w:val="single" w:sz="4" w:space="0" w:color="5E8A00"/>
            </w:tcBorders>
            <w:shd w:val="clear" w:color="000000" w:fill="5E8A00"/>
            <w:noWrap/>
            <w:vAlign w:val="bottom"/>
            <w:hideMark/>
          </w:tcPr>
          <w:p w:rsidR="008D2D17" w:rsidRPr="0061781E" w:rsidRDefault="008D2D17" w:rsidP="00752A8D">
            <w:pPr>
              <w:spacing w:after="0" w:line="240" w:lineRule="auto"/>
              <w:jc w:val="left"/>
              <w:rPr>
                <w:rFonts w:cs="Arial"/>
                <w:b/>
                <w:bCs/>
                <w:color w:val="FFFFFF"/>
                <w:sz w:val="18"/>
                <w:szCs w:val="18"/>
                <w:lang w:eastAsia="en-AU"/>
              </w:rPr>
            </w:pPr>
            <w:r w:rsidRPr="0061781E">
              <w:rPr>
                <w:rFonts w:cs="Arial"/>
                <w:b/>
                <w:bCs/>
                <w:color w:val="FFFFFF"/>
                <w:sz w:val="18"/>
                <w:szCs w:val="18"/>
                <w:lang w:eastAsia="en-AU"/>
              </w:rPr>
              <w:t>Trainees</w:t>
            </w:r>
          </w:p>
        </w:tc>
        <w:tc>
          <w:tcPr>
            <w:tcW w:w="1120" w:type="dxa"/>
            <w:tcBorders>
              <w:top w:val="single" w:sz="4" w:space="0" w:color="5E8A00"/>
              <w:bottom w:val="single" w:sz="4" w:space="0" w:color="5E8A00"/>
            </w:tcBorders>
            <w:shd w:val="clear" w:color="000000" w:fill="5E8A00"/>
            <w:noWrap/>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 xml:space="preserve">54,000 </w:t>
            </w:r>
          </w:p>
        </w:tc>
        <w:tc>
          <w:tcPr>
            <w:tcW w:w="1120" w:type="dxa"/>
            <w:tcBorders>
              <w:top w:val="single" w:sz="4" w:space="0" w:color="5E8A00"/>
              <w:bottom w:val="single" w:sz="4" w:space="0" w:color="5E8A00"/>
            </w:tcBorders>
            <w:shd w:val="clear" w:color="000000" w:fill="5E8A00"/>
            <w:noWrap/>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 xml:space="preserve">49,200 </w:t>
            </w:r>
          </w:p>
        </w:tc>
        <w:tc>
          <w:tcPr>
            <w:tcW w:w="1120" w:type="dxa"/>
            <w:tcBorders>
              <w:top w:val="single" w:sz="4" w:space="0" w:color="5E8A00"/>
              <w:bottom w:val="single" w:sz="4" w:space="0" w:color="5E8A00"/>
            </w:tcBorders>
            <w:shd w:val="clear" w:color="000000" w:fill="5E8A00"/>
            <w:noWrap/>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 xml:space="preserve">56,900 </w:t>
            </w:r>
          </w:p>
        </w:tc>
        <w:tc>
          <w:tcPr>
            <w:tcW w:w="1120" w:type="dxa"/>
            <w:tcBorders>
              <w:top w:val="single" w:sz="4" w:space="0" w:color="5E8A00"/>
              <w:bottom w:val="single" w:sz="4" w:space="0" w:color="5E8A00"/>
            </w:tcBorders>
            <w:shd w:val="clear" w:color="000000" w:fill="5E8A00"/>
            <w:noWrap/>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 xml:space="preserve">80,200 </w:t>
            </w:r>
          </w:p>
        </w:tc>
        <w:tc>
          <w:tcPr>
            <w:tcW w:w="1120" w:type="dxa"/>
            <w:tcBorders>
              <w:top w:val="single" w:sz="4" w:space="0" w:color="5E8A00"/>
              <w:bottom w:val="single" w:sz="4" w:space="0" w:color="5E8A00"/>
            </w:tcBorders>
            <w:shd w:val="clear" w:color="000000" w:fill="5E8A00"/>
            <w:noWrap/>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 xml:space="preserve">89,300 </w:t>
            </w:r>
          </w:p>
        </w:tc>
        <w:tc>
          <w:tcPr>
            <w:tcW w:w="1120" w:type="dxa"/>
            <w:tcBorders>
              <w:top w:val="single" w:sz="4" w:space="0" w:color="5E8A00"/>
              <w:bottom w:val="single" w:sz="4" w:space="0" w:color="5E8A00"/>
              <w:right w:val="single" w:sz="4" w:space="0" w:color="5E8A00"/>
            </w:tcBorders>
            <w:shd w:val="clear" w:color="000000" w:fill="5E8A00"/>
            <w:noWrap/>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65%</w:t>
            </w:r>
          </w:p>
        </w:tc>
      </w:tr>
    </w:tbl>
    <w:p w:rsidR="008D2D17" w:rsidRPr="004B52D7" w:rsidRDefault="008D2D17" w:rsidP="008D2D17"/>
    <w:p w:rsidR="008D2D17" w:rsidRDefault="008D2D17" w:rsidP="008D2D17">
      <w:pPr>
        <w:pStyle w:val="Caption"/>
        <w:spacing w:after="0"/>
        <w:jc w:val="left"/>
        <w:rPr>
          <w:rFonts w:cs="Arial"/>
        </w:rPr>
      </w:pPr>
    </w:p>
    <w:p w:rsidR="008D2D17" w:rsidRPr="00B67C87" w:rsidRDefault="008D2D17" w:rsidP="008D2D17">
      <w:pPr>
        <w:pStyle w:val="Caption"/>
        <w:spacing w:after="0"/>
        <w:jc w:val="left"/>
        <w:rPr>
          <w:rFonts w:cs="Arial"/>
        </w:rPr>
      </w:pPr>
      <w:r>
        <w:rPr>
          <w:rFonts w:cs="Arial"/>
        </w:rPr>
        <w:t>Table 3</w:t>
      </w:r>
      <w:r w:rsidRPr="001F29E3">
        <w:rPr>
          <w:rFonts w:cs="Arial"/>
        </w:rPr>
        <w:t>.</w:t>
      </w:r>
      <w:r w:rsidR="00734456">
        <w:rPr>
          <w:rFonts w:cs="Arial"/>
        </w:rPr>
        <w:t>7</w:t>
      </w:r>
      <w:r>
        <w:rPr>
          <w:rFonts w:cs="Arial"/>
        </w:rPr>
        <w:t>.2</w:t>
      </w:r>
      <w:r w:rsidRPr="001F29E3">
        <w:rPr>
          <w:rFonts w:cs="Arial"/>
        </w:rPr>
        <w:t xml:space="preserve">: Government subsidised enrolments by trainees by </w:t>
      </w:r>
      <w:r>
        <w:rPr>
          <w:rFonts w:cs="Arial"/>
        </w:rPr>
        <w:t>age</w:t>
      </w:r>
      <w:r w:rsidRPr="001F29E3">
        <w:rPr>
          <w:rFonts w:cs="Arial"/>
        </w:rPr>
        <w:t>, Q</w:t>
      </w:r>
      <w:r>
        <w:rPr>
          <w:rFonts w:cs="Arial"/>
        </w:rPr>
        <w:t>2</w:t>
      </w:r>
      <w:r w:rsidRPr="001F29E3">
        <w:rPr>
          <w:rFonts w:cs="Arial"/>
        </w:rPr>
        <w:t xml:space="preserve"> 201</w:t>
      </w:r>
      <w:r>
        <w:rPr>
          <w:rFonts w:cs="Arial"/>
        </w:rPr>
        <w:t xml:space="preserve">1, Q2 2012 and Q2 </w:t>
      </w:r>
      <w:r w:rsidRPr="001F29E3">
        <w:rPr>
          <w:rFonts w:cs="Arial"/>
        </w:rPr>
        <w:t>2013</w:t>
      </w:r>
    </w:p>
    <w:tbl>
      <w:tblPr>
        <w:tblW w:w="8160" w:type="dxa"/>
        <w:tblInd w:w="108" w:type="dxa"/>
        <w:tblLook w:val="04A0" w:firstRow="1" w:lastRow="0" w:firstColumn="1" w:lastColumn="0" w:noHBand="0" w:noVBand="1"/>
      </w:tblPr>
      <w:tblGrid>
        <w:gridCol w:w="2560"/>
        <w:gridCol w:w="1120"/>
        <w:gridCol w:w="1120"/>
        <w:gridCol w:w="1120"/>
        <w:gridCol w:w="1120"/>
        <w:gridCol w:w="1120"/>
      </w:tblGrid>
      <w:tr w:rsidR="008D2D17" w:rsidRPr="0061781E" w:rsidTr="00752A8D">
        <w:trPr>
          <w:trHeight w:hRule="exact" w:val="760"/>
        </w:trPr>
        <w:tc>
          <w:tcPr>
            <w:tcW w:w="2560" w:type="dxa"/>
            <w:tcBorders>
              <w:top w:val="single" w:sz="4" w:space="0" w:color="5E8A00"/>
              <w:left w:val="single" w:sz="4" w:space="0" w:color="5E8A00"/>
              <w:bottom w:val="single" w:sz="4" w:space="0" w:color="5E8A00"/>
            </w:tcBorders>
            <w:shd w:val="clear" w:color="000000" w:fill="5E8A00"/>
            <w:noWrap/>
            <w:vAlign w:val="center"/>
            <w:hideMark/>
          </w:tcPr>
          <w:p w:rsidR="008D2D17" w:rsidRPr="0061781E" w:rsidRDefault="008D2D17" w:rsidP="00752A8D">
            <w:pPr>
              <w:spacing w:after="0" w:line="240" w:lineRule="auto"/>
              <w:ind w:firstLineChars="100" w:firstLine="181"/>
              <w:jc w:val="left"/>
              <w:rPr>
                <w:rFonts w:cs="Arial"/>
                <w:b/>
                <w:bCs/>
                <w:color w:val="FFFFFF"/>
                <w:sz w:val="18"/>
                <w:szCs w:val="18"/>
                <w:lang w:eastAsia="en-AU"/>
              </w:rPr>
            </w:pPr>
            <w:r w:rsidRPr="0061781E">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8D2D17" w:rsidRPr="0061781E" w:rsidRDefault="008D2D17" w:rsidP="00752A8D">
            <w:pPr>
              <w:spacing w:after="0" w:line="240" w:lineRule="auto"/>
              <w:ind w:firstLineChars="100" w:firstLine="181"/>
              <w:jc w:val="right"/>
              <w:rPr>
                <w:rFonts w:cs="Arial"/>
                <w:b/>
                <w:bCs/>
                <w:color w:val="FFFFFF"/>
                <w:sz w:val="18"/>
                <w:szCs w:val="18"/>
                <w:lang w:eastAsia="en-AU"/>
              </w:rPr>
            </w:pPr>
            <w:r w:rsidRPr="0061781E">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8D2D17" w:rsidRPr="0061781E" w:rsidRDefault="008D2D17" w:rsidP="00752A8D">
            <w:pPr>
              <w:spacing w:after="0" w:line="240" w:lineRule="auto"/>
              <w:ind w:firstLineChars="100" w:firstLine="181"/>
              <w:jc w:val="right"/>
              <w:rPr>
                <w:rFonts w:cs="Arial"/>
                <w:b/>
                <w:bCs/>
                <w:color w:val="FFFFFF"/>
                <w:sz w:val="18"/>
                <w:szCs w:val="18"/>
                <w:lang w:eastAsia="en-AU"/>
              </w:rPr>
            </w:pPr>
            <w:r w:rsidRPr="0061781E">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8D2D17" w:rsidRPr="0061781E" w:rsidRDefault="008D2D17" w:rsidP="00752A8D">
            <w:pPr>
              <w:spacing w:after="0" w:line="240" w:lineRule="auto"/>
              <w:ind w:firstLineChars="100" w:firstLine="181"/>
              <w:jc w:val="right"/>
              <w:rPr>
                <w:rFonts w:cs="Arial"/>
                <w:b/>
                <w:bCs/>
                <w:color w:val="FFFFFF"/>
                <w:sz w:val="18"/>
                <w:szCs w:val="18"/>
                <w:lang w:eastAsia="en-AU"/>
              </w:rPr>
            </w:pPr>
            <w:r w:rsidRPr="0061781E">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 change</w:t>
            </w:r>
            <w:r w:rsidRPr="0061781E">
              <w:rPr>
                <w:rFonts w:cs="Arial"/>
                <w:b/>
                <w:bCs/>
                <w:color w:val="FFFFFF"/>
                <w:sz w:val="18"/>
                <w:szCs w:val="18"/>
                <w:lang w:eastAsia="en-AU"/>
              </w:rPr>
              <w:br/>
              <w:t>Q2 2011-Q2 2013 </w:t>
            </w:r>
          </w:p>
        </w:tc>
        <w:tc>
          <w:tcPr>
            <w:tcW w:w="1120" w:type="dxa"/>
            <w:tcBorders>
              <w:top w:val="single" w:sz="4" w:space="0" w:color="5E8A00"/>
              <w:bottom w:val="single" w:sz="4" w:space="0" w:color="5E8A00"/>
              <w:right w:val="nil"/>
            </w:tcBorders>
            <w:shd w:val="clear" w:color="000000" w:fill="5E8A00"/>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 change</w:t>
            </w:r>
            <w:r w:rsidRPr="0061781E">
              <w:rPr>
                <w:rFonts w:cs="Arial"/>
                <w:b/>
                <w:bCs/>
                <w:color w:val="FFFFFF"/>
                <w:sz w:val="18"/>
                <w:szCs w:val="18"/>
                <w:lang w:eastAsia="en-AU"/>
              </w:rPr>
              <w:br/>
              <w:t>Q2 2012-Q2 2013</w:t>
            </w:r>
          </w:p>
        </w:tc>
      </w:tr>
      <w:tr w:rsidR="008D2D17" w:rsidRPr="0061781E" w:rsidTr="00752A8D">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61781E" w:rsidRDefault="008D2D17" w:rsidP="00752A8D">
            <w:pPr>
              <w:spacing w:after="0" w:line="240" w:lineRule="auto"/>
              <w:jc w:val="left"/>
              <w:rPr>
                <w:rFonts w:cs="Arial"/>
                <w:color w:val="3E5B00"/>
                <w:sz w:val="18"/>
                <w:szCs w:val="18"/>
                <w:lang w:eastAsia="en-AU"/>
              </w:rPr>
            </w:pPr>
            <w:r w:rsidRPr="0061781E">
              <w:rPr>
                <w:rFonts w:cs="Arial"/>
                <w:color w:val="3E5B00"/>
                <w:sz w:val="18"/>
                <w:szCs w:val="18"/>
                <w:lang w:eastAsia="en-AU"/>
              </w:rPr>
              <w:t>15 to 19</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15,500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17,300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9,900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-36%</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-43%</w:t>
            </w:r>
          </w:p>
        </w:tc>
      </w:tr>
      <w:tr w:rsidR="008D2D17" w:rsidRPr="0061781E" w:rsidTr="00752A8D">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61781E" w:rsidRDefault="008D2D17" w:rsidP="00752A8D">
            <w:pPr>
              <w:spacing w:after="0" w:line="240" w:lineRule="auto"/>
              <w:jc w:val="left"/>
              <w:rPr>
                <w:rFonts w:cs="Arial"/>
                <w:color w:val="3E5B00"/>
                <w:sz w:val="18"/>
                <w:szCs w:val="18"/>
                <w:lang w:eastAsia="en-AU"/>
              </w:rPr>
            </w:pPr>
            <w:r w:rsidRPr="0061781E">
              <w:rPr>
                <w:rFonts w:cs="Arial"/>
                <w:color w:val="3E5B00"/>
                <w:sz w:val="18"/>
                <w:szCs w:val="18"/>
                <w:lang w:eastAsia="en-AU"/>
              </w:rPr>
              <w:t>20 to 24</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10,300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11,700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7,300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-29%</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-38%</w:t>
            </w:r>
          </w:p>
        </w:tc>
      </w:tr>
      <w:tr w:rsidR="008D2D17" w:rsidRPr="0061781E" w:rsidTr="00752A8D">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61781E" w:rsidRDefault="008D2D17" w:rsidP="00752A8D">
            <w:pPr>
              <w:spacing w:after="0" w:line="240" w:lineRule="auto"/>
              <w:jc w:val="left"/>
              <w:rPr>
                <w:rFonts w:cs="Arial"/>
                <w:color w:val="3E5B00"/>
                <w:sz w:val="18"/>
                <w:szCs w:val="18"/>
                <w:lang w:eastAsia="en-AU"/>
              </w:rPr>
            </w:pPr>
            <w:r w:rsidRPr="0061781E">
              <w:rPr>
                <w:rFonts w:cs="Arial"/>
                <w:color w:val="3E5B00"/>
                <w:sz w:val="18"/>
                <w:szCs w:val="18"/>
                <w:lang w:eastAsia="en-AU"/>
              </w:rPr>
              <w:t>25 to 44</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13,700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21,300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14,300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4%</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-33%</w:t>
            </w:r>
          </w:p>
        </w:tc>
      </w:tr>
      <w:tr w:rsidR="008D2D17" w:rsidRPr="0061781E" w:rsidTr="00752A8D">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61781E" w:rsidRDefault="008D2D17" w:rsidP="00752A8D">
            <w:pPr>
              <w:spacing w:after="0" w:line="240" w:lineRule="auto"/>
              <w:jc w:val="left"/>
              <w:rPr>
                <w:rFonts w:cs="Arial"/>
                <w:color w:val="3E5B00"/>
                <w:sz w:val="18"/>
                <w:szCs w:val="18"/>
                <w:lang w:eastAsia="en-AU"/>
              </w:rPr>
            </w:pPr>
            <w:r w:rsidRPr="0061781E">
              <w:rPr>
                <w:rFonts w:cs="Arial"/>
                <w:color w:val="3E5B00"/>
                <w:sz w:val="18"/>
                <w:szCs w:val="18"/>
                <w:lang w:eastAsia="en-AU"/>
              </w:rPr>
              <w:t>45 to 64</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7,300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12,900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9,400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29%</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-28%</w:t>
            </w:r>
          </w:p>
        </w:tc>
      </w:tr>
      <w:tr w:rsidR="008D2D17" w:rsidRPr="0061781E" w:rsidTr="00752A8D">
        <w:trPr>
          <w:trHeight w:hRule="exact" w:val="284"/>
        </w:trPr>
        <w:tc>
          <w:tcPr>
            <w:tcW w:w="25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61781E" w:rsidRDefault="008D2D17" w:rsidP="00752A8D">
            <w:pPr>
              <w:spacing w:after="0" w:line="240" w:lineRule="auto"/>
              <w:jc w:val="left"/>
              <w:rPr>
                <w:rFonts w:cs="Arial"/>
                <w:color w:val="3E5B00"/>
                <w:sz w:val="18"/>
                <w:szCs w:val="18"/>
                <w:lang w:eastAsia="en-AU"/>
              </w:rPr>
            </w:pPr>
            <w:r w:rsidRPr="0061781E">
              <w:rPr>
                <w:rFonts w:cs="Arial"/>
                <w:color w:val="3E5B00"/>
                <w:sz w:val="18"/>
                <w:szCs w:val="18"/>
                <w:lang w:eastAsia="en-AU"/>
              </w:rPr>
              <w:t>Under 15, over 64, not stated</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200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350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 xml:space="preserve">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66%</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61781E" w:rsidRDefault="008D2D17" w:rsidP="00752A8D">
            <w:pPr>
              <w:spacing w:after="0" w:line="240" w:lineRule="auto"/>
              <w:jc w:val="right"/>
              <w:rPr>
                <w:rFonts w:cs="Arial"/>
                <w:sz w:val="18"/>
                <w:szCs w:val="18"/>
                <w:lang w:eastAsia="en-AU"/>
              </w:rPr>
            </w:pPr>
            <w:r w:rsidRPr="0061781E">
              <w:rPr>
                <w:rFonts w:cs="Arial"/>
                <w:sz w:val="18"/>
                <w:szCs w:val="18"/>
                <w:lang w:eastAsia="en-AU"/>
              </w:rPr>
              <w:t>-14%</w:t>
            </w:r>
          </w:p>
        </w:tc>
      </w:tr>
      <w:tr w:rsidR="008D2D17" w:rsidRPr="0061781E" w:rsidTr="00752A8D">
        <w:trPr>
          <w:trHeight w:hRule="exact" w:val="284"/>
        </w:trPr>
        <w:tc>
          <w:tcPr>
            <w:tcW w:w="2560" w:type="dxa"/>
            <w:tcBorders>
              <w:top w:val="single" w:sz="4" w:space="0" w:color="5E8A00"/>
              <w:left w:val="single" w:sz="4" w:space="0" w:color="5E8A00"/>
              <w:bottom w:val="nil"/>
            </w:tcBorders>
            <w:shd w:val="clear" w:color="000000" w:fill="5E8A00"/>
            <w:noWrap/>
            <w:vAlign w:val="bottom"/>
            <w:hideMark/>
          </w:tcPr>
          <w:p w:rsidR="008D2D17" w:rsidRPr="0061781E" w:rsidRDefault="008D2D17" w:rsidP="00752A8D">
            <w:pPr>
              <w:spacing w:after="0" w:line="240" w:lineRule="auto"/>
              <w:jc w:val="left"/>
              <w:rPr>
                <w:rFonts w:cs="Arial"/>
                <w:b/>
                <w:bCs/>
                <w:color w:val="FFFFFF"/>
                <w:sz w:val="18"/>
                <w:szCs w:val="18"/>
                <w:lang w:eastAsia="en-AU"/>
              </w:rPr>
            </w:pPr>
            <w:r w:rsidRPr="0061781E">
              <w:rPr>
                <w:rFonts w:cs="Arial"/>
                <w:b/>
                <w:bCs/>
                <w:color w:val="FFFFFF"/>
                <w:sz w:val="18"/>
                <w:szCs w:val="18"/>
                <w:lang w:eastAsia="en-AU"/>
              </w:rPr>
              <w:t>Trainees</w:t>
            </w:r>
          </w:p>
        </w:tc>
        <w:tc>
          <w:tcPr>
            <w:tcW w:w="1120" w:type="dxa"/>
            <w:tcBorders>
              <w:top w:val="single" w:sz="4" w:space="0" w:color="5E8A00"/>
              <w:bottom w:val="single" w:sz="4" w:space="0" w:color="5E8A00"/>
            </w:tcBorders>
            <w:shd w:val="clear" w:color="000000" w:fill="5E8A00"/>
            <w:noWrap/>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 xml:space="preserve">46,900 </w:t>
            </w:r>
          </w:p>
        </w:tc>
        <w:tc>
          <w:tcPr>
            <w:tcW w:w="1120" w:type="dxa"/>
            <w:tcBorders>
              <w:top w:val="single" w:sz="4" w:space="0" w:color="5E8A00"/>
              <w:bottom w:val="single" w:sz="4" w:space="0" w:color="5E8A00"/>
            </w:tcBorders>
            <w:shd w:val="clear" w:color="000000" w:fill="5E8A00"/>
            <w:noWrap/>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 xml:space="preserve">63,600 </w:t>
            </w:r>
          </w:p>
        </w:tc>
        <w:tc>
          <w:tcPr>
            <w:tcW w:w="1120" w:type="dxa"/>
            <w:tcBorders>
              <w:top w:val="single" w:sz="4" w:space="0" w:color="5E8A00"/>
              <w:bottom w:val="single" w:sz="4" w:space="0" w:color="5E8A00"/>
            </w:tcBorders>
            <w:shd w:val="clear" w:color="000000" w:fill="5E8A00"/>
            <w:noWrap/>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 xml:space="preserve">41,100 </w:t>
            </w:r>
          </w:p>
        </w:tc>
        <w:tc>
          <w:tcPr>
            <w:tcW w:w="1120" w:type="dxa"/>
            <w:tcBorders>
              <w:top w:val="single" w:sz="4" w:space="0" w:color="5E8A00"/>
              <w:bottom w:val="nil"/>
            </w:tcBorders>
            <w:shd w:val="clear" w:color="000000" w:fill="5E8A00"/>
            <w:noWrap/>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-12%</w:t>
            </w:r>
          </w:p>
        </w:tc>
        <w:tc>
          <w:tcPr>
            <w:tcW w:w="1120" w:type="dxa"/>
            <w:tcBorders>
              <w:top w:val="single" w:sz="4" w:space="0" w:color="5E8A00"/>
              <w:bottom w:val="nil"/>
              <w:right w:val="single" w:sz="4" w:space="0" w:color="5E8A00"/>
            </w:tcBorders>
            <w:shd w:val="clear" w:color="000000" w:fill="5E8A00"/>
            <w:noWrap/>
            <w:vAlign w:val="center"/>
            <w:hideMark/>
          </w:tcPr>
          <w:p w:rsidR="008D2D17" w:rsidRPr="0061781E" w:rsidRDefault="008D2D17" w:rsidP="00752A8D">
            <w:pPr>
              <w:spacing w:after="0" w:line="240" w:lineRule="auto"/>
              <w:jc w:val="right"/>
              <w:rPr>
                <w:rFonts w:cs="Arial"/>
                <w:b/>
                <w:bCs/>
                <w:color w:val="FFFFFF"/>
                <w:sz w:val="18"/>
                <w:szCs w:val="18"/>
                <w:lang w:eastAsia="en-AU"/>
              </w:rPr>
            </w:pPr>
            <w:r w:rsidRPr="0061781E">
              <w:rPr>
                <w:rFonts w:cs="Arial"/>
                <w:b/>
                <w:bCs/>
                <w:color w:val="FFFFFF"/>
                <w:sz w:val="18"/>
                <w:szCs w:val="18"/>
                <w:lang w:eastAsia="en-AU"/>
              </w:rPr>
              <w:t>-35%</w:t>
            </w:r>
          </w:p>
        </w:tc>
      </w:tr>
    </w:tbl>
    <w:p w:rsidR="008D2D17" w:rsidRDefault="008D2D17" w:rsidP="008D2D17">
      <w:pPr>
        <w:pStyle w:val="Caption"/>
        <w:jc w:val="left"/>
        <w:rPr>
          <w:rFonts w:cs="Arial"/>
        </w:rPr>
      </w:pPr>
    </w:p>
    <w:p w:rsidR="008D2D17" w:rsidRDefault="008D2D17" w:rsidP="008D2D17">
      <w:pPr>
        <w:pStyle w:val="Caption"/>
        <w:spacing w:after="0"/>
        <w:jc w:val="left"/>
        <w:rPr>
          <w:rFonts w:cs="Arial"/>
        </w:rPr>
      </w:pPr>
    </w:p>
    <w:p w:rsidR="00233452" w:rsidRDefault="00233452">
      <w:pPr>
        <w:spacing w:after="0" w:line="240" w:lineRule="auto"/>
        <w:jc w:val="left"/>
        <w:rPr>
          <w:rFonts w:cs="Arial"/>
          <w:b/>
          <w:bCs/>
          <w:color w:val="76923C" w:themeColor="accent3" w:themeShade="BF"/>
          <w:sz w:val="18"/>
          <w:szCs w:val="16"/>
        </w:rPr>
      </w:pPr>
      <w:r>
        <w:rPr>
          <w:rFonts w:cs="Arial"/>
        </w:rPr>
        <w:br w:type="page"/>
      </w:r>
    </w:p>
    <w:p w:rsidR="008D2D17" w:rsidRPr="003078FB" w:rsidRDefault="008D2D17" w:rsidP="008D2D17">
      <w:pPr>
        <w:pStyle w:val="Caption"/>
        <w:spacing w:after="0"/>
        <w:jc w:val="left"/>
        <w:rPr>
          <w:rFonts w:cs="Arial"/>
        </w:rPr>
      </w:pPr>
      <w:r>
        <w:rPr>
          <w:rFonts w:cs="Arial"/>
        </w:rPr>
        <w:lastRenderedPageBreak/>
        <w:t>Table 3</w:t>
      </w:r>
      <w:r w:rsidRPr="001F29E3">
        <w:rPr>
          <w:rFonts w:cs="Arial"/>
        </w:rPr>
        <w:t>.</w:t>
      </w:r>
      <w:r w:rsidR="00734456">
        <w:rPr>
          <w:rFonts w:cs="Arial"/>
        </w:rPr>
        <w:t>8</w:t>
      </w:r>
      <w:r>
        <w:rPr>
          <w:rFonts w:cs="Arial"/>
        </w:rPr>
        <w:t>.1</w:t>
      </w:r>
      <w:r w:rsidRPr="001F29E3">
        <w:rPr>
          <w:rFonts w:cs="Arial"/>
        </w:rPr>
        <w:t xml:space="preserve">: Government subsidised enrolments by trainees by </w:t>
      </w:r>
      <w:r>
        <w:rPr>
          <w:rFonts w:cs="Arial"/>
        </w:rPr>
        <w:t>qualification level</w:t>
      </w:r>
      <w:r w:rsidRPr="001F29E3">
        <w:rPr>
          <w:rFonts w:cs="Arial"/>
        </w:rPr>
        <w:t>, 2008–2012</w:t>
      </w:r>
    </w:p>
    <w:tbl>
      <w:tblPr>
        <w:tblW w:w="9480" w:type="dxa"/>
        <w:tblInd w:w="108" w:type="dxa"/>
        <w:tblLook w:val="04A0" w:firstRow="1" w:lastRow="0" w:firstColumn="1" w:lastColumn="0" w:noHBand="0" w:noVBand="1"/>
      </w:tblPr>
      <w:tblGrid>
        <w:gridCol w:w="2760"/>
        <w:gridCol w:w="1120"/>
        <w:gridCol w:w="1120"/>
        <w:gridCol w:w="1120"/>
        <w:gridCol w:w="1120"/>
        <w:gridCol w:w="1120"/>
        <w:gridCol w:w="1120"/>
      </w:tblGrid>
      <w:tr w:rsidR="008D2D17" w:rsidRPr="003078FB" w:rsidTr="00752A8D">
        <w:trPr>
          <w:trHeight w:hRule="exact" w:val="760"/>
        </w:trPr>
        <w:tc>
          <w:tcPr>
            <w:tcW w:w="2760" w:type="dxa"/>
            <w:tcBorders>
              <w:top w:val="single" w:sz="4" w:space="0" w:color="5E8A00"/>
              <w:left w:val="single" w:sz="4" w:space="0" w:color="5E8A00"/>
              <w:bottom w:val="single" w:sz="4" w:space="0" w:color="5E8A00"/>
            </w:tcBorders>
            <w:shd w:val="clear" w:color="000000" w:fill="5E8A00"/>
            <w:noWrap/>
            <w:vAlign w:val="center"/>
            <w:hideMark/>
          </w:tcPr>
          <w:p w:rsidR="008D2D17" w:rsidRPr="003078FB" w:rsidRDefault="008D2D17" w:rsidP="00752A8D">
            <w:pPr>
              <w:spacing w:after="0" w:line="240" w:lineRule="auto"/>
              <w:ind w:firstLineChars="100" w:firstLine="181"/>
              <w:jc w:val="left"/>
              <w:rPr>
                <w:rFonts w:cs="Arial"/>
                <w:b/>
                <w:bCs/>
                <w:color w:val="FFFFFF"/>
                <w:sz w:val="18"/>
                <w:szCs w:val="18"/>
                <w:lang w:eastAsia="en-AU"/>
              </w:rPr>
            </w:pPr>
            <w:r w:rsidRPr="003078FB">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8D2D17" w:rsidRPr="003078FB" w:rsidRDefault="008D2D17" w:rsidP="00752A8D">
            <w:pPr>
              <w:spacing w:after="0" w:line="240" w:lineRule="auto"/>
              <w:ind w:firstLineChars="100" w:firstLine="181"/>
              <w:jc w:val="right"/>
              <w:rPr>
                <w:rFonts w:cs="Arial"/>
                <w:b/>
                <w:bCs/>
                <w:color w:val="FFFFFF"/>
                <w:sz w:val="18"/>
                <w:szCs w:val="18"/>
                <w:lang w:eastAsia="en-AU"/>
              </w:rPr>
            </w:pPr>
            <w:r w:rsidRPr="003078FB">
              <w:rPr>
                <w:rFonts w:cs="Arial"/>
                <w:b/>
                <w:bCs/>
                <w:color w:val="FFFFFF"/>
                <w:sz w:val="18"/>
                <w:szCs w:val="18"/>
                <w:lang w:eastAsia="en-AU"/>
              </w:rPr>
              <w:t>2008</w:t>
            </w:r>
          </w:p>
        </w:tc>
        <w:tc>
          <w:tcPr>
            <w:tcW w:w="1120" w:type="dxa"/>
            <w:tcBorders>
              <w:top w:val="single" w:sz="4" w:space="0" w:color="5E8A00"/>
              <w:bottom w:val="single" w:sz="4" w:space="0" w:color="5E8A00"/>
            </w:tcBorders>
            <w:shd w:val="clear" w:color="000000" w:fill="5E8A00"/>
            <w:vAlign w:val="center"/>
            <w:hideMark/>
          </w:tcPr>
          <w:p w:rsidR="008D2D17" w:rsidRPr="003078FB" w:rsidRDefault="008D2D17" w:rsidP="00752A8D">
            <w:pPr>
              <w:spacing w:after="0" w:line="240" w:lineRule="auto"/>
              <w:ind w:firstLineChars="100" w:firstLine="181"/>
              <w:jc w:val="right"/>
              <w:rPr>
                <w:rFonts w:cs="Arial"/>
                <w:b/>
                <w:bCs/>
                <w:color w:val="FFFFFF"/>
                <w:sz w:val="18"/>
                <w:szCs w:val="18"/>
                <w:lang w:eastAsia="en-AU"/>
              </w:rPr>
            </w:pPr>
            <w:r w:rsidRPr="003078FB">
              <w:rPr>
                <w:rFonts w:cs="Arial"/>
                <w:b/>
                <w:bCs/>
                <w:color w:val="FFFFFF"/>
                <w:sz w:val="18"/>
                <w:szCs w:val="18"/>
                <w:lang w:eastAsia="en-AU"/>
              </w:rPr>
              <w:t>2009</w:t>
            </w:r>
          </w:p>
        </w:tc>
        <w:tc>
          <w:tcPr>
            <w:tcW w:w="1120" w:type="dxa"/>
            <w:tcBorders>
              <w:top w:val="single" w:sz="4" w:space="0" w:color="5E8A00"/>
              <w:bottom w:val="single" w:sz="4" w:space="0" w:color="5E8A00"/>
            </w:tcBorders>
            <w:shd w:val="clear" w:color="000000" w:fill="5E8A00"/>
            <w:vAlign w:val="center"/>
            <w:hideMark/>
          </w:tcPr>
          <w:p w:rsidR="008D2D17" w:rsidRPr="003078FB" w:rsidRDefault="008D2D17" w:rsidP="00752A8D">
            <w:pPr>
              <w:spacing w:after="0" w:line="240" w:lineRule="auto"/>
              <w:ind w:firstLineChars="100" w:firstLine="181"/>
              <w:jc w:val="right"/>
              <w:rPr>
                <w:rFonts w:cs="Arial"/>
                <w:b/>
                <w:bCs/>
                <w:color w:val="FFFFFF"/>
                <w:sz w:val="18"/>
                <w:szCs w:val="18"/>
                <w:lang w:eastAsia="en-AU"/>
              </w:rPr>
            </w:pPr>
            <w:r w:rsidRPr="003078FB">
              <w:rPr>
                <w:rFonts w:cs="Arial"/>
                <w:b/>
                <w:bCs/>
                <w:color w:val="FFFFFF"/>
                <w:sz w:val="18"/>
                <w:szCs w:val="18"/>
                <w:lang w:eastAsia="en-AU"/>
              </w:rPr>
              <w:t>2010</w:t>
            </w:r>
          </w:p>
        </w:tc>
        <w:tc>
          <w:tcPr>
            <w:tcW w:w="1120" w:type="dxa"/>
            <w:tcBorders>
              <w:top w:val="single" w:sz="4" w:space="0" w:color="5E8A00"/>
              <w:bottom w:val="single" w:sz="4" w:space="0" w:color="5E8A00"/>
            </w:tcBorders>
            <w:shd w:val="clear" w:color="000000" w:fill="5E8A00"/>
            <w:vAlign w:val="center"/>
            <w:hideMark/>
          </w:tcPr>
          <w:p w:rsidR="008D2D17" w:rsidRPr="003078FB" w:rsidRDefault="008D2D17" w:rsidP="00752A8D">
            <w:pPr>
              <w:spacing w:after="0" w:line="240" w:lineRule="auto"/>
              <w:ind w:firstLineChars="100" w:firstLine="181"/>
              <w:jc w:val="right"/>
              <w:rPr>
                <w:rFonts w:cs="Arial"/>
                <w:b/>
                <w:bCs/>
                <w:color w:val="FFFFFF"/>
                <w:sz w:val="18"/>
                <w:szCs w:val="18"/>
                <w:lang w:eastAsia="en-AU"/>
              </w:rPr>
            </w:pPr>
            <w:r w:rsidRPr="003078FB">
              <w:rPr>
                <w:rFonts w:cs="Arial"/>
                <w:b/>
                <w:bCs/>
                <w:color w:val="FFFFFF"/>
                <w:sz w:val="18"/>
                <w:szCs w:val="18"/>
                <w:lang w:eastAsia="en-AU"/>
              </w:rPr>
              <w:t>2011</w:t>
            </w:r>
          </w:p>
        </w:tc>
        <w:tc>
          <w:tcPr>
            <w:tcW w:w="1120" w:type="dxa"/>
            <w:tcBorders>
              <w:top w:val="single" w:sz="4" w:space="0" w:color="5E8A00"/>
              <w:bottom w:val="single" w:sz="4" w:space="0" w:color="5E8A00"/>
            </w:tcBorders>
            <w:shd w:val="clear" w:color="000000" w:fill="5E8A00"/>
            <w:vAlign w:val="center"/>
            <w:hideMark/>
          </w:tcPr>
          <w:p w:rsidR="008D2D17" w:rsidRPr="003078FB" w:rsidRDefault="008D2D17" w:rsidP="00752A8D">
            <w:pPr>
              <w:spacing w:after="0" w:line="240" w:lineRule="auto"/>
              <w:ind w:firstLineChars="100" w:firstLine="181"/>
              <w:jc w:val="right"/>
              <w:rPr>
                <w:rFonts w:cs="Arial"/>
                <w:b/>
                <w:bCs/>
                <w:color w:val="FFFFFF"/>
                <w:sz w:val="18"/>
                <w:szCs w:val="18"/>
                <w:lang w:eastAsia="en-AU"/>
              </w:rPr>
            </w:pPr>
            <w:r w:rsidRPr="003078FB">
              <w:rPr>
                <w:rFonts w:cs="Arial"/>
                <w:b/>
                <w:bCs/>
                <w:color w:val="FFFFFF"/>
                <w:sz w:val="18"/>
                <w:szCs w:val="18"/>
                <w:lang w:eastAsia="en-AU"/>
              </w:rPr>
              <w:t>2012</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8D2D17" w:rsidRPr="003078FB" w:rsidRDefault="008D2D17" w:rsidP="00752A8D">
            <w:pPr>
              <w:spacing w:after="0" w:line="240" w:lineRule="auto"/>
              <w:jc w:val="right"/>
              <w:rPr>
                <w:rFonts w:cs="Arial"/>
                <w:b/>
                <w:bCs/>
                <w:color w:val="FFFFFF"/>
                <w:sz w:val="18"/>
                <w:szCs w:val="18"/>
                <w:lang w:eastAsia="en-AU"/>
              </w:rPr>
            </w:pPr>
            <w:r w:rsidRPr="003078FB">
              <w:rPr>
                <w:rFonts w:cs="Arial"/>
                <w:b/>
                <w:bCs/>
                <w:color w:val="FFFFFF"/>
                <w:sz w:val="18"/>
                <w:szCs w:val="18"/>
                <w:lang w:eastAsia="en-AU"/>
              </w:rPr>
              <w:t>% change</w:t>
            </w:r>
            <w:r w:rsidRPr="003078FB">
              <w:rPr>
                <w:rFonts w:cs="Arial"/>
                <w:b/>
                <w:bCs/>
                <w:color w:val="FFFFFF"/>
                <w:sz w:val="18"/>
                <w:szCs w:val="18"/>
                <w:lang w:eastAsia="en-AU"/>
              </w:rPr>
              <w:br/>
              <w:t>2008-2012</w:t>
            </w:r>
          </w:p>
        </w:tc>
      </w:tr>
      <w:tr w:rsidR="008D2D17" w:rsidRPr="003078FB" w:rsidTr="00752A8D">
        <w:trPr>
          <w:trHeight w:hRule="exact" w:val="284"/>
        </w:trPr>
        <w:tc>
          <w:tcPr>
            <w:tcW w:w="27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3078FB" w:rsidRDefault="008D2D17" w:rsidP="00752A8D">
            <w:pPr>
              <w:spacing w:after="0" w:line="240" w:lineRule="auto"/>
              <w:jc w:val="left"/>
              <w:rPr>
                <w:rFonts w:cs="Arial"/>
                <w:color w:val="3E5B00"/>
                <w:sz w:val="18"/>
                <w:szCs w:val="18"/>
                <w:lang w:eastAsia="en-AU"/>
              </w:rPr>
            </w:pPr>
            <w:r w:rsidRPr="003078FB">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10,200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11,100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11,700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8,900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4,200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-59%</w:t>
            </w:r>
          </w:p>
        </w:tc>
      </w:tr>
      <w:tr w:rsidR="008D2D17" w:rsidRPr="003078FB" w:rsidTr="00752A8D">
        <w:trPr>
          <w:trHeight w:hRule="exact" w:val="284"/>
        </w:trPr>
        <w:tc>
          <w:tcPr>
            <w:tcW w:w="27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3078FB" w:rsidRDefault="008D2D17" w:rsidP="00752A8D">
            <w:pPr>
              <w:spacing w:after="0" w:line="240" w:lineRule="auto"/>
              <w:jc w:val="left"/>
              <w:rPr>
                <w:rFonts w:cs="Arial"/>
                <w:color w:val="3E5B00"/>
                <w:sz w:val="18"/>
                <w:szCs w:val="18"/>
                <w:lang w:eastAsia="en-AU"/>
              </w:rPr>
            </w:pPr>
            <w:r w:rsidRPr="003078FB">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42,600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36,800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42,500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62,900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72,100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69%</w:t>
            </w:r>
          </w:p>
        </w:tc>
      </w:tr>
      <w:tr w:rsidR="008D2D17" w:rsidRPr="003078FB" w:rsidTr="00752A8D">
        <w:trPr>
          <w:trHeight w:hRule="exact" w:val="284"/>
        </w:trPr>
        <w:tc>
          <w:tcPr>
            <w:tcW w:w="2760" w:type="dxa"/>
            <w:tcBorders>
              <w:top w:val="nil"/>
              <w:left w:val="single" w:sz="4" w:space="0" w:color="5E8A00"/>
              <w:bottom w:val="single" w:sz="4" w:space="0" w:color="5E8A00"/>
              <w:right w:val="single" w:sz="4" w:space="0" w:color="5E8A00"/>
            </w:tcBorders>
            <w:shd w:val="clear" w:color="000000" w:fill="FFFFFF"/>
            <w:noWrap/>
            <w:vAlign w:val="bottom"/>
            <w:hideMark/>
          </w:tcPr>
          <w:p w:rsidR="008D2D17" w:rsidRPr="003078FB" w:rsidRDefault="008D2D17" w:rsidP="00752A8D">
            <w:pPr>
              <w:spacing w:after="0" w:line="240" w:lineRule="auto"/>
              <w:jc w:val="left"/>
              <w:rPr>
                <w:rFonts w:cs="Arial"/>
                <w:color w:val="3E5B00"/>
                <w:sz w:val="18"/>
                <w:szCs w:val="18"/>
                <w:lang w:eastAsia="en-AU"/>
              </w:rPr>
            </w:pPr>
            <w:r w:rsidRPr="003078FB">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1,100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1,300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2,700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8,400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13,000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1128%</w:t>
            </w:r>
          </w:p>
        </w:tc>
      </w:tr>
    </w:tbl>
    <w:p w:rsidR="008D2D17" w:rsidRPr="00561677" w:rsidRDefault="008D2D17" w:rsidP="008D2D17"/>
    <w:p w:rsidR="008D2D17" w:rsidRDefault="008D2D17" w:rsidP="008D2D17">
      <w:pPr>
        <w:spacing w:after="0" w:line="240" w:lineRule="auto"/>
        <w:jc w:val="left"/>
        <w:rPr>
          <w:rFonts w:cs="Arial"/>
          <w:b/>
          <w:bCs/>
          <w:color w:val="76923C" w:themeColor="accent3" w:themeShade="BF"/>
          <w:sz w:val="18"/>
          <w:szCs w:val="16"/>
        </w:rPr>
      </w:pPr>
    </w:p>
    <w:p w:rsidR="008D2D17" w:rsidRPr="003078FB" w:rsidRDefault="008D2D17" w:rsidP="008D2D17">
      <w:pPr>
        <w:pStyle w:val="Caption"/>
        <w:spacing w:after="0"/>
        <w:jc w:val="left"/>
        <w:rPr>
          <w:rFonts w:cs="Arial"/>
        </w:rPr>
      </w:pPr>
      <w:r>
        <w:rPr>
          <w:rFonts w:cs="Arial"/>
        </w:rPr>
        <w:t>Table 3</w:t>
      </w:r>
      <w:r w:rsidRPr="001F29E3">
        <w:rPr>
          <w:rFonts w:cs="Arial"/>
        </w:rPr>
        <w:t>.</w:t>
      </w:r>
      <w:r w:rsidR="00734456">
        <w:rPr>
          <w:rFonts w:cs="Arial"/>
        </w:rPr>
        <w:t>8</w:t>
      </w:r>
      <w:r>
        <w:rPr>
          <w:rFonts w:cs="Arial"/>
        </w:rPr>
        <w:t>.2</w:t>
      </w:r>
      <w:r w:rsidRPr="001F29E3">
        <w:rPr>
          <w:rFonts w:cs="Arial"/>
        </w:rPr>
        <w:t xml:space="preserve">: Government subsidised enrolments by trainees by </w:t>
      </w:r>
      <w:r>
        <w:rPr>
          <w:rFonts w:cs="Arial"/>
        </w:rPr>
        <w:t>qualification level</w:t>
      </w:r>
      <w:r w:rsidRPr="001F29E3">
        <w:rPr>
          <w:rFonts w:cs="Arial"/>
        </w:rPr>
        <w:t>, Q</w:t>
      </w:r>
      <w:r>
        <w:rPr>
          <w:rFonts w:cs="Arial"/>
        </w:rPr>
        <w:t>2</w:t>
      </w:r>
      <w:r w:rsidRPr="001F29E3">
        <w:rPr>
          <w:rFonts w:cs="Arial"/>
        </w:rPr>
        <w:t xml:space="preserve"> 201</w:t>
      </w:r>
      <w:r>
        <w:rPr>
          <w:rFonts w:cs="Arial"/>
        </w:rPr>
        <w:t xml:space="preserve">1, Q2 2012 and Q2 </w:t>
      </w:r>
      <w:r w:rsidRPr="001F29E3">
        <w:rPr>
          <w:rFonts w:cs="Arial"/>
        </w:rPr>
        <w:t>2013</w:t>
      </w:r>
    </w:p>
    <w:tbl>
      <w:tblPr>
        <w:tblW w:w="8647" w:type="dxa"/>
        <w:tblInd w:w="108" w:type="dxa"/>
        <w:tblLook w:val="04A0" w:firstRow="1" w:lastRow="0" w:firstColumn="1" w:lastColumn="0" w:noHBand="0" w:noVBand="1"/>
      </w:tblPr>
      <w:tblGrid>
        <w:gridCol w:w="2760"/>
        <w:gridCol w:w="1120"/>
        <w:gridCol w:w="1120"/>
        <w:gridCol w:w="1120"/>
        <w:gridCol w:w="1251"/>
        <w:gridCol w:w="1276"/>
      </w:tblGrid>
      <w:tr w:rsidR="008D2D17" w:rsidRPr="003078FB" w:rsidTr="00752A8D">
        <w:trPr>
          <w:trHeight w:hRule="exact" w:val="760"/>
        </w:trPr>
        <w:tc>
          <w:tcPr>
            <w:tcW w:w="2760" w:type="dxa"/>
            <w:tcBorders>
              <w:top w:val="single" w:sz="4" w:space="0" w:color="5E8A00"/>
              <w:left w:val="single" w:sz="4" w:space="0" w:color="5E8A00"/>
              <w:bottom w:val="single" w:sz="4" w:space="0" w:color="5E8A00"/>
            </w:tcBorders>
            <w:shd w:val="clear" w:color="000000" w:fill="5E8A00"/>
            <w:noWrap/>
            <w:vAlign w:val="center"/>
            <w:hideMark/>
          </w:tcPr>
          <w:p w:rsidR="008D2D17" w:rsidRPr="003078FB" w:rsidRDefault="008D2D17" w:rsidP="00752A8D">
            <w:pPr>
              <w:spacing w:after="0" w:line="240" w:lineRule="auto"/>
              <w:ind w:firstLineChars="100" w:firstLine="181"/>
              <w:jc w:val="left"/>
              <w:rPr>
                <w:rFonts w:cs="Arial"/>
                <w:b/>
                <w:bCs/>
                <w:color w:val="FFFFFF"/>
                <w:sz w:val="18"/>
                <w:szCs w:val="18"/>
                <w:lang w:eastAsia="en-AU"/>
              </w:rPr>
            </w:pPr>
            <w:r w:rsidRPr="003078FB">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8D2D17" w:rsidRPr="003078FB" w:rsidRDefault="008D2D17" w:rsidP="00752A8D">
            <w:pPr>
              <w:spacing w:after="0" w:line="240" w:lineRule="auto"/>
              <w:ind w:firstLineChars="100" w:firstLine="181"/>
              <w:jc w:val="right"/>
              <w:rPr>
                <w:rFonts w:cs="Arial"/>
                <w:b/>
                <w:bCs/>
                <w:color w:val="FFFFFF"/>
                <w:sz w:val="18"/>
                <w:szCs w:val="18"/>
                <w:lang w:eastAsia="en-AU"/>
              </w:rPr>
            </w:pPr>
            <w:r w:rsidRPr="003078FB">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8D2D17" w:rsidRPr="003078FB" w:rsidRDefault="008D2D17" w:rsidP="00752A8D">
            <w:pPr>
              <w:spacing w:after="0" w:line="240" w:lineRule="auto"/>
              <w:ind w:firstLineChars="100" w:firstLine="181"/>
              <w:jc w:val="right"/>
              <w:rPr>
                <w:rFonts w:cs="Arial"/>
                <w:b/>
                <w:bCs/>
                <w:color w:val="FFFFFF"/>
                <w:sz w:val="18"/>
                <w:szCs w:val="18"/>
                <w:lang w:eastAsia="en-AU"/>
              </w:rPr>
            </w:pPr>
            <w:r w:rsidRPr="003078FB">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8D2D17" w:rsidRPr="003078FB" w:rsidRDefault="008D2D17" w:rsidP="00752A8D">
            <w:pPr>
              <w:spacing w:after="0" w:line="240" w:lineRule="auto"/>
              <w:ind w:firstLineChars="100" w:firstLine="181"/>
              <w:jc w:val="right"/>
              <w:rPr>
                <w:rFonts w:cs="Arial"/>
                <w:b/>
                <w:bCs/>
                <w:color w:val="FFFFFF"/>
                <w:sz w:val="18"/>
                <w:szCs w:val="18"/>
                <w:lang w:eastAsia="en-AU"/>
              </w:rPr>
            </w:pPr>
            <w:r w:rsidRPr="003078FB">
              <w:rPr>
                <w:rFonts w:cs="Arial"/>
                <w:b/>
                <w:bCs/>
                <w:color w:val="FFFFFF"/>
                <w:sz w:val="18"/>
                <w:szCs w:val="18"/>
                <w:lang w:eastAsia="en-AU"/>
              </w:rPr>
              <w:t>Q2 2013</w:t>
            </w:r>
          </w:p>
        </w:tc>
        <w:tc>
          <w:tcPr>
            <w:tcW w:w="1251" w:type="dxa"/>
            <w:tcBorders>
              <w:top w:val="single" w:sz="4" w:space="0" w:color="5E8A00"/>
              <w:bottom w:val="single" w:sz="4" w:space="0" w:color="5E8A00"/>
            </w:tcBorders>
            <w:shd w:val="clear" w:color="000000" w:fill="5E8A00"/>
            <w:vAlign w:val="center"/>
            <w:hideMark/>
          </w:tcPr>
          <w:p w:rsidR="008D2D17" w:rsidRPr="003078FB" w:rsidRDefault="008D2D17" w:rsidP="00752A8D">
            <w:pPr>
              <w:spacing w:after="0" w:line="240" w:lineRule="auto"/>
              <w:ind w:firstLineChars="100" w:firstLine="181"/>
              <w:jc w:val="right"/>
              <w:rPr>
                <w:rFonts w:cs="Arial"/>
                <w:b/>
                <w:bCs/>
                <w:color w:val="FFFFFF"/>
                <w:sz w:val="18"/>
                <w:szCs w:val="18"/>
                <w:lang w:eastAsia="en-AU"/>
              </w:rPr>
            </w:pPr>
            <w:r w:rsidRPr="0061781E">
              <w:rPr>
                <w:rFonts w:cs="Arial"/>
                <w:b/>
                <w:bCs/>
                <w:color w:val="FFFFFF"/>
                <w:sz w:val="18"/>
                <w:szCs w:val="18"/>
                <w:lang w:eastAsia="en-AU"/>
              </w:rPr>
              <w:t>% change</w:t>
            </w:r>
            <w:r w:rsidRPr="0061781E">
              <w:rPr>
                <w:rFonts w:cs="Arial"/>
                <w:b/>
                <w:bCs/>
                <w:color w:val="FFFFFF"/>
                <w:sz w:val="18"/>
                <w:szCs w:val="18"/>
                <w:lang w:eastAsia="en-AU"/>
              </w:rPr>
              <w:br/>
              <w:t>Q2 2011-Q2 2013 </w:t>
            </w:r>
          </w:p>
        </w:tc>
        <w:tc>
          <w:tcPr>
            <w:tcW w:w="1276" w:type="dxa"/>
            <w:tcBorders>
              <w:top w:val="single" w:sz="4" w:space="0" w:color="5E8A00"/>
              <w:bottom w:val="single" w:sz="4" w:space="0" w:color="5E8A00"/>
              <w:right w:val="single" w:sz="4" w:space="0" w:color="5E8A00"/>
            </w:tcBorders>
            <w:shd w:val="clear" w:color="000000" w:fill="5E8A00"/>
            <w:vAlign w:val="center"/>
            <w:hideMark/>
          </w:tcPr>
          <w:p w:rsidR="008D2D17" w:rsidRPr="003078FB" w:rsidRDefault="008D2D17" w:rsidP="00752A8D">
            <w:pPr>
              <w:spacing w:after="0" w:line="240" w:lineRule="auto"/>
              <w:ind w:firstLineChars="100" w:firstLine="181"/>
              <w:jc w:val="right"/>
              <w:rPr>
                <w:rFonts w:cs="Arial"/>
                <w:b/>
                <w:bCs/>
                <w:color w:val="FFFFFF"/>
                <w:sz w:val="18"/>
                <w:szCs w:val="18"/>
                <w:lang w:eastAsia="en-AU"/>
              </w:rPr>
            </w:pPr>
            <w:r w:rsidRPr="003078FB">
              <w:rPr>
                <w:rFonts w:cs="Arial"/>
                <w:b/>
                <w:bCs/>
                <w:color w:val="FFFFFF"/>
                <w:sz w:val="18"/>
                <w:szCs w:val="18"/>
                <w:lang w:eastAsia="en-AU"/>
              </w:rPr>
              <w:t>% change</w:t>
            </w:r>
            <w:r w:rsidRPr="003078FB">
              <w:rPr>
                <w:rFonts w:cs="Arial"/>
                <w:b/>
                <w:bCs/>
                <w:color w:val="FFFFFF"/>
                <w:sz w:val="18"/>
                <w:szCs w:val="18"/>
                <w:lang w:eastAsia="en-AU"/>
              </w:rPr>
              <w:br/>
              <w:t>Q2 2011-Q2 2013 </w:t>
            </w:r>
          </w:p>
        </w:tc>
      </w:tr>
      <w:tr w:rsidR="008D2D17" w:rsidRPr="003078FB" w:rsidTr="00752A8D">
        <w:trPr>
          <w:trHeight w:hRule="exact" w:val="284"/>
        </w:trPr>
        <w:tc>
          <w:tcPr>
            <w:tcW w:w="27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3078FB" w:rsidRDefault="008D2D17" w:rsidP="00752A8D">
            <w:pPr>
              <w:spacing w:after="0" w:line="240" w:lineRule="auto"/>
              <w:jc w:val="left"/>
              <w:rPr>
                <w:rFonts w:cs="Arial"/>
                <w:color w:val="3E5B00"/>
                <w:sz w:val="18"/>
                <w:szCs w:val="18"/>
                <w:lang w:eastAsia="en-AU"/>
              </w:rPr>
            </w:pPr>
            <w:r w:rsidRPr="003078FB">
              <w:rPr>
                <w:rFonts w:cs="Arial"/>
                <w:color w:val="3E5B00"/>
                <w:sz w:val="18"/>
                <w:szCs w:val="18"/>
                <w:lang w:eastAsia="en-AU"/>
              </w:rPr>
              <w:t>Cert I-II</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6,800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3,100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1,600 </w:t>
            </w:r>
          </w:p>
        </w:tc>
        <w:tc>
          <w:tcPr>
            <w:tcW w:w="1251"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-77%</w:t>
            </w:r>
          </w:p>
        </w:tc>
        <w:tc>
          <w:tcPr>
            <w:tcW w:w="1276"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-51%</w:t>
            </w:r>
          </w:p>
        </w:tc>
      </w:tr>
      <w:tr w:rsidR="008D2D17" w:rsidRPr="003078FB" w:rsidTr="00752A8D">
        <w:trPr>
          <w:trHeight w:hRule="exact" w:val="284"/>
        </w:trPr>
        <w:tc>
          <w:tcPr>
            <w:tcW w:w="27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3078FB" w:rsidRDefault="008D2D17" w:rsidP="00752A8D">
            <w:pPr>
              <w:spacing w:after="0" w:line="240" w:lineRule="auto"/>
              <w:jc w:val="left"/>
              <w:rPr>
                <w:rFonts w:cs="Arial"/>
                <w:color w:val="3E5B00"/>
                <w:sz w:val="18"/>
                <w:szCs w:val="18"/>
                <w:lang w:eastAsia="en-AU"/>
              </w:rPr>
            </w:pPr>
            <w:r w:rsidRPr="003078FB">
              <w:rPr>
                <w:rFonts w:cs="Arial"/>
                <w:color w:val="3E5B00"/>
                <w:sz w:val="18"/>
                <w:szCs w:val="18"/>
                <w:lang w:eastAsia="en-AU"/>
              </w:rPr>
              <w:t>Cert III-IV</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35,900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51,000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33,600 </w:t>
            </w:r>
          </w:p>
        </w:tc>
        <w:tc>
          <w:tcPr>
            <w:tcW w:w="1251"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-6%</w:t>
            </w:r>
          </w:p>
        </w:tc>
        <w:tc>
          <w:tcPr>
            <w:tcW w:w="1276"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-34%</w:t>
            </w:r>
          </w:p>
        </w:tc>
      </w:tr>
      <w:tr w:rsidR="008D2D17" w:rsidRPr="003078FB" w:rsidTr="00752A8D">
        <w:trPr>
          <w:trHeight w:hRule="exact" w:val="284"/>
        </w:trPr>
        <w:tc>
          <w:tcPr>
            <w:tcW w:w="27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3078FB" w:rsidRDefault="008D2D17" w:rsidP="00752A8D">
            <w:pPr>
              <w:spacing w:after="0" w:line="240" w:lineRule="auto"/>
              <w:jc w:val="left"/>
              <w:rPr>
                <w:rFonts w:cs="Arial"/>
                <w:color w:val="3E5B00"/>
                <w:sz w:val="18"/>
                <w:szCs w:val="18"/>
                <w:lang w:eastAsia="en-AU"/>
              </w:rPr>
            </w:pPr>
            <w:r w:rsidRPr="003078FB">
              <w:rPr>
                <w:rFonts w:cs="Arial"/>
                <w:color w:val="3E5B00"/>
                <w:sz w:val="18"/>
                <w:szCs w:val="18"/>
                <w:lang w:eastAsia="en-AU"/>
              </w:rPr>
              <w:t>Diploma &amp; Above</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4,200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9,400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 xml:space="preserve">5,900 </w:t>
            </w:r>
          </w:p>
        </w:tc>
        <w:tc>
          <w:tcPr>
            <w:tcW w:w="1251"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39%</w:t>
            </w:r>
          </w:p>
        </w:tc>
        <w:tc>
          <w:tcPr>
            <w:tcW w:w="1276" w:type="dxa"/>
            <w:tcBorders>
              <w:top w:val="nil"/>
              <w:left w:val="nil"/>
              <w:bottom w:val="single" w:sz="4" w:space="0" w:color="5E8A00"/>
              <w:right w:val="single" w:sz="4" w:space="0" w:color="5E8A00"/>
            </w:tcBorders>
            <w:shd w:val="clear" w:color="auto" w:fill="auto"/>
            <w:noWrap/>
            <w:vAlign w:val="center"/>
            <w:hideMark/>
          </w:tcPr>
          <w:p w:rsidR="008D2D17" w:rsidRPr="003078FB" w:rsidRDefault="008D2D17" w:rsidP="00752A8D">
            <w:pPr>
              <w:spacing w:after="0" w:line="240" w:lineRule="auto"/>
              <w:jc w:val="right"/>
              <w:rPr>
                <w:rFonts w:cs="Arial"/>
                <w:sz w:val="18"/>
                <w:szCs w:val="18"/>
                <w:lang w:eastAsia="en-AU"/>
              </w:rPr>
            </w:pPr>
            <w:r w:rsidRPr="003078FB">
              <w:rPr>
                <w:rFonts w:cs="Arial"/>
                <w:sz w:val="18"/>
                <w:szCs w:val="18"/>
                <w:lang w:eastAsia="en-AU"/>
              </w:rPr>
              <w:t>-37%</w:t>
            </w:r>
          </w:p>
        </w:tc>
      </w:tr>
    </w:tbl>
    <w:p w:rsidR="008D2D17" w:rsidRPr="003078FB" w:rsidRDefault="008D2D17" w:rsidP="008D2D17"/>
    <w:p w:rsidR="008D2D17" w:rsidRDefault="008D2D17" w:rsidP="008D2D17">
      <w:pPr>
        <w:spacing w:after="0" w:line="240" w:lineRule="auto"/>
        <w:jc w:val="left"/>
        <w:rPr>
          <w:rFonts w:cs="Arial"/>
          <w:b/>
          <w:bCs/>
          <w:color w:val="76923C" w:themeColor="accent3" w:themeShade="BF"/>
          <w:sz w:val="18"/>
          <w:szCs w:val="16"/>
        </w:rPr>
      </w:pPr>
    </w:p>
    <w:p w:rsidR="008D2D17" w:rsidRPr="00B67C87" w:rsidRDefault="008D2D17" w:rsidP="008D2D17">
      <w:pPr>
        <w:pStyle w:val="Caption"/>
        <w:spacing w:after="0"/>
        <w:jc w:val="left"/>
        <w:rPr>
          <w:rFonts w:cs="Arial"/>
        </w:rPr>
      </w:pPr>
      <w:r w:rsidRPr="001F29E3">
        <w:rPr>
          <w:rFonts w:cs="Arial"/>
        </w:rPr>
        <w:t xml:space="preserve">Table </w:t>
      </w:r>
      <w:r>
        <w:rPr>
          <w:rFonts w:cs="Arial"/>
        </w:rPr>
        <w:t>3</w:t>
      </w:r>
      <w:r w:rsidRPr="001F29E3">
        <w:rPr>
          <w:rFonts w:cs="Arial"/>
        </w:rPr>
        <w:t>.</w:t>
      </w:r>
      <w:r w:rsidR="00734456">
        <w:rPr>
          <w:rFonts w:cs="Arial"/>
        </w:rPr>
        <w:t>9</w:t>
      </w:r>
      <w:r w:rsidRPr="001F29E3">
        <w:rPr>
          <w:rFonts w:cs="Arial"/>
        </w:rPr>
        <w:t xml:space="preserve">: Government subsidised enrolments by </w:t>
      </w:r>
      <w:r>
        <w:rPr>
          <w:rFonts w:cs="Arial"/>
        </w:rPr>
        <w:t>trainee</w:t>
      </w:r>
      <w:r w:rsidRPr="001F29E3">
        <w:rPr>
          <w:rFonts w:cs="Arial"/>
        </w:rPr>
        <w:t xml:space="preserve">s by </w:t>
      </w:r>
      <w:r>
        <w:rPr>
          <w:rFonts w:cs="Arial"/>
        </w:rPr>
        <w:t>industry</w:t>
      </w:r>
      <w:r w:rsidRPr="001F29E3">
        <w:rPr>
          <w:rFonts w:cs="Arial"/>
        </w:rPr>
        <w:t>, Q</w:t>
      </w:r>
      <w:r>
        <w:rPr>
          <w:rFonts w:cs="Arial"/>
        </w:rPr>
        <w:t>2</w:t>
      </w:r>
      <w:r w:rsidRPr="001F29E3">
        <w:rPr>
          <w:rFonts w:cs="Arial"/>
        </w:rPr>
        <w:t xml:space="preserve"> 201</w:t>
      </w:r>
      <w:r>
        <w:rPr>
          <w:rFonts w:cs="Arial"/>
        </w:rPr>
        <w:t xml:space="preserve">1, Q2 2012 and Q2 </w:t>
      </w:r>
      <w:r w:rsidRPr="001F29E3">
        <w:rPr>
          <w:rFonts w:cs="Arial"/>
        </w:rPr>
        <w:t>2013</w:t>
      </w:r>
    </w:p>
    <w:tbl>
      <w:tblPr>
        <w:tblW w:w="9660" w:type="dxa"/>
        <w:tblInd w:w="108" w:type="dxa"/>
        <w:tblLook w:val="04A0" w:firstRow="1" w:lastRow="0" w:firstColumn="1" w:lastColumn="0" w:noHBand="0" w:noVBand="1"/>
      </w:tblPr>
      <w:tblGrid>
        <w:gridCol w:w="4060"/>
        <w:gridCol w:w="1120"/>
        <w:gridCol w:w="1120"/>
        <w:gridCol w:w="1120"/>
        <w:gridCol w:w="1120"/>
        <w:gridCol w:w="1120"/>
      </w:tblGrid>
      <w:tr w:rsidR="008D2D17" w:rsidRPr="00165FD1" w:rsidTr="000315BF">
        <w:trPr>
          <w:trHeight w:hRule="exact" w:val="760"/>
        </w:trPr>
        <w:tc>
          <w:tcPr>
            <w:tcW w:w="4060" w:type="dxa"/>
            <w:tcBorders>
              <w:top w:val="single" w:sz="4" w:space="0" w:color="5E8A00"/>
              <w:left w:val="single" w:sz="4" w:space="0" w:color="5E8A00"/>
              <w:bottom w:val="single" w:sz="4" w:space="0" w:color="5E8A00"/>
            </w:tcBorders>
            <w:shd w:val="clear" w:color="000000" w:fill="5E8A00"/>
            <w:noWrap/>
            <w:vAlign w:val="center"/>
            <w:hideMark/>
          </w:tcPr>
          <w:p w:rsidR="008D2D17" w:rsidRPr="00165FD1" w:rsidRDefault="008D2D17" w:rsidP="00752A8D">
            <w:pPr>
              <w:spacing w:after="0" w:line="240" w:lineRule="auto"/>
              <w:ind w:firstLineChars="100" w:firstLine="181"/>
              <w:jc w:val="left"/>
              <w:rPr>
                <w:rFonts w:cs="Arial"/>
                <w:b/>
                <w:bCs/>
                <w:color w:val="FFFFFF"/>
                <w:sz w:val="18"/>
                <w:szCs w:val="18"/>
                <w:lang w:eastAsia="en-AU"/>
              </w:rPr>
            </w:pPr>
            <w:r w:rsidRPr="00165FD1">
              <w:rPr>
                <w:rFonts w:cs="Arial"/>
                <w:b/>
                <w:bCs/>
                <w:color w:val="FFFFFF"/>
                <w:sz w:val="18"/>
                <w:szCs w:val="18"/>
                <w:lang w:eastAsia="en-AU"/>
              </w:rPr>
              <w:t> </w:t>
            </w:r>
          </w:p>
        </w:tc>
        <w:tc>
          <w:tcPr>
            <w:tcW w:w="1120" w:type="dxa"/>
            <w:tcBorders>
              <w:top w:val="single" w:sz="4" w:space="0" w:color="5E8A00"/>
              <w:bottom w:val="single" w:sz="4" w:space="0" w:color="5E8A00"/>
            </w:tcBorders>
            <w:shd w:val="clear" w:color="000000" w:fill="5E8A00"/>
            <w:vAlign w:val="center"/>
            <w:hideMark/>
          </w:tcPr>
          <w:p w:rsidR="008D2D17" w:rsidRPr="00165FD1" w:rsidRDefault="008D2D17" w:rsidP="00752A8D">
            <w:pPr>
              <w:spacing w:after="0" w:line="240" w:lineRule="auto"/>
              <w:ind w:firstLineChars="100" w:firstLine="181"/>
              <w:jc w:val="right"/>
              <w:rPr>
                <w:rFonts w:cs="Arial"/>
                <w:b/>
                <w:bCs/>
                <w:color w:val="FFFFFF"/>
                <w:sz w:val="18"/>
                <w:szCs w:val="18"/>
                <w:lang w:eastAsia="en-AU"/>
              </w:rPr>
            </w:pPr>
            <w:r w:rsidRPr="00165FD1">
              <w:rPr>
                <w:rFonts w:cs="Arial"/>
                <w:b/>
                <w:bCs/>
                <w:color w:val="FFFFFF"/>
                <w:sz w:val="18"/>
                <w:szCs w:val="18"/>
                <w:lang w:eastAsia="en-AU"/>
              </w:rPr>
              <w:t>Q2 2011</w:t>
            </w:r>
          </w:p>
        </w:tc>
        <w:tc>
          <w:tcPr>
            <w:tcW w:w="1120" w:type="dxa"/>
            <w:tcBorders>
              <w:top w:val="single" w:sz="4" w:space="0" w:color="5E8A00"/>
              <w:bottom w:val="single" w:sz="4" w:space="0" w:color="5E8A00"/>
            </w:tcBorders>
            <w:shd w:val="clear" w:color="000000" w:fill="5E8A00"/>
            <w:vAlign w:val="center"/>
            <w:hideMark/>
          </w:tcPr>
          <w:p w:rsidR="008D2D17" w:rsidRPr="00165FD1" w:rsidRDefault="008D2D17" w:rsidP="00752A8D">
            <w:pPr>
              <w:spacing w:after="0" w:line="240" w:lineRule="auto"/>
              <w:ind w:firstLineChars="100" w:firstLine="181"/>
              <w:jc w:val="right"/>
              <w:rPr>
                <w:rFonts w:cs="Arial"/>
                <w:b/>
                <w:bCs/>
                <w:color w:val="FFFFFF"/>
                <w:sz w:val="18"/>
                <w:szCs w:val="18"/>
                <w:lang w:eastAsia="en-AU"/>
              </w:rPr>
            </w:pPr>
            <w:r w:rsidRPr="00165FD1">
              <w:rPr>
                <w:rFonts w:cs="Arial"/>
                <w:b/>
                <w:bCs/>
                <w:color w:val="FFFFFF"/>
                <w:sz w:val="18"/>
                <w:szCs w:val="18"/>
                <w:lang w:eastAsia="en-AU"/>
              </w:rPr>
              <w:t>Q2 2012</w:t>
            </w:r>
          </w:p>
        </w:tc>
        <w:tc>
          <w:tcPr>
            <w:tcW w:w="1120" w:type="dxa"/>
            <w:tcBorders>
              <w:top w:val="single" w:sz="4" w:space="0" w:color="5E8A00"/>
              <w:bottom w:val="single" w:sz="4" w:space="0" w:color="5E8A00"/>
            </w:tcBorders>
            <w:shd w:val="clear" w:color="000000" w:fill="5E8A00"/>
            <w:vAlign w:val="center"/>
            <w:hideMark/>
          </w:tcPr>
          <w:p w:rsidR="008D2D17" w:rsidRPr="00165FD1" w:rsidRDefault="008D2D17" w:rsidP="00752A8D">
            <w:pPr>
              <w:spacing w:after="0" w:line="240" w:lineRule="auto"/>
              <w:ind w:firstLineChars="100" w:firstLine="181"/>
              <w:jc w:val="right"/>
              <w:rPr>
                <w:rFonts w:cs="Arial"/>
                <w:b/>
                <w:bCs/>
                <w:color w:val="FFFFFF"/>
                <w:sz w:val="18"/>
                <w:szCs w:val="18"/>
                <w:lang w:eastAsia="en-AU"/>
              </w:rPr>
            </w:pPr>
            <w:r w:rsidRPr="00165FD1">
              <w:rPr>
                <w:rFonts w:cs="Arial"/>
                <w:b/>
                <w:bCs/>
                <w:color w:val="FFFFFF"/>
                <w:sz w:val="18"/>
                <w:szCs w:val="18"/>
                <w:lang w:eastAsia="en-AU"/>
              </w:rPr>
              <w:t>Q2 2013</w:t>
            </w:r>
          </w:p>
        </w:tc>
        <w:tc>
          <w:tcPr>
            <w:tcW w:w="1120" w:type="dxa"/>
            <w:tcBorders>
              <w:top w:val="single" w:sz="4" w:space="0" w:color="5E8A00"/>
              <w:bottom w:val="single" w:sz="4" w:space="0" w:color="5E8A00"/>
            </w:tcBorders>
            <w:shd w:val="clear" w:color="000000" w:fill="5E8A00"/>
            <w:vAlign w:val="center"/>
            <w:hideMark/>
          </w:tcPr>
          <w:p w:rsidR="008D2D17" w:rsidRPr="00165FD1" w:rsidRDefault="008D2D17" w:rsidP="00752A8D">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 change</w:t>
            </w:r>
            <w:r w:rsidRPr="00165FD1">
              <w:rPr>
                <w:rFonts w:cs="Arial"/>
                <w:b/>
                <w:bCs/>
                <w:color w:val="FFFFFF"/>
                <w:sz w:val="18"/>
                <w:szCs w:val="18"/>
                <w:lang w:eastAsia="en-AU"/>
              </w:rPr>
              <w:br/>
              <w:t>Q2 2011-Q2 2013 </w:t>
            </w:r>
          </w:p>
        </w:tc>
        <w:tc>
          <w:tcPr>
            <w:tcW w:w="1120" w:type="dxa"/>
            <w:tcBorders>
              <w:top w:val="single" w:sz="4" w:space="0" w:color="5E8A00"/>
              <w:bottom w:val="single" w:sz="4" w:space="0" w:color="5E8A00"/>
              <w:right w:val="single" w:sz="4" w:space="0" w:color="5E8A00"/>
            </w:tcBorders>
            <w:shd w:val="clear" w:color="000000" w:fill="5E8A00"/>
            <w:vAlign w:val="center"/>
            <w:hideMark/>
          </w:tcPr>
          <w:p w:rsidR="008D2D17" w:rsidRPr="00165FD1" w:rsidRDefault="008D2D17" w:rsidP="00752A8D">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 change</w:t>
            </w:r>
            <w:r w:rsidRPr="00165FD1">
              <w:rPr>
                <w:rFonts w:cs="Arial"/>
                <w:b/>
                <w:bCs/>
                <w:color w:val="FFFFFF"/>
                <w:sz w:val="18"/>
                <w:szCs w:val="18"/>
                <w:lang w:eastAsia="en-AU"/>
              </w:rPr>
              <w:br/>
              <w:t>Q2 2012-Q2 2013</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A: Agriculture, Forestry and Fishing</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1,000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1,500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1,500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50%</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2%</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B: Mining</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800%</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440%</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C: Manufacturing</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5,300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10,100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7,800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45%</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-23%</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D: Electricity, Gas, Water and Waste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26%</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-41%</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E: Construction</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350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700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800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147%</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16%</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F: Wholesale Trade</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400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22%</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-35%</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G: Retail Trade</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10,700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12,300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5,500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-49%</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-55%</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H: Accommodation and Food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6,000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7,600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3,600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-40%</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-53%</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I: Transport, Postal and Warehousing</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2,900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4,000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4,000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41%</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1%</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J: Information Media and Telecommunications</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90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12%</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33%</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K: Financial and Insurance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350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400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350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-3%</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-21%</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L: Rental, Hiring and Real Estate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350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0%</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-43%</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M: Professional, Scientific and Technical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-5%</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-24%</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N: Administrative and Support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4,400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4,900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2,800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-37%</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-43%</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O: Public Administration and Safety</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30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70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90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190%</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28%</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P: Education and Training</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350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350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950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180%</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169%</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Q: Health Care and Social Assistance</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5,100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5,800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5,000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-3%</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-13%</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R: Arts and Recreation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1,900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2,200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850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-57%</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-63%</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S: Other Services</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400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350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200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-45%</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-39%</w:t>
            </w:r>
          </w:p>
        </w:tc>
      </w:tr>
      <w:tr w:rsidR="008D2D17" w:rsidRPr="00165FD1" w:rsidTr="000315BF">
        <w:trPr>
          <w:trHeight w:hRule="exact" w:val="284"/>
        </w:trPr>
        <w:tc>
          <w:tcPr>
            <w:tcW w:w="4060" w:type="dxa"/>
            <w:tcBorders>
              <w:top w:val="nil"/>
              <w:left w:val="single" w:sz="4" w:space="0" w:color="5E8A00"/>
              <w:bottom w:val="single" w:sz="4" w:space="0" w:color="5E8A00"/>
              <w:right w:val="single" w:sz="4" w:space="0" w:color="5E8A00"/>
            </w:tcBorders>
            <w:shd w:val="clear" w:color="000000" w:fill="FFFFFF"/>
            <w:noWrap/>
            <w:vAlign w:val="center"/>
            <w:hideMark/>
          </w:tcPr>
          <w:p w:rsidR="008D2D17" w:rsidRPr="00165FD1" w:rsidRDefault="008D2D17" w:rsidP="00752A8D">
            <w:pPr>
              <w:spacing w:after="0" w:line="240" w:lineRule="auto"/>
              <w:jc w:val="left"/>
              <w:rPr>
                <w:rFonts w:cs="Arial"/>
                <w:color w:val="3E5B00"/>
                <w:sz w:val="18"/>
                <w:szCs w:val="18"/>
                <w:lang w:eastAsia="en-AU"/>
              </w:rPr>
            </w:pPr>
            <w:r w:rsidRPr="00165FD1">
              <w:rPr>
                <w:rFonts w:cs="Arial"/>
                <w:color w:val="3E5B00"/>
                <w:sz w:val="18"/>
                <w:szCs w:val="18"/>
                <w:lang w:eastAsia="en-AU"/>
              </w:rPr>
              <w:t>T: Cross-industry</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7,300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12,000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 xml:space="preserve">6,700 </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-8%</w:t>
            </w:r>
          </w:p>
        </w:tc>
        <w:tc>
          <w:tcPr>
            <w:tcW w:w="1120" w:type="dxa"/>
            <w:tcBorders>
              <w:top w:val="nil"/>
              <w:left w:val="nil"/>
              <w:bottom w:val="single" w:sz="4" w:space="0" w:color="5E8A00"/>
              <w:right w:val="single" w:sz="4" w:space="0" w:color="5E8A00"/>
            </w:tcBorders>
            <w:shd w:val="clear" w:color="auto" w:fill="auto"/>
            <w:noWrap/>
            <w:vAlign w:val="center"/>
            <w:hideMark/>
          </w:tcPr>
          <w:p w:rsidR="008D2D17" w:rsidRPr="00165FD1" w:rsidRDefault="008D2D17" w:rsidP="00752A8D">
            <w:pPr>
              <w:spacing w:after="0" w:line="240" w:lineRule="auto"/>
              <w:jc w:val="right"/>
              <w:rPr>
                <w:rFonts w:cs="Arial"/>
                <w:sz w:val="18"/>
                <w:szCs w:val="18"/>
                <w:lang w:eastAsia="en-AU"/>
              </w:rPr>
            </w:pPr>
            <w:r w:rsidRPr="00165FD1">
              <w:rPr>
                <w:rFonts w:cs="Arial"/>
                <w:sz w:val="18"/>
                <w:szCs w:val="18"/>
                <w:lang w:eastAsia="en-AU"/>
              </w:rPr>
              <w:t>-44%</w:t>
            </w:r>
          </w:p>
        </w:tc>
      </w:tr>
      <w:tr w:rsidR="008D2D17" w:rsidRPr="00165FD1" w:rsidTr="000315BF">
        <w:trPr>
          <w:trHeight w:hRule="exact" w:val="284"/>
        </w:trPr>
        <w:tc>
          <w:tcPr>
            <w:tcW w:w="4060" w:type="dxa"/>
            <w:tcBorders>
              <w:top w:val="single" w:sz="4" w:space="0" w:color="5E8A00"/>
              <w:left w:val="single" w:sz="4" w:space="0" w:color="5E8A00"/>
              <w:bottom w:val="single" w:sz="4" w:space="0" w:color="5E8A00"/>
            </w:tcBorders>
            <w:shd w:val="clear" w:color="000000" w:fill="5E8A00"/>
            <w:noWrap/>
            <w:vAlign w:val="center"/>
            <w:hideMark/>
          </w:tcPr>
          <w:p w:rsidR="008D2D17" w:rsidRPr="00165FD1" w:rsidRDefault="008D2D17" w:rsidP="00752A8D">
            <w:pPr>
              <w:spacing w:after="0" w:line="240" w:lineRule="auto"/>
              <w:jc w:val="left"/>
              <w:rPr>
                <w:rFonts w:cs="Arial"/>
                <w:b/>
                <w:bCs/>
                <w:color w:val="FFFFFF"/>
                <w:sz w:val="18"/>
                <w:szCs w:val="18"/>
                <w:lang w:eastAsia="en-AU"/>
              </w:rPr>
            </w:pPr>
            <w:r w:rsidRPr="00165FD1">
              <w:rPr>
                <w:rFonts w:cs="Arial"/>
                <w:b/>
                <w:bCs/>
                <w:color w:val="FFFFFF"/>
                <w:sz w:val="18"/>
                <w:szCs w:val="18"/>
                <w:lang w:eastAsia="en-AU"/>
              </w:rPr>
              <w:t>Trainees</w:t>
            </w:r>
          </w:p>
        </w:tc>
        <w:tc>
          <w:tcPr>
            <w:tcW w:w="1120" w:type="dxa"/>
            <w:tcBorders>
              <w:top w:val="single" w:sz="4" w:space="0" w:color="5E8A00"/>
              <w:bottom w:val="single" w:sz="4" w:space="0" w:color="5E8A00"/>
            </w:tcBorders>
            <w:shd w:val="clear" w:color="000000" w:fill="5E8A00"/>
            <w:noWrap/>
            <w:vAlign w:val="center"/>
            <w:hideMark/>
          </w:tcPr>
          <w:p w:rsidR="008D2D17" w:rsidRPr="00165FD1" w:rsidRDefault="008D2D17" w:rsidP="00752A8D">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 xml:space="preserve">46,900 </w:t>
            </w:r>
          </w:p>
        </w:tc>
        <w:tc>
          <w:tcPr>
            <w:tcW w:w="1120" w:type="dxa"/>
            <w:tcBorders>
              <w:top w:val="single" w:sz="4" w:space="0" w:color="5E8A00"/>
              <w:bottom w:val="single" w:sz="4" w:space="0" w:color="5E8A00"/>
            </w:tcBorders>
            <w:shd w:val="clear" w:color="000000" w:fill="5E8A00"/>
            <w:noWrap/>
            <w:vAlign w:val="center"/>
            <w:hideMark/>
          </w:tcPr>
          <w:p w:rsidR="008D2D17" w:rsidRPr="00165FD1" w:rsidRDefault="008D2D17" w:rsidP="00752A8D">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 xml:space="preserve">63,600 </w:t>
            </w:r>
          </w:p>
        </w:tc>
        <w:tc>
          <w:tcPr>
            <w:tcW w:w="1120" w:type="dxa"/>
            <w:tcBorders>
              <w:top w:val="single" w:sz="4" w:space="0" w:color="5E8A00"/>
              <w:bottom w:val="single" w:sz="4" w:space="0" w:color="5E8A00"/>
            </w:tcBorders>
            <w:shd w:val="clear" w:color="000000" w:fill="5E8A00"/>
            <w:noWrap/>
            <w:vAlign w:val="center"/>
            <w:hideMark/>
          </w:tcPr>
          <w:p w:rsidR="008D2D17" w:rsidRPr="00165FD1" w:rsidRDefault="008D2D17" w:rsidP="00752A8D">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 xml:space="preserve">41,100 </w:t>
            </w:r>
          </w:p>
        </w:tc>
        <w:tc>
          <w:tcPr>
            <w:tcW w:w="1120" w:type="dxa"/>
            <w:tcBorders>
              <w:top w:val="single" w:sz="4" w:space="0" w:color="5E8A00"/>
              <w:bottom w:val="single" w:sz="4" w:space="0" w:color="5E8A00"/>
            </w:tcBorders>
            <w:shd w:val="clear" w:color="000000" w:fill="5E8A00"/>
            <w:noWrap/>
            <w:vAlign w:val="center"/>
            <w:hideMark/>
          </w:tcPr>
          <w:p w:rsidR="008D2D17" w:rsidRPr="00165FD1" w:rsidRDefault="008D2D17" w:rsidP="00752A8D">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-12%</w:t>
            </w:r>
          </w:p>
        </w:tc>
        <w:tc>
          <w:tcPr>
            <w:tcW w:w="1120" w:type="dxa"/>
            <w:tcBorders>
              <w:top w:val="single" w:sz="4" w:space="0" w:color="5E8A00"/>
              <w:bottom w:val="single" w:sz="4" w:space="0" w:color="5E8A00"/>
              <w:right w:val="single" w:sz="4" w:space="0" w:color="5E8A00"/>
            </w:tcBorders>
            <w:shd w:val="clear" w:color="000000" w:fill="5E8A00"/>
            <w:noWrap/>
            <w:vAlign w:val="center"/>
            <w:hideMark/>
          </w:tcPr>
          <w:p w:rsidR="008D2D17" w:rsidRPr="00165FD1" w:rsidRDefault="008D2D17" w:rsidP="00752A8D">
            <w:pPr>
              <w:spacing w:after="0" w:line="240" w:lineRule="auto"/>
              <w:jc w:val="right"/>
              <w:rPr>
                <w:rFonts w:cs="Arial"/>
                <w:b/>
                <w:bCs/>
                <w:color w:val="FFFFFF"/>
                <w:sz w:val="18"/>
                <w:szCs w:val="18"/>
                <w:lang w:eastAsia="en-AU"/>
              </w:rPr>
            </w:pPr>
            <w:r w:rsidRPr="00165FD1">
              <w:rPr>
                <w:rFonts w:cs="Arial"/>
                <w:b/>
                <w:bCs/>
                <w:color w:val="FFFFFF"/>
                <w:sz w:val="18"/>
                <w:szCs w:val="18"/>
                <w:lang w:eastAsia="en-AU"/>
              </w:rPr>
              <w:t>-35%</w:t>
            </w:r>
          </w:p>
        </w:tc>
      </w:tr>
    </w:tbl>
    <w:p w:rsidR="00EB4EE5" w:rsidRDefault="00EB4EE5">
      <w:pPr>
        <w:spacing w:after="0" w:line="240" w:lineRule="auto"/>
        <w:jc w:val="left"/>
        <w:rPr>
          <w:rFonts w:cs="Arial"/>
          <w:b/>
          <w:bCs/>
          <w:color w:val="76923C" w:themeColor="accent3" w:themeShade="BF"/>
          <w:szCs w:val="19"/>
        </w:rPr>
      </w:pPr>
      <w:bookmarkStart w:id="88" w:name="_Toc349899152"/>
      <w:r>
        <w:br w:type="page"/>
      </w:r>
    </w:p>
    <w:p w:rsidR="00704EB3" w:rsidRDefault="00704EB3" w:rsidP="00704EB3">
      <w:pPr>
        <w:pStyle w:val="Heading3"/>
      </w:pPr>
      <w:r>
        <w:lastRenderedPageBreak/>
        <w:t xml:space="preserve">Training </w:t>
      </w:r>
      <w:bookmarkEnd w:id="88"/>
      <w:r>
        <w:t>in Specialised and In-Shortage Related Occupations</w:t>
      </w:r>
    </w:p>
    <w:p w:rsidR="008D2D17" w:rsidRDefault="008D2D17" w:rsidP="008D2D17">
      <w:pPr>
        <w:spacing w:after="200" w:line="276" w:lineRule="auto"/>
        <w:jc w:val="left"/>
        <w:rPr>
          <w:rFonts w:cs="Arial"/>
          <w:szCs w:val="19"/>
        </w:rPr>
      </w:pPr>
      <w:r>
        <w:rPr>
          <w:rFonts w:cs="Arial"/>
          <w:szCs w:val="19"/>
        </w:rPr>
        <w:t xml:space="preserve">Vocational training </w:t>
      </w:r>
      <w:r w:rsidRPr="003863FC">
        <w:rPr>
          <w:rFonts w:cs="Arial"/>
          <w:szCs w:val="19"/>
        </w:rPr>
        <w:t xml:space="preserve">delivery </w:t>
      </w:r>
      <w:r>
        <w:rPr>
          <w:rFonts w:cs="Arial"/>
          <w:szCs w:val="19"/>
        </w:rPr>
        <w:t>that is meeting the</w:t>
      </w:r>
      <w:r w:rsidRPr="003863FC">
        <w:rPr>
          <w:rFonts w:cs="Arial"/>
          <w:szCs w:val="19"/>
        </w:rPr>
        <w:t xml:space="preserve"> </w:t>
      </w:r>
      <w:r>
        <w:rPr>
          <w:rFonts w:cs="Arial"/>
          <w:szCs w:val="19"/>
        </w:rPr>
        <w:t xml:space="preserve">skill </w:t>
      </w:r>
      <w:r w:rsidRPr="003863FC">
        <w:rPr>
          <w:rFonts w:cs="Arial"/>
          <w:szCs w:val="19"/>
        </w:rPr>
        <w:t xml:space="preserve">requirements of </w:t>
      </w:r>
      <w:r>
        <w:rPr>
          <w:rFonts w:cs="Arial"/>
          <w:szCs w:val="19"/>
        </w:rPr>
        <w:t>industry is a core focus of the Refocusing VET reforms</w:t>
      </w:r>
      <w:r w:rsidRPr="003863FC">
        <w:rPr>
          <w:rFonts w:cs="Arial"/>
          <w:szCs w:val="19"/>
        </w:rPr>
        <w:t xml:space="preserve">. </w:t>
      </w:r>
      <w:r>
        <w:rPr>
          <w:rFonts w:cs="Arial"/>
          <w:szCs w:val="19"/>
        </w:rPr>
        <w:t>In particular, training related to o</w:t>
      </w:r>
      <w:r w:rsidRPr="003863FC">
        <w:rPr>
          <w:rFonts w:cs="Arial"/>
          <w:szCs w:val="19"/>
        </w:rPr>
        <w:t>ccupations identified as specialised or experiencing skill shortages</w:t>
      </w:r>
      <w:r>
        <w:rPr>
          <w:rFonts w:cs="Arial"/>
          <w:szCs w:val="19"/>
        </w:rPr>
        <w:t xml:space="preserve"> that</w:t>
      </w:r>
      <w:r w:rsidRPr="003863FC">
        <w:rPr>
          <w:rStyle w:val="FootnoteReference"/>
          <w:rFonts w:cs="Arial"/>
          <w:szCs w:val="19"/>
        </w:rPr>
        <w:footnoteReference w:id="12"/>
      </w:r>
      <w:r>
        <w:rPr>
          <w:rFonts w:cs="Arial"/>
          <w:szCs w:val="19"/>
        </w:rPr>
        <w:t xml:space="preserve"> enhance the productive capacity of the Victorian economy are a high priority for government investment</w:t>
      </w:r>
      <w:r w:rsidRPr="003863FC">
        <w:rPr>
          <w:rFonts w:cs="Arial"/>
          <w:szCs w:val="19"/>
        </w:rPr>
        <w:t>.</w:t>
      </w:r>
    </w:p>
    <w:p w:rsidR="008D2D17" w:rsidRDefault="008D2D17" w:rsidP="008D2D17">
      <w:pPr>
        <w:spacing w:after="200" w:line="276" w:lineRule="auto"/>
        <w:jc w:val="left"/>
        <w:rPr>
          <w:rFonts w:cs="Arial"/>
          <w:color w:val="000000"/>
          <w:szCs w:val="19"/>
          <w:lang w:eastAsia="en-AU"/>
        </w:rPr>
      </w:pPr>
      <w:r w:rsidRPr="003863FC">
        <w:rPr>
          <w:rFonts w:cs="Arial"/>
          <w:color w:val="000000"/>
          <w:szCs w:val="19"/>
          <w:lang w:eastAsia="en-AU"/>
        </w:rPr>
        <w:t>'Specialised occupations’</w:t>
      </w:r>
      <w:r w:rsidRPr="003863FC">
        <w:rPr>
          <w:rStyle w:val="FootnoteReference"/>
          <w:color w:val="000000"/>
          <w:szCs w:val="19"/>
          <w:lang w:eastAsia="en-AU"/>
        </w:rPr>
        <w:footnoteReference w:id="13"/>
      </w:r>
      <w:r w:rsidRPr="003863FC">
        <w:rPr>
          <w:rFonts w:cs="Arial"/>
          <w:color w:val="000000"/>
          <w:szCs w:val="19"/>
          <w:lang w:eastAsia="en-AU"/>
        </w:rPr>
        <w:t xml:space="preserve"> are defined as occupations that have a long lead-time for training, high economic value and a significant match between training and employment.</w:t>
      </w:r>
    </w:p>
    <w:p w:rsidR="008D2D17" w:rsidRDefault="008D2D17" w:rsidP="008D2D17">
      <w:pPr>
        <w:rPr>
          <w:rFonts w:cs="Arial"/>
          <w:szCs w:val="19"/>
        </w:rPr>
      </w:pPr>
      <w:r w:rsidRPr="003863FC">
        <w:rPr>
          <w:rFonts w:cs="Arial"/>
          <w:color w:val="000000"/>
          <w:szCs w:val="19"/>
          <w:lang w:eastAsia="en-AU"/>
        </w:rPr>
        <w:t>‘Skill shortages’</w:t>
      </w:r>
      <w:r w:rsidRPr="003863FC">
        <w:rPr>
          <w:rStyle w:val="FootnoteReference"/>
          <w:rFonts w:cs="Arial"/>
          <w:szCs w:val="19"/>
        </w:rPr>
        <w:footnoteReference w:id="14"/>
      </w:r>
      <w:r w:rsidRPr="003863FC">
        <w:rPr>
          <w:rStyle w:val="FootnoteReference"/>
          <w:rFonts w:cs="Arial"/>
        </w:rPr>
        <w:t xml:space="preserve"> </w:t>
      </w:r>
      <w:r w:rsidRPr="003863FC">
        <w:rPr>
          <w:rFonts w:cs="Arial"/>
          <w:color w:val="000000"/>
          <w:szCs w:val="19"/>
          <w:lang w:eastAsia="en-AU"/>
        </w:rPr>
        <w:t>exist when employers are unable to fill or have considerable difficulty filling vacancies for an occupation, or significant specialised skill needs within that occupation, at current levels of remuneration and conditions of employment, and</w:t>
      </w:r>
      <w:r w:rsidRPr="003863FC">
        <w:rPr>
          <w:rFonts w:cs="Arial"/>
          <w:szCs w:val="19"/>
        </w:rPr>
        <w:t xml:space="preserve"> in reasonably accessible locations.</w:t>
      </w:r>
    </w:p>
    <w:p w:rsidR="008E5BEB" w:rsidRPr="008E5BEB" w:rsidRDefault="008E5BEB" w:rsidP="008E5BEB">
      <w:pPr>
        <w:pBdr>
          <w:top w:val="single" w:sz="4" w:space="1" w:color="auto"/>
          <w:left w:val="single" w:sz="4" w:space="4" w:color="auto"/>
          <w:bottom w:val="single" w:sz="4" w:space="1" w:color="auto"/>
          <w:right w:val="single" w:sz="4" w:space="4" w:color="auto"/>
        </w:pBdr>
        <w:shd w:val="clear" w:color="auto" w:fill="EAF1DD" w:themeFill="accent3" w:themeFillTint="33"/>
        <w:rPr>
          <w:rFonts w:cs="Arial"/>
          <w:color w:val="000000"/>
          <w:szCs w:val="19"/>
          <w:lang w:eastAsia="en-AU"/>
        </w:rPr>
      </w:pPr>
      <w:r w:rsidRPr="008E5BEB">
        <w:rPr>
          <w:rFonts w:cs="Arial"/>
          <w:color w:val="000000"/>
          <w:szCs w:val="19"/>
          <w:lang w:eastAsia="en-AU"/>
        </w:rPr>
        <w:t>Note: all data in this section is for government subsidised training by onshore domestic students in accredited AQF qualifications excluding foundation skills, education pathways and low-level LOTE courses.</w:t>
      </w:r>
    </w:p>
    <w:tbl>
      <w:tblPr>
        <w:tblStyle w:val="TableGrid"/>
        <w:tblpPr w:leftFromText="180" w:rightFromText="180" w:bottomFromText="90" w:vertAnchor="text" w:horzAnchor="margin" w:tblpY="219"/>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none" w:sz="0" w:space="0" w:color="auto"/>
          <w:insideV w:val="none" w:sz="0" w:space="0" w:color="auto"/>
        </w:tblBorders>
        <w:tblLook w:val="04A0" w:firstRow="1" w:lastRow="0" w:firstColumn="1" w:lastColumn="0" w:noHBand="0" w:noVBand="1"/>
      </w:tblPr>
      <w:tblGrid>
        <w:gridCol w:w="9242"/>
      </w:tblGrid>
      <w:tr w:rsidR="00704EB3" w:rsidTr="008603E7">
        <w:trPr>
          <w:trHeight w:val="3227"/>
          <w:tblHeader/>
        </w:trPr>
        <w:tc>
          <w:tcPr>
            <w:tcW w:w="924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Mar>
              <w:top w:w="170" w:type="dxa"/>
              <w:left w:w="108" w:type="dxa"/>
              <w:bottom w:w="170" w:type="dxa"/>
              <w:right w:w="108" w:type="dxa"/>
            </w:tcMar>
          </w:tcPr>
          <w:p w:rsidR="00704EB3" w:rsidRDefault="00704EB3" w:rsidP="007D3481">
            <w:pPr>
              <w:pStyle w:val="Heading3"/>
              <w:outlineLvl w:val="2"/>
            </w:pPr>
            <w:r>
              <w:t>Key Points</w:t>
            </w:r>
          </w:p>
          <w:p w:rsidR="00704EB3" w:rsidRDefault="00704EB3" w:rsidP="007D3481"/>
          <w:p w:rsidR="00704EB3" w:rsidRDefault="00704EB3" w:rsidP="007D3481">
            <w:pPr>
              <w:pStyle w:val="ListBullet"/>
              <w:numPr>
                <w:ilvl w:val="0"/>
                <w:numId w:val="0"/>
              </w:numPr>
              <w:tabs>
                <w:tab w:val="left" w:pos="720"/>
              </w:tabs>
              <w:ind w:right="113"/>
            </w:pPr>
            <w:r>
              <w:t>Trends in the second quarter of 2013 indicate a refocussing of the training market towards a higher proportion of training delivery against most critical occupations:</w:t>
            </w:r>
          </w:p>
          <w:p w:rsidR="00704EB3" w:rsidRDefault="00704EB3" w:rsidP="007D3481">
            <w:pPr>
              <w:pStyle w:val="ListBullet"/>
              <w:numPr>
                <w:ilvl w:val="0"/>
                <w:numId w:val="11"/>
              </w:numPr>
              <w:tabs>
                <w:tab w:val="left" w:pos="720"/>
              </w:tabs>
              <w:ind w:right="113"/>
              <w:rPr>
                <w:rFonts w:cs="Arial"/>
              </w:rPr>
            </w:pPr>
            <w:r>
              <w:rPr>
                <w:rFonts w:cs="Arial"/>
              </w:rPr>
              <w:t>1</w:t>
            </w:r>
            <w:r w:rsidR="009F6C31">
              <w:rPr>
                <w:rFonts w:cs="Arial"/>
              </w:rPr>
              <w:t>12,900</w:t>
            </w:r>
            <w:r>
              <w:rPr>
                <w:rFonts w:cs="Arial"/>
              </w:rPr>
              <w:t xml:space="preserve"> enrolments in qualifications related to </w:t>
            </w:r>
            <w:proofErr w:type="gramStart"/>
            <w:r>
              <w:rPr>
                <w:rFonts w:cs="Arial"/>
              </w:rPr>
              <w:t>specialised</w:t>
            </w:r>
            <w:proofErr w:type="gramEnd"/>
            <w:r>
              <w:rPr>
                <w:rFonts w:cs="Arial"/>
              </w:rPr>
              <w:t xml:space="preserve"> or in shortage occupations in Q2 2013.</w:t>
            </w:r>
          </w:p>
          <w:p w:rsidR="00704EB3" w:rsidRDefault="00704EB3" w:rsidP="007D3481">
            <w:pPr>
              <w:pStyle w:val="ListBullet"/>
              <w:numPr>
                <w:ilvl w:val="0"/>
                <w:numId w:val="11"/>
              </w:numPr>
              <w:tabs>
                <w:tab w:val="left" w:pos="720"/>
              </w:tabs>
              <w:ind w:right="113"/>
              <w:rPr>
                <w:rFonts w:cs="Arial"/>
              </w:rPr>
            </w:pPr>
            <w:r>
              <w:rPr>
                <w:rFonts w:cs="Arial"/>
              </w:rPr>
              <w:t>At Q2 2013 40</w:t>
            </w:r>
            <w:r w:rsidR="002C60E7">
              <w:rPr>
                <w:rFonts w:cs="Arial"/>
              </w:rPr>
              <w:t xml:space="preserve"> per cent</w:t>
            </w:r>
            <w:r>
              <w:rPr>
                <w:rFonts w:cs="Arial"/>
              </w:rPr>
              <w:t xml:space="preserve"> of training was for occupations which are either specialised or in shortage. At the same point a year ago (Q2 2012) this figure was 31</w:t>
            </w:r>
            <w:r w:rsidR="002C60E7">
              <w:rPr>
                <w:rFonts w:cs="Arial"/>
              </w:rPr>
              <w:t xml:space="preserve"> per cent</w:t>
            </w:r>
            <w:r>
              <w:rPr>
                <w:rFonts w:cs="Arial"/>
              </w:rPr>
              <w:t>.</w:t>
            </w:r>
          </w:p>
          <w:p w:rsidR="00704EB3" w:rsidRDefault="00704EB3" w:rsidP="007D3481">
            <w:pPr>
              <w:pStyle w:val="ListBullet"/>
              <w:numPr>
                <w:ilvl w:val="0"/>
                <w:numId w:val="11"/>
              </w:numPr>
              <w:tabs>
                <w:tab w:val="left" w:pos="720"/>
              </w:tabs>
              <w:ind w:right="113"/>
              <w:rPr>
                <w:rFonts w:cs="Arial"/>
              </w:rPr>
            </w:pPr>
            <w:r>
              <w:rPr>
                <w:rFonts w:cs="Arial"/>
              </w:rPr>
              <w:t>Marked difference between critical 'Specialised or Skill Shortage' occupations (0.2 per cent growth year on year) compared to 'Non Specialised or Skill Shortage' training (33 per cent decrease).</w:t>
            </w:r>
          </w:p>
          <w:p w:rsidR="00704EB3" w:rsidRPr="003A4592" w:rsidRDefault="00704EB3" w:rsidP="007D3481">
            <w:pPr>
              <w:pStyle w:val="ListBullet"/>
              <w:numPr>
                <w:ilvl w:val="0"/>
                <w:numId w:val="11"/>
              </w:numPr>
              <w:tabs>
                <w:tab w:val="left" w:pos="720"/>
              </w:tabs>
              <w:ind w:right="113"/>
            </w:pPr>
            <w:r>
              <w:rPr>
                <w:rFonts w:cs="Arial"/>
              </w:rPr>
              <w:t>TAFE providers continue to deliver the bulk of training in qualifications related to specialised or in shortage occupations (accounting for half of enrolments), followed by private RTOs (44 per cent). However, enrolments have increased at private RTOs.</w:t>
            </w:r>
          </w:p>
          <w:p w:rsidR="00704EB3" w:rsidRDefault="00704EB3" w:rsidP="007D3481">
            <w:pPr>
              <w:pStyle w:val="ListBullet"/>
              <w:numPr>
                <w:ilvl w:val="0"/>
                <w:numId w:val="11"/>
              </w:numPr>
              <w:tabs>
                <w:tab w:val="left" w:pos="720"/>
              </w:tabs>
              <w:ind w:right="113"/>
            </w:pPr>
            <w:r>
              <w:t>The largest rise in specialised and skill shortage enrolments compared to Q2 2012 have been in qualifications under Band A.</w:t>
            </w:r>
          </w:p>
        </w:tc>
      </w:tr>
    </w:tbl>
    <w:p w:rsidR="00704EB3" w:rsidRDefault="00704EB3" w:rsidP="00704EB3">
      <w:pPr>
        <w:pStyle w:val="Caption"/>
        <w:spacing w:after="0"/>
        <w:jc w:val="left"/>
        <w:rPr>
          <w:rFonts w:cs="Arial"/>
          <w:b w:val="0"/>
          <w:color w:val="auto"/>
        </w:rPr>
      </w:pPr>
    </w:p>
    <w:p w:rsidR="00704EB3" w:rsidRDefault="005654CD" w:rsidP="00704EB3">
      <w:pPr>
        <w:pStyle w:val="Caption"/>
        <w:spacing w:after="0"/>
        <w:jc w:val="left"/>
        <w:rPr>
          <w:rFonts w:cs="Arial"/>
        </w:rPr>
      </w:pPr>
      <w:r>
        <w:rPr>
          <w:rFonts w:cs="Arial"/>
        </w:rPr>
        <w:t>Figure 3</w:t>
      </w:r>
      <w:r w:rsidR="00704EB3">
        <w:rPr>
          <w:rFonts w:cs="Arial"/>
        </w:rPr>
        <w:t>.</w:t>
      </w:r>
      <w:r w:rsidR="00246095">
        <w:rPr>
          <w:rFonts w:cs="Arial"/>
        </w:rPr>
        <w:t>5</w:t>
      </w:r>
      <w:r w:rsidR="00704EB3">
        <w:rPr>
          <w:rFonts w:cs="Arial"/>
        </w:rPr>
        <w:t>: Government subsidised training delivery by responsiveness category</w:t>
      </w:r>
    </w:p>
    <w:tbl>
      <w:tblPr>
        <w:tblW w:w="500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blBorders>
        <w:tblLook w:val="01E0" w:firstRow="1" w:lastRow="1" w:firstColumn="1" w:lastColumn="1" w:noHBand="0" w:noVBand="0"/>
      </w:tblPr>
      <w:tblGrid>
        <w:gridCol w:w="9288"/>
      </w:tblGrid>
      <w:tr w:rsidR="00704EB3" w:rsidTr="007D3481">
        <w:trPr>
          <w:trHeight w:val="320"/>
        </w:trPr>
        <w:tc>
          <w:tcPr>
            <w:tcW w:w="9288"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shd w:val="clear" w:color="auto" w:fill="FFFFFF" w:themeFill="background1"/>
            <w:hideMark/>
          </w:tcPr>
          <w:p w:rsidR="00704EB3" w:rsidRDefault="00704EB3" w:rsidP="007D3481">
            <w:pPr>
              <w:pStyle w:val="Caption"/>
              <w:spacing w:after="0"/>
              <w:jc w:val="center"/>
              <w:rPr>
                <w:sz w:val="19"/>
                <w:szCs w:val="19"/>
              </w:rPr>
            </w:pPr>
            <w:r>
              <w:rPr>
                <w:noProof/>
                <w:lang w:eastAsia="en-AU"/>
              </w:rPr>
              <w:drawing>
                <wp:inline distT="0" distB="0" distL="0" distR="0" wp14:anchorId="312F761D" wp14:editId="04D30F2E">
                  <wp:extent cx="5634990" cy="219964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rsidR="00704EB3" w:rsidRPr="00871E83" w:rsidRDefault="00704EB3" w:rsidP="00704EB3">
      <w:pPr>
        <w:rPr>
          <w:lang w:eastAsia="en-AU"/>
        </w:rPr>
      </w:pPr>
    </w:p>
    <w:p w:rsidR="008610B1" w:rsidRDefault="008610B1">
      <w:pPr>
        <w:spacing w:after="0" w:line="240" w:lineRule="auto"/>
        <w:jc w:val="left"/>
        <w:rPr>
          <w:b/>
          <w:bCs/>
          <w:noProof/>
          <w:color w:val="76923C" w:themeColor="accent3" w:themeShade="BF"/>
          <w:sz w:val="18"/>
          <w:szCs w:val="16"/>
          <w:lang w:eastAsia="en-AU"/>
        </w:rPr>
      </w:pPr>
    </w:p>
    <w:p w:rsidR="00704EB3" w:rsidRDefault="00246095" w:rsidP="00704EB3">
      <w:pPr>
        <w:pStyle w:val="Caption"/>
        <w:spacing w:after="0"/>
        <w:jc w:val="left"/>
        <w:rPr>
          <w:noProof/>
          <w:lang w:eastAsia="en-AU"/>
        </w:rPr>
      </w:pPr>
      <w:r>
        <w:rPr>
          <w:noProof/>
          <w:lang w:eastAsia="en-AU"/>
        </w:rPr>
        <w:t>Figure 3.6</w:t>
      </w:r>
      <w:r w:rsidR="00704EB3">
        <w:rPr>
          <w:noProof/>
          <w:lang w:eastAsia="en-AU"/>
        </w:rPr>
        <w:t xml:space="preserve">: Government subsidised enrolments in specialised or skill shortage occupations per training provider type, </w:t>
      </w:r>
      <w:r w:rsidR="00704EB3">
        <w:t>Q2 2011, Q2 2012 and Q2 2013</w:t>
      </w:r>
    </w:p>
    <w:p w:rsidR="00704EB3" w:rsidRDefault="00704EB3" w:rsidP="00704EB3">
      <w:pPr>
        <w:pStyle w:val="Caption"/>
        <w:keepNext/>
      </w:pPr>
      <w:r>
        <w:rPr>
          <w:noProof/>
          <w:lang w:eastAsia="en-AU"/>
        </w:rPr>
        <w:drawing>
          <wp:inline distT="0" distB="0" distL="0" distR="0" wp14:anchorId="2FFA069E" wp14:editId="25DCAA00">
            <wp:extent cx="5733415" cy="1878330"/>
            <wp:effectExtent l="0" t="0" r="635" b="7620"/>
            <wp:docPr id="6" name="Picture 6" descr="Description: S:\TMIPU\Reporting\Training Market Quarterly Reports\J1932 - Training Market Quarterly Report Q2 2013\Responsiveness\Responsiveness by provider type Q2 2011-Q2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S:\TMIPU\Reporting\Training Market Quarterly Reports\J1932 - Training Market Quarterly Report Q2 2013\Responsiveness\Responsiveness by provider type Q2 2011-Q2 201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3415" cy="1878330"/>
                    </a:xfrm>
                    <a:prstGeom prst="rect">
                      <a:avLst/>
                    </a:prstGeom>
                    <a:noFill/>
                    <a:ln>
                      <a:noFill/>
                    </a:ln>
                  </pic:spPr>
                </pic:pic>
              </a:graphicData>
            </a:graphic>
          </wp:inline>
        </w:drawing>
      </w:r>
    </w:p>
    <w:p w:rsidR="00704EB3" w:rsidRDefault="00704EB3" w:rsidP="00704EB3">
      <w:pPr>
        <w:pStyle w:val="Caption"/>
        <w:keepNext/>
      </w:pPr>
    </w:p>
    <w:p w:rsidR="00704EB3" w:rsidRDefault="00704EB3" w:rsidP="00704EB3">
      <w:pPr>
        <w:spacing w:after="200" w:line="276" w:lineRule="auto"/>
        <w:jc w:val="left"/>
        <w:rPr>
          <w:b/>
          <w:bCs/>
          <w:color w:val="76923C" w:themeColor="accent3" w:themeShade="BF"/>
          <w:sz w:val="18"/>
          <w:szCs w:val="16"/>
        </w:rPr>
      </w:pPr>
    </w:p>
    <w:p w:rsidR="00704EB3" w:rsidRDefault="005654CD" w:rsidP="00704EB3">
      <w:pPr>
        <w:pStyle w:val="Caption"/>
        <w:keepNext/>
      </w:pPr>
      <w:r>
        <w:t>Table 3</w:t>
      </w:r>
      <w:r w:rsidR="00704EB3">
        <w:t>.</w:t>
      </w:r>
      <w:r w:rsidR="008610B1">
        <w:t>1</w:t>
      </w:r>
      <w:r w:rsidR="004445E4">
        <w:t>0</w:t>
      </w:r>
      <w:r w:rsidR="00704EB3">
        <w:t>.1: Government subsidised training delivery for qualifications related to either specialised or skill shortage occupations, 2008 - 2012</w:t>
      </w:r>
    </w:p>
    <w:tbl>
      <w:tblPr>
        <w:tblW w:w="5000" w:type="pct"/>
        <w:tblLook w:val="04A0" w:firstRow="1" w:lastRow="0" w:firstColumn="1" w:lastColumn="0" w:noHBand="0" w:noVBand="1"/>
      </w:tblPr>
      <w:tblGrid>
        <w:gridCol w:w="2275"/>
        <w:gridCol w:w="1005"/>
        <w:gridCol w:w="1176"/>
        <w:gridCol w:w="1176"/>
        <w:gridCol w:w="1176"/>
        <w:gridCol w:w="1176"/>
        <w:gridCol w:w="1304"/>
      </w:tblGrid>
      <w:tr w:rsidR="00704EB3" w:rsidTr="007D3481">
        <w:trPr>
          <w:trHeight w:val="300"/>
        </w:trPr>
        <w:tc>
          <w:tcPr>
            <w:tcW w:w="5000" w:type="pct"/>
            <w:gridSpan w:val="7"/>
            <w:tcBorders>
              <w:top w:val="single" w:sz="4" w:space="0" w:color="76933C"/>
              <w:left w:val="single" w:sz="4" w:space="0" w:color="76933C"/>
              <w:bottom w:val="single" w:sz="4" w:space="0" w:color="9BBB59"/>
              <w:right w:val="single" w:sz="4" w:space="0" w:color="76933C"/>
            </w:tcBorders>
            <w:shd w:val="clear" w:color="auto" w:fill="76933C"/>
            <w:noWrap/>
            <w:vAlign w:val="bottom"/>
            <w:hideMark/>
          </w:tcPr>
          <w:p w:rsidR="00704EB3" w:rsidRDefault="00704EB3" w:rsidP="007D3481">
            <w:pPr>
              <w:spacing w:after="0" w:line="240" w:lineRule="auto"/>
              <w:jc w:val="center"/>
              <w:rPr>
                <w:rFonts w:cs="Arial"/>
                <w:b/>
                <w:bCs/>
                <w:color w:val="FFFFFF"/>
                <w:sz w:val="16"/>
                <w:szCs w:val="16"/>
                <w:lang w:eastAsia="en-AU"/>
              </w:rPr>
            </w:pPr>
            <w:r>
              <w:rPr>
                <w:rFonts w:cs="Arial"/>
                <w:b/>
                <w:bCs/>
                <w:color w:val="FFFFFF"/>
                <w:sz w:val="16"/>
                <w:szCs w:val="16"/>
                <w:lang w:eastAsia="en-AU"/>
              </w:rPr>
              <w:t>Either Specialised or Skill Shortage</w:t>
            </w:r>
            <w:r w:rsidR="00872830">
              <w:rPr>
                <w:rFonts w:cs="Arial"/>
                <w:b/>
                <w:bCs/>
                <w:color w:val="FFFFFF"/>
                <w:sz w:val="16"/>
                <w:szCs w:val="16"/>
                <w:lang w:eastAsia="en-AU"/>
              </w:rPr>
              <w:t xml:space="preserve"> Qualifications</w:t>
            </w:r>
          </w:p>
        </w:tc>
      </w:tr>
      <w:tr w:rsidR="00704EB3" w:rsidTr="007D3481">
        <w:trPr>
          <w:trHeight w:val="450"/>
        </w:trPr>
        <w:tc>
          <w:tcPr>
            <w:tcW w:w="1225" w:type="pct"/>
            <w:tcBorders>
              <w:top w:val="nil"/>
              <w:left w:val="single" w:sz="4" w:space="0" w:color="76933C"/>
              <w:bottom w:val="single" w:sz="4" w:space="0" w:color="76933C"/>
              <w:right w:val="nil"/>
            </w:tcBorders>
            <w:shd w:val="clear" w:color="auto" w:fill="9BBB59"/>
            <w:noWrap/>
            <w:vAlign w:val="center"/>
            <w:hideMark/>
          </w:tcPr>
          <w:p w:rsidR="00704EB3" w:rsidRDefault="00704EB3" w:rsidP="007D3481">
            <w:pPr>
              <w:spacing w:after="0" w:line="240" w:lineRule="auto"/>
              <w:jc w:val="left"/>
              <w:rPr>
                <w:rFonts w:cs="Arial"/>
                <w:color w:val="FFFFFF"/>
                <w:sz w:val="16"/>
                <w:szCs w:val="16"/>
                <w:lang w:eastAsia="en-AU"/>
              </w:rPr>
            </w:pPr>
            <w:r>
              <w:rPr>
                <w:rFonts w:cs="Arial"/>
                <w:color w:val="FFFFFF"/>
                <w:sz w:val="16"/>
                <w:szCs w:val="16"/>
                <w:lang w:eastAsia="en-AU"/>
              </w:rPr>
              <w:t> </w:t>
            </w:r>
          </w:p>
        </w:tc>
        <w:tc>
          <w:tcPr>
            <w:tcW w:w="541"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2008</w:t>
            </w:r>
          </w:p>
        </w:tc>
        <w:tc>
          <w:tcPr>
            <w:tcW w:w="633"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2009</w:t>
            </w:r>
          </w:p>
        </w:tc>
        <w:tc>
          <w:tcPr>
            <w:tcW w:w="633"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2010</w:t>
            </w:r>
          </w:p>
        </w:tc>
        <w:tc>
          <w:tcPr>
            <w:tcW w:w="633"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2011</w:t>
            </w:r>
          </w:p>
        </w:tc>
        <w:tc>
          <w:tcPr>
            <w:tcW w:w="633"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2012</w:t>
            </w:r>
          </w:p>
        </w:tc>
        <w:tc>
          <w:tcPr>
            <w:tcW w:w="702" w:type="pct"/>
            <w:tcBorders>
              <w:top w:val="nil"/>
              <w:left w:val="nil"/>
              <w:bottom w:val="single" w:sz="4" w:space="0" w:color="76933C"/>
              <w:right w:val="single" w:sz="4" w:space="0" w:color="76933C"/>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2008 - 2012</w:t>
            </w:r>
          </w:p>
        </w:tc>
      </w:tr>
      <w:tr w:rsidR="00704EB3" w:rsidTr="007D3481">
        <w:trPr>
          <w:trHeight w:val="300"/>
        </w:trPr>
        <w:tc>
          <w:tcPr>
            <w:tcW w:w="1225" w:type="pct"/>
            <w:tcBorders>
              <w:top w:val="nil"/>
              <w:left w:val="single" w:sz="4" w:space="0" w:color="76933C"/>
              <w:bottom w:val="nil"/>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Enrolments</w:t>
            </w:r>
          </w:p>
        </w:tc>
        <w:tc>
          <w:tcPr>
            <w:tcW w:w="541" w:type="pct"/>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91,400</w:t>
            </w:r>
          </w:p>
        </w:tc>
        <w:tc>
          <w:tcPr>
            <w:tcW w:w="63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102,600</w:t>
            </w:r>
          </w:p>
        </w:tc>
        <w:tc>
          <w:tcPr>
            <w:tcW w:w="63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116,500</w:t>
            </w:r>
          </w:p>
        </w:tc>
        <w:tc>
          <w:tcPr>
            <w:tcW w:w="63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137,300</w:t>
            </w:r>
          </w:p>
        </w:tc>
        <w:tc>
          <w:tcPr>
            <w:tcW w:w="63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163,100</w:t>
            </w:r>
          </w:p>
        </w:tc>
        <w:tc>
          <w:tcPr>
            <w:tcW w:w="702" w:type="pct"/>
            <w:tcBorders>
              <w:top w:val="nil"/>
              <w:left w:val="nil"/>
              <w:bottom w:val="nil"/>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78%</w:t>
            </w:r>
          </w:p>
        </w:tc>
      </w:tr>
      <w:tr w:rsidR="00704EB3" w:rsidTr="007D3481">
        <w:trPr>
          <w:trHeight w:val="300"/>
        </w:trPr>
        <w:tc>
          <w:tcPr>
            <w:tcW w:w="1225" w:type="pct"/>
            <w:tcBorders>
              <w:top w:val="single" w:sz="4" w:space="0" w:color="76933C"/>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 xml:space="preserve">Hours </w:t>
            </w:r>
            <w:r>
              <w:rPr>
                <w:rFonts w:cs="Arial"/>
                <w:color w:val="76933C"/>
                <w:sz w:val="16"/>
                <w:szCs w:val="16"/>
                <w:lang w:eastAsia="en-AU"/>
              </w:rPr>
              <w:t>(millions)</w:t>
            </w:r>
          </w:p>
        </w:tc>
        <w:tc>
          <w:tcPr>
            <w:tcW w:w="541"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28.4</w:t>
            </w:r>
          </w:p>
        </w:tc>
        <w:tc>
          <w:tcPr>
            <w:tcW w:w="63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33.6</w:t>
            </w:r>
          </w:p>
        </w:tc>
        <w:tc>
          <w:tcPr>
            <w:tcW w:w="63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38.9</w:t>
            </w:r>
          </w:p>
        </w:tc>
        <w:tc>
          <w:tcPr>
            <w:tcW w:w="63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44.3</w:t>
            </w:r>
          </w:p>
        </w:tc>
        <w:tc>
          <w:tcPr>
            <w:tcW w:w="63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54.9</w:t>
            </w:r>
          </w:p>
        </w:tc>
        <w:tc>
          <w:tcPr>
            <w:tcW w:w="702" w:type="pct"/>
            <w:tcBorders>
              <w:top w:val="single" w:sz="4" w:space="0" w:color="76933C"/>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93%</w:t>
            </w:r>
          </w:p>
        </w:tc>
      </w:tr>
    </w:tbl>
    <w:p w:rsidR="00704EB3" w:rsidRDefault="00704EB3" w:rsidP="00704EB3">
      <w:pPr>
        <w:spacing w:after="0" w:line="240" w:lineRule="auto"/>
        <w:jc w:val="left"/>
        <w:rPr>
          <w:rFonts w:cs="Arial"/>
          <w:szCs w:val="19"/>
        </w:rPr>
      </w:pPr>
    </w:p>
    <w:p w:rsidR="00704EB3" w:rsidRDefault="00704EB3" w:rsidP="00704EB3">
      <w:pPr>
        <w:spacing w:after="0" w:line="240" w:lineRule="auto"/>
        <w:jc w:val="left"/>
        <w:rPr>
          <w:rFonts w:cs="Arial"/>
          <w:szCs w:val="19"/>
        </w:rPr>
      </w:pPr>
    </w:p>
    <w:p w:rsidR="00704EB3" w:rsidRDefault="005654CD" w:rsidP="00704EB3">
      <w:pPr>
        <w:pStyle w:val="Caption"/>
        <w:keepNext/>
      </w:pPr>
      <w:r>
        <w:t>Table 3</w:t>
      </w:r>
      <w:r w:rsidR="003C42E3">
        <w:t>.1</w:t>
      </w:r>
      <w:r w:rsidR="004445E4">
        <w:t>0</w:t>
      </w:r>
      <w:r w:rsidR="00704EB3">
        <w:t>.2: Government subsidised training delivery for qualifications related to either specialised or in shortage occupations, Q2 2011, Q2 2012 and Q2 2013</w:t>
      </w:r>
    </w:p>
    <w:tbl>
      <w:tblPr>
        <w:tblW w:w="5000" w:type="pct"/>
        <w:tblLook w:val="04A0" w:firstRow="1" w:lastRow="0" w:firstColumn="1" w:lastColumn="0" w:noHBand="0" w:noVBand="1"/>
      </w:tblPr>
      <w:tblGrid>
        <w:gridCol w:w="2457"/>
        <w:gridCol w:w="1341"/>
        <w:gridCol w:w="1341"/>
        <w:gridCol w:w="1341"/>
        <w:gridCol w:w="1402"/>
        <w:gridCol w:w="1406"/>
      </w:tblGrid>
      <w:tr w:rsidR="00704EB3" w:rsidTr="007D3481">
        <w:trPr>
          <w:trHeight w:val="300"/>
        </w:trPr>
        <w:tc>
          <w:tcPr>
            <w:tcW w:w="5000" w:type="pct"/>
            <w:gridSpan w:val="6"/>
            <w:tcBorders>
              <w:top w:val="single" w:sz="4" w:space="0" w:color="76933C"/>
              <w:left w:val="single" w:sz="4" w:space="0" w:color="76933C"/>
              <w:bottom w:val="single" w:sz="4" w:space="0" w:color="9BBB59"/>
              <w:right w:val="nil"/>
            </w:tcBorders>
            <w:shd w:val="clear" w:color="auto" w:fill="76933C"/>
            <w:noWrap/>
            <w:vAlign w:val="bottom"/>
            <w:hideMark/>
          </w:tcPr>
          <w:p w:rsidR="00704EB3" w:rsidRDefault="00704EB3" w:rsidP="007D3481">
            <w:pPr>
              <w:spacing w:after="0" w:line="240" w:lineRule="auto"/>
              <w:jc w:val="center"/>
              <w:rPr>
                <w:rFonts w:cs="Arial"/>
                <w:b/>
                <w:bCs/>
                <w:color w:val="FFFFFF"/>
                <w:sz w:val="16"/>
                <w:szCs w:val="16"/>
                <w:lang w:eastAsia="en-AU"/>
              </w:rPr>
            </w:pPr>
            <w:r>
              <w:rPr>
                <w:rFonts w:cs="Arial"/>
                <w:b/>
                <w:bCs/>
                <w:color w:val="FFFFFF"/>
                <w:sz w:val="16"/>
                <w:szCs w:val="16"/>
                <w:lang w:eastAsia="en-AU"/>
              </w:rPr>
              <w:t>Either Specialised or Skill Shortage Qualifications</w:t>
            </w:r>
          </w:p>
        </w:tc>
      </w:tr>
      <w:tr w:rsidR="00704EB3" w:rsidTr="007D3481">
        <w:trPr>
          <w:trHeight w:val="450"/>
        </w:trPr>
        <w:tc>
          <w:tcPr>
            <w:tcW w:w="1322" w:type="pct"/>
            <w:tcBorders>
              <w:top w:val="nil"/>
              <w:left w:val="single" w:sz="4" w:space="0" w:color="76933C"/>
              <w:bottom w:val="nil"/>
              <w:right w:val="nil"/>
            </w:tcBorders>
            <w:shd w:val="clear" w:color="auto" w:fill="9BBB59"/>
            <w:noWrap/>
            <w:vAlign w:val="bottom"/>
            <w:hideMark/>
          </w:tcPr>
          <w:p w:rsidR="00704EB3" w:rsidRDefault="00704EB3" w:rsidP="007D3481">
            <w:pPr>
              <w:spacing w:after="0" w:line="240" w:lineRule="auto"/>
              <w:jc w:val="left"/>
              <w:rPr>
                <w:rFonts w:cs="Arial"/>
                <w:color w:val="FFFFFF"/>
                <w:sz w:val="16"/>
                <w:szCs w:val="16"/>
                <w:lang w:eastAsia="en-AU"/>
              </w:rPr>
            </w:pPr>
            <w:r>
              <w:rPr>
                <w:rFonts w:cs="Arial"/>
                <w:color w:val="FFFFFF"/>
                <w:sz w:val="16"/>
                <w:szCs w:val="16"/>
                <w:lang w:eastAsia="en-AU"/>
              </w:rPr>
              <w:t> </w:t>
            </w:r>
          </w:p>
        </w:tc>
        <w:tc>
          <w:tcPr>
            <w:tcW w:w="722" w:type="pct"/>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2011</w:t>
            </w:r>
          </w:p>
        </w:tc>
        <w:tc>
          <w:tcPr>
            <w:tcW w:w="722" w:type="pct"/>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2012</w:t>
            </w:r>
          </w:p>
        </w:tc>
        <w:tc>
          <w:tcPr>
            <w:tcW w:w="722" w:type="pct"/>
            <w:tcBorders>
              <w:top w:val="nil"/>
              <w:left w:val="nil"/>
              <w:bottom w:val="nil"/>
              <w:right w:val="single" w:sz="4" w:space="0" w:color="9BBB59"/>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2013</w:t>
            </w:r>
          </w:p>
        </w:tc>
        <w:tc>
          <w:tcPr>
            <w:tcW w:w="755" w:type="pct"/>
            <w:tcBorders>
              <w:top w:val="nil"/>
              <w:left w:val="nil"/>
              <w:bottom w:val="nil"/>
              <w:right w:val="single" w:sz="4" w:space="0" w:color="9BBB59"/>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Q2 2011 - Q2 2013</w:t>
            </w:r>
          </w:p>
        </w:tc>
        <w:tc>
          <w:tcPr>
            <w:tcW w:w="758" w:type="pct"/>
            <w:tcBorders>
              <w:top w:val="nil"/>
              <w:left w:val="nil"/>
              <w:bottom w:val="nil"/>
              <w:right w:val="single" w:sz="4" w:space="0" w:color="9BBB59"/>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Q2 2012 - Q2 2013</w:t>
            </w:r>
          </w:p>
        </w:tc>
      </w:tr>
      <w:tr w:rsidR="00704EB3" w:rsidTr="007D3481">
        <w:trPr>
          <w:trHeight w:val="300"/>
        </w:trPr>
        <w:tc>
          <w:tcPr>
            <w:tcW w:w="1322" w:type="pct"/>
            <w:tcBorders>
              <w:top w:val="single" w:sz="4" w:space="0" w:color="76933C"/>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Enrolments</w:t>
            </w:r>
          </w:p>
        </w:tc>
        <w:tc>
          <w:tcPr>
            <w:tcW w:w="7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92,900</w:t>
            </w:r>
          </w:p>
        </w:tc>
        <w:tc>
          <w:tcPr>
            <w:tcW w:w="7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112,700</w:t>
            </w:r>
          </w:p>
        </w:tc>
        <w:tc>
          <w:tcPr>
            <w:tcW w:w="7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112,900</w:t>
            </w:r>
          </w:p>
        </w:tc>
        <w:tc>
          <w:tcPr>
            <w:tcW w:w="755"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22%</w:t>
            </w:r>
          </w:p>
        </w:tc>
        <w:tc>
          <w:tcPr>
            <w:tcW w:w="758" w:type="pct"/>
            <w:tcBorders>
              <w:top w:val="single" w:sz="4" w:space="0" w:color="76933C"/>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0.2%</w:t>
            </w:r>
          </w:p>
        </w:tc>
      </w:tr>
      <w:tr w:rsidR="00704EB3" w:rsidTr="007D3481">
        <w:trPr>
          <w:trHeight w:val="300"/>
        </w:trPr>
        <w:tc>
          <w:tcPr>
            <w:tcW w:w="1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 xml:space="preserve">Hours </w:t>
            </w:r>
            <w:r>
              <w:rPr>
                <w:rFonts w:cs="Arial"/>
                <w:color w:val="76933C"/>
                <w:sz w:val="16"/>
                <w:szCs w:val="16"/>
                <w:lang w:eastAsia="en-AU"/>
              </w:rPr>
              <w:t>(millions)</w:t>
            </w:r>
          </w:p>
        </w:tc>
        <w:tc>
          <w:tcPr>
            <w:tcW w:w="7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33.4</w:t>
            </w:r>
          </w:p>
        </w:tc>
        <w:tc>
          <w:tcPr>
            <w:tcW w:w="7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40.5</w:t>
            </w:r>
          </w:p>
        </w:tc>
        <w:tc>
          <w:tcPr>
            <w:tcW w:w="7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41.8</w:t>
            </w:r>
          </w:p>
        </w:tc>
        <w:tc>
          <w:tcPr>
            <w:tcW w:w="755"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25%</w:t>
            </w:r>
          </w:p>
        </w:tc>
        <w:tc>
          <w:tcPr>
            <w:tcW w:w="758"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w:t>
            </w:r>
          </w:p>
        </w:tc>
      </w:tr>
    </w:tbl>
    <w:p w:rsidR="00704EB3" w:rsidRDefault="00704EB3" w:rsidP="00704EB3">
      <w:pPr>
        <w:spacing w:after="0" w:line="240" w:lineRule="auto"/>
        <w:jc w:val="left"/>
        <w:rPr>
          <w:rFonts w:cs="Arial"/>
          <w:szCs w:val="19"/>
        </w:rPr>
      </w:pPr>
    </w:p>
    <w:p w:rsidR="00704EB3" w:rsidRDefault="00704EB3" w:rsidP="00704EB3">
      <w:pPr>
        <w:spacing w:after="0" w:line="240" w:lineRule="auto"/>
        <w:jc w:val="left"/>
        <w:rPr>
          <w:rFonts w:cs="Arial"/>
          <w:szCs w:val="19"/>
        </w:rPr>
      </w:pPr>
    </w:p>
    <w:p w:rsidR="00704EB3" w:rsidRDefault="005654CD" w:rsidP="00704EB3">
      <w:pPr>
        <w:pStyle w:val="Caption"/>
        <w:keepNext/>
      </w:pPr>
      <w:r>
        <w:t>Table 3</w:t>
      </w:r>
      <w:r w:rsidR="00704EB3">
        <w:t>.</w:t>
      </w:r>
      <w:r w:rsidR="008610B1">
        <w:t>1</w:t>
      </w:r>
      <w:r w:rsidR="004445E4">
        <w:t>1</w:t>
      </w:r>
      <w:r w:rsidR="00704EB3">
        <w:t>.1: Government subsidised training delivery for qualifications not related to specialised or skill shortage occupations, 2008 - 2012</w:t>
      </w:r>
    </w:p>
    <w:tbl>
      <w:tblPr>
        <w:tblW w:w="5000" w:type="pct"/>
        <w:tblLook w:val="04A0" w:firstRow="1" w:lastRow="0" w:firstColumn="1" w:lastColumn="0" w:noHBand="0" w:noVBand="1"/>
      </w:tblPr>
      <w:tblGrid>
        <w:gridCol w:w="2221"/>
        <w:gridCol w:w="1150"/>
        <w:gridCol w:w="1150"/>
        <w:gridCol w:w="1150"/>
        <w:gridCol w:w="1150"/>
        <w:gridCol w:w="1150"/>
        <w:gridCol w:w="1317"/>
      </w:tblGrid>
      <w:tr w:rsidR="00704EB3" w:rsidTr="007D3481">
        <w:trPr>
          <w:trHeight w:val="300"/>
        </w:trPr>
        <w:tc>
          <w:tcPr>
            <w:tcW w:w="5000" w:type="pct"/>
            <w:gridSpan w:val="7"/>
            <w:tcBorders>
              <w:top w:val="single" w:sz="4" w:space="0" w:color="76933C"/>
              <w:left w:val="single" w:sz="4" w:space="0" w:color="76933C"/>
              <w:bottom w:val="single" w:sz="4" w:space="0" w:color="9BBB59"/>
              <w:right w:val="single" w:sz="4" w:space="0" w:color="76933C"/>
            </w:tcBorders>
            <w:shd w:val="clear" w:color="auto" w:fill="76933C"/>
            <w:noWrap/>
            <w:vAlign w:val="bottom"/>
            <w:hideMark/>
          </w:tcPr>
          <w:p w:rsidR="00704EB3" w:rsidRDefault="00704EB3" w:rsidP="007D3481">
            <w:pPr>
              <w:spacing w:after="0" w:line="240" w:lineRule="auto"/>
              <w:jc w:val="center"/>
              <w:rPr>
                <w:rFonts w:cs="Arial"/>
                <w:b/>
                <w:bCs/>
                <w:color w:val="FFFFFF"/>
                <w:sz w:val="16"/>
                <w:szCs w:val="16"/>
                <w:lang w:eastAsia="en-AU"/>
              </w:rPr>
            </w:pPr>
            <w:r>
              <w:rPr>
                <w:rFonts w:cs="Arial"/>
                <w:b/>
                <w:bCs/>
                <w:color w:val="FFFFFF"/>
                <w:sz w:val="16"/>
                <w:szCs w:val="16"/>
                <w:lang w:eastAsia="en-AU"/>
              </w:rPr>
              <w:t>Not Specialised/Skill shortage Qualifications</w:t>
            </w:r>
          </w:p>
        </w:tc>
      </w:tr>
      <w:tr w:rsidR="00704EB3" w:rsidTr="007D3481">
        <w:trPr>
          <w:trHeight w:val="450"/>
        </w:trPr>
        <w:tc>
          <w:tcPr>
            <w:tcW w:w="1196" w:type="pct"/>
            <w:tcBorders>
              <w:top w:val="nil"/>
              <w:left w:val="single" w:sz="4" w:space="0" w:color="76933C"/>
              <w:bottom w:val="single" w:sz="4" w:space="0" w:color="76933C"/>
              <w:right w:val="nil"/>
            </w:tcBorders>
            <w:shd w:val="clear" w:color="auto" w:fill="9BBB59"/>
            <w:noWrap/>
            <w:vAlign w:val="center"/>
            <w:hideMark/>
          </w:tcPr>
          <w:p w:rsidR="00704EB3" w:rsidRDefault="00704EB3" w:rsidP="007D3481">
            <w:pPr>
              <w:spacing w:after="0" w:line="240" w:lineRule="auto"/>
              <w:jc w:val="left"/>
              <w:rPr>
                <w:rFonts w:cs="Arial"/>
                <w:color w:val="FFFFFF"/>
                <w:sz w:val="16"/>
                <w:szCs w:val="16"/>
                <w:lang w:eastAsia="en-AU"/>
              </w:rPr>
            </w:pPr>
            <w:r>
              <w:rPr>
                <w:rFonts w:cs="Arial"/>
                <w:color w:val="FFFFFF"/>
                <w:sz w:val="16"/>
                <w:szCs w:val="16"/>
                <w:lang w:eastAsia="en-AU"/>
              </w:rPr>
              <w:t> </w:t>
            </w:r>
          </w:p>
        </w:tc>
        <w:tc>
          <w:tcPr>
            <w:tcW w:w="619"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2008</w:t>
            </w:r>
          </w:p>
        </w:tc>
        <w:tc>
          <w:tcPr>
            <w:tcW w:w="619"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2009</w:t>
            </w:r>
          </w:p>
        </w:tc>
        <w:tc>
          <w:tcPr>
            <w:tcW w:w="619"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2010</w:t>
            </w:r>
          </w:p>
        </w:tc>
        <w:tc>
          <w:tcPr>
            <w:tcW w:w="619"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2011</w:t>
            </w:r>
          </w:p>
        </w:tc>
        <w:tc>
          <w:tcPr>
            <w:tcW w:w="619"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2012</w:t>
            </w:r>
          </w:p>
        </w:tc>
        <w:tc>
          <w:tcPr>
            <w:tcW w:w="709" w:type="pct"/>
            <w:tcBorders>
              <w:top w:val="nil"/>
              <w:left w:val="nil"/>
              <w:bottom w:val="single" w:sz="4" w:space="0" w:color="76933C"/>
              <w:right w:val="single" w:sz="4" w:space="0" w:color="76933C"/>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2008 - 2012</w:t>
            </w:r>
          </w:p>
        </w:tc>
      </w:tr>
      <w:tr w:rsidR="00704EB3" w:rsidTr="007D3481">
        <w:trPr>
          <w:trHeight w:val="300"/>
        </w:trPr>
        <w:tc>
          <w:tcPr>
            <w:tcW w:w="1196"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Enrolments</w:t>
            </w:r>
          </w:p>
        </w:tc>
        <w:tc>
          <w:tcPr>
            <w:tcW w:w="619"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184,700</w:t>
            </w:r>
          </w:p>
        </w:tc>
        <w:tc>
          <w:tcPr>
            <w:tcW w:w="619"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182,500</w:t>
            </w:r>
          </w:p>
        </w:tc>
        <w:tc>
          <w:tcPr>
            <w:tcW w:w="619"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220,300</w:t>
            </w:r>
          </w:p>
        </w:tc>
        <w:tc>
          <w:tcPr>
            <w:tcW w:w="619"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305,500</w:t>
            </w:r>
          </w:p>
        </w:tc>
        <w:tc>
          <w:tcPr>
            <w:tcW w:w="619"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342,300</w:t>
            </w:r>
          </w:p>
        </w:tc>
        <w:tc>
          <w:tcPr>
            <w:tcW w:w="709"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85%</w:t>
            </w:r>
          </w:p>
        </w:tc>
      </w:tr>
      <w:tr w:rsidR="00704EB3" w:rsidTr="007D3481">
        <w:trPr>
          <w:trHeight w:val="300"/>
        </w:trPr>
        <w:tc>
          <w:tcPr>
            <w:tcW w:w="1196"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 xml:space="preserve">Hours </w:t>
            </w:r>
            <w:r>
              <w:rPr>
                <w:rFonts w:cs="Arial"/>
                <w:color w:val="76933C"/>
                <w:sz w:val="16"/>
                <w:szCs w:val="16"/>
                <w:lang w:eastAsia="en-AU"/>
              </w:rPr>
              <w:t>(millions)</w:t>
            </w:r>
          </w:p>
        </w:tc>
        <w:tc>
          <w:tcPr>
            <w:tcW w:w="619"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46.8</w:t>
            </w:r>
          </w:p>
        </w:tc>
        <w:tc>
          <w:tcPr>
            <w:tcW w:w="619"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49.1</w:t>
            </w:r>
          </w:p>
        </w:tc>
        <w:tc>
          <w:tcPr>
            <w:tcW w:w="619"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61.4</w:t>
            </w:r>
          </w:p>
        </w:tc>
        <w:tc>
          <w:tcPr>
            <w:tcW w:w="619"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85.9</w:t>
            </w:r>
          </w:p>
        </w:tc>
        <w:tc>
          <w:tcPr>
            <w:tcW w:w="619"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109.3</w:t>
            </w:r>
          </w:p>
        </w:tc>
        <w:tc>
          <w:tcPr>
            <w:tcW w:w="709"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134%</w:t>
            </w:r>
          </w:p>
        </w:tc>
      </w:tr>
    </w:tbl>
    <w:p w:rsidR="00704EB3" w:rsidRDefault="00704EB3" w:rsidP="00704EB3">
      <w:pPr>
        <w:spacing w:after="0" w:line="240" w:lineRule="auto"/>
        <w:jc w:val="left"/>
        <w:rPr>
          <w:rFonts w:cs="Arial"/>
          <w:szCs w:val="19"/>
        </w:rPr>
      </w:pPr>
    </w:p>
    <w:p w:rsidR="00704EB3" w:rsidRDefault="00704EB3" w:rsidP="00704EB3">
      <w:pPr>
        <w:spacing w:after="0" w:line="240" w:lineRule="auto"/>
        <w:jc w:val="left"/>
        <w:rPr>
          <w:rFonts w:cs="Arial"/>
          <w:szCs w:val="19"/>
        </w:rPr>
      </w:pPr>
    </w:p>
    <w:p w:rsidR="00704EB3" w:rsidRDefault="005654CD" w:rsidP="00704EB3">
      <w:pPr>
        <w:pStyle w:val="Caption"/>
        <w:keepNext/>
      </w:pPr>
      <w:r>
        <w:t>Table 3</w:t>
      </w:r>
      <w:r w:rsidR="00704EB3">
        <w:t>.</w:t>
      </w:r>
      <w:r w:rsidR="008610B1">
        <w:t>1</w:t>
      </w:r>
      <w:r w:rsidR="004445E4">
        <w:t>1</w:t>
      </w:r>
      <w:r w:rsidR="00704EB3">
        <w:t>.2: Government subsidised training delivery for qualifications related to either specialised or skill shortage occupations, Q2 2011, Q2 2012 and Q2 2013</w:t>
      </w:r>
    </w:p>
    <w:tbl>
      <w:tblPr>
        <w:tblW w:w="5000" w:type="pct"/>
        <w:tblLook w:val="04A0" w:firstRow="1" w:lastRow="0" w:firstColumn="1" w:lastColumn="0" w:noHBand="0" w:noVBand="1"/>
      </w:tblPr>
      <w:tblGrid>
        <w:gridCol w:w="2451"/>
        <w:gridCol w:w="1339"/>
        <w:gridCol w:w="1339"/>
        <w:gridCol w:w="1339"/>
        <w:gridCol w:w="1401"/>
        <w:gridCol w:w="1419"/>
      </w:tblGrid>
      <w:tr w:rsidR="00704EB3" w:rsidTr="007D3481">
        <w:trPr>
          <w:trHeight w:val="300"/>
        </w:trPr>
        <w:tc>
          <w:tcPr>
            <w:tcW w:w="5000" w:type="pct"/>
            <w:gridSpan w:val="6"/>
            <w:tcBorders>
              <w:top w:val="single" w:sz="4" w:space="0" w:color="76933C"/>
              <w:left w:val="single" w:sz="4" w:space="0" w:color="76933C"/>
              <w:bottom w:val="single" w:sz="4" w:space="0" w:color="9BBB59"/>
              <w:right w:val="nil"/>
            </w:tcBorders>
            <w:shd w:val="clear" w:color="auto" w:fill="76933C"/>
            <w:noWrap/>
            <w:vAlign w:val="bottom"/>
            <w:hideMark/>
          </w:tcPr>
          <w:p w:rsidR="00704EB3" w:rsidRDefault="00704EB3" w:rsidP="007D3481">
            <w:pPr>
              <w:spacing w:after="0" w:line="240" w:lineRule="auto"/>
              <w:jc w:val="center"/>
              <w:rPr>
                <w:rFonts w:cs="Arial"/>
                <w:b/>
                <w:bCs/>
                <w:color w:val="FFFFFF"/>
                <w:sz w:val="16"/>
                <w:szCs w:val="16"/>
                <w:lang w:eastAsia="en-AU"/>
              </w:rPr>
            </w:pPr>
            <w:r>
              <w:rPr>
                <w:rFonts w:cs="Arial"/>
                <w:b/>
                <w:bCs/>
                <w:color w:val="FFFFFF"/>
                <w:sz w:val="16"/>
                <w:szCs w:val="16"/>
                <w:lang w:eastAsia="en-AU"/>
              </w:rPr>
              <w:t>Not Specialised/ Skill Shortage Qualifications</w:t>
            </w:r>
          </w:p>
        </w:tc>
      </w:tr>
      <w:tr w:rsidR="00704EB3" w:rsidTr="007D3481">
        <w:trPr>
          <w:trHeight w:val="450"/>
        </w:trPr>
        <w:tc>
          <w:tcPr>
            <w:tcW w:w="1319" w:type="pct"/>
            <w:tcBorders>
              <w:top w:val="nil"/>
              <w:left w:val="single" w:sz="4" w:space="0" w:color="76933C"/>
              <w:bottom w:val="nil"/>
              <w:right w:val="nil"/>
            </w:tcBorders>
            <w:shd w:val="clear" w:color="auto" w:fill="9BBB59"/>
            <w:noWrap/>
            <w:vAlign w:val="bottom"/>
            <w:hideMark/>
          </w:tcPr>
          <w:p w:rsidR="00704EB3" w:rsidRDefault="00704EB3" w:rsidP="007D3481">
            <w:pPr>
              <w:spacing w:after="0" w:line="240" w:lineRule="auto"/>
              <w:jc w:val="left"/>
              <w:rPr>
                <w:rFonts w:cs="Arial"/>
                <w:color w:val="FFFFFF"/>
                <w:sz w:val="16"/>
                <w:szCs w:val="16"/>
                <w:lang w:eastAsia="en-AU"/>
              </w:rPr>
            </w:pPr>
            <w:r>
              <w:rPr>
                <w:rFonts w:cs="Arial"/>
                <w:color w:val="FFFFFF"/>
                <w:sz w:val="16"/>
                <w:szCs w:val="16"/>
                <w:lang w:eastAsia="en-AU"/>
              </w:rPr>
              <w:t> </w:t>
            </w:r>
          </w:p>
        </w:tc>
        <w:tc>
          <w:tcPr>
            <w:tcW w:w="721" w:type="pct"/>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2011</w:t>
            </w:r>
          </w:p>
        </w:tc>
        <w:tc>
          <w:tcPr>
            <w:tcW w:w="721" w:type="pct"/>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2012</w:t>
            </w:r>
          </w:p>
        </w:tc>
        <w:tc>
          <w:tcPr>
            <w:tcW w:w="721" w:type="pct"/>
            <w:tcBorders>
              <w:top w:val="nil"/>
              <w:left w:val="nil"/>
              <w:bottom w:val="nil"/>
              <w:right w:val="single" w:sz="4" w:space="0" w:color="9BBB59"/>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2013</w:t>
            </w:r>
          </w:p>
        </w:tc>
        <w:tc>
          <w:tcPr>
            <w:tcW w:w="754" w:type="pct"/>
            <w:tcBorders>
              <w:top w:val="nil"/>
              <w:left w:val="nil"/>
              <w:bottom w:val="nil"/>
              <w:right w:val="single" w:sz="4" w:space="0" w:color="9BBB59"/>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Q2 2011 - Q2 2013</w:t>
            </w:r>
          </w:p>
        </w:tc>
        <w:tc>
          <w:tcPr>
            <w:tcW w:w="764" w:type="pct"/>
            <w:tcBorders>
              <w:top w:val="nil"/>
              <w:left w:val="nil"/>
              <w:bottom w:val="nil"/>
              <w:right w:val="single" w:sz="4" w:space="0" w:color="9BBB59"/>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Q2 2012 - Q2 2013</w:t>
            </w:r>
          </w:p>
        </w:tc>
      </w:tr>
      <w:tr w:rsidR="00704EB3" w:rsidTr="007D3481">
        <w:trPr>
          <w:trHeight w:val="300"/>
        </w:trPr>
        <w:tc>
          <w:tcPr>
            <w:tcW w:w="1319" w:type="pct"/>
            <w:tcBorders>
              <w:top w:val="single" w:sz="4" w:space="0" w:color="76933C"/>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Enrolments</w:t>
            </w:r>
          </w:p>
        </w:tc>
        <w:tc>
          <w:tcPr>
            <w:tcW w:w="721"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169,900</w:t>
            </w:r>
          </w:p>
        </w:tc>
        <w:tc>
          <w:tcPr>
            <w:tcW w:w="721"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248,300</w:t>
            </w:r>
          </w:p>
        </w:tc>
        <w:tc>
          <w:tcPr>
            <w:tcW w:w="721"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166,700</w:t>
            </w:r>
          </w:p>
        </w:tc>
        <w:tc>
          <w:tcPr>
            <w:tcW w:w="754"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w:t>
            </w:r>
          </w:p>
        </w:tc>
        <w:tc>
          <w:tcPr>
            <w:tcW w:w="764" w:type="pct"/>
            <w:tcBorders>
              <w:top w:val="single" w:sz="4" w:space="0" w:color="76933C"/>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-33%</w:t>
            </w:r>
          </w:p>
        </w:tc>
      </w:tr>
      <w:tr w:rsidR="00704EB3" w:rsidTr="007D3481">
        <w:trPr>
          <w:trHeight w:val="300"/>
        </w:trPr>
        <w:tc>
          <w:tcPr>
            <w:tcW w:w="1319"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 xml:space="preserve">Hours </w:t>
            </w:r>
            <w:r>
              <w:rPr>
                <w:rFonts w:cs="Arial"/>
                <w:color w:val="76933C"/>
                <w:sz w:val="16"/>
                <w:szCs w:val="16"/>
                <w:lang w:eastAsia="en-AU"/>
              </w:rPr>
              <w:t>(millions)</w:t>
            </w:r>
          </w:p>
        </w:tc>
        <w:tc>
          <w:tcPr>
            <w:tcW w:w="721"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55.0</w:t>
            </w:r>
          </w:p>
        </w:tc>
        <w:tc>
          <w:tcPr>
            <w:tcW w:w="721"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79.4</w:t>
            </w:r>
          </w:p>
        </w:tc>
        <w:tc>
          <w:tcPr>
            <w:tcW w:w="721"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56.5</w:t>
            </w:r>
          </w:p>
        </w:tc>
        <w:tc>
          <w:tcPr>
            <w:tcW w:w="754"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w:t>
            </w:r>
          </w:p>
        </w:tc>
        <w:tc>
          <w:tcPr>
            <w:tcW w:w="764"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-29%</w:t>
            </w:r>
          </w:p>
        </w:tc>
      </w:tr>
    </w:tbl>
    <w:p w:rsidR="008603E7" w:rsidRDefault="008603E7" w:rsidP="00704EB3">
      <w:pPr>
        <w:pStyle w:val="Caption"/>
        <w:keepNext/>
      </w:pPr>
    </w:p>
    <w:p w:rsidR="00704EB3" w:rsidRDefault="005654CD" w:rsidP="00704EB3">
      <w:pPr>
        <w:pStyle w:val="Caption"/>
        <w:keepNext/>
      </w:pPr>
      <w:r>
        <w:t>Table 3</w:t>
      </w:r>
      <w:r w:rsidR="00704EB3">
        <w:t>.</w:t>
      </w:r>
      <w:r w:rsidR="008610B1">
        <w:t>1</w:t>
      </w:r>
      <w:r w:rsidR="004445E4">
        <w:t>2</w:t>
      </w:r>
      <w:r w:rsidR="00704EB3">
        <w:t>.1: Government subsidised training delivery for qualifications related to specialised occupations, 2008 - 2012</w:t>
      </w:r>
    </w:p>
    <w:tbl>
      <w:tblPr>
        <w:tblW w:w="5000" w:type="pct"/>
        <w:tblLook w:val="04A0" w:firstRow="1" w:lastRow="0" w:firstColumn="1" w:lastColumn="0" w:noHBand="0" w:noVBand="1"/>
      </w:tblPr>
      <w:tblGrid>
        <w:gridCol w:w="2457"/>
        <w:gridCol w:w="1085"/>
        <w:gridCol w:w="1085"/>
        <w:gridCol w:w="1085"/>
        <w:gridCol w:w="1085"/>
        <w:gridCol w:w="1085"/>
        <w:gridCol w:w="1406"/>
      </w:tblGrid>
      <w:tr w:rsidR="00704EB3" w:rsidTr="007D3481">
        <w:trPr>
          <w:trHeight w:val="300"/>
        </w:trPr>
        <w:tc>
          <w:tcPr>
            <w:tcW w:w="5000" w:type="pct"/>
            <w:gridSpan w:val="7"/>
            <w:tcBorders>
              <w:top w:val="single" w:sz="4" w:space="0" w:color="76933C"/>
              <w:left w:val="single" w:sz="4" w:space="0" w:color="76933C"/>
              <w:bottom w:val="single" w:sz="4" w:space="0" w:color="9BBB59"/>
              <w:right w:val="single" w:sz="4" w:space="0" w:color="76933C"/>
            </w:tcBorders>
            <w:shd w:val="clear" w:color="auto" w:fill="76933C"/>
            <w:noWrap/>
            <w:vAlign w:val="bottom"/>
            <w:hideMark/>
          </w:tcPr>
          <w:p w:rsidR="00704EB3" w:rsidRDefault="00704EB3" w:rsidP="007D3481">
            <w:pPr>
              <w:spacing w:after="0" w:line="240" w:lineRule="auto"/>
              <w:jc w:val="center"/>
              <w:rPr>
                <w:rFonts w:cs="Arial"/>
                <w:b/>
                <w:bCs/>
                <w:color w:val="FFFFFF"/>
                <w:sz w:val="16"/>
                <w:szCs w:val="16"/>
                <w:lang w:eastAsia="en-AU"/>
              </w:rPr>
            </w:pPr>
            <w:r>
              <w:rPr>
                <w:rFonts w:cs="Arial"/>
                <w:b/>
                <w:bCs/>
                <w:color w:val="FFFFFF"/>
                <w:sz w:val="16"/>
                <w:szCs w:val="16"/>
                <w:lang w:eastAsia="en-AU"/>
              </w:rPr>
              <w:t>Qualifications Related to Specialised Occupations</w:t>
            </w:r>
          </w:p>
        </w:tc>
      </w:tr>
      <w:tr w:rsidR="00704EB3" w:rsidTr="007D3481">
        <w:trPr>
          <w:trHeight w:val="450"/>
        </w:trPr>
        <w:tc>
          <w:tcPr>
            <w:tcW w:w="1323" w:type="pct"/>
            <w:tcBorders>
              <w:top w:val="nil"/>
              <w:left w:val="single" w:sz="4" w:space="0" w:color="76933C"/>
              <w:bottom w:val="single" w:sz="4" w:space="0" w:color="76933C"/>
              <w:right w:val="nil"/>
            </w:tcBorders>
            <w:shd w:val="clear" w:color="auto" w:fill="9BBB59"/>
            <w:noWrap/>
            <w:vAlign w:val="bottom"/>
            <w:hideMark/>
          </w:tcPr>
          <w:p w:rsidR="00704EB3" w:rsidRDefault="00704EB3" w:rsidP="007D3481">
            <w:pPr>
              <w:spacing w:after="0" w:line="240" w:lineRule="auto"/>
              <w:jc w:val="left"/>
              <w:rPr>
                <w:rFonts w:cs="Arial"/>
                <w:color w:val="FFFFFF"/>
                <w:sz w:val="16"/>
                <w:szCs w:val="16"/>
                <w:lang w:eastAsia="en-AU"/>
              </w:rPr>
            </w:pPr>
            <w:r>
              <w:rPr>
                <w:rFonts w:cs="Arial"/>
                <w:color w:val="FFFFFF"/>
                <w:sz w:val="16"/>
                <w:szCs w:val="16"/>
                <w:lang w:eastAsia="en-AU"/>
              </w:rPr>
              <w:t> </w:t>
            </w:r>
          </w:p>
        </w:tc>
        <w:tc>
          <w:tcPr>
            <w:tcW w:w="584"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2008</w:t>
            </w:r>
          </w:p>
        </w:tc>
        <w:tc>
          <w:tcPr>
            <w:tcW w:w="584"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2009</w:t>
            </w:r>
          </w:p>
        </w:tc>
        <w:tc>
          <w:tcPr>
            <w:tcW w:w="584"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2010</w:t>
            </w:r>
          </w:p>
        </w:tc>
        <w:tc>
          <w:tcPr>
            <w:tcW w:w="584"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2011</w:t>
            </w:r>
          </w:p>
        </w:tc>
        <w:tc>
          <w:tcPr>
            <w:tcW w:w="584"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2012</w:t>
            </w:r>
          </w:p>
        </w:tc>
        <w:tc>
          <w:tcPr>
            <w:tcW w:w="757" w:type="pct"/>
            <w:tcBorders>
              <w:top w:val="nil"/>
              <w:left w:val="nil"/>
              <w:bottom w:val="single" w:sz="4" w:space="0" w:color="76933C"/>
              <w:right w:val="single" w:sz="4" w:space="0" w:color="76933C"/>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xml:space="preserve">% 2008 </w:t>
            </w:r>
            <w:r w:rsidR="003323B6">
              <w:rPr>
                <w:rFonts w:cs="Arial"/>
                <w:color w:val="FFFFFF"/>
                <w:sz w:val="16"/>
                <w:szCs w:val="16"/>
                <w:lang w:eastAsia="en-AU"/>
              </w:rPr>
              <w:t>–</w:t>
            </w:r>
            <w:r>
              <w:rPr>
                <w:rFonts w:cs="Arial"/>
                <w:color w:val="FFFFFF"/>
                <w:sz w:val="16"/>
                <w:szCs w:val="16"/>
                <w:lang w:eastAsia="en-AU"/>
              </w:rPr>
              <w:t xml:space="preserve"> 2012</w:t>
            </w:r>
          </w:p>
        </w:tc>
      </w:tr>
      <w:tr w:rsidR="00704EB3" w:rsidTr="007D3481">
        <w:trPr>
          <w:trHeight w:val="300"/>
        </w:trPr>
        <w:tc>
          <w:tcPr>
            <w:tcW w:w="1323" w:type="pct"/>
            <w:tcBorders>
              <w:top w:val="nil"/>
              <w:left w:val="single" w:sz="4" w:space="0" w:color="76933C"/>
              <w:bottom w:val="nil"/>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Enrolments</w:t>
            </w:r>
          </w:p>
        </w:tc>
        <w:tc>
          <w:tcPr>
            <w:tcW w:w="584"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57,000</w:t>
            </w:r>
          </w:p>
        </w:tc>
        <w:tc>
          <w:tcPr>
            <w:tcW w:w="584"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59,300</w:t>
            </w:r>
          </w:p>
        </w:tc>
        <w:tc>
          <w:tcPr>
            <w:tcW w:w="584"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64,900</w:t>
            </w:r>
          </w:p>
        </w:tc>
        <w:tc>
          <w:tcPr>
            <w:tcW w:w="584"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72,300</w:t>
            </w:r>
          </w:p>
        </w:tc>
        <w:tc>
          <w:tcPr>
            <w:tcW w:w="584"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80,300</w:t>
            </w:r>
          </w:p>
        </w:tc>
        <w:tc>
          <w:tcPr>
            <w:tcW w:w="757"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41%</w:t>
            </w:r>
          </w:p>
        </w:tc>
      </w:tr>
      <w:tr w:rsidR="00704EB3" w:rsidTr="007D3481">
        <w:trPr>
          <w:trHeight w:val="300"/>
        </w:trPr>
        <w:tc>
          <w:tcPr>
            <w:tcW w:w="1323" w:type="pct"/>
            <w:tcBorders>
              <w:top w:val="single" w:sz="4" w:space="0" w:color="76933C"/>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 xml:space="preserve">Hours </w:t>
            </w:r>
            <w:r>
              <w:rPr>
                <w:rFonts w:cs="Arial"/>
                <w:color w:val="76933C"/>
                <w:sz w:val="16"/>
                <w:szCs w:val="16"/>
                <w:lang w:eastAsia="en-AU"/>
              </w:rPr>
              <w:t>(millions)</w:t>
            </w:r>
          </w:p>
        </w:tc>
        <w:tc>
          <w:tcPr>
            <w:tcW w:w="584"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16.6</w:t>
            </w:r>
          </w:p>
        </w:tc>
        <w:tc>
          <w:tcPr>
            <w:tcW w:w="584"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19.6</w:t>
            </w:r>
          </w:p>
        </w:tc>
        <w:tc>
          <w:tcPr>
            <w:tcW w:w="584"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21.1</w:t>
            </w:r>
          </w:p>
        </w:tc>
        <w:tc>
          <w:tcPr>
            <w:tcW w:w="584"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21.8</w:t>
            </w:r>
          </w:p>
        </w:tc>
        <w:tc>
          <w:tcPr>
            <w:tcW w:w="584"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25.9</w:t>
            </w:r>
          </w:p>
        </w:tc>
        <w:tc>
          <w:tcPr>
            <w:tcW w:w="757"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56%</w:t>
            </w:r>
          </w:p>
        </w:tc>
      </w:tr>
    </w:tbl>
    <w:p w:rsidR="00704EB3" w:rsidRDefault="00704EB3" w:rsidP="00704EB3">
      <w:pPr>
        <w:spacing w:after="0" w:line="240" w:lineRule="auto"/>
        <w:jc w:val="left"/>
        <w:rPr>
          <w:rFonts w:cs="Arial"/>
          <w:szCs w:val="19"/>
        </w:rPr>
      </w:pPr>
    </w:p>
    <w:p w:rsidR="00704EB3" w:rsidRDefault="00704EB3" w:rsidP="00704EB3">
      <w:pPr>
        <w:spacing w:after="0" w:line="240" w:lineRule="auto"/>
        <w:jc w:val="left"/>
        <w:rPr>
          <w:rFonts w:cs="Arial"/>
          <w:szCs w:val="19"/>
        </w:rPr>
      </w:pPr>
    </w:p>
    <w:p w:rsidR="00704EB3" w:rsidRDefault="005654CD" w:rsidP="00704EB3">
      <w:pPr>
        <w:pStyle w:val="Caption"/>
        <w:keepNext/>
      </w:pPr>
      <w:r>
        <w:t>Table 3</w:t>
      </w:r>
      <w:r w:rsidR="003C42E3">
        <w:t>.</w:t>
      </w:r>
      <w:r w:rsidR="008610B1">
        <w:t>1</w:t>
      </w:r>
      <w:r w:rsidR="004445E4">
        <w:t>2</w:t>
      </w:r>
      <w:r w:rsidR="00704EB3">
        <w:t>.2: Government subsidised training delivery for qualifications related to specialised occupations, Q2 2011, Q2 2012 and Q2 2013</w:t>
      </w:r>
    </w:p>
    <w:tbl>
      <w:tblPr>
        <w:tblW w:w="5000" w:type="pct"/>
        <w:tblLook w:val="04A0" w:firstRow="1" w:lastRow="0" w:firstColumn="1" w:lastColumn="0" w:noHBand="0" w:noVBand="1"/>
      </w:tblPr>
      <w:tblGrid>
        <w:gridCol w:w="2456"/>
        <w:gridCol w:w="1343"/>
        <w:gridCol w:w="1343"/>
        <w:gridCol w:w="1343"/>
        <w:gridCol w:w="1402"/>
        <w:gridCol w:w="1401"/>
      </w:tblGrid>
      <w:tr w:rsidR="00704EB3" w:rsidTr="007D3481">
        <w:trPr>
          <w:trHeight w:val="300"/>
        </w:trPr>
        <w:tc>
          <w:tcPr>
            <w:tcW w:w="5000" w:type="pct"/>
            <w:gridSpan w:val="6"/>
            <w:tcBorders>
              <w:top w:val="single" w:sz="4" w:space="0" w:color="76933C"/>
              <w:left w:val="single" w:sz="4" w:space="0" w:color="76933C"/>
              <w:bottom w:val="single" w:sz="4" w:space="0" w:color="9BBB59"/>
              <w:right w:val="nil"/>
            </w:tcBorders>
            <w:shd w:val="clear" w:color="auto" w:fill="76933C"/>
            <w:noWrap/>
            <w:vAlign w:val="bottom"/>
            <w:hideMark/>
          </w:tcPr>
          <w:p w:rsidR="00704EB3" w:rsidRDefault="00704EB3" w:rsidP="007D3481">
            <w:pPr>
              <w:spacing w:after="0" w:line="240" w:lineRule="auto"/>
              <w:jc w:val="center"/>
              <w:rPr>
                <w:rFonts w:cs="Arial"/>
                <w:b/>
                <w:bCs/>
                <w:color w:val="FFFFFF"/>
                <w:sz w:val="16"/>
                <w:szCs w:val="16"/>
                <w:lang w:eastAsia="en-AU"/>
              </w:rPr>
            </w:pPr>
            <w:r>
              <w:rPr>
                <w:rFonts w:cs="Arial"/>
                <w:b/>
                <w:bCs/>
                <w:color w:val="FFFFFF"/>
                <w:sz w:val="16"/>
                <w:szCs w:val="16"/>
                <w:lang w:eastAsia="en-AU"/>
              </w:rPr>
              <w:t>Qualifications Related to Specialised Occupations</w:t>
            </w:r>
          </w:p>
        </w:tc>
      </w:tr>
      <w:tr w:rsidR="00704EB3" w:rsidTr="007D3481">
        <w:trPr>
          <w:trHeight w:val="450"/>
        </w:trPr>
        <w:tc>
          <w:tcPr>
            <w:tcW w:w="1322" w:type="pct"/>
            <w:tcBorders>
              <w:top w:val="nil"/>
              <w:left w:val="single" w:sz="4" w:space="0" w:color="76933C"/>
              <w:bottom w:val="nil"/>
              <w:right w:val="nil"/>
            </w:tcBorders>
            <w:shd w:val="clear" w:color="auto" w:fill="9BBB59"/>
            <w:noWrap/>
            <w:vAlign w:val="bottom"/>
            <w:hideMark/>
          </w:tcPr>
          <w:p w:rsidR="00704EB3" w:rsidRDefault="00704EB3" w:rsidP="007D3481">
            <w:pPr>
              <w:spacing w:after="0" w:line="240" w:lineRule="auto"/>
              <w:jc w:val="left"/>
              <w:rPr>
                <w:rFonts w:cs="Arial"/>
                <w:color w:val="FFFFFF"/>
                <w:sz w:val="16"/>
                <w:szCs w:val="16"/>
                <w:lang w:eastAsia="en-AU"/>
              </w:rPr>
            </w:pPr>
            <w:r>
              <w:rPr>
                <w:rFonts w:cs="Arial"/>
                <w:color w:val="FFFFFF"/>
                <w:sz w:val="16"/>
                <w:szCs w:val="16"/>
                <w:lang w:eastAsia="en-AU"/>
              </w:rPr>
              <w:t> </w:t>
            </w:r>
          </w:p>
        </w:tc>
        <w:tc>
          <w:tcPr>
            <w:tcW w:w="723" w:type="pct"/>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2011</w:t>
            </w:r>
          </w:p>
        </w:tc>
        <w:tc>
          <w:tcPr>
            <w:tcW w:w="723" w:type="pct"/>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2012</w:t>
            </w:r>
          </w:p>
        </w:tc>
        <w:tc>
          <w:tcPr>
            <w:tcW w:w="723" w:type="pct"/>
            <w:tcBorders>
              <w:top w:val="nil"/>
              <w:left w:val="nil"/>
              <w:bottom w:val="nil"/>
              <w:right w:val="single" w:sz="4" w:space="0" w:color="9BBB59"/>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2013</w:t>
            </w:r>
          </w:p>
        </w:tc>
        <w:tc>
          <w:tcPr>
            <w:tcW w:w="755" w:type="pct"/>
            <w:tcBorders>
              <w:top w:val="nil"/>
              <w:left w:val="nil"/>
              <w:bottom w:val="nil"/>
              <w:right w:val="single" w:sz="4" w:space="0" w:color="9BBB59"/>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Q2 2011 - Q2 2013</w:t>
            </w:r>
          </w:p>
        </w:tc>
        <w:tc>
          <w:tcPr>
            <w:tcW w:w="754" w:type="pct"/>
            <w:tcBorders>
              <w:top w:val="nil"/>
              <w:left w:val="nil"/>
              <w:bottom w:val="nil"/>
              <w:right w:val="single" w:sz="4" w:space="0" w:color="9BBB59"/>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Q2 2012 - Q2 2013</w:t>
            </w:r>
          </w:p>
        </w:tc>
      </w:tr>
      <w:tr w:rsidR="00704EB3" w:rsidTr="007D3481">
        <w:trPr>
          <w:trHeight w:val="300"/>
        </w:trPr>
        <w:tc>
          <w:tcPr>
            <w:tcW w:w="1322" w:type="pct"/>
            <w:tcBorders>
              <w:top w:val="single" w:sz="4" w:space="0" w:color="76933C"/>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Enrolments</w:t>
            </w:r>
          </w:p>
        </w:tc>
        <w:tc>
          <w:tcPr>
            <w:tcW w:w="723"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50,600</w:t>
            </w:r>
          </w:p>
        </w:tc>
        <w:tc>
          <w:tcPr>
            <w:tcW w:w="723"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57,700</w:t>
            </w:r>
          </w:p>
        </w:tc>
        <w:tc>
          <w:tcPr>
            <w:tcW w:w="723"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58,100</w:t>
            </w:r>
          </w:p>
        </w:tc>
        <w:tc>
          <w:tcPr>
            <w:tcW w:w="755"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15%</w:t>
            </w:r>
          </w:p>
        </w:tc>
        <w:tc>
          <w:tcPr>
            <w:tcW w:w="754" w:type="pct"/>
            <w:tcBorders>
              <w:top w:val="single" w:sz="4" w:space="0" w:color="76933C"/>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w:t>
            </w:r>
          </w:p>
        </w:tc>
      </w:tr>
      <w:tr w:rsidR="00704EB3" w:rsidTr="007D3481">
        <w:trPr>
          <w:trHeight w:val="300"/>
        </w:trPr>
        <w:tc>
          <w:tcPr>
            <w:tcW w:w="1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 xml:space="preserve">Hours </w:t>
            </w:r>
            <w:r>
              <w:rPr>
                <w:rFonts w:cs="Arial"/>
                <w:color w:val="76933C"/>
                <w:sz w:val="16"/>
                <w:szCs w:val="16"/>
                <w:lang w:eastAsia="en-AU"/>
              </w:rPr>
              <w:t>(millions)</w:t>
            </w:r>
          </w:p>
        </w:tc>
        <w:tc>
          <w:tcPr>
            <w:tcW w:w="72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16.9</w:t>
            </w:r>
          </w:p>
        </w:tc>
        <w:tc>
          <w:tcPr>
            <w:tcW w:w="72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18.0</w:t>
            </w:r>
          </w:p>
        </w:tc>
        <w:tc>
          <w:tcPr>
            <w:tcW w:w="72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20.0</w:t>
            </w:r>
          </w:p>
        </w:tc>
        <w:tc>
          <w:tcPr>
            <w:tcW w:w="755"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19%</w:t>
            </w:r>
          </w:p>
        </w:tc>
        <w:tc>
          <w:tcPr>
            <w:tcW w:w="754"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11%</w:t>
            </w:r>
          </w:p>
        </w:tc>
      </w:tr>
    </w:tbl>
    <w:p w:rsidR="00704EB3" w:rsidRDefault="00704EB3" w:rsidP="00704EB3">
      <w:pPr>
        <w:spacing w:after="0" w:line="240" w:lineRule="auto"/>
        <w:jc w:val="left"/>
        <w:rPr>
          <w:rFonts w:cs="Arial"/>
          <w:szCs w:val="19"/>
        </w:rPr>
      </w:pPr>
    </w:p>
    <w:p w:rsidR="00704EB3" w:rsidRDefault="00704EB3" w:rsidP="00704EB3">
      <w:pPr>
        <w:spacing w:after="0" w:line="240" w:lineRule="auto"/>
        <w:jc w:val="left"/>
        <w:rPr>
          <w:rFonts w:cs="Arial"/>
          <w:szCs w:val="19"/>
        </w:rPr>
      </w:pPr>
    </w:p>
    <w:p w:rsidR="00704EB3" w:rsidRDefault="005654CD" w:rsidP="00704EB3">
      <w:pPr>
        <w:pStyle w:val="Caption"/>
        <w:keepNext/>
      </w:pPr>
      <w:r>
        <w:t>Table 3</w:t>
      </w:r>
      <w:r w:rsidR="00704EB3">
        <w:t>.</w:t>
      </w:r>
      <w:r w:rsidR="008610B1">
        <w:t>1</w:t>
      </w:r>
      <w:r w:rsidR="004445E4">
        <w:t>3</w:t>
      </w:r>
      <w:r w:rsidR="00704EB3">
        <w:t>.1: Government subsidised training delivery for qualifications related to skill shortage occupations, 2008 - 2012</w:t>
      </w:r>
    </w:p>
    <w:tbl>
      <w:tblPr>
        <w:tblW w:w="5000" w:type="pct"/>
        <w:tblLook w:val="04A0" w:firstRow="1" w:lastRow="0" w:firstColumn="1" w:lastColumn="0" w:noHBand="0" w:noVBand="1"/>
      </w:tblPr>
      <w:tblGrid>
        <w:gridCol w:w="2319"/>
        <w:gridCol w:w="1025"/>
        <w:gridCol w:w="1024"/>
        <w:gridCol w:w="1198"/>
        <w:gridCol w:w="1198"/>
        <w:gridCol w:w="1198"/>
        <w:gridCol w:w="1326"/>
      </w:tblGrid>
      <w:tr w:rsidR="00704EB3" w:rsidTr="007D3481">
        <w:trPr>
          <w:trHeight w:val="300"/>
        </w:trPr>
        <w:tc>
          <w:tcPr>
            <w:tcW w:w="5000" w:type="pct"/>
            <w:gridSpan w:val="7"/>
            <w:tcBorders>
              <w:top w:val="single" w:sz="4" w:space="0" w:color="76933C"/>
              <w:left w:val="single" w:sz="4" w:space="0" w:color="76933C"/>
              <w:bottom w:val="single" w:sz="4" w:space="0" w:color="9BBB59"/>
              <w:right w:val="single" w:sz="4" w:space="0" w:color="76933C"/>
            </w:tcBorders>
            <w:shd w:val="clear" w:color="auto" w:fill="76933C"/>
            <w:noWrap/>
            <w:vAlign w:val="bottom"/>
            <w:hideMark/>
          </w:tcPr>
          <w:p w:rsidR="00704EB3" w:rsidRDefault="00704EB3" w:rsidP="007D3481">
            <w:pPr>
              <w:spacing w:after="0" w:line="240" w:lineRule="auto"/>
              <w:jc w:val="center"/>
              <w:rPr>
                <w:rFonts w:cs="Arial"/>
                <w:b/>
                <w:bCs/>
                <w:color w:val="FFFFFF"/>
                <w:sz w:val="16"/>
                <w:szCs w:val="16"/>
                <w:lang w:eastAsia="en-AU"/>
              </w:rPr>
            </w:pPr>
            <w:r>
              <w:rPr>
                <w:rFonts w:cs="Arial"/>
                <w:b/>
                <w:bCs/>
                <w:color w:val="FFFFFF"/>
                <w:sz w:val="16"/>
                <w:szCs w:val="16"/>
                <w:lang w:eastAsia="en-AU"/>
              </w:rPr>
              <w:t>Qualifications Related to Skill Shortage Occupations</w:t>
            </w:r>
          </w:p>
        </w:tc>
      </w:tr>
      <w:tr w:rsidR="00704EB3" w:rsidTr="007D3481">
        <w:trPr>
          <w:trHeight w:val="450"/>
        </w:trPr>
        <w:tc>
          <w:tcPr>
            <w:tcW w:w="1248" w:type="pct"/>
            <w:tcBorders>
              <w:top w:val="nil"/>
              <w:left w:val="single" w:sz="4" w:space="0" w:color="76933C"/>
              <w:bottom w:val="single" w:sz="4" w:space="0" w:color="76933C"/>
              <w:right w:val="nil"/>
            </w:tcBorders>
            <w:shd w:val="clear" w:color="auto" w:fill="9BBB59"/>
            <w:noWrap/>
            <w:vAlign w:val="bottom"/>
            <w:hideMark/>
          </w:tcPr>
          <w:p w:rsidR="00704EB3" w:rsidRDefault="00704EB3" w:rsidP="007D3481">
            <w:pPr>
              <w:spacing w:after="0" w:line="240" w:lineRule="auto"/>
              <w:jc w:val="left"/>
              <w:rPr>
                <w:rFonts w:cs="Arial"/>
                <w:color w:val="FFFFFF"/>
                <w:sz w:val="16"/>
                <w:szCs w:val="16"/>
                <w:lang w:eastAsia="en-AU"/>
              </w:rPr>
            </w:pPr>
            <w:r>
              <w:rPr>
                <w:rFonts w:cs="Arial"/>
                <w:color w:val="FFFFFF"/>
                <w:sz w:val="16"/>
                <w:szCs w:val="16"/>
                <w:lang w:eastAsia="en-AU"/>
              </w:rPr>
              <w:t> </w:t>
            </w:r>
          </w:p>
        </w:tc>
        <w:tc>
          <w:tcPr>
            <w:tcW w:w="552"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2008</w:t>
            </w:r>
          </w:p>
        </w:tc>
        <w:tc>
          <w:tcPr>
            <w:tcW w:w="551"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2009</w:t>
            </w:r>
          </w:p>
        </w:tc>
        <w:tc>
          <w:tcPr>
            <w:tcW w:w="645"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2010</w:t>
            </w:r>
          </w:p>
        </w:tc>
        <w:tc>
          <w:tcPr>
            <w:tcW w:w="645"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2011</w:t>
            </w:r>
          </w:p>
        </w:tc>
        <w:tc>
          <w:tcPr>
            <w:tcW w:w="645" w:type="pct"/>
            <w:tcBorders>
              <w:top w:val="nil"/>
              <w:left w:val="nil"/>
              <w:bottom w:val="single" w:sz="4" w:space="0" w:color="76933C"/>
              <w:right w:val="nil"/>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2012</w:t>
            </w:r>
          </w:p>
        </w:tc>
        <w:tc>
          <w:tcPr>
            <w:tcW w:w="714" w:type="pct"/>
            <w:tcBorders>
              <w:top w:val="nil"/>
              <w:left w:val="nil"/>
              <w:bottom w:val="single" w:sz="4" w:space="0" w:color="76933C"/>
              <w:right w:val="single" w:sz="4" w:space="0" w:color="76933C"/>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xml:space="preserve">% 2008 </w:t>
            </w:r>
            <w:r w:rsidR="003323B6">
              <w:rPr>
                <w:rFonts w:cs="Arial"/>
                <w:color w:val="FFFFFF"/>
                <w:sz w:val="16"/>
                <w:szCs w:val="16"/>
                <w:lang w:eastAsia="en-AU"/>
              </w:rPr>
              <w:t>–</w:t>
            </w:r>
            <w:r>
              <w:rPr>
                <w:rFonts w:cs="Arial"/>
                <w:color w:val="FFFFFF"/>
                <w:sz w:val="16"/>
                <w:szCs w:val="16"/>
                <w:lang w:eastAsia="en-AU"/>
              </w:rPr>
              <w:t xml:space="preserve"> 2012</w:t>
            </w:r>
          </w:p>
        </w:tc>
      </w:tr>
      <w:tr w:rsidR="00704EB3" w:rsidTr="007D3481">
        <w:trPr>
          <w:trHeight w:val="300"/>
        </w:trPr>
        <w:tc>
          <w:tcPr>
            <w:tcW w:w="1248" w:type="pct"/>
            <w:tcBorders>
              <w:top w:val="nil"/>
              <w:left w:val="single" w:sz="4" w:space="0" w:color="76933C"/>
              <w:bottom w:val="nil"/>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Enrolments</w:t>
            </w:r>
          </w:p>
        </w:tc>
        <w:tc>
          <w:tcPr>
            <w:tcW w:w="55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84,200</w:t>
            </w:r>
          </w:p>
        </w:tc>
        <w:tc>
          <w:tcPr>
            <w:tcW w:w="551" w:type="pct"/>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95,900</w:t>
            </w:r>
          </w:p>
        </w:tc>
        <w:tc>
          <w:tcPr>
            <w:tcW w:w="645" w:type="pct"/>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108,900</w:t>
            </w:r>
          </w:p>
        </w:tc>
        <w:tc>
          <w:tcPr>
            <w:tcW w:w="645" w:type="pct"/>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129,400</w:t>
            </w:r>
          </w:p>
        </w:tc>
        <w:tc>
          <w:tcPr>
            <w:tcW w:w="645" w:type="pct"/>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152,400</w:t>
            </w:r>
          </w:p>
        </w:tc>
        <w:tc>
          <w:tcPr>
            <w:tcW w:w="714" w:type="pct"/>
            <w:tcBorders>
              <w:top w:val="nil"/>
              <w:left w:val="nil"/>
              <w:bottom w:val="nil"/>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81%</w:t>
            </w:r>
          </w:p>
        </w:tc>
      </w:tr>
      <w:tr w:rsidR="00704EB3" w:rsidTr="007D3481">
        <w:trPr>
          <w:trHeight w:val="300"/>
        </w:trPr>
        <w:tc>
          <w:tcPr>
            <w:tcW w:w="1248" w:type="pct"/>
            <w:tcBorders>
              <w:top w:val="single" w:sz="4" w:space="0" w:color="76933C"/>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 xml:space="preserve">Hours </w:t>
            </w:r>
            <w:r>
              <w:rPr>
                <w:rFonts w:cs="Arial"/>
                <w:color w:val="76933C"/>
                <w:sz w:val="16"/>
                <w:szCs w:val="16"/>
                <w:lang w:eastAsia="en-AU"/>
              </w:rPr>
              <w:t>(millions)</w:t>
            </w:r>
          </w:p>
        </w:tc>
        <w:tc>
          <w:tcPr>
            <w:tcW w:w="55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26.7</w:t>
            </w:r>
          </w:p>
        </w:tc>
        <w:tc>
          <w:tcPr>
            <w:tcW w:w="551"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31.7</w:t>
            </w:r>
          </w:p>
        </w:tc>
        <w:tc>
          <w:tcPr>
            <w:tcW w:w="645"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36.9</w:t>
            </w:r>
          </w:p>
        </w:tc>
        <w:tc>
          <w:tcPr>
            <w:tcW w:w="645"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42.1</w:t>
            </w:r>
          </w:p>
        </w:tc>
        <w:tc>
          <w:tcPr>
            <w:tcW w:w="645"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50.9</w:t>
            </w:r>
          </w:p>
        </w:tc>
        <w:tc>
          <w:tcPr>
            <w:tcW w:w="714" w:type="pct"/>
            <w:tcBorders>
              <w:top w:val="single" w:sz="4" w:space="0" w:color="76933C"/>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90%</w:t>
            </w:r>
          </w:p>
        </w:tc>
      </w:tr>
    </w:tbl>
    <w:p w:rsidR="00704EB3" w:rsidRDefault="00704EB3" w:rsidP="00704EB3">
      <w:pPr>
        <w:spacing w:after="0" w:line="240" w:lineRule="auto"/>
        <w:jc w:val="left"/>
        <w:rPr>
          <w:rFonts w:cs="Arial"/>
          <w:szCs w:val="19"/>
        </w:rPr>
      </w:pPr>
    </w:p>
    <w:p w:rsidR="00704EB3" w:rsidRDefault="00704EB3" w:rsidP="00704EB3">
      <w:pPr>
        <w:spacing w:after="0" w:line="240" w:lineRule="auto"/>
        <w:jc w:val="left"/>
        <w:rPr>
          <w:rFonts w:cs="Arial"/>
          <w:szCs w:val="19"/>
        </w:rPr>
      </w:pPr>
    </w:p>
    <w:p w:rsidR="00704EB3" w:rsidRDefault="005654CD" w:rsidP="00704EB3">
      <w:pPr>
        <w:pStyle w:val="Caption"/>
        <w:keepNext/>
      </w:pPr>
      <w:r>
        <w:t>Table 3</w:t>
      </w:r>
      <w:r w:rsidR="003C42E3">
        <w:t>.</w:t>
      </w:r>
      <w:r w:rsidR="008610B1">
        <w:t>1</w:t>
      </w:r>
      <w:r w:rsidR="004445E4">
        <w:t>3</w:t>
      </w:r>
      <w:r w:rsidR="00704EB3">
        <w:t>.2: Government subsidised training delivery for qualifications related to skill shortage occupations, Q2 2011, Q2 2012 and Q2 2013</w:t>
      </w:r>
    </w:p>
    <w:tbl>
      <w:tblPr>
        <w:tblW w:w="5000" w:type="pct"/>
        <w:tblLook w:val="04A0" w:firstRow="1" w:lastRow="0" w:firstColumn="1" w:lastColumn="0" w:noHBand="0" w:noVBand="1"/>
      </w:tblPr>
      <w:tblGrid>
        <w:gridCol w:w="2456"/>
        <w:gridCol w:w="1343"/>
        <w:gridCol w:w="1343"/>
        <w:gridCol w:w="1343"/>
        <w:gridCol w:w="1402"/>
        <w:gridCol w:w="1401"/>
      </w:tblGrid>
      <w:tr w:rsidR="00704EB3" w:rsidTr="007D3481">
        <w:trPr>
          <w:trHeight w:val="300"/>
        </w:trPr>
        <w:tc>
          <w:tcPr>
            <w:tcW w:w="5000" w:type="pct"/>
            <w:gridSpan w:val="6"/>
            <w:tcBorders>
              <w:top w:val="single" w:sz="4" w:space="0" w:color="76933C"/>
              <w:left w:val="single" w:sz="4" w:space="0" w:color="76933C"/>
              <w:bottom w:val="single" w:sz="4" w:space="0" w:color="9BBB59"/>
              <w:right w:val="nil"/>
            </w:tcBorders>
            <w:shd w:val="clear" w:color="auto" w:fill="76933C"/>
            <w:noWrap/>
            <w:vAlign w:val="bottom"/>
            <w:hideMark/>
          </w:tcPr>
          <w:p w:rsidR="00704EB3" w:rsidRDefault="00704EB3" w:rsidP="007D3481">
            <w:pPr>
              <w:spacing w:after="0" w:line="240" w:lineRule="auto"/>
              <w:jc w:val="center"/>
              <w:rPr>
                <w:rFonts w:cs="Arial"/>
                <w:b/>
                <w:bCs/>
                <w:color w:val="FFFFFF"/>
                <w:sz w:val="16"/>
                <w:szCs w:val="16"/>
                <w:lang w:eastAsia="en-AU"/>
              </w:rPr>
            </w:pPr>
            <w:r>
              <w:rPr>
                <w:rFonts w:cs="Arial"/>
                <w:b/>
                <w:bCs/>
                <w:color w:val="FFFFFF"/>
                <w:sz w:val="16"/>
                <w:szCs w:val="16"/>
                <w:lang w:eastAsia="en-AU"/>
              </w:rPr>
              <w:t>Qualifications Related to Skill Shortage Occupations</w:t>
            </w:r>
          </w:p>
        </w:tc>
      </w:tr>
      <w:tr w:rsidR="00704EB3" w:rsidTr="007D3481">
        <w:trPr>
          <w:trHeight w:val="450"/>
        </w:trPr>
        <w:tc>
          <w:tcPr>
            <w:tcW w:w="1322" w:type="pct"/>
            <w:tcBorders>
              <w:top w:val="nil"/>
              <w:left w:val="single" w:sz="4" w:space="0" w:color="76933C"/>
              <w:bottom w:val="nil"/>
              <w:right w:val="nil"/>
            </w:tcBorders>
            <w:shd w:val="clear" w:color="auto" w:fill="9BBB59"/>
            <w:noWrap/>
            <w:vAlign w:val="bottom"/>
            <w:hideMark/>
          </w:tcPr>
          <w:p w:rsidR="00704EB3" w:rsidRDefault="00704EB3" w:rsidP="007D3481">
            <w:pPr>
              <w:spacing w:after="0" w:line="240" w:lineRule="auto"/>
              <w:jc w:val="left"/>
              <w:rPr>
                <w:rFonts w:cs="Arial"/>
                <w:color w:val="FFFFFF"/>
                <w:sz w:val="16"/>
                <w:szCs w:val="16"/>
                <w:lang w:eastAsia="en-AU"/>
              </w:rPr>
            </w:pPr>
            <w:r>
              <w:rPr>
                <w:rFonts w:cs="Arial"/>
                <w:color w:val="FFFFFF"/>
                <w:sz w:val="16"/>
                <w:szCs w:val="16"/>
                <w:lang w:eastAsia="en-AU"/>
              </w:rPr>
              <w:t> </w:t>
            </w:r>
          </w:p>
        </w:tc>
        <w:tc>
          <w:tcPr>
            <w:tcW w:w="723" w:type="pct"/>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2011</w:t>
            </w:r>
          </w:p>
        </w:tc>
        <w:tc>
          <w:tcPr>
            <w:tcW w:w="723" w:type="pct"/>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2012</w:t>
            </w:r>
          </w:p>
        </w:tc>
        <w:tc>
          <w:tcPr>
            <w:tcW w:w="723" w:type="pct"/>
            <w:tcBorders>
              <w:top w:val="nil"/>
              <w:left w:val="nil"/>
              <w:bottom w:val="nil"/>
              <w:right w:val="single" w:sz="4" w:space="0" w:color="9BBB59"/>
            </w:tcBorders>
            <w:shd w:val="clear" w:color="auto" w:fill="9BBB59"/>
            <w:noWrap/>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Q2 2013</w:t>
            </w:r>
          </w:p>
        </w:tc>
        <w:tc>
          <w:tcPr>
            <w:tcW w:w="755" w:type="pct"/>
            <w:tcBorders>
              <w:top w:val="nil"/>
              <w:left w:val="nil"/>
              <w:bottom w:val="nil"/>
              <w:right w:val="single" w:sz="4" w:space="0" w:color="9BBB59"/>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Q2 2011 - Q2 2013</w:t>
            </w:r>
          </w:p>
        </w:tc>
        <w:tc>
          <w:tcPr>
            <w:tcW w:w="755" w:type="pct"/>
            <w:tcBorders>
              <w:top w:val="nil"/>
              <w:left w:val="nil"/>
              <w:bottom w:val="nil"/>
              <w:right w:val="single" w:sz="4" w:space="0" w:color="9BBB59"/>
            </w:tcBorders>
            <w:shd w:val="clear" w:color="auto" w:fill="9BBB59"/>
            <w:vAlign w:val="center"/>
            <w:hideMark/>
          </w:tcPr>
          <w:p w:rsidR="00704EB3" w:rsidRDefault="00704EB3" w:rsidP="007D3481">
            <w:pPr>
              <w:spacing w:after="0" w:line="240" w:lineRule="auto"/>
              <w:jc w:val="center"/>
              <w:rPr>
                <w:rFonts w:cs="Arial"/>
                <w:color w:val="FFFFFF"/>
                <w:sz w:val="16"/>
                <w:szCs w:val="16"/>
                <w:lang w:eastAsia="en-AU"/>
              </w:rPr>
            </w:pPr>
            <w:r>
              <w:rPr>
                <w:rFonts w:cs="Arial"/>
                <w:color w:val="FFFFFF"/>
                <w:sz w:val="16"/>
                <w:szCs w:val="16"/>
                <w:lang w:eastAsia="en-AU"/>
              </w:rPr>
              <w:t>% Q2 2012 - Q2 2013</w:t>
            </w:r>
          </w:p>
        </w:tc>
      </w:tr>
      <w:tr w:rsidR="00704EB3" w:rsidTr="007D3481">
        <w:trPr>
          <w:trHeight w:val="300"/>
        </w:trPr>
        <w:tc>
          <w:tcPr>
            <w:tcW w:w="1322" w:type="pct"/>
            <w:tcBorders>
              <w:top w:val="single" w:sz="4" w:space="0" w:color="76933C"/>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Enrolments</w:t>
            </w:r>
          </w:p>
        </w:tc>
        <w:tc>
          <w:tcPr>
            <w:tcW w:w="723"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88,600</w:t>
            </w:r>
          </w:p>
        </w:tc>
        <w:tc>
          <w:tcPr>
            <w:tcW w:w="723"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105,600</w:t>
            </w:r>
          </w:p>
        </w:tc>
        <w:tc>
          <w:tcPr>
            <w:tcW w:w="723"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107,300</w:t>
            </w:r>
          </w:p>
        </w:tc>
        <w:tc>
          <w:tcPr>
            <w:tcW w:w="755"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21%</w:t>
            </w:r>
          </w:p>
        </w:tc>
        <w:tc>
          <w:tcPr>
            <w:tcW w:w="755" w:type="pct"/>
            <w:tcBorders>
              <w:top w:val="single" w:sz="4" w:space="0" w:color="76933C"/>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w:t>
            </w:r>
          </w:p>
        </w:tc>
      </w:tr>
      <w:tr w:rsidR="00704EB3" w:rsidTr="007D3481">
        <w:trPr>
          <w:trHeight w:val="300"/>
        </w:trPr>
        <w:tc>
          <w:tcPr>
            <w:tcW w:w="1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left"/>
              <w:rPr>
                <w:rFonts w:cs="Arial"/>
                <w:b/>
                <w:bCs/>
                <w:color w:val="76933C"/>
                <w:sz w:val="16"/>
                <w:szCs w:val="16"/>
                <w:lang w:eastAsia="en-AU"/>
              </w:rPr>
            </w:pPr>
            <w:r>
              <w:rPr>
                <w:rFonts w:cs="Arial"/>
                <w:b/>
                <w:bCs/>
                <w:color w:val="76933C"/>
                <w:sz w:val="16"/>
                <w:szCs w:val="16"/>
                <w:lang w:eastAsia="en-AU"/>
              </w:rPr>
              <w:t xml:space="preserve">Hours </w:t>
            </w:r>
            <w:r>
              <w:rPr>
                <w:rFonts w:cs="Arial"/>
                <w:color w:val="76933C"/>
                <w:sz w:val="16"/>
                <w:szCs w:val="16"/>
                <w:lang w:eastAsia="en-AU"/>
              </w:rPr>
              <w:t>(millions)</w:t>
            </w:r>
          </w:p>
        </w:tc>
        <w:tc>
          <w:tcPr>
            <w:tcW w:w="72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31.8</w:t>
            </w:r>
          </w:p>
        </w:tc>
        <w:tc>
          <w:tcPr>
            <w:tcW w:w="72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38.1</w:t>
            </w:r>
          </w:p>
        </w:tc>
        <w:tc>
          <w:tcPr>
            <w:tcW w:w="723"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39.6</w:t>
            </w:r>
          </w:p>
        </w:tc>
        <w:tc>
          <w:tcPr>
            <w:tcW w:w="755"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24%</w:t>
            </w:r>
          </w:p>
        </w:tc>
        <w:tc>
          <w:tcPr>
            <w:tcW w:w="755"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cs="Arial"/>
                <w:color w:val="000000"/>
                <w:sz w:val="16"/>
                <w:szCs w:val="16"/>
                <w:lang w:eastAsia="en-AU"/>
              </w:rPr>
            </w:pPr>
            <w:r>
              <w:rPr>
                <w:rFonts w:cs="Arial"/>
                <w:color w:val="000000"/>
                <w:sz w:val="16"/>
                <w:szCs w:val="16"/>
                <w:lang w:eastAsia="en-AU"/>
              </w:rPr>
              <w:t>4%</w:t>
            </w:r>
          </w:p>
        </w:tc>
      </w:tr>
    </w:tbl>
    <w:p w:rsidR="00704EB3" w:rsidRDefault="00704EB3" w:rsidP="00704EB3">
      <w:pPr>
        <w:spacing w:after="0" w:line="240" w:lineRule="auto"/>
        <w:jc w:val="left"/>
        <w:rPr>
          <w:rFonts w:cs="Arial"/>
          <w:szCs w:val="19"/>
        </w:rPr>
      </w:pPr>
    </w:p>
    <w:p w:rsidR="00825B64" w:rsidRDefault="00825B64" w:rsidP="00825B64">
      <w:pPr>
        <w:pStyle w:val="Caption"/>
        <w:keepNext/>
      </w:pPr>
      <w:r>
        <w:t>Table 3.1</w:t>
      </w:r>
      <w:r w:rsidR="004445E4">
        <w:t>4</w:t>
      </w:r>
      <w:r>
        <w:t>: Top 10 enrolling specialised or in shortage occupations, Q2 2011, Q2 2012 and Q2 2013</w:t>
      </w:r>
    </w:p>
    <w:tbl>
      <w:tblPr>
        <w:tblW w:w="9209" w:type="dxa"/>
        <w:tblInd w:w="93" w:type="dxa"/>
        <w:tblLook w:val="04A0" w:firstRow="1" w:lastRow="0" w:firstColumn="1" w:lastColumn="0" w:noHBand="0" w:noVBand="1"/>
      </w:tblPr>
      <w:tblGrid>
        <w:gridCol w:w="2709"/>
        <w:gridCol w:w="1300"/>
        <w:gridCol w:w="1300"/>
        <w:gridCol w:w="1300"/>
        <w:gridCol w:w="1300"/>
        <w:gridCol w:w="1300"/>
      </w:tblGrid>
      <w:tr w:rsidR="001B537A" w:rsidRPr="001B537A" w:rsidTr="001B537A">
        <w:trPr>
          <w:trHeight w:val="465"/>
        </w:trPr>
        <w:tc>
          <w:tcPr>
            <w:tcW w:w="2709" w:type="dxa"/>
            <w:tcBorders>
              <w:top w:val="single" w:sz="4" w:space="0" w:color="76933C"/>
              <w:left w:val="single" w:sz="4" w:space="0" w:color="76933C"/>
              <w:bottom w:val="single" w:sz="4" w:space="0" w:color="76933C"/>
              <w:right w:val="nil"/>
            </w:tcBorders>
            <w:shd w:val="clear" w:color="000000" w:fill="76933C"/>
            <w:noWrap/>
            <w:vAlign w:val="bottom"/>
            <w:hideMark/>
          </w:tcPr>
          <w:p w:rsidR="001B537A" w:rsidRPr="001B537A" w:rsidRDefault="001B537A" w:rsidP="001B537A">
            <w:pPr>
              <w:spacing w:after="0" w:line="240" w:lineRule="auto"/>
              <w:jc w:val="center"/>
              <w:rPr>
                <w:rFonts w:cs="Arial"/>
                <w:color w:val="FFFFFF"/>
                <w:sz w:val="16"/>
                <w:szCs w:val="16"/>
                <w:lang w:eastAsia="en-AU"/>
              </w:rPr>
            </w:pPr>
            <w:r w:rsidRPr="001B537A">
              <w:rPr>
                <w:rFonts w:cs="Arial"/>
                <w:color w:val="FFFFFF"/>
                <w:sz w:val="16"/>
                <w:szCs w:val="16"/>
                <w:lang w:eastAsia="en-AU"/>
              </w:rPr>
              <w:t>Occupation</w:t>
            </w:r>
          </w:p>
        </w:tc>
        <w:tc>
          <w:tcPr>
            <w:tcW w:w="1300" w:type="dxa"/>
            <w:tcBorders>
              <w:top w:val="single" w:sz="4" w:space="0" w:color="76933C"/>
              <w:left w:val="nil"/>
              <w:bottom w:val="single" w:sz="4" w:space="0" w:color="76933C"/>
              <w:right w:val="nil"/>
            </w:tcBorders>
            <w:shd w:val="clear" w:color="000000" w:fill="76933C"/>
            <w:noWrap/>
            <w:vAlign w:val="bottom"/>
            <w:hideMark/>
          </w:tcPr>
          <w:p w:rsidR="001B537A" w:rsidRPr="001B537A" w:rsidRDefault="001B537A" w:rsidP="001B537A">
            <w:pPr>
              <w:spacing w:after="0" w:line="240" w:lineRule="auto"/>
              <w:jc w:val="center"/>
              <w:rPr>
                <w:rFonts w:cs="Arial"/>
                <w:color w:val="FFFFFF"/>
                <w:sz w:val="16"/>
                <w:szCs w:val="16"/>
                <w:lang w:eastAsia="en-AU"/>
              </w:rPr>
            </w:pPr>
            <w:r w:rsidRPr="001B537A">
              <w:rPr>
                <w:rFonts w:cs="Arial"/>
                <w:color w:val="FFFFFF"/>
                <w:sz w:val="16"/>
                <w:szCs w:val="16"/>
                <w:lang w:eastAsia="en-AU"/>
              </w:rPr>
              <w:t>2011</w:t>
            </w:r>
          </w:p>
        </w:tc>
        <w:tc>
          <w:tcPr>
            <w:tcW w:w="1300" w:type="dxa"/>
            <w:tcBorders>
              <w:top w:val="single" w:sz="4" w:space="0" w:color="76933C"/>
              <w:left w:val="nil"/>
              <w:bottom w:val="single" w:sz="4" w:space="0" w:color="76933C"/>
              <w:right w:val="nil"/>
            </w:tcBorders>
            <w:shd w:val="clear" w:color="000000" w:fill="76933C"/>
            <w:noWrap/>
            <w:vAlign w:val="bottom"/>
            <w:hideMark/>
          </w:tcPr>
          <w:p w:rsidR="001B537A" w:rsidRPr="001B537A" w:rsidRDefault="001B537A" w:rsidP="001B537A">
            <w:pPr>
              <w:spacing w:after="0" w:line="240" w:lineRule="auto"/>
              <w:jc w:val="center"/>
              <w:rPr>
                <w:rFonts w:cs="Arial"/>
                <w:color w:val="FFFFFF"/>
                <w:sz w:val="16"/>
                <w:szCs w:val="16"/>
                <w:lang w:eastAsia="en-AU"/>
              </w:rPr>
            </w:pPr>
            <w:r w:rsidRPr="001B537A">
              <w:rPr>
                <w:rFonts w:cs="Arial"/>
                <w:color w:val="FFFFFF"/>
                <w:sz w:val="16"/>
                <w:szCs w:val="16"/>
                <w:lang w:eastAsia="en-AU"/>
              </w:rPr>
              <w:t>2012</w:t>
            </w:r>
          </w:p>
        </w:tc>
        <w:tc>
          <w:tcPr>
            <w:tcW w:w="1300" w:type="dxa"/>
            <w:tcBorders>
              <w:top w:val="single" w:sz="4" w:space="0" w:color="76933C"/>
              <w:left w:val="nil"/>
              <w:bottom w:val="single" w:sz="4" w:space="0" w:color="76933C"/>
              <w:right w:val="nil"/>
            </w:tcBorders>
            <w:shd w:val="clear" w:color="000000" w:fill="76933C"/>
            <w:noWrap/>
            <w:vAlign w:val="bottom"/>
            <w:hideMark/>
          </w:tcPr>
          <w:p w:rsidR="001B537A" w:rsidRPr="001B537A" w:rsidRDefault="001B537A" w:rsidP="001B537A">
            <w:pPr>
              <w:spacing w:after="0" w:line="240" w:lineRule="auto"/>
              <w:jc w:val="center"/>
              <w:rPr>
                <w:rFonts w:cs="Arial"/>
                <w:color w:val="FFFFFF"/>
                <w:sz w:val="16"/>
                <w:szCs w:val="16"/>
                <w:lang w:eastAsia="en-AU"/>
              </w:rPr>
            </w:pPr>
            <w:r w:rsidRPr="001B537A">
              <w:rPr>
                <w:rFonts w:cs="Arial"/>
                <w:color w:val="FFFFFF"/>
                <w:sz w:val="16"/>
                <w:szCs w:val="16"/>
                <w:lang w:eastAsia="en-AU"/>
              </w:rPr>
              <w:t>Q2 2012</w:t>
            </w:r>
          </w:p>
        </w:tc>
        <w:tc>
          <w:tcPr>
            <w:tcW w:w="1300" w:type="dxa"/>
            <w:tcBorders>
              <w:top w:val="single" w:sz="4" w:space="0" w:color="76933C"/>
              <w:left w:val="nil"/>
              <w:bottom w:val="single" w:sz="4" w:space="0" w:color="76933C"/>
              <w:right w:val="nil"/>
            </w:tcBorders>
            <w:shd w:val="clear" w:color="000000" w:fill="76933C"/>
            <w:noWrap/>
            <w:vAlign w:val="bottom"/>
            <w:hideMark/>
          </w:tcPr>
          <w:p w:rsidR="001B537A" w:rsidRPr="001B537A" w:rsidRDefault="001B537A" w:rsidP="001B537A">
            <w:pPr>
              <w:spacing w:after="0" w:line="240" w:lineRule="auto"/>
              <w:jc w:val="center"/>
              <w:rPr>
                <w:rFonts w:cs="Arial"/>
                <w:color w:val="FFFFFF"/>
                <w:sz w:val="16"/>
                <w:szCs w:val="16"/>
                <w:lang w:eastAsia="en-AU"/>
              </w:rPr>
            </w:pPr>
            <w:r w:rsidRPr="001B537A">
              <w:rPr>
                <w:rFonts w:cs="Arial"/>
                <w:color w:val="FFFFFF"/>
                <w:sz w:val="16"/>
                <w:szCs w:val="16"/>
                <w:lang w:eastAsia="en-AU"/>
              </w:rPr>
              <w:t>Q2 2013</w:t>
            </w:r>
          </w:p>
        </w:tc>
        <w:tc>
          <w:tcPr>
            <w:tcW w:w="1300" w:type="dxa"/>
            <w:tcBorders>
              <w:top w:val="single" w:sz="4" w:space="0" w:color="76933C"/>
              <w:left w:val="nil"/>
              <w:bottom w:val="single" w:sz="4" w:space="0" w:color="76933C"/>
              <w:right w:val="single" w:sz="4" w:space="0" w:color="76933C"/>
            </w:tcBorders>
            <w:shd w:val="clear" w:color="000000" w:fill="76933C"/>
            <w:vAlign w:val="bottom"/>
            <w:hideMark/>
          </w:tcPr>
          <w:p w:rsidR="001B537A" w:rsidRPr="001B537A" w:rsidRDefault="001B537A" w:rsidP="001B537A">
            <w:pPr>
              <w:spacing w:after="0" w:line="240" w:lineRule="auto"/>
              <w:jc w:val="center"/>
              <w:rPr>
                <w:rFonts w:cs="Arial"/>
                <w:color w:val="FFFFFF"/>
                <w:sz w:val="16"/>
                <w:szCs w:val="16"/>
                <w:lang w:eastAsia="en-AU"/>
              </w:rPr>
            </w:pPr>
            <w:r w:rsidRPr="001B537A">
              <w:rPr>
                <w:rFonts w:cs="Arial"/>
                <w:color w:val="FFFFFF"/>
                <w:sz w:val="16"/>
                <w:szCs w:val="16"/>
                <w:lang w:eastAsia="en-AU"/>
              </w:rPr>
              <w:t>% change Q2 2012 - Q2 2013</w:t>
            </w:r>
          </w:p>
        </w:tc>
      </w:tr>
      <w:tr w:rsidR="001B537A" w:rsidRPr="001B537A" w:rsidTr="001B537A">
        <w:trPr>
          <w:trHeight w:val="300"/>
        </w:trPr>
        <w:tc>
          <w:tcPr>
            <w:tcW w:w="2709" w:type="dxa"/>
            <w:tcBorders>
              <w:top w:val="single" w:sz="4" w:space="0" w:color="76933C"/>
              <w:left w:val="single" w:sz="4" w:space="0" w:color="76933C"/>
              <w:bottom w:val="single" w:sz="4" w:space="0" w:color="76933C"/>
              <w:right w:val="nil"/>
            </w:tcBorders>
            <w:shd w:val="clear" w:color="auto" w:fill="auto"/>
            <w:noWrap/>
            <w:vAlign w:val="bottom"/>
            <w:hideMark/>
          </w:tcPr>
          <w:p w:rsidR="001B537A" w:rsidRPr="001B537A" w:rsidRDefault="001B537A" w:rsidP="001B537A">
            <w:pPr>
              <w:spacing w:after="0" w:line="240" w:lineRule="auto"/>
              <w:jc w:val="left"/>
              <w:rPr>
                <w:rFonts w:cs="Arial"/>
                <w:b/>
                <w:bCs/>
                <w:color w:val="76933C"/>
                <w:sz w:val="16"/>
                <w:szCs w:val="16"/>
                <w:lang w:eastAsia="en-AU"/>
              </w:rPr>
            </w:pPr>
            <w:r w:rsidRPr="001B537A">
              <w:rPr>
                <w:rFonts w:cs="Arial"/>
                <w:b/>
                <w:bCs/>
                <w:color w:val="76933C"/>
                <w:sz w:val="16"/>
                <w:szCs w:val="16"/>
                <w:lang w:eastAsia="en-AU"/>
              </w:rPr>
              <w:t>Child Care Worker</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19,700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25,600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17,900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18,500</w:t>
            </w:r>
          </w:p>
        </w:tc>
        <w:tc>
          <w:tcPr>
            <w:tcW w:w="1300" w:type="dxa"/>
            <w:tcBorders>
              <w:top w:val="single" w:sz="4" w:space="0" w:color="76933C"/>
              <w:left w:val="nil"/>
              <w:bottom w:val="single" w:sz="4" w:space="0" w:color="76933C"/>
              <w:right w:val="single" w:sz="4" w:space="0" w:color="76933C"/>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3%</w:t>
            </w:r>
          </w:p>
        </w:tc>
      </w:tr>
      <w:tr w:rsidR="001B537A" w:rsidRPr="001B537A" w:rsidTr="001B537A">
        <w:trPr>
          <w:trHeight w:val="300"/>
        </w:trPr>
        <w:tc>
          <w:tcPr>
            <w:tcW w:w="2709" w:type="dxa"/>
            <w:tcBorders>
              <w:top w:val="single" w:sz="4" w:space="0" w:color="76933C"/>
              <w:left w:val="single" w:sz="4" w:space="0" w:color="76933C"/>
              <w:bottom w:val="single" w:sz="4" w:space="0" w:color="76933C"/>
              <w:right w:val="nil"/>
            </w:tcBorders>
            <w:shd w:val="clear" w:color="auto" w:fill="auto"/>
            <w:noWrap/>
            <w:vAlign w:val="bottom"/>
            <w:hideMark/>
          </w:tcPr>
          <w:p w:rsidR="001B537A" w:rsidRPr="001B537A" w:rsidRDefault="001B537A" w:rsidP="001B537A">
            <w:pPr>
              <w:spacing w:after="0" w:line="240" w:lineRule="auto"/>
              <w:jc w:val="left"/>
              <w:rPr>
                <w:rFonts w:cs="Arial"/>
                <w:b/>
                <w:bCs/>
                <w:color w:val="76933C"/>
                <w:sz w:val="16"/>
                <w:szCs w:val="16"/>
                <w:lang w:eastAsia="en-AU"/>
              </w:rPr>
            </w:pPr>
            <w:r w:rsidRPr="001B537A">
              <w:rPr>
                <w:rFonts w:cs="Arial"/>
                <w:b/>
                <w:bCs/>
                <w:color w:val="76933C"/>
                <w:sz w:val="16"/>
                <w:szCs w:val="16"/>
                <w:lang w:eastAsia="en-AU"/>
              </w:rPr>
              <w:t>Aged or Disabled Carer</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13,000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16,900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10,500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12,200</w:t>
            </w:r>
          </w:p>
        </w:tc>
        <w:tc>
          <w:tcPr>
            <w:tcW w:w="1300" w:type="dxa"/>
            <w:tcBorders>
              <w:top w:val="single" w:sz="4" w:space="0" w:color="76933C"/>
              <w:left w:val="nil"/>
              <w:bottom w:val="single" w:sz="4" w:space="0" w:color="76933C"/>
              <w:right w:val="single" w:sz="4" w:space="0" w:color="76933C"/>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16%</w:t>
            </w:r>
          </w:p>
        </w:tc>
      </w:tr>
      <w:tr w:rsidR="001B537A" w:rsidRPr="001B537A" w:rsidTr="001B537A">
        <w:trPr>
          <w:trHeight w:val="300"/>
        </w:trPr>
        <w:tc>
          <w:tcPr>
            <w:tcW w:w="2709" w:type="dxa"/>
            <w:tcBorders>
              <w:top w:val="single" w:sz="4" w:space="0" w:color="76933C"/>
              <w:left w:val="single" w:sz="4" w:space="0" w:color="76933C"/>
              <w:bottom w:val="single" w:sz="4" w:space="0" w:color="76933C"/>
              <w:right w:val="nil"/>
            </w:tcBorders>
            <w:shd w:val="clear" w:color="auto" w:fill="auto"/>
            <w:noWrap/>
            <w:vAlign w:val="bottom"/>
            <w:hideMark/>
          </w:tcPr>
          <w:p w:rsidR="001B537A" w:rsidRPr="001B537A" w:rsidRDefault="001B537A" w:rsidP="001B537A">
            <w:pPr>
              <w:spacing w:after="0" w:line="240" w:lineRule="auto"/>
              <w:jc w:val="left"/>
              <w:rPr>
                <w:rFonts w:cs="Arial"/>
                <w:b/>
                <w:bCs/>
                <w:color w:val="76933C"/>
                <w:sz w:val="16"/>
                <w:szCs w:val="16"/>
                <w:lang w:eastAsia="en-AU"/>
              </w:rPr>
            </w:pPr>
            <w:r w:rsidRPr="001B537A">
              <w:rPr>
                <w:rFonts w:cs="Arial"/>
                <w:b/>
                <w:bCs/>
                <w:color w:val="76933C"/>
                <w:sz w:val="16"/>
                <w:szCs w:val="16"/>
                <w:lang w:eastAsia="en-AU"/>
              </w:rPr>
              <w:t>Electrician (General)</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7,700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7,800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6,400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6,400</w:t>
            </w:r>
          </w:p>
        </w:tc>
        <w:tc>
          <w:tcPr>
            <w:tcW w:w="1300" w:type="dxa"/>
            <w:tcBorders>
              <w:top w:val="single" w:sz="4" w:space="0" w:color="76933C"/>
              <w:left w:val="nil"/>
              <w:bottom w:val="single" w:sz="4" w:space="0" w:color="76933C"/>
              <w:right w:val="single" w:sz="4" w:space="0" w:color="76933C"/>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0%</w:t>
            </w:r>
          </w:p>
        </w:tc>
      </w:tr>
      <w:tr w:rsidR="001B537A" w:rsidRPr="001B537A" w:rsidTr="001B537A">
        <w:trPr>
          <w:trHeight w:val="300"/>
        </w:trPr>
        <w:tc>
          <w:tcPr>
            <w:tcW w:w="2709" w:type="dxa"/>
            <w:tcBorders>
              <w:top w:val="single" w:sz="4" w:space="0" w:color="76933C"/>
              <w:left w:val="single" w:sz="4" w:space="0" w:color="76933C"/>
              <w:bottom w:val="single" w:sz="4" w:space="0" w:color="76933C"/>
              <w:right w:val="nil"/>
            </w:tcBorders>
            <w:shd w:val="clear" w:color="auto" w:fill="auto"/>
            <w:noWrap/>
            <w:vAlign w:val="bottom"/>
            <w:hideMark/>
          </w:tcPr>
          <w:p w:rsidR="001B537A" w:rsidRPr="001B537A" w:rsidRDefault="001B537A" w:rsidP="001B537A">
            <w:pPr>
              <w:spacing w:after="0" w:line="240" w:lineRule="auto"/>
              <w:jc w:val="left"/>
              <w:rPr>
                <w:rFonts w:cs="Arial"/>
                <w:b/>
                <w:bCs/>
                <w:color w:val="76933C"/>
                <w:sz w:val="16"/>
                <w:szCs w:val="16"/>
                <w:lang w:eastAsia="en-AU"/>
              </w:rPr>
            </w:pPr>
            <w:r w:rsidRPr="001B537A">
              <w:rPr>
                <w:rFonts w:cs="Arial"/>
                <w:b/>
                <w:bCs/>
                <w:color w:val="76933C"/>
                <w:sz w:val="16"/>
                <w:szCs w:val="16"/>
                <w:lang w:eastAsia="en-AU"/>
              </w:rPr>
              <w:t>Truck Driver (General)</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7,500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10,700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5,100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6,100</w:t>
            </w:r>
          </w:p>
        </w:tc>
        <w:tc>
          <w:tcPr>
            <w:tcW w:w="1300" w:type="dxa"/>
            <w:tcBorders>
              <w:top w:val="single" w:sz="4" w:space="0" w:color="76933C"/>
              <w:left w:val="nil"/>
              <w:bottom w:val="single" w:sz="4" w:space="0" w:color="76933C"/>
              <w:right w:val="single" w:sz="4" w:space="0" w:color="76933C"/>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20%</w:t>
            </w:r>
          </w:p>
        </w:tc>
      </w:tr>
      <w:tr w:rsidR="001B537A" w:rsidRPr="001B537A" w:rsidTr="001B537A">
        <w:trPr>
          <w:trHeight w:val="300"/>
        </w:trPr>
        <w:tc>
          <w:tcPr>
            <w:tcW w:w="2709" w:type="dxa"/>
            <w:tcBorders>
              <w:top w:val="single" w:sz="4" w:space="0" w:color="76933C"/>
              <w:left w:val="single" w:sz="4" w:space="0" w:color="76933C"/>
              <w:bottom w:val="single" w:sz="4" w:space="0" w:color="76933C"/>
              <w:right w:val="nil"/>
            </w:tcBorders>
            <w:shd w:val="clear" w:color="auto" w:fill="auto"/>
            <w:noWrap/>
            <w:vAlign w:val="bottom"/>
            <w:hideMark/>
          </w:tcPr>
          <w:p w:rsidR="001B537A" w:rsidRPr="001B537A" w:rsidRDefault="001B537A" w:rsidP="001B537A">
            <w:pPr>
              <w:spacing w:after="0" w:line="240" w:lineRule="auto"/>
              <w:jc w:val="left"/>
              <w:rPr>
                <w:rFonts w:cs="Arial"/>
                <w:b/>
                <w:bCs/>
                <w:color w:val="76933C"/>
                <w:sz w:val="16"/>
                <w:szCs w:val="16"/>
                <w:lang w:eastAsia="en-AU"/>
              </w:rPr>
            </w:pPr>
            <w:r w:rsidRPr="001B537A">
              <w:rPr>
                <w:rFonts w:cs="Arial"/>
                <w:b/>
                <w:bCs/>
                <w:color w:val="76933C"/>
                <w:sz w:val="16"/>
                <w:szCs w:val="16"/>
                <w:lang w:eastAsia="en-AU"/>
              </w:rPr>
              <w:t>Enrolled Nurse</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6,400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7,200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5,700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5,900</w:t>
            </w:r>
          </w:p>
        </w:tc>
        <w:tc>
          <w:tcPr>
            <w:tcW w:w="1300" w:type="dxa"/>
            <w:tcBorders>
              <w:top w:val="single" w:sz="4" w:space="0" w:color="76933C"/>
              <w:left w:val="nil"/>
              <w:bottom w:val="single" w:sz="4" w:space="0" w:color="76933C"/>
              <w:right w:val="single" w:sz="4" w:space="0" w:color="76933C"/>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4%</w:t>
            </w:r>
          </w:p>
        </w:tc>
      </w:tr>
      <w:tr w:rsidR="001B537A" w:rsidRPr="001B537A" w:rsidTr="001B537A">
        <w:trPr>
          <w:trHeight w:val="300"/>
        </w:trPr>
        <w:tc>
          <w:tcPr>
            <w:tcW w:w="2709" w:type="dxa"/>
            <w:tcBorders>
              <w:top w:val="single" w:sz="4" w:space="0" w:color="76933C"/>
              <w:left w:val="single" w:sz="4" w:space="0" w:color="76933C"/>
              <w:bottom w:val="single" w:sz="4" w:space="0" w:color="76933C"/>
              <w:right w:val="nil"/>
            </w:tcBorders>
            <w:shd w:val="clear" w:color="auto" w:fill="auto"/>
            <w:noWrap/>
            <w:vAlign w:val="bottom"/>
            <w:hideMark/>
          </w:tcPr>
          <w:p w:rsidR="001B537A" w:rsidRPr="001B537A" w:rsidRDefault="001B537A" w:rsidP="001B537A">
            <w:pPr>
              <w:spacing w:after="0" w:line="240" w:lineRule="auto"/>
              <w:jc w:val="left"/>
              <w:rPr>
                <w:rFonts w:cs="Arial"/>
                <w:b/>
                <w:bCs/>
                <w:color w:val="76933C"/>
                <w:sz w:val="16"/>
                <w:szCs w:val="16"/>
                <w:lang w:eastAsia="en-AU"/>
              </w:rPr>
            </w:pPr>
            <w:r w:rsidRPr="001B537A">
              <w:rPr>
                <w:rFonts w:cs="Arial"/>
                <w:b/>
                <w:bCs/>
                <w:color w:val="76933C"/>
                <w:sz w:val="16"/>
                <w:szCs w:val="16"/>
                <w:lang w:eastAsia="en-AU"/>
              </w:rPr>
              <w:t>Plumber (General)</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7,000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7,200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5,900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5,600</w:t>
            </w:r>
          </w:p>
        </w:tc>
        <w:tc>
          <w:tcPr>
            <w:tcW w:w="1300" w:type="dxa"/>
            <w:tcBorders>
              <w:top w:val="single" w:sz="4" w:space="0" w:color="76933C"/>
              <w:left w:val="nil"/>
              <w:bottom w:val="single" w:sz="4" w:space="0" w:color="76933C"/>
              <w:right w:val="single" w:sz="4" w:space="0" w:color="76933C"/>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-5%</w:t>
            </w:r>
          </w:p>
        </w:tc>
      </w:tr>
      <w:tr w:rsidR="001B537A" w:rsidRPr="001B537A" w:rsidTr="001B537A">
        <w:trPr>
          <w:trHeight w:val="300"/>
        </w:trPr>
        <w:tc>
          <w:tcPr>
            <w:tcW w:w="2709" w:type="dxa"/>
            <w:tcBorders>
              <w:top w:val="single" w:sz="4" w:space="0" w:color="76933C"/>
              <w:left w:val="single" w:sz="4" w:space="0" w:color="76933C"/>
              <w:bottom w:val="single" w:sz="4" w:space="0" w:color="76933C"/>
              <w:right w:val="nil"/>
            </w:tcBorders>
            <w:shd w:val="clear" w:color="auto" w:fill="auto"/>
            <w:noWrap/>
            <w:vAlign w:val="bottom"/>
            <w:hideMark/>
          </w:tcPr>
          <w:p w:rsidR="001B537A" w:rsidRPr="001B537A" w:rsidRDefault="001B537A" w:rsidP="001B537A">
            <w:pPr>
              <w:spacing w:after="0" w:line="240" w:lineRule="auto"/>
              <w:jc w:val="left"/>
              <w:rPr>
                <w:rFonts w:cs="Arial"/>
                <w:b/>
                <w:bCs/>
                <w:color w:val="76933C"/>
                <w:sz w:val="16"/>
                <w:szCs w:val="16"/>
                <w:lang w:eastAsia="en-AU"/>
              </w:rPr>
            </w:pPr>
            <w:r w:rsidRPr="001B537A">
              <w:rPr>
                <w:rFonts w:cs="Arial"/>
                <w:b/>
                <w:bCs/>
                <w:color w:val="76933C"/>
                <w:sz w:val="16"/>
                <w:szCs w:val="16"/>
                <w:lang w:eastAsia="en-AU"/>
              </w:rPr>
              <w:t>Carpenter</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8,500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7,600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6,200</w:t>
            </w:r>
          </w:p>
        </w:tc>
        <w:tc>
          <w:tcPr>
            <w:tcW w:w="1300" w:type="dxa"/>
            <w:tcBorders>
              <w:top w:val="single" w:sz="4" w:space="0" w:color="76933C"/>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5,600</w:t>
            </w:r>
          </w:p>
        </w:tc>
        <w:tc>
          <w:tcPr>
            <w:tcW w:w="1300" w:type="dxa"/>
            <w:tcBorders>
              <w:top w:val="single" w:sz="4" w:space="0" w:color="76933C"/>
              <w:left w:val="nil"/>
              <w:bottom w:val="single" w:sz="4" w:space="0" w:color="76933C"/>
              <w:right w:val="single" w:sz="4" w:space="0" w:color="76933C"/>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-10%</w:t>
            </w:r>
          </w:p>
        </w:tc>
      </w:tr>
      <w:tr w:rsidR="001B537A" w:rsidRPr="001B537A" w:rsidTr="001B537A">
        <w:trPr>
          <w:trHeight w:val="300"/>
        </w:trPr>
        <w:tc>
          <w:tcPr>
            <w:tcW w:w="2709" w:type="dxa"/>
            <w:tcBorders>
              <w:top w:val="nil"/>
              <w:left w:val="single" w:sz="4" w:space="0" w:color="76933C"/>
              <w:bottom w:val="single" w:sz="4" w:space="0" w:color="76933C"/>
              <w:right w:val="nil"/>
            </w:tcBorders>
            <w:shd w:val="clear" w:color="auto" w:fill="auto"/>
            <w:noWrap/>
            <w:vAlign w:val="bottom"/>
            <w:hideMark/>
          </w:tcPr>
          <w:p w:rsidR="001B537A" w:rsidRPr="001B537A" w:rsidRDefault="001B537A" w:rsidP="001B537A">
            <w:pPr>
              <w:spacing w:after="0" w:line="240" w:lineRule="auto"/>
              <w:jc w:val="left"/>
              <w:rPr>
                <w:rFonts w:cs="Arial"/>
                <w:b/>
                <w:bCs/>
                <w:color w:val="76933C"/>
                <w:sz w:val="16"/>
                <w:szCs w:val="16"/>
                <w:lang w:eastAsia="en-AU"/>
              </w:rPr>
            </w:pPr>
            <w:r w:rsidRPr="001B537A">
              <w:rPr>
                <w:rFonts w:cs="Arial"/>
                <w:b/>
                <w:bCs/>
                <w:color w:val="76933C"/>
                <w:sz w:val="16"/>
                <w:szCs w:val="16"/>
                <w:lang w:eastAsia="en-AU"/>
              </w:rPr>
              <w:t>Motor Mechanic (General)</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5,100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6,500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4,300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5,100</w:t>
            </w:r>
          </w:p>
        </w:tc>
        <w:tc>
          <w:tcPr>
            <w:tcW w:w="1300" w:type="dxa"/>
            <w:tcBorders>
              <w:top w:val="nil"/>
              <w:left w:val="nil"/>
              <w:bottom w:val="single" w:sz="4" w:space="0" w:color="76933C"/>
              <w:right w:val="single" w:sz="4" w:space="0" w:color="76933C"/>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19%</w:t>
            </w:r>
          </w:p>
        </w:tc>
      </w:tr>
      <w:tr w:rsidR="001B537A" w:rsidRPr="001B537A" w:rsidTr="001B537A">
        <w:trPr>
          <w:trHeight w:val="300"/>
        </w:trPr>
        <w:tc>
          <w:tcPr>
            <w:tcW w:w="2709" w:type="dxa"/>
            <w:tcBorders>
              <w:top w:val="nil"/>
              <w:left w:val="single" w:sz="4" w:space="0" w:color="76933C"/>
              <w:bottom w:val="single" w:sz="4" w:space="0" w:color="76933C"/>
              <w:right w:val="nil"/>
            </w:tcBorders>
            <w:shd w:val="clear" w:color="auto" w:fill="auto"/>
            <w:noWrap/>
            <w:vAlign w:val="bottom"/>
            <w:hideMark/>
          </w:tcPr>
          <w:p w:rsidR="001B537A" w:rsidRPr="001B537A" w:rsidRDefault="001B537A" w:rsidP="001B537A">
            <w:pPr>
              <w:spacing w:after="0" w:line="240" w:lineRule="auto"/>
              <w:jc w:val="left"/>
              <w:rPr>
                <w:rFonts w:cs="Arial"/>
                <w:b/>
                <w:bCs/>
                <w:color w:val="76933C"/>
                <w:sz w:val="16"/>
                <w:szCs w:val="16"/>
                <w:lang w:eastAsia="en-AU"/>
              </w:rPr>
            </w:pPr>
            <w:r w:rsidRPr="001B537A">
              <w:rPr>
                <w:rFonts w:cs="Arial"/>
                <w:b/>
                <w:bCs/>
                <w:color w:val="76933C"/>
                <w:sz w:val="16"/>
                <w:szCs w:val="16"/>
                <w:lang w:eastAsia="en-AU"/>
              </w:rPr>
              <w:t>Disabilities Services Officer</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3,900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4,900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3,400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3,700</w:t>
            </w:r>
          </w:p>
        </w:tc>
        <w:tc>
          <w:tcPr>
            <w:tcW w:w="1300" w:type="dxa"/>
            <w:tcBorders>
              <w:top w:val="nil"/>
              <w:left w:val="nil"/>
              <w:bottom w:val="single" w:sz="4" w:space="0" w:color="76933C"/>
              <w:right w:val="single" w:sz="4" w:space="0" w:color="76933C"/>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9%</w:t>
            </w:r>
          </w:p>
        </w:tc>
      </w:tr>
      <w:tr w:rsidR="001B537A" w:rsidRPr="001B537A" w:rsidTr="001B537A">
        <w:trPr>
          <w:trHeight w:val="300"/>
        </w:trPr>
        <w:tc>
          <w:tcPr>
            <w:tcW w:w="2709" w:type="dxa"/>
            <w:tcBorders>
              <w:top w:val="nil"/>
              <w:left w:val="single" w:sz="4" w:space="0" w:color="76933C"/>
              <w:bottom w:val="single" w:sz="4" w:space="0" w:color="76933C"/>
              <w:right w:val="nil"/>
            </w:tcBorders>
            <w:shd w:val="clear" w:color="auto" w:fill="auto"/>
            <w:noWrap/>
            <w:vAlign w:val="bottom"/>
            <w:hideMark/>
          </w:tcPr>
          <w:p w:rsidR="001B537A" w:rsidRPr="001B537A" w:rsidRDefault="001B537A" w:rsidP="001B537A">
            <w:pPr>
              <w:spacing w:after="0" w:line="240" w:lineRule="auto"/>
              <w:jc w:val="left"/>
              <w:rPr>
                <w:rFonts w:cs="Arial"/>
                <w:b/>
                <w:bCs/>
                <w:color w:val="76933C"/>
                <w:sz w:val="16"/>
                <w:szCs w:val="16"/>
                <w:lang w:eastAsia="en-AU"/>
              </w:rPr>
            </w:pPr>
            <w:r w:rsidRPr="001B537A">
              <w:rPr>
                <w:rFonts w:cs="Arial"/>
                <w:b/>
                <w:bCs/>
                <w:color w:val="76933C"/>
                <w:sz w:val="16"/>
                <w:szCs w:val="16"/>
                <w:lang w:eastAsia="en-AU"/>
              </w:rPr>
              <w:t>Building Associate</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2,700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4,600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3,100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3,600</w:t>
            </w:r>
          </w:p>
        </w:tc>
        <w:tc>
          <w:tcPr>
            <w:tcW w:w="1300" w:type="dxa"/>
            <w:tcBorders>
              <w:top w:val="nil"/>
              <w:left w:val="nil"/>
              <w:bottom w:val="single" w:sz="4" w:space="0" w:color="76933C"/>
              <w:right w:val="single" w:sz="4" w:space="0" w:color="76933C"/>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16%</w:t>
            </w:r>
          </w:p>
        </w:tc>
      </w:tr>
      <w:tr w:rsidR="001B537A" w:rsidRPr="001B537A" w:rsidTr="001B537A">
        <w:trPr>
          <w:trHeight w:val="300"/>
        </w:trPr>
        <w:tc>
          <w:tcPr>
            <w:tcW w:w="2709" w:type="dxa"/>
            <w:tcBorders>
              <w:top w:val="nil"/>
              <w:left w:val="single" w:sz="4" w:space="0" w:color="76933C"/>
              <w:bottom w:val="single" w:sz="4" w:space="0" w:color="76933C"/>
              <w:right w:val="nil"/>
            </w:tcBorders>
            <w:shd w:val="clear" w:color="auto" w:fill="auto"/>
            <w:noWrap/>
            <w:vAlign w:val="bottom"/>
            <w:hideMark/>
          </w:tcPr>
          <w:p w:rsidR="001B537A" w:rsidRPr="001B537A" w:rsidRDefault="001B537A" w:rsidP="001B537A">
            <w:pPr>
              <w:spacing w:after="0" w:line="240" w:lineRule="auto"/>
              <w:jc w:val="left"/>
              <w:rPr>
                <w:rFonts w:cs="Arial"/>
                <w:b/>
                <w:bCs/>
                <w:color w:val="76933C"/>
                <w:sz w:val="16"/>
                <w:szCs w:val="16"/>
                <w:lang w:eastAsia="en-AU"/>
              </w:rPr>
            </w:pPr>
            <w:r w:rsidRPr="001B537A">
              <w:rPr>
                <w:rFonts w:cs="Arial"/>
                <w:b/>
                <w:bCs/>
                <w:color w:val="76933C"/>
                <w:sz w:val="16"/>
                <w:szCs w:val="16"/>
                <w:lang w:eastAsia="en-AU"/>
              </w:rPr>
              <w:t>All other occupations</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55,500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63,800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44,100</w:t>
            </w:r>
          </w:p>
        </w:tc>
        <w:tc>
          <w:tcPr>
            <w:tcW w:w="1300" w:type="dxa"/>
            <w:tcBorders>
              <w:top w:val="nil"/>
              <w:left w:val="nil"/>
              <w:bottom w:val="single" w:sz="4" w:space="0" w:color="76933C"/>
              <w:right w:val="nil"/>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40,200</w:t>
            </w:r>
          </w:p>
        </w:tc>
        <w:tc>
          <w:tcPr>
            <w:tcW w:w="1300" w:type="dxa"/>
            <w:tcBorders>
              <w:top w:val="nil"/>
              <w:left w:val="nil"/>
              <w:bottom w:val="single" w:sz="4" w:space="0" w:color="76933C"/>
              <w:right w:val="single" w:sz="4" w:space="0" w:color="76933C"/>
            </w:tcBorders>
            <w:shd w:val="clear" w:color="auto" w:fill="auto"/>
            <w:noWrap/>
            <w:vAlign w:val="bottom"/>
            <w:hideMark/>
          </w:tcPr>
          <w:p w:rsidR="001B537A" w:rsidRPr="001B537A" w:rsidRDefault="001B537A" w:rsidP="001B537A">
            <w:pPr>
              <w:spacing w:after="0" w:line="240" w:lineRule="auto"/>
              <w:jc w:val="right"/>
              <w:rPr>
                <w:rFonts w:cs="Arial"/>
                <w:color w:val="000000"/>
                <w:sz w:val="16"/>
                <w:szCs w:val="16"/>
                <w:lang w:eastAsia="en-AU"/>
              </w:rPr>
            </w:pPr>
            <w:r w:rsidRPr="001B537A">
              <w:rPr>
                <w:rFonts w:cs="Arial"/>
                <w:color w:val="000000"/>
                <w:sz w:val="16"/>
                <w:szCs w:val="16"/>
                <w:lang w:eastAsia="en-AU"/>
              </w:rPr>
              <w:t>-9%</w:t>
            </w:r>
          </w:p>
        </w:tc>
      </w:tr>
    </w:tbl>
    <w:p w:rsidR="00704EB3" w:rsidRDefault="00704EB3" w:rsidP="00704EB3">
      <w:pPr>
        <w:rPr>
          <w:lang w:eastAsia="en-AU"/>
        </w:rPr>
      </w:pPr>
    </w:p>
    <w:p w:rsidR="00704EB3" w:rsidRDefault="00704EB3" w:rsidP="00704EB3">
      <w:pPr>
        <w:pStyle w:val="Caption"/>
        <w:keepNext/>
      </w:pPr>
    </w:p>
    <w:p w:rsidR="00704EB3" w:rsidRDefault="00704EB3" w:rsidP="00704EB3"/>
    <w:p w:rsidR="00704EB3" w:rsidRPr="004D3FA5" w:rsidRDefault="00704EB3" w:rsidP="00704EB3">
      <w:pPr>
        <w:sectPr w:rsidR="00704EB3" w:rsidRPr="004D3FA5">
          <w:pgSz w:w="11907" w:h="16840"/>
          <w:pgMar w:top="993" w:right="1134" w:bottom="1418" w:left="1701" w:header="567" w:footer="567" w:gutter="0"/>
          <w:cols w:space="720"/>
        </w:sectPr>
      </w:pPr>
    </w:p>
    <w:p w:rsidR="00704EB3" w:rsidRDefault="00704EB3" w:rsidP="00704EB3">
      <w:r>
        <w:lastRenderedPageBreak/>
        <w:t>The following table highlights i</w:t>
      </w:r>
      <w:r w:rsidRPr="00FA0962">
        <w:t>ndustry enrolments in qualifications related to either specialised or in shortage occupations</w:t>
      </w:r>
    </w:p>
    <w:p w:rsidR="00704EB3" w:rsidRDefault="00704EB3" w:rsidP="00704EB3">
      <w:pPr>
        <w:rPr>
          <w:rFonts w:cs="Arial"/>
          <w:i/>
          <w:szCs w:val="19"/>
        </w:rPr>
      </w:pPr>
    </w:p>
    <w:p w:rsidR="00704EB3" w:rsidRDefault="00704EB3" w:rsidP="00704EB3">
      <w:pPr>
        <w:pStyle w:val="Caption"/>
        <w:spacing w:after="0"/>
        <w:jc w:val="left"/>
      </w:pPr>
      <w:r>
        <w:t xml:space="preserve">Table </w:t>
      </w:r>
      <w:r w:rsidR="005654CD">
        <w:t>3</w:t>
      </w:r>
      <w:r w:rsidR="003C42E3">
        <w:t>.</w:t>
      </w:r>
      <w:r w:rsidR="008610B1">
        <w:t>1</w:t>
      </w:r>
      <w:r w:rsidR="004445E4">
        <w:t>5</w:t>
      </w:r>
      <w:r>
        <w:t>: Industry enrolments in qualifications related to either specialised or in shortage occupations</w:t>
      </w:r>
    </w:p>
    <w:p w:rsidR="00704EB3" w:rsidRDefault="00704EB3" w:rsidP="00704EB3"/>
    <w:tbl>
      <w:tblPr>
        <w:tblW w:w="5000" w:type="pct"/>
        <w:tblLook w:val="04A0" w:firstRow="1" w:lastRow="0" w:firstColumn="1" w:lastColumn="0" w:noHBand="0" w:noVBand="1"/>
      </w:tblPr>
      <w:tblGrid>
        <w:gridCol w:w="3533"/>
        <w:gridCol w:w="926"/>
        <w:gridCol w:w="926"/>
        <w:gridCol w:w="927"/>
        <w:gridCol w:w="927"/>
        <w:gridCol w:w="927"/>
        <w:gridCol w:w="927"/>
        <w:gridCol w:w="927"/>
        <w:gridCol w:w="927"/>
        <w:gridCol w:w="927"/>
        <w:gridCol w:w="927"/>
        <w:gridCol w:w="927"/>
        <w:gridCol w:w="918"/>
      </w:tblGrid>
      <w:tr w:rsidR="00704EB3" w:rsidTr="007D3481">
        <w:trPr>
          <w:trHeight w:val="450"/>
        </w:trPr>
        <w:tc>
          <w:tcPr>
            <w:tcW w:w="1139" w:type="pct"/>
            <w:vMerge w:val="restart"/>
            <w:tcBorders>
              <w:top w:val="single" w:sz="4" w:space="0" w:color="76933C"/>
              <w:left w:val="single" w:sz="4" w:space="0" w:color="76933C"/>
              <w:bottom w:val="nil"/>
              <w:right w:val="nil"/>
            </w:tcBorders>
            <w:shd w:val="clear" w:color="auto" w:fill="76933C"/>
            <w:noWrap/>
            <w:vAlign w:val="center"/>
            <w:hideMark/>
          </w:tcPr>
          <w:p w:rsidR="00704EB3" w:rsidRDefault="00704EB3" w:rsidP="007D3481">
            <w:pPr>
              <w:spacing w:after="0" w:line="240" w:lineRule="auto"/>
              <w:jc w:val="left"/>
              <w:rPr>
                <w:rFonts w:ascii="Calibri" w:hAnsi="Calibri"/>
                <w:b/>
                <w:bCs/>
                <w:color w:val="FFFFFF"/>
                <w:sz w:val="18"/>
                <w:szCs w:val="18"/>
                <w:lang w:eastAsia="en-AU"/>
              </w:rPr>
            </w:pPr>
            <w:r>
              <w:rPr>
                <w:rFonts w:ascii="Calibri" w:hAnsi="Calibri"/>
                <w:b/>
                <w:bCs/>
                <w:color w:val="FFFFFF"/>
                <w:sz w:val="18"/>
                <w:szCs w:val="18"/>
                <w:lang w:eastAsia="en-AU"/>
              </w:rPr>
              <w:t>Industry</w:t>
            </w:r>
          </w:p>
        </w:tc>
        <w:tc>
          <w:tcPr>
            <w:tcW w:w="1930" w:type="pct"/>
            <w:gridSpan w:val="6"/>
            <w:tcBorders>
              <w:top w:val="single" w:sz="4" w:space="0" w:color="76933C"/>
              <w:left w:val="nil"/>
              <w:bottom w:val="nil"/>
              <w:right w:val="nil"/>
            </w:tcBorders>
            <w:shd w:val="clear" w:color="auto" w:fill="4F6228"/>
            <w:vAlign w:val="bottom"/>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Enrolments (All industry specific qualifications)</w:t>
            </w:r>
          </w:p>
        </w:tc>
        <w:tc>
          <w:tcPr>
            <w:tcW w:w="1930" w:type="pct"/>
            <w:gridSpan w:val="6"/>
            <w:tcBorders>
              <w:top w:val="single" w:sz="4" w:space="0" w:color="76933C"/>
              <w:left w:val="nil"/>
              <w:bottom w:val="nil"/>
              <w:right w:val="single" w:sz="4" w:space="0" w:color="76933C"/>
            </w:tcBorders>
            <w:shd w:val="clear" w:color="auto" w:fill="76933C"/>
            <w:vAlign w:val="bottom"/>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Enrolments (Specialised OR In Shortage)</w:t>
            </w:r>
          </w:p>
        </w:tc>
      </w:tr>
      <w:tr w:rsidR="00704EB3" w:rsidTr="007D3481">
        <w:trPr>
          <w:trHeight w:val="450"/>
        </w:trPr>
        <w:tc>
          <w:tcPr>
            <w:tcW w:w="0" w:type="auto"/>
            <w:vMerge/>
            <w:tcBorders>
              <w:top w:val="single" w:sz="4" w:space="0" w:color="76933C"/>
              <w:left w:val="single" w:sz="4" w:space="0" w:color="76933C"/>
              <w:bottom w:val="nil"/>
              <w:right w:val="nil"/>
            </w:tcBorders>
            <w:vAlign w:val="center"/>
            <w:hideMark/>
          </w:tcPr>
          <w:p w:rsidR="00704EB3" w:rsidRDefault="00704EB3" w:rsidP="007D3481">
            <w:pPr>
              <w:spacing w:after="0" w:line="240" w:lineRule="auto"/>
              <w:jc w:val="left"/>
              <w:rPr>
                <w:rFonts w:ascii="Calibri" w:hAnsi="Calibri"/>
                <w:b/>
                <w:bCs/>
                <w:color w:val="FFFFFF"/>
                <w:sz w:val="18"/>
                <w:szCs w:val="18"/>
                <w:lang w:eastAsia="en-AU"/>
              </w:rPr>
            </w:pPr>
          </w:p>
        </w:tc>
        <w:tc>
          <w:tcPr>
            <w:tcW w:w="322" w:type="pct"/>
            <w:shd w:val="clear" w:color="auto" w:fill="4F6228"/>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Share Q2 2013</w:t>
            </w:r>
          </w:p>
        </w:tc>
        <w:tc>
          <w:tcPr>
            <w:tcW w:w="322" w:type="pct"/>
            <w:shd w:val="clear" w:color="auto" w:fill="4F6228"/>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Q2 2011</w:t>
            </w:r>
          </w:p>
        </w:tc>
        <w:tc>
          <w:tcPr>
            <w:tcW w:w="322" w:type="pct"/>
            <w:shd w:val="clear" w:color="auto" w:fill="4F6228"/>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Q2 2012</w:t>
            </w:r>
          </w:p>
        </w:tc>
        <w:tc>
          <w:tcPr>
            <w:tcW w:w="322" w:type="pct"/>
            <w:shd w:val="clear" w:color="auto" w:fill="4F6228"/>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Q2 2013</w:t>
            </w:r>
          </w:p>
        </w:tc>
        <w:tc>
          <w:tcPr>
            <w:tcW w:w="322" w:type="pct"/>
            <w:shd w:val="clear" w:color="auto" w:fill="4F6228"/>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 Q2 2011 - Q2 2013</w:t>
            </w:r>
          </w:p>
        </w:tc>
        <w:tc>
          <w:tcPr>
            <w:tcW w:w="322" w:type="pct"/>
            <w:shd w:val="clear" w:color="auto" w:fill="4F6228"/>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 Q2 2012 - Q2 2013</w:t>
            </w:r>
          </w:p>
        </w:tc>
        <w:tc>
          <w:tcPr>
            <w:tcW w:w="322" w:type="pct"/>
            <w:shd w:val="clear" w:color="auto" w:fill="76933C"/>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Share Q2 2013</w:t>
            </w:r>
          </w:p>
        </w:tc>
        <w:tc>
          <w:tcPr>
            <w:tcW w:w="322" w:type="pct"/>
            <w:shd w:val="clear" w:color="auto" w:fill="76933C"/>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Q2 2011</w:t>
            </w:r>
          </w:p>
        </w:tc>
        <w:tc>
          <w:tcPr>
            <w:tcW w:w="322" w:type="pct"/>
            <w:shd w:val="clear" w:color="auto" w:fill="76933C"/>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Q2 2012</w:t>
            </w:r>
          </w:p>
        </w:tc>
        <w:tc>
          <w:tcPr>
            <w:tcW w:w="322" w:type="pct"/>
            <w:shd w:val="clear" w:color="auto" w:fill="76933C"/>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Q2 2013</w:t>
            </w:r>
          </w:p>
        </w:tc>
        <w:tc>
          <w:tcPr>
            <w:tcW w:w="322" w:type="pct"/>
            <w:tcBorders>
              <w:top w:val="nil"/>
              <w:left w:val="nil"/>
              <w:bottom w:val="nil"/>
              <w:right w:val="single" w:sz="4" w:space="0" w:color="76933C"/>
            </w:tcBorders>
            <w:shd w:val="clear" w:color="auto" w:fill="76933C"/>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 Q2 2011 - Q2 2013</w:t>
            </w:r>
          </w:p>
        </w:tc>
        <w:tc>
          <w:tcPr>
            <w:tcW w:w="322" w:type="pct"/>
            <w:tcBorders>
              <w:top w:val="nil"/>
              <w:left w:val="nil"/>
              <w:bottom w:val="nil"/>
              <w:right w:val="single" w:sz="4" w:space="0" w:color="76933C"/>
            </w:tcBorders>
            <w:shd w:val="clear" w:color="auto" w:fill="76933C"/>
            <w:vAlign w:val="center"/>
            <w:hideMark/>
          </w:tcPr>
          <w:p w:rsidR="00704EB3" w:rsidRDefault="00704EB3" w:rsidP="007D3481">
            <w:pPr>
              <w:spacing w:after="0" w:line="240" w:lineRule="auto"/>
              <w:jc w:val="center"/>
              <w:rPr>
                <w:rFonts w:ascii="Calibri" w:hAnsi="Calibri"/>
                <w:b/>
                <w:bCs/>
                <w:color w:val="FFFFFF"/>
                <w:sz w:val="18"/>
                <w:szCs w:val="18"/>
                <w:lang w:eastAsia="en-AU"/>
              </w:rPr>
            </w:pPr>
            <w:r>
              <w:rPr>
                <w:rFonts w:ascii="Calibri" w:hAnsi="Calibri"/>
                <w:b/>
                <w:bCs/>
                <w:color w:val="FFFFFF"/>
                <w:sz w:val="18"/>
                <w:szCs w:val="18"/>
                <w:lang w:eastAsia="en-AU"/>
              </w:rPr>
              <w:t>% Q2 2012 - Q2 2013</w:t>
            </w:r>
          </w:p>
        </w:tc>
      </w:tr>
      <w:tr w:rsidR="00704EB3" w:rsidTr="007D3481">
        <w:trPr>
          <w:trHeight w:hRule="exact" w:val="227"/>
        </w:trPr>
        <w:tc>
          <w:tcPr>
            <w:tcW w:w="1139" w:type="pct"/>
            <w:tcBorders>
              <w:top w:val="single" w:sz="4" w:space="0" w:color="C4D79B"/>
              <w:left w:val="single" w:sz="4" w:space="0" w:color="76933C"/>
              <w:bottom w:val="nil"/>
              <w:right w:val="nil"/>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Accommodation and Food Services</w:t>
            </w:r>
          </w:p>
        </w:tc>
        <w:tc>
          <w:tcPr>
            <w:tcW w:w="322" w:type="pct"/>
            <w:tcBorders>
              <w:top w:val="single" w:sz="4" w:space="0" w:color="76933C"/>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9%</w:t>
            </w:r>
          </w:p>
        </w:tc>
        <w:tc>
          <w:tcPr>
            <w:tcW w:w="3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20,500</w:t>
            </w:r>
          </w:p>
        </w:tc>
        <w:tc>
          <w:tcPr>
            <w:tcW w:w="3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30,500</w:t>
            </w:r>
          </w:p>
        </w:tc>
        <w:tc>
          <w:tcPr>
            <w:tcW w:w="3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17,000</w:t>
            </w:r>
          </w:p>
        </w:tc>
        <w:tc>
          <w:tcPr>
            <w:tcW w:w="3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-17%</w:t>
            </w:r>
          </w:p>
        </w:tc>
        <w:tc>
          <w:tcPr>
            <w:tcW w:w="3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-44%</w:t>
            </w:r>
          </w:p>
        </w:tc>
        <w:tc>
          <w:tcPr>
            <w:tcW w:w="322" w:type="pct"/>
            <w:tcBorders>
              <w:top w:val="single" w:sz="4" w:space="0" w:color="76933C"/>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w:t>
            </w:r>
          </w:p>
        </w:tc>
        <w:tc>
          <w:tcPr>
            <w:tcW w:w="3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5,300</w:t>
            </w:r>
          </w:p>
        </w:tc>
        <w:tc>
          <w:tcPr>
            <w:tcW w:w="3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6,800</w:t>
            </w:r>
          </w:p>
        </w:tc>
        <w:tc>
          <w:tcPr>
            <w:tcW w:w="3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5,200</w:t>
            </w:r>
          </w:p>
        </w:tc>
        <w:tc>
          <w:tcPr>
            <w:tcW w:w="322" w:type="pct"/>
            <w:tcBorders>
              <w:top w:val="single" w:sz="4" w:space="0" w:color="76933C"/>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w:t>
            </w:r>
          </w:p>
        </w:tc>
        <w:tc>
          <w:tcPr>
            <w:tcW w:w="322" w:type="pct"/>
            <w:tcBorders>
              <w:top w:val="single" w:sz="4" w:space="0" w:color="76933C"/>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-24%</w:t>
            </w:r>
          </w:p>
        </w:tc>
      </w:tr>
      <w:tr w:rsidR="00704EB3" w:rsidTr="007D3481">
        <w:trPr>
          <w:trHeight w:hRule="exact" w:val="227"/>
        </w:trPr>
        <w:tc>
          <w:tcPr>
            <w:tcW w:w="1139" w:type="pct"/>
            <w:tcBorders>
              <w:top w:val="single" w:sz="4" w:space="0" w:color="76933C"/>
              <w:left w:val="single" w:sz="4" w:space="0" w:color="76933C"/>
              <w:bottom w:val="nil"/>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Administrative and Support Services</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11,100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16,500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9,500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-14%</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-42%</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r>
      <w:tr w:rsidR="00704EB3" w:rsidTr="007D3481">
        <w:trPr>
          <w:trHeight w:hRule="exact" w:val="227"/>
        </w:trPr>
        <w:tc>
          <w:tcPr>
            <w:tcW w:w="1139" w:type="pct"/>
            <w:tcBorders>
              <w:top w:val="single" w:sz="4" w:space="0" w:color="76933C"/>
              <w:left w:val="single" w:sz="4" w:space="0" w:color="76933C"/>
              <w:bottom w:val="nil"/>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Agriculture, Forestry and Fishing</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6,300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-9%</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-35%</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-17%</w:t>
            </w:r>
          </w:p>
        </w:tc>
      </w:tr>
      <w:tr w:rsidR="00704EB3" w:rsidTr="007D3481">
        <w:trPr>
          <w:trHeight w:hRule="exact" w:val="227"/>
        </w:trPr>
        <w:tc>
          <w:tcPr>
            <w:tcW w:w="1139" w:type="pct"/>
            <w:tcBorders>
              <w:top w:val="single" w:sz="4" w:space="0" w:color="76933C"/>
              <w:left w:val="single" w:sz="4" w:space="0" w:color="76933C"/>
              <w:bottom w:val="nil"/>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Arts and Recreation Services</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18,200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22,500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11,800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-35%</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-48%</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150%</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100%</w:t>
            </w:r>
          </w:p>
        </w:tc>
      </w:tr>
      <w:tr w:rsidR="00704EB3" w:rsidTr="007D3481">
        <w:trPr>
          <w:trHeight w:hRule="exact" w:val="227"/>
        </w:trPr>
        <w:tc>
          <w:tcPr>
            <w:tcW w:w="1139" w:type="pct"/>
            <w:tcBorders>
              <w:top w:val="single" w:sz="4" w:space="0" w:color="76933C"/>
              <w:left w:val="single" w:sz="4" w:space="0" w:color="76933C"/>
              <w:bottom w:val="nil"/>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Construction</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12%</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33,400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36,400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37,600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13%</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27%</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25,500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27,500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28,100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w:t>
            </w:r>
          </w:p>
        </w:tc>
      </w:tr>
      <w:tr w:rsidR="00704EB3" w:rsidTr="007D3481">
        <w:trPr>
          <w:trHeight w:hRule="exact" w:val="227"/>
        </w:trPr>
        <w:tc>
          <w:tcPr>
            <w:tcW w:w="1139" w:type="pct"/>
            <w:tcBorders>
              <w:top w:val="single" w:sz="4" w:space="0" w:color="76933C"/>
              <w:left w:val="single" w:sz="4" w:space="0" w:color="76933C"/>
              <w:bottom w:val="nil"/>
              <w:right w:val="single" w:sz="4" w:space="0" w:color="76933C"/>
            </w:tcBorders>
            <w:noWrap/>
            <w:vAlign w:val="bottom"/>
            <w:hideMark/>
          </w:tcPr>
          <w:p w:rsidR="00704EB3" w:rsidRDefault="00704EB3" w:rsidP="007D3481">
            <w:pPr>
              <w:spacing w:after="0" w:line="240" w:lineRule="auto"/>
              <w:rPr>
                <w:rFonts w:ascii="Calibri" w:hAnsi="Calibri"/>
                <w:i/>
                <w:iCs/>
                <w:color w:val="000000"/>
                <w:sz w:val="18"/>
                <w:szCs w:val="18"/>
                <w:lang w:eastAsia="en-AU"/>
              </w:rPr>
            </w:pPr>
            <w:r>
              <w:rPr>
                <w:rFonts w:ascii="Calibri" w:hAnsi="Calibri"/>
                <w:i/>
                <w:iCs/>
                <w:color w:val="000000"/>
                <w:sz w:val="18"/>
                <w:szCs w:val="18"/>
                <w:lang w:eastAsia="en-AU"/>
              </w:rPr>
              <w:t>Cross-industry e.g. project managers</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19%</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43,400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70,400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42,700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-39%</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2,800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2,700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-43%</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-41%</w:t>
            </w:r>
          </w:p>
        </w:tc>
      </w:tr>
      <w:tr w:rsidR="00704EB3" w:rsidTr="007D3481">
        <w:trPr>
          <w:trHeight w:hRule="exact" w:val="227"/>
        </w:trPr>
        <w:tc>
          <w:tcPr>
            <w:tcW w:w="1139" w:type="pct"/>
            <w:tcBorders>
              <w:top w:val="single" w:sz="4" w:space="0" w:color="76933C"/>
              <w:left w:val="single" w:sz="4" w:space="0" w:color="76933C"/>
              <w:bottom w:val="nil"/>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Education and Training</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7,000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7,700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17%</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-26%</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-37%</w:t>
            </w:r>
          </w:p>
        </w:tc>
      </w:tr>
      <w:tr w:rsidR="00704EB3" w:rsidTr="007D3481">
        <w:trPr>
          <w:trHeight w:hRule="exact" w:val="227"/>
        </w:trPr>
        <w:tc>
          <w:tcPr>
            <w:tcW w:w="1139" w:type="pct"/>
            <w:tcBorders>
              <w:top w:val="single" w:sz="4" w:space="0" w:color="76933C"/>
              <w:left w:val="single" w:sz="4" w:space="0" w:color="76933C"/>
              <w:bottom w:val="nil"/>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Electricity, Gas, Water and Waste Services</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800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-63%</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-60%</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-67%</w:t>
            </w:r>
          </w:p>
        </w:tc>
      </w:tr>
      <w:tr w:rsidR="00704EB3" w:rsidTr="007D3481">
        <w:trPr>
          <w:trHeight w:hRule="exact" w:val="227"/>
        </w:trPr>
        <w:tc>
          <w:tcPr>
            <w:tcW w:w="1139" w:type="pct"/>
            <w:tcBorders>
              <w:top w:val="single" w:sz="4" w:space="0" w:color="76933C"/>
              <w:left w:val="single" w:sz="4" w:space="0" w:color="76933C"/>
              <w:bottom w:val="single" w:sz="4" w:space="0" w:color="76933C"/>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Financial and Insurance Services</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2,300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5,300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2,000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-13%</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-62%</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700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-60%</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-71%</w:t>
            </w:r>
          </w:p>
        </w:tc>
      </w:tr>
      <w:tr w:rsidR="00704EB3" w:rsidTr="007D3481">
        <w:trPr>
          <w:trHeight w:hRule="exact" w:val="227"/>
        </w:trPr>
        <w:tc>
          <w:tcPr>
            <w:tcW w:w="1139" w:type="pct"/>
            <w:tcBorders>
              <w:top w:val="nil"/>
              <w:left w:val="single" w:sz="4" w:space="0" w:color="76933C"/>
              <w:bottom w:val="single" w:sz="4" w:space="0" w:color="76933C"/>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Health Care and Social Assistance</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11%</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40,000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54,100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56,400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41%</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35,900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48,600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51,000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42%</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w:t>
            </w:r>
          </w:p>
        </w:tc>
      </w:tr>
      <w:tr w:rsidR="00704EB3" w:rsidTr="007D3481">
        <w:trPr>
          <w:trHeight w:hRule="exact" w:val="227"/>
        </w:trPr>
        <w:tc>
          <w:tcPr>
            <w:tcW w:w="1139" w:type="pct"/>
            <w:tcBorders>
              <w:top w:val="nil"/>
              <w:left w:val="single" w:sz="4" w:space="0" w:color="76933C"/>
              <w:bottom w:val="nil"/>
              <w:right w:val="nil"/>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Information Media and Telecommunications</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3,000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-13%</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-26%</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-25%</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-25%</w:t>
            </w:r>
          </w:p>
        </w:tc>
      </w:tr>
      <w:tr w:rsidR="00704EB3" w:rsidTr="007D3481">
        <w:trPr>
          <w:trHeight w:hRule="exact" w:val="227"/>
        </w:trPr>
        <w:tc>
          <w:tcPr>
            <w:tcW w:w="1139" w:type="pct"/>
            <w:tcBorders>
              <w:top w:val="single" w:sz="4" w:space="0" w:color="76933C"/>
              <w:left w:val="single" w:sz="4" w:space="0" w:color="76933C"/>
              <w:bottom w:val="nil"/>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Manufacturing</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20,100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27,000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26,500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32%</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11%</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6,700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6,900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6,800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w:t>
            </w:r>
          </w:p>
        </w:tc>
      </w:tr>
      <w:tr w:rsidR="00704EB3" w:rsidTr="007D3481">
        <w:trPr>
          <w:trHeight w:hRule="exact" w:val="227"/>
        </w:trPr>
        <w:tc>
          <w:tcPr>
            <w:tcW w:w="1139" w:type="pct"/>
            <w:tcBorders>
              <w:top w:val="single" w:sz="4" w:space="0" w:color="76933C"/>
              <w:left w:val="single" w:sz="4" w:space="0" w:color="76933C"/>
              <w:bottom w:val="nil"/>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Mining</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-33%</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r>
      <w:tr w:rsidR="00704EB3" w:rsidTr="007D3481">
        <w:trPr>
          <w:trHeight w:hRule="exact" w:val="227"/>
        </w:trPr>
        <w:tc>
          <w:tcPr>
            <w:tcW w:w="1139" w:type="pct"/>
            <w:tcBorders>
              <w:top w:val="single" w:sz="4" w:space="0" w:color="76933C"/>
              <w:left w:val="single" w:sz="4" w:space="0" w:color="76933C"/>
              <w:bottom w:val="single" w:sz="4" w:space="0" w:color="76933C"/>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Other Services</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13,700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15,200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14,400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3,900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32%</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15%</w:t>
            </w:r>
          </w:p>
        </w:tc>
      </w:tr>
      <w:tr w:rsidR="00704EB3" w:rsidTr="007D3481">
        <w:trPr>
          <w:trHeight w:hRule="exact" w:val="227"/>
        </w:trPr>
        <w:tc>
          <w:tcPr>
            <w:tcW w:w="1139" w:type="pct"/>
            <w:tcBorders>
              <w:top w:val="nil"/>
              <w:left w:val="single" w:sz="4" w:space="0" w:color="76933C"/>
              <w:bottom w:val="single" w:sz="4" w:space="0" w:color="76933C"/>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Professional, Scientific and Technical Services</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10,300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8,600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-17%</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-18%</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2,300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-9%</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-13%</w:t>
            </w:r>
          </w:p>
        </w:tc>
      </w:tr>
      <w:tr w:rsidR="00704EB3" w:rsidTr="007D3481">
        <w:trPr>
          <w:trHeight w:hRule="exact" w:val="227"/>
        </w:trPr>
        <w:tc>
          <w:tcPr>
            <w:tcW w:w="1139" w:type="pct"/>
            <w:tcBorders>
              <w:top w:val="nil"/>
              <w:left w:val="single" w:sz="4" w:space="0" w:color="76933C"/>
              <w:bottom w:val="nil"/>
              <w:right w:val="nil"/>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Public Administration and Safety</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5,300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25%</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-15%</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-33%</w:t>
            </w:r>
          </w:p>
        </w:tc>
      </w:tr>
      <w:tr w:rsidR="00704EB3" w:rsidTr="007D3481">
        <w:trPr>
          <w:trHeight w:hRule="exact" w:val="227"/>
        </w:trPr>
        <w:tc>
          <w:tcPr>
            <w:tcW w:w="1139" w:type="pct"/>
            <w:tcBorders>
              <w:top w:val="single" w:sz="4" w:space="0" w:color="76933C"/>
              <w:left w:val="single" w:sz="4" w:space="0" w:color="76933C"/>
              <w:bottom w:val="single" w:sz="4" w:space="0" w:color="76933C"/>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Rental, Hiring and Real Estate Services</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900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1,800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1,200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33%</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-33%</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r>
      <w:tr w:rsidR="00704EB3" w:rsidTr="007D3481">
        <w:trPr>
          <w:trHeight w:hRule="exact" w:val="227"/>
        </w:trPr>
        <w:tc>
          <w:tcPr>
            <w:tcW w:w="1139" w:type="pct"/>
            <w:tcBorders>
              <w:top w:val="nil"/>
              <w:left w:val="single" w:sz="4" w:space="0" w:color="76933C"/>
              <w:bottom w:val="single" w:sz="4" w:space="0" w:color="76933C"/>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Retail Trade</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7%</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17,800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26,100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10,900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-39%</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-58%</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1,200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50%</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25%</w:t>
            </w:r>
          </w:p>
        </w:tc>
      </w:tr>
      <w:tr w:rsidR="00704EB3" w:rsidTr="007D3481">
        <w:trPr>
          <w:trHeight w:hRule="exact" w:val="227"/>
        </w:trPr>
        <w:tc>
          <w:tcPr>
            <w:tcW w:w="1139" w:type="pct"/>
            <w:tcBorders>
              <w:top w:val="nil"/>
              <w:left w:val="single" w:sz="4" w:space="0" w:color="76933C"/>
              <w:bottom w:val="single" w:sz="4" w:space="0" w:color="76933C"/>
              <w:right w:val="single" w:sz="4" w:space="0" w:color="76933C"/>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Transport, Postal and Warehousing</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12,100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20,900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20,900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73%</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4,100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5,400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7,000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71%</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30%</w:t>
            </w:r>
          </w:p>
        </w:tc>
      </w:tr>
      <w:tr w:rsidR="00704EB3" w:rsidTr="007D3481">
        <w:trPr>
          <w:trHeight w:hRule="exact" w:val="227"/>
        </w:trPr>
        <w:tc>
          <w:tcPr>
            <w:tcW w:w="1139" w:type="pct"/>
            <w:tcBorders>
              <w:top w:val="nil"/>
              <w:left w:val="single" w:sz="4" w:space="0" w:color="76933C"/>
              <w:bottom w:val="single" w:sz="4" w:space="0" w:color="C4D79B"/>
              <w:right w:val="nil"/>
            </w:tcBorders>
            <w:noWrap/>
            <w:vAlign w:val="bottom"/>
            <w:hideMark/>
          </w:tcPr>
          <w:p w:rsidR="00704EB3" w:rsidRDefault="00704EB3" w:rsidP="007D3481">
            <w:pPr>
              <w:spacing w:after="0" w:line="240" w:lineRule="auto"/>
              <w:rPr>
                <w:rFonts w:ascii="Calibri" w:hAnsi="Calibri"/>
                <w:color w:val="000000"/>
                <w:sz w:val="18"/>
                <w:szCs w:val="18"/>
                <w:lang w:eastAsia="en-AU"/>
              </w:rPr>
            </w:pPr>
            <w:r>
              <w:rPr>
                <w:rFonts w:ascii="Calibri" w:hAnsi="Calibri"/>
                <w:color w:val="000000"/>
                <w:sz w:val="18"/>
                <w:szCs w:val="18"/>
                <w:lang w:eastAsia="en-AU"/>
              </w:rPr>
              <w:t>Wholesale Trade</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500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700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-14%</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center"/>
              <w:rPr>
                <w:rFonts w:ascii="Calibri" w:hAnsi="Calibri"/>
                <w:color w:val="000000"/>
                <w:sz w:val="18"/>
                <w:szCs w:val="18"/>
                <w:lang w:eastAsia="en-AU"/>
              </w:rPr>
            </w:pPr>
            <w:r>
              <w:rPr>
                <w:rFonts w:ascii="Calibri" w:hAnsi="Calibri"/>
                <w:color w:val="000000"/>
                <w:sz w:val="18"/>
                <w:szCs w:val="18"/>
                <w:lang w:eastAsia="en-AU"/>
              </w:rPr>
              <w:t>-</w:t>
            </w:r>
          </w:p>
        </w:tc>
      </w:tr>
      <w:tr w:rsidR="00704EB3" w:rsidTr="007D3481">
        <w:trPr>
          <w:trHeight w:hRule="exact" w:val="227"/>
        </w:trPr>
        <w:tc>
          <w:tcPr>
            <w:tcW w:w="1139" w:type="pct"/>
            <w:tcBorders>
              <w:top w:val="single" w:sz="4" w:space="0" w:color="76933C"/>
              <w:left w:val="single" w:sz="4" w:space="0" w:color="76933C"/>
              <w:bottom w:val="single" w:sz="4" w:space="0" w:color="76933C"/>
              <w:right w:val="nil"/>
            </w:tcBorders>
            <w:noWrap/>
            <w:vAlign w:val="bottom"/>
            <w:hideMark/>
          </w:tcPr>
          <w:p w:rsidR="00704EB3" w:rsidRDefault="00704EB3" w:rsidP="007D3481">
            <w:pPr>
              <w:spacing w:after="0" w:line="240" w:lineRule="auto"/>
              <w:rPr>
                <w:rFonts w:ascii="Calibri" w:hAnsi="Calibri"/>
                <w:b/>
                <w:bCs/>
                <w:color w:val="000000"/>
                <w:sz w:val="18"/>
                <w:szCs w:val="18"/>
                <w:lang w:eastAsia="en-AU"/>
              </w:rPr>
            </w:pPr>
            <w:r>
              <w:rPr>
                <w:rFonts w:ascii="Calibri" w:hAnsi="Calibri"/>
                <w:b/>
                <w:bCs/>
                <w:color w:val="000000"/>
                <w:sz w:val="18"/>
                <w:szCs w:val="18"/>
                <w:lang w:eastAsia="en-AU"/>
              </w:rPr>
              <w:t>Total</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262,700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361,000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279,600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6%</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-23%</w:t>
            </w:r>
          </w:p>
        </w:tc>
        <w:tc>
          <w:tcPr>
            <w:tcW w:w="322" w:type="pct"/>
            <w:tcBorders>
              <w:top w:val="nil"/>
              <w:left w:val="single" w:sz="4" w:space="0" w:color="76933C"/>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92,900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112,700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112,900</w:t>
            </w:r>
          </w:p>
        </w:tc>
        <w:tc>
          <w:tcPr>
            <w:tcW w:w="322" w:type="pct"/>
            <w:tcBorders>
              <w:top w:val="nil"/>
              <w:left w:val="nil"/>
              <w:bottom w:val="single" w:sz="4" w:space="0" w:color="76933C"/>
              <w:right w:val="nil"/>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22%</w:t>
            </w:r>
          </w:p>
        </w:tc>
        <w:tc>
          <w:tcPr>
            <w:tcW w:w="322" w:type="pct"/>
            <w:tcBorders>
              <w:top w:val="nil"/>
              <w:left w:val="nil"/>
              <w:bottom w:val="single" w:sz="4" w:space="0" w:color="76933C"/>
              <w:right w:val="single" w:sz="4" w:space="0" w:color="76933C"/>
            </w:tcBorders>
            <w:noWrap/>
            <w:vAlign w:val="bottom"/>
            <w:hideMark/>
          </w:tcPr>
          <w:p w:rsidR="00704EB3" w:rsidRDefault="00704EB3" w:rsidP="007D3481">
            <w:pPr>
              <w:spacing w:after="0" w:line="240" w:lineRule="auto"/>
              <w:jc w:val="right"/>
              <w:rPr>
                <w:rFonts w:ascii="Calibri" w:hAnsi="Calibri"/>
                <w:color w:val="000000"/>
                <w:sz w:val="18"/>
                <w:szCs w:val="18"/>
                <w:lang w:eastAsia="en-AU"/>
              </w:rPr>
            </w:pPr>
            <w:r>
              <w:rPr>
                <w:rFonts w:ascii="Calibri" w:hAnsi="Calibri"/>
                <w:color w:val="000000"/>
                <w:sz w:val="18"/>
                <w:szCs w:val="18"/>
                <w:lang w:eastAsia="en-AU"/>
              </w:rPr>
              <w:t>0.2%</w:t>
            </w:r>
          </w:p>
        </w:tc>
      </w:tr>
    </w:tbl>
    <w:p w:rsidR="00704EB3" w:rsidRDefault="00704EB3" w:rsidP="00704EB3">
      <w:pPr>
        <w:spacing w:after="0" w:line="240" w:lineRule="auto"/>
        <w:jc w:val="left"/>
        <w:rPr>
          <w:rFonts w:cs="Arial"/>
        </w:rPr>
        <w:sectPr w:rsidR="00704EB3">
          <w:pgSz w:w="16840" w:h="11907" w:orient="landscape"/>
          <w:pgMar w:top="1701" w:right="992" w:bottom="1134" w:left="1418" w:header="567" w:footer="567" w:gutter="0"/>
          <w:cols w:space="720"/>
        </w:sectPr>
      </w:pPr>
    </w:p>
    <w:p w:rsidR="005A42A6" w:rsidRDefault="005A42A6">
      <w:pPr>
        <w:spacing w:after="0" w:line="240" w:lineRule="auto"/>
        <w:jc w:val="left"/>
        <w:rPr>
          <w:color w:val="76923C" w:themeColor="accent3" w:themeShade="BF"/>
          <w:spacing w:val="-12"/>
          <w:sz w:val="46"/>
          <w:szCs w:val="46"/>
        </w:rPr>
      </w:pPr>
      <w:r>
        <w:lastRenderedPageBreak/>
        <w:br w:type="page"/>
      </w:r>
    </w:p>
    <w:p w:rsidR="00032139" w:rsidRDefault="00032139" w:rsidP="009D437D">
      <w:pPr>
        <w:pStyle w:val="Heading1"/>
      </w:pPr>
      <w:bookmarkStart w:id="89" w:name="_Toc366588127"/>
      <w:r>
        <w:lastRenderedPageBreak/>
        <w:t>Appendix</w:t>
      </w:r>
      <w:bookmarkEnd w:id="89"/>
    </w:p>
    <w:p w:rsidR="00704EB3" w:rsidRPr="00B0282C" w:rsidRDefault="00704EB3" w:rsidP="00704EB3">
      <w:pPr>
        <w:pStyle w:val="Heading2"/>
      </w:pPr>
      <w:bookmarkStart w:id="90" w:name="_Toc365897983"/>
      <w:bookmarkStart w:id="91" w:name="_Toc366588128"/>
      <w:r w:rsidRPr="00B0282C">
        <w:t>Recognition of Prior Learning</w:t>
      </w:r>
      <w:bookmarkEnd w:id="90"/>
      <w:bookmarkEnd w:id="91"/>
    </w:p>
    <w:p w:rsidR="00704EB3" w:rsidRDefault="00704EB3" w:rsidP="00704EB3">
      <w:pPr>
        <w:spacing w:after="84"/>
        <w:rPr>
          <w:rFonts w:cs="Arial"/>
          <w:szCs w:val="19"/>
        </w:rPr>
      </w:pPr>
      <w:r>
        <w:rPr>
          <w:rFonts w:cs="Arial"/>
          <w:szCs w:val="19"/>
        </w:rPr>
        <w:t>Recognition of Prior L</w:t>
      </w:r>
      <w:r w:rsidRPr="00B92D59">
        <w:rPr>
          <w:rFonts w:cs="Arial"/>
          <w:szCs w:val="19"/>
        </w:rPr>
        <w:t>earning (RPL</w:t>
      </w:r>
      <w:r>
        <w:rPr>
          <w:rStyle w:val="FootnoteReference"/>
          <w:szCs w:val="19"/>
        </w:rPr>
        <w:footnoteReference w:id="15"/>
      </w:r>
      <w:r w:rsidRPr="00B92D59">
        <w:rPr>
          <w:rFonts w:cs="Arial"/>
          <w:szCs w:val="19"/>
        </w:rPr>
        <w:t>) helps improve the skill levels of Victorians in a modern economy.  It is an efficient way of targeting training to identified skill gaps.  For people working in industries going through significant transitions, it is a way of demonstrating their skills and qualifications to a new employer.</w:t>
      </w:r>
      <w:r>
        <w:rPr>
          <w:rFonts w:cs="Arial"/>
          <w:szCs w:val="19"/>
        </w:rPr>
        <w:t xml:space="preserve">  From 1 July 2012 the quality requirements for organisations accredited to sign-off on RPL were strengthened. </w:t>
      </w:r>
      <w:r w:rsidRPr="00B92D59">
        <w:rPr>
          <w:rFonts w:cs="Arial"/>
          <w:szCs w:val="19"/>
        </w:rPr>
        <w:t>The Victorian Government is committed to working with training providers to ensure that the right people are offered relevant training to develop the basic skills t</w:t>
      </w:r>
      <w:r>
        <w:rPr>
          <w:rFonts w:cs="Arial"/>
          <w:szCs w:val="19"/>
        </w:rPr>
        <w:t>hey need to do their jobs well.</w:t>
      </w:r>
    </w:p>
    <w:p w:rsidR="00704EB3" w:rsidRDefault="00704EB3" w:rsidP="00704EB3">
      <w:pPr>
        <w:spacing w:after="84"/>
        <w:rPr>
          <w:rFonts w:cs="Arial"/>
          <w:szCs w:val="19"/>
        </w:rPr>
      </w:pPr>
      <w:r w:rsidRPr="00B92D59">
        <w:rPr>
          <w:rFonts w:cs="Arial"/>
          <w:szCs w:val="19"/>
        </w:rPr>
        <w:t>As part of Refocusing Vocatio</w:t>
      </w:r>
      <w:r>
        <w:rPr>
          <w:rFonts w:cs="Arial"/>
          <w:szCs w:val="19"/>
        </w:rPr>
        <w:t xml:space="preserve">nal Training in Victoria </w:t>
      </w:r>
      <w:r w:rsidRPr="00B92D59">
        <w:rPr>
          <w:rFonts w:cs="Arial"/>
          <w:szCs w:val="19"/>
        </w:rPr>
        <w:t xml:space="preserve">the Government has an ongoing role of monitoring the training market, with a focus on quality, price and competition. </w:t>
      </w:r>
      <w:r>
        <w:rPr>
          <w:rFonts w:cs="Arial"/>
          <w:szCs w:val="19"/>
        </w:rPr>
        <w:t xml:space="preserve"> </w:t>
      </w:r>
      <w:r w:rsidRPr="00B92D59">
        <w:rPr>
          <w:rFonts w:cs="Arial"/>
          <w:szCs w:val="19"/>
        </w:rPr>
        <w:t>Learners are entitled to expect quality training and value for money.</w:t>
      </w:r>
      <w:r>
        <w:rPr>
          <w:rFonts w:cs="Arial"/>
          <w:szCs w:val="19"/>
        </w:rPr>
        <w:t xml:space="preserve">  </w:t>
      </w:r>
      <w:r w:rsidRPr="00B92D59">
        <w:rPr>
          <w:rFonts w:cs="Arial"/>
          <w:szCs w:val="19"/>
        </w:rPr>
        <w:t xml:space="preserve">As part of </w:t>
      </w:r>
      <w:r>
        <w:rPr>
          <w:rFonts w:cs="Arial"/>
          <w:szCs w:val="19"/>
        </w:rPr>
        <w:t xml:space="preserve">government's ongoing role to monitor the training market </w:t>
      </w:r>
      <w:r w:rsidRPr="00B92D59">
        <w:rPr>
          <w:rFonts w:cs="Arial"/>
          <w:szCs w:val="19"/>
        </w:rPr>
        <w:t xml:space="preserve">we have </w:t>
      </w:r>
      <w:r>
        <w:rPr>
          <w:rFonts w:cs="Arial"/>
          <w:szCs w:val="19"/>
        </w:rPr>
        <w:t xml:space="preserve">seen in the first half of 2013 </w:t>
      </w:r>
      <w:r w:rsidRPr="00B92D59">
        <w:rPr>
          <w:rFonts w:cs="Arial"/>
          <w:szCs w:val="19"/>
        </w:rPr>
        <w:t>evidence of some providers enrolling people skills recognition programs that a</w:t>
      </w:r>
      <w:r>
        <w:rPr>
          <w:rFonts w:cs="Arial"/>
          <w:szCs w:val="19"/>
        </w:rPr>
        <w:t>re not delivering value to them</w:t>
      </w:r>
      <w:r w:rsidRPr="00B92D59">
        <w:rPr>
          <w:rFonts w:cs="Arial"/>
          <w:szCs w:val="19"/>
        </w:rPr>
        <w:t xml:space="preserve"> or to their employer.</w:t>
      </w:r>
      <w:r>
        <w:rPr>
          <w:rFonts w:cs="Arial"/>
          <w:szCs w:val="19"/>
        </w:rPr>
        <w:t xml:space="preserve">  Particularly there is </w:t>
      </w:r>
      <w:r w:rsidRPr="00B92D59">
        <w:rPr>
          <w:rFonts w:cs="Arial"/>
          <w:szCs w:val="19"/>
        </w:rPr>
        <w:t xml:space="preserve">evidence of provider-led growth </w:t>
      </w:r>
      <w:r>
        <w:rPr>
          <w:rFonts w:cs="Arial"/>
          <w:szCs w:val="19"/>
        </w:rPr>
        <w:t xml:space="preserve">of RPL in </w:t>
      </w:r>
      <w:r w:rsidRPr="00B92D59">
        <w:rPr>
          <w:rFonts w:cs="Arial"/>
          <w:szCs w:val="19"/>
        </w:rPr>
        <w:t>Band</w:t>
      </w:r>
      <w:r>
        <w:rPr>
          <w:rFonts w:cs="Arial"/>
          <w:szCs w:val="19"/>
        </w:rPr>
        <w:t xml:space="preserve"> A courses which attracts</w:t>
      </w:r>
      <w:r w:rsidRPr="00B92D59">
        <w:rPr>
          <w:rFonts w:cs="Arial"/>
          <w:szCs w:val="19"/>
        </w:rPr>
        <w:t xml:space="preserve"> a </w:t>
      </w:r>
      <w:r>
        <w:rPr>
          <w:rFonts w:cs="Arial"/>
          <w:szCs w:val="19"/>
        </w:rPr>
        <w:t xml:space="preserve">100 per cent subsidy (RPL delivery in Band B to </w:t>
      </w:r>
      <w:r w:rsidRPr="00B92D59">
        <w:rPr>
          <w:rFonts w:cs="Arial"/>
          <w:szCs w:val="19"/>
        </w:rPr>
        <w:t>E</w:t>
      </w:r>
      <w:r>
        <w:rPr>
          <w:rFonts w:cs="Arial"/>
          <w:szCs w:val="19"/>
        </w:rPr>
        <w:t xml:space="preserve"> courses receive a 50 per cent</w:t>
      </w:r>
      <w:r w:rsidRPr="00B92D59">
        <w:rPr>
          <w:rFonts w:cs="Arial"/>
          <w:szCs w:val="19"/>
        </w:rPr>
        <w:t xml:space="preserve"> subsidy</w:t>
      </w:r>
      <w:r>
        <w:rPr>
          <w:rFonts w:cs="Arial"/>
          <w:szCs w:val="19"/>
        </w:rPr>
        <w:t>.</w:t>
      </w:r>
    </w:p>
    <w:p w:rsidR="00704EB3" w:rsidRDefault="00704EB3" w:rsidP="00704EB3">
      <w:pPr>
        <w:spacing w:after="84"/>
        <w:rPr>
          <w:rFonts w:cs="Arial"/>
          <w:szCs w:val="19"/>
        </w:rPr>
      </w:pPr>
      <w:r>
        <w:rPr>
          <w:rFonts w:cs="Arial"/>
          <w:szCs w:val="19"/>
        </w:rPr>
        <w:t xml:space="preserve">The figure below shows the RPL training in Band A compared to Bands B to E as reported Q2 2011 to Q2 2013. At Q2 2013 40 per cent of Band A delivery has been RPL, compared to 13 per cent for the same courses at Q2 2012 and 9 per cent at Q2 2011.  </w:t>
      </w:r>
    </w:p>
    <w:p w:rsidR="00704EB3" w:rsidRDefault="00704EB3" w:rsidP="00704EB3">
      <w:pPr>
        <w:spacing w:after="84"/>
        <w:rPr>
          <w:rFonts w:cs="Arial"/>
          <w:szCs w:val="19"/>
        </w:rPr>
      </w:pPr>
      <w:r w:rsidRPr="00B92D59">
        <w:rPr>
          <w:rFonts w:cs="Arial"/>
          <w:szCs w:val="19"/>
        </w:rPr>
        <w:t xml:space="preserve">Some courses in Band A saw </w:t>
      </w:r>
      <w:r>
        <w:rPr>
          <w:rFonts w:cs="Arial"/>
          <w:szCs w:val="19"/>
        </w:rPr>
        <w:t>particularly high growth e.g.</w:t>
      </w:r>
      <w:r w:rsidRPr="00B92D59">
        <w:rPr>
          <w:rFonts w:cs="Arial"/>
          <w:szCs w:val="19"/>
        </w:rPr>
        <w:t xml:space="preserve"> </w:t>
      </w:r>
      <w:r>
        <w:rPr>
          <w:rFonts w:cs="Arial"/>
          <w:szCs w:val="19"/>
        </w:rPr>
        <w:t xml:space="preserve">a </w:t>
      </w:r>
      <w:r w:rsidRPr="00B92D59">
        <w:rPr>
          <w:rFonts w:cs="Arial"/>
          <w:szCs w:val="19"/>
        </w:rPr>
        <w:t xml:space="preserve">nearly six-fold increase </w:t>
      </w:r>
      <w:r>
        <w:rPr>
          <w:rFonts w:cs="Arial"/>
          <w:szCs w:val="19"/>
        </w:rPr>
        <w:t xml:space="preserve">in RPL </w:t>
      </w:r>
      <w:r w:rsidRPr="00B92D59">
        <w:rPr>
          <w:rFonts w:cs="Arial"/>
          <w:szCs w:val="19"/>
        </w:rPr>
        <w:t>for automotive courses</w:t>
      </w:r>
      <w:r>
        <w:rPr>
          <w:rFonts w:cs="Arial"/>
          <w:szCs w:val="19"/>
        </w:rPr>
        <w:t>,</w:t>
      </w:r>
      <w:r w:rsidRPr="00B92D59">
        <w:rPr>
          <w:rFonts w:cs="Arial"/>
          <w:szCs w:val="19"/>
        </w:rPr>
        <w:t xml:space="preserve"> and a nearly ten-fold increase in courses relating to plastering</w:t>
      </w:r>
      <w:r>
        <w:rPr>
          <w:rFonts w:cs="Arial"/>
          <w:szCs w:val="19"/>
        </w:rPr>
        <w:t>,</w:t>
      </w:r>
      <w:r w:rsidRPr="00B92D59">
        <w:rPr>
          <w:rFonts w:cs="Arial"/>
          <w:szCs w:val="19"/>
        </w:rPr>
        <w:t xml:space="preserve"> and wall lining and tiling.</w:t>
      </w:r>
      <w:r>
        <w:rPr>
          <w:rFonts w:cs="Arial"/>
          <w:szCs w:val="19"/>
        </w:rPr>
        <w:t xml:space="preserve">  Despite the value of RPL the majority of delivery must be focussed on training new or updated skills which are relevant for the modern workforce.</w:t>
      </w:r>
    </w:p>
    <w:p w:rsidR="00704EB3" w:rsidRDefault="00704EB3" w:rsidP="00704EB3">
      <w:pPr>
        <w:rPr>
          <w:rFonts w:cs="Arial"/>
          <w:szCs w:val="19"/>
        </w:rPr>
      </w:pPr>
      <w:r>
        <w:rPr>
          <w:rFonts w:cs="Arial"/>
          <w:szCs w:val="19"/>
        </w:rPr>
        <w:t xml:space="preserve">Band </w:t>
      </w:r>
      <w:proofErr w:type="gramStart"/>
      <w:r>
        <w:rPr>
          <w:rFonts w:cs="Arial"/>
          <w:szCs w:val="19"/>
        </w:rPr>
        <w:t>A</w:t>
      </w:r>
      <w:proofErr w:type="gramEnd"/>
      <w:r>
        <w:rPr>
          <w:rFonts w:cs="Arial"/>
          <w:szCs w:val="19"/>
        </w:rPr>
        <w:t xml:space="preserve"> </w:t>
      </w:r>
      <w:r w:rsidRPr="00B92D59">
        <w:rPr>
          <w:rFonts w:cs="Arial"/>
          <w:szCs w:val="19"/>
        </w:rPr>
        <w:t xml:space="preserve">courses that were receiving 100 </w:t>
      </w:r>
      <w:r>
        <w:rPr>
          <w:rFonts w:cs="Arial"/>
          <w:szCs w:val="19"/>
        </w:rPr>
        <w:t>per cent</w:t>
      </w:r>
      <w:r w:rsidRPr="00B92D59">
        <w:rPr>
          <w:rFonts w:cs="Arial"/>
          <w:szCs w:val="19"/>
        </w:rPr>
        <w:t xml:space="preserve"> of the usual subsidy for </w:t>
      </w:r>
      <w:r>
        <w:rPr>
          <w:rFonts w:cs="Arial"/>
          <w:szCs w:val="19"/>
        </w:rPr>
        <w:t xml:space="preserve">RPL will now receive 50 per cent, in line with the vast </w:t>
      </w:r>
      <w:r w:rsidRPr="00B92D59">
        <w:rPr>
          <w:rFonts w:cs="Arial"/>
          <w:szCs w:val="19"/>
        </w:rPr>
        <w:t xml:space="preserve">majority of courses.  For qualifications required for licensing or registration – such as Nursing and Childcare </w:t>
      </w:r>
      <w:r>
        <w:rPr>
          <w:rFonts w:cs="Arial"/>
          <w:szCs w:val="19"/>
        </w:rPr>
        <w:t>–</w:t>
      </w:r>
      <w:r w:rsidRPr="00B92D59">
        <w:rPr>
          <w:rFonts w:cs="Arial"/>
          <w:szCs w:val="19"/>
        </w:rPr>
        <w:t xml:space="preserve"> the Government will retain a 100 per cent subsidy for </w:t>
      </w:r>
      <w:r>
        <w:rPr>
          <w:rFonts w:cs="Arial"/>
          <w:szCs w:val="19"/>
        </w:rPr>
        <w:t xml:space="preserve">RPL delivery.  This is necessary where experienced workers who have previously not been required to hold formal qualifications are affected by new legislation introducing this requirement. </w:t>
      </w:r>
      <w:r w:rsidRPr="00B92D59">
        <w:rPr>
          <w:rFonts w:cs="Arial"/>
          <w:szCs w:val="19"/>
        </w:rPr>
        <w:t>The refinements to the system will only apply to new studen</w:t>
      </w:r>
      <w:r>
        <w:rPr>
          <w:rFonts w:cs="Arial"/>
          <w:szCs w:val="19"/>
        </w:rPr>
        <w:t>ts commencing training.</w:t>
      </w:r>
    </w:p>
    <w:p w:rsidR="00EE50C4" w:rsidRDefault="00EE50C4">
      <w:pPr>
        <w:spacing w:after="0" w:line="240" w:lineRule="auto"/>
        <w:jc w:val="left"/>
        <w:rPr>
          <w:rFonts w:cs="Arial"/>
          <w:b/>
          <w:bCs/>
          <w:color w:val="76923C" w:themeColor="accent3" w:themeShade="BF"/>
          <w:sz w:val="18"/>
          <w:szCs w:val="16"/>
        </w:rPr>
      </w:pPr>
    </w:p>
    <w:p w:rsidR="00704EB3" w:rsidRPr="00E925B6" w:rsidRDefault="000A263E" w:rsidP="00704EB3">
      <w:pPr>
        <w:pStyle w:val="Caption"/>
        <w:jc w:val="left"/>
        <w:rPr>
          <w:rFonts w:cs="Arial"/>
        </w:rPr>
      </w:pPr>
      <w:r>
        <w:rPr>
          <w:rFonts w:cs="Arial"/>
        </w:rPr>
        <w:t>Figure A.1</w:t>
      </w:r>
      <w:r w:rsidR="00704EB3" w:rsidRPr="00A5568B">
        <w:rPr>
          <w:rFonts w:cs="Arial"/>
        </w:rPr>
        <w:t xml:space="preserve">: </w:t>
      </w:r>
      <w:r w:rsidR="00704EB3">
        <w:rPr>
          <w:rFonts w:cs="Arial"/>
        </w:rPr>
        <w:t>RPL</w:t>
      </w:r>
      <w:r w:rsidR="00704EB3" w:rsidRPr="00A5568B">
        <w:rPr>
          <w:rFonts w:cs="Arial"/>
        </w:rPr>
        <w:t xml:space="preserve"> by funding band, Q2 2011, Q2 2012 and Q2 2013</w:t>
      </w:r>
    </w:p>
    <w:p w:rsidR="001F7AEB" w:rsidRDefault="00704EB3" w:rsidP="00704EB3">
      <w:pPr>
        <w:spacing w:after="84"/>
        <w:rPr>
          <w:rFonts w:cs="Arial"/>
          <w:szCs w:val="19"/>
        </w:rPr>
      </w:pPr>
      <w:r w:rsidRPr="00795A37">
        <w:rPr>
          <w:noProof/>
          <w:bdr w:val="single" w:sz="4" w:space="0" w:color="76923C" w:themeColor="accent3" w:themeShade="BF"/>
          <w:lang w:eastAsia="en-AU"/>
        </w:rPr>
        <w:drawing>
          <wp:inline distT="0" distB="0" distL="0" distR="0" wp14:anchorId="00143C3B" wp14:editId="235740CF">
            <wp:extent cx="5781675" cy="32766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sectPr w:rsidR="001F7AEB" w:rsidSect="004027ED">
      <w:pgSz w:w="11907" w:h="16840" w:code="9"/>
      <w:pgMar w:top="993" w:right="1134"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09A" w:rsidRDefault="0033309A" w:rsidP="00DA3526">
      <w:r>
        <w:separator/>
      </w:r>
    </w:p>
  </w:endnote>
  <w:endnote w:type="continuationSeparator" w:id="0">
    <w:p w:rsidR="0033309A" w:rsidRDefault="0033309A" w:rsidP="00DA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37927"/>
      <w:docPartObj>
        <w:docPartGallery w:val="Page Numbers (Bottom of Page)"/>
        <w:docPartUnique/>
      </w:docPartObj>
    </w:sdtPr>
    <w:sdtEndPr>
      <w:rPr>
        <w:noProof/>
      </w:rPr>
    </w:sdtEndPr>
    <w:sdtContent>
      <w:p w:rsidR="0033309A" w:rsidRDefault="0033309A" w:rsidP="00704EB3">
        <w:pPr>
          <w:pStyle w:val="Footer"/>
          <w:jc w:val="left"/>
        </w:pPr>
        <w:r>
          <w:fldChar w:fldCharType="begin"/>
        </w:r>
        <w:r>
          <w:instrText xml:space="preserve"> PAGE   \* MERGEFORMAT </w:instrText>
        </w:r>
        <w:r>
          <w:fldChar w:fldCharType="separate"/>
        </w:r>
        <w:r w:rsidR="008603E7">
          <w:rPr>
            <w:noProof/>
          </w:rPr>
          <w:t>2</w:t>
        </w:r>
        <w:r>
          <w:rPr>
            <w:noProof/>
          </w:rPr>
          <w:fldChar w:fldCharType="end"/>
        </w:r>
      </w:p>
    </w:sdtContent>
  </w:sdt>
  <w:p w:rsidR="0033309A" w:rsidRDefault="0033309A" w:rsidP="00DA3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265657"/>
      <w:docPartObj>
        <w:docPartGallery w:val="Page Numbers (Bottom of Page)"/>
        <w:docPartUnique/>
      </w:docPartObj>
    </w:sdtPr>
    <w:sdtEndPr>
      <w:rPr>
        <w:noProof/>
      </w:rPr>
    </w:sdtEndPr>
    <w:sdtContent>
      <w:p w:rsidR="0033309A" w:rsidRDefault="0033309A">
        <w:pPr>
          <w:pStyle w:val="Footer"/>
        </w:pPr>
        <w:r>
          <w:fldChar w:fldCharType="begin"/>
        </w:r>
        <w:r>
          <w:instrText xml:space="preserve"> PAGE   \* MERGEFORMAT </w:instrText>
        </w:r>
        <w:r>
          <w:fldChar w:fldCharType="separate"/>
        </w:r>
        <w:r w:rsidR="008603E7">
          <w:rPr>
            <w:noProof/>
          </w:rPr>
          <w:t>3</w:t>
        </w:r>
        <w:r>
          <w:rPr>
            <w:noProof/>
          </w:rPr>
          <w:fldChar w:fldCharType="end"/>
        </w:r>
      </w:p>
    </w:sdtContent>
  </w:sdt>
  <w:p w:rsidR="0033309A" w:rsidRDefault="0033309A" w:rsidP="00DA3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09A" w:rsidRDefault="0033309A" w:rsidP="00DA3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09A" w:rsidRDefault="0033309A" w:rsidP="00DA3526">
      <w:r>
        <w:separator/>
      </w:r>
    </w:p>
  </w:footnote>
  <w:footnote w:type="continuationSeparator" w:id="0">
    <w:p w:rsidR="0033309A" w:rsidRDefault="0033309A" w:rsidP="00DA3526">
      <w:r>
        <w:continuationSeparator/>
      </w:r>
    </w:p>
  </w:footnote>
  <w:footnote w:id="1">
    <w:p w:rsidR="0033309A" w:rsidRDefault="0033309A">
      <w:pPr>
        <w:pStyle w:val="FootnoteText"/>
      </w:pPr>
      <w:r>
        <w:rPr>
          <w:rStyle w:val="FootnoteReference"/>
        </w:rPr>
        <w:footnoteRef/>
      </w:r>
      <w:r>
        <w:t xml:space="preserve"> </w:t>
      </w:r>
      <w:r w:rsidRPr="00484A61">
        <w:rPr>
          <w:sz w:val="16"/>
          <w:szCs w:val="16"/>
        </w:rPr>
        <w:t xml:space="preserve">TAFE fee for service figures include domestic AQF Level 1 and above.  Refer to </w:t>
      </w:r>
      <w:r>
        <w:rPr>
          <w:sz w:val="16"/>
          <w:szCs w:val="16"/>
        </w:rPr>
        <w:t xml:space="preserve">section on </w:t>
      </w:r>
      <w:r w:rsidRPr="00484A61">
        <w:rPr>
          <w:sz w:val="16"/>
          <w:szCs w:val="16"/>
        </w:rPr>
        <w:t>Reporting scope for further detail.</w:t>
      </w:r>
    </w:p>
  </w:footnote>
  <w:footnote w:id="2">
    <w:p w:rsidR="0033309A" w:rsidRPr="00CF591B" w:rsidRDefault="0033309A" w:rsidP="009B51C6">
      <w:pPr>
        <w:pStyle w:val="FootnoteText"/>
        <w:rPr>
          <w:i/>
        </w:rPr>
      </w:pPr>
      <w:r>
        <w:rPr>
          <w:rStyle w:val="FootnoteReference"/>
        </w:rPr>
        <w:footnoteRef/>
      </w:r>
      <w:r>
        <w:t xml:space="preserve"> </w:t>
      </w:r>
      <w:r w:rsidRPr="000C7B63">
        <w:rPr>
          <w:sz w:val="16"/>
          <w:szCs w:val="16"/>
        </w:rPr>
        <w:t xml:space="preserve">The NCVER publication </w:t>
      </w:r>
      <w:r w:rsidRPr="00A7031B">
        <w:rPr>
          <w:sz w:val="16"/>
          <w:szCs w:val="16"/>
        </w:rPr>
        <w:t>Apprentices &amp; Trainees, Early trend estimates March Quarter 2013</w:t>
      </w:r>
      <w:r w:rsidRPr="000C7B63">
        <w:rPr>
          <w:sz w:val="16"/>
          <w:szCs w:val="16"/>
        </w:rPr>
        <w:t xml:space="preserve">, noted that at a national level </w:t>
      </w:r>
      <w:r>
        <w:rPr>
          <w:sz w:val="16"/>
          <w:szCs w:val="16"/>
        </w:rPr>
        <w:t>“</w:t>
      </w:r>
      <w:r w:rsidRPr="00A7031B">
        <w:rPr>
          <w:sz w:val="16"/>
          <w:szCs w:val="16"/>
        </w:rPr>
        <w:t>The substantial growth in non-trade commencements up to the June quarter 2012 and the subsequent decline in the September quarter is predominately due to changes to Commonwealth incentive payments for existing workers, namely the removal of the commencement incentive payment for those apprenticeships and traineeships not on the National Skills Needs List. Under the changes, training needed to have commenced prior to 1 July 2012 to attract the old subsidy rate.”</w:t>
      </w:r>
    </w:p>
  </w:footnote>
  <w:footnote w:id="3">
    <w:p w:rsidR="0033309A" w:rsidRPr="00E31B4C" w:rsidRDefault="0033309A" w:rsidP="002E0440">
      <w:r>
        <w:rPr>
          <w:rStyle w:val="FootnoteReference"/>
        </w:rPr>
        <w:footnoteRef/>
      </w:r>
      <w:r>
        <w:t xml:space="preserve"> </w:t>
      </w:r>
      <w:r w:rsidRPr="00F6206A">
        <w:rPr>
          <w:sz w:val="16"/>
          <w:szCs w:val="16"/>
        </w:rPr>
        <w:t xml:space="preserve">Note that a course enrolment indicates an enrolment by a student in specified course at a registered training </w:t>
      </w:r>
      <w:r>
        <w:rPr>
          <w:sz w:val="16"/>
          <w:szCs w:val="16"/>
        </w:rPr>
        <w:t>organisation</w:t>
      </w:r>
      <w:r w:rsidRPr="00F6206A">
        <w:rPr>
          <w:sz w:val="16"/>
          <w:szCs w:val="16"/>
        </w:rPr>
        <w:t xml:space="preserve">. Training hours on the other hand measures the hours taken to deliver training. </w:t>
      </w:r>
      <w:proofErr w:type="gramStart"/>
      <w:r w:rsidRPr="00F6206A">
        <w:rPr>
          <w:sz w:val="16"/>
          <w:szCs w:val="16"/>
        </w:rPr>
        <w:t>Total student hours is</w:t>
      </w:r>
      <w:proofErr w:type="gramEnd"/>
      <w:r w:rsidRPr="00F6206A">
        <w:rPr>
          <w:sz w:val="16"/>
          <w:szCs w:val="16"/>
        </w:rPr>
        <w:t xml:space="preserve"> not </w:t>
      </w:r>
      <w:r>
        <w:rPr>
          <w:sz w:val="16"/>
          <w:szCs w:val="16"/>
        </w:rPr>
        <w:t>an indicator of training provider</w:t>
      </w:r>
      <w:r w:rsidRPr="00F6206A">
        <w:rPr>
          <w:sz w:val="16"/>
          <w:szCs w:val="16"/>
        </w:rPr>
        <w:t xml:space="preserve"> revenue. </w:t>
      </w:r>
    </w:p>
    <w:p w:rsidR="0033309A" w:rsidRDefault="0033309A" w:rsidP="002E0440">
      <w:pPr>
        <w:pStyle w:val="FootnoteText"/>
      </w:pPr>
    </w:p>
  </w:footnote>
  <w:footnote w:id="4">
    <w:p w:rsidR="0033309A" w:rsidRDefault="0033309A" w:rsidP="00BC2184">
      <w:pPr>
        <w:pStyle w:val="FootnoteText"/>
        <w:jc w:val="left"/>
      </w:pPr>
      <w:r>
        <w:rPr>
          <w:rStyle w:val="FootnoteReference"/>
        </w:rPr>
        <w:footnoteRef/>
      </w:r>
      <w:r>
        <w:t xml:space="preserve"> </w:t>
      </w:r>
      <w:r w:rsidRPr="00BC2184">
        <w:rPr>
          <w:sz w:val="16"/>
          <w:szCs w:val="16"/>
        </w:rPr>
        <w:t>Skil</w:t>
      </w:r>
      <w:r>
        <w:rPr>
          <w:sz w:val="16"/>
          <w:szCs w:val="16"/>
        </w:rPr>
        <w:t>l</w:t>
      </w:r>
      <w:r w:rsidRPr="00BC2184">
        <w:rPr>
          <w:sz w:val="16"/>
          <w:szCs w:val="16"/>
        </w:rPr>
        <w:t>s for Australians http://www.dpmc.gov.au/publications/skills_for_all_australians/chapter1_overview.html</w:t>
      </w:r>
    </w:p>
  </w:footnote>
  <w:footnote w:id="5">
    <w:p w:rsidR="0033309A" w:rsidRDefault="0033309A" w:rsidP="00513C7F">
      <w:pPr>
        <w:pStyle w:val="FootnoteText"/>
      </w:pPr>
      <w:r>
        <w:rPr>
          <w:rStyle w:val="FootnoteReference"/>
        </w:rPr>
        <w:footnoteRef/>
      </w:r>
      <w:r>
        <w:t xml:space="preserve"> </w:t>
      </w:r>
      <w:r w:rsidRPr="00FA0962">
        <w:rPr>
          <w:rFonts w:cs="Arial"/>
          <w:sz w:val="16"/>
          <w:szCs w:val="16"/>
        </w:rPr>
        <w:t>Includes all accredited vocational qualifications at Certificate I and above, but excludes generic training such as foundation skills, education pathways and low-level LOTE courses.</w:t>
      </w:r>
    </w:p>
  </w:footnote>
  <w:footnote w:id="6">
    <w:p w:rsidR="0033309A" w:rsidRPr="00FA0962" w:rsidRDefault="0033309A" w:rsidP="00513C7F">
      <w:pPr>
        <w:pStyle w:val="BodyText"/>
        <w:tabs>
          <w:tab w:val="num" w:pos="180"/>
        </w:tabs>
        <w:spacing w:after="0"/>
        <w:jc w:val="both"/>
        <w:rPr>
          <w:sz w:val="20"/>
          <w:szCs w:val="20"/>
        </w:rPr>
      </w:pPr>
      <w:r w:rsidRPr="009D5C6C">
        <w:rPr>
          <w:rStyle w:val="FootnoteReference"/>
          <w:sz w:val="16"/>
          <w:szCs w:val="16"/>
        </w:rPr>
        <w:footnoteRef/>
      </w:r>
      <w:r w:rsidRPr="00282D83">
        <w:rPr>
          <w:sz w:val="16"/>
          <w:szCs w:val="16"/>
        </w:rPr>
        <w:t xml:space="preserve">DEECD subscribes to the Monash </w:t>
      </w:r>
      <w:proofErr w:type="spellStart"/>
      <w:r w:rsidRPr="00282D83">
        <w:rPr>
          <w:sz w:val="16"/>
          <w:szCs w:val="16"/>
        </w:rPr>
        <w:t>CoPS</w:t>
      </w:r>
      <w:proofErr w:type="spellEnd"/>
      <w:r w:rsidRPr="00282D83">
        <w:rPr>
          <w:sz w:val="16"/>
          <w:szCs w:val="16"/>
        </w:rPr>
        <w:t xml:space="preserve"> Economic Forecasts Model which provides employment and output forecasts down to the 3-digit ANZSIC level, occupational forecasts down to the 4-digit ANZSCO as well as high level aggregation forecasts of hours worked, and ASCED qualifications attained. This report utilises the COPS five year forecast to 2017 for analysis in the VET Industry Profiles.</w:t>
      </w:r>
    </w:p>
  </w:footnote>
  <w:footnote w:id="7">
    <w:p w:rsidR="0033309A" w:rsidRDefault="0033309A" w:rsidP="00513C7F">
      <w:pPr>
        <w:pStyle w:val="FootnoteText"/>
      </w:pPr>
      <w:r>
        <w:rPr>
          <w:rStyle w:val="FootnoteReference"/>
        </w:rPr>
        <w:footnoteRef/>
      </w:r>
      <w:r>
        <w:t xml:space="preserve"> </w:t>
      </w:r>
      <w:r w:rsidRPr="00FA0962">
        <w:rPr>
          <w:rFonts w:cs="Arial"/>
          <w:sz w:val="16"/>
          <w:szCs w:val="16"/>
        </w:rPr>
        <w:t>Cross-industry training (e.g. business administration, recordkeeping, computing) has been removed from the industry-specific analysis as this training develops business skills which are transferable across many industry sectors.</w:t>
      </w:r>
    </w:p>
  </w:footnote>
  <w:footnote w:id="8">
    <w:p w:rsidR="0033309A" w:rsidRPr="0038002F" w:rsidRDefault="0033309A" w:rsidP="00513C7F">
      <w:pPr>
        <w:pStyle w:val="FootnoteText"/>
        <w:rPr>
          <w:rFonts w:cs="Arial"/>
          <w:sz w:val="16"/>
          <w:szCs w:val="16"/>
        </w:rPr>
      </w:pPr>
      <w:r>
        <w:rPr>
          <w:rStyle w:val="FootnoteReference"/>
        </w:rPr>
        <w:footnoteRef/>
      </w:r>
      <w:r>
        <w:t xml:space="preserve"> </w:t>
      </w:r>
      <w:proofErr w:type="gramStart"/>
      <w:r w:rsidRPr="0038002F">
        <w:rPr>
          <w:rFonts w:cs="Arial"/>
          <w:sz w:val="16"/>
          <w:szCs w:val="16"/>
        </w:rPr>
        <w:t>Monash Centre for Policy Studies (2012) Employment Forecasting Model.</w:t>
      </w:r>
      <w:proofErr w:type="gramEnd"/>
    </w:p>
    <w:p w:rsidR="0033309A" w:rsidRDefault="0033309A" w:rsidP="00513C7F">
      <w:pPr>
        <w:pStyle w:val="FootnoteText"/>
      </w:pPr>
      <w:r w:rsidRPr="0038002F">
        <w:rPr>
          <w:rFonts w:cs="Arial"/>
          <w:sz w:val="16"/>
          <w:szCs w:val="16"/>
        </w:rPr>
        <w:t>Average annual employment needs are average replacement demand and employment growth levels from 2011-12 through to 2016-17</w:t>
      </w:r>
      <w:r>
        <w:rPr>
          <w:rFonts w:cs="Arial"/>
          <w:sz w:val="16"/>
          <w:szCs w:val="16"/>
        </w:rPr>
        <w:t>.</w:t>
      </w:r>
    </w:p>
  </w:footnote>
  <w:footnote w:id="9">
    <w:p w:rsidR="0033309A" w:rsidRPr="000C7B63" w:rsidRDefault="0033309A" w:rsidP="008A7538">
      <w:pPr>
        <w:pStyle w:val="FootnoteText"/>
        <w:rPr>
          <w:sz w:val="16"/>
          <w:szCs w:val="16"/>
        </w:rPr>
      </w:pPr>
      <w:r w:rsidRPr="000C7B63">
        <w:rPr>
          <w:rStyle w:val="FootnoteReference"/>
        </w:rPr>
        <w:footnoteRef/>
      </w:r>
      <w:r w:rsidRPr="000C7B63">
        <w:rPr>
          <w:sz w:val="16"/>
          <w:szCs w:val="16"/>
        </w:rPr>
        <w:t xml:space="preserve"> Commencements data is sourced from </w:t>
      </w:r>
      <w:r>
        <w:rPr>
          <w:sz w:val="16"/>
          <w:szCs w:val="16"/>
        </w:rPr>
        <w:t xml:space="preserve">DEECD’s </w:t>
      </w:r>
      <w:r w:rsidRPr="000C7B63">
        <w:rPr>
          <w:sz w:val="16"/>
          <w:szCs w:val="16"/>
        </w:rPr>
        <w:t xml:space="preserve">DELTA system </w:t>
      </w:r>
      <w:r>
        <w:rPr>
          <w:sz w:val="16"/>
          <w:szCs w:val="16"/>
        </w:rPr>
        <w:t xml:space="preserve">which is </w:t>
      </w:r>
      <w:r w:rsidRPr="000C7B63">
        <w:rPr>
          <w:sz w:val="16"/>
          <w:szCs w:val="16"/>
        </w:rPr>
        <w:t xml:space="preserve">used to manage and monitor training contracts. This data </w:t>
      </w:r>
      <w:r>
        <w:rPr>
          <w:sz w:val="16"/>
          <w:szCs w:val="16"/>
        </w:rPr>
        <w:t>is</w:t>
      </w:r>
      <w:r w:rsidRPr="000C7B63">
        <w:rPr>
          <w:sz w:val="16"/>
          <w:szCs w:val="16"/>
        </w:rPr>
        <w:t xml:space="preserve"> used for this purpose only as the Training Market Quarterly Report is based on VET training activity</w:t>
      </w:r>
      <w:r>
        <w:rPr>
          <w:sz w:val="16"/>
          <w:szCs w:val="16"/>
        </w:rPr>
        <w:t xml:space="preserve"> data</w:t>
      </w:r>
      <w:r w:rsidRPr="000C7B63">
        <w:rPr>
          <w:sz w:val="16"/>
          <w:szCs w:val="16"/>
        </w:rPr>
        <w:t>.</w:t>
      </w:r>
      <w:r>
        <w:rPr>
          <w:sz w:val="16"/>
          <w:szCs w:val="16"/>
        </w:rPr>
        <w:tab/>
      </w:r>
    </w:p>
  </w:footnote>
  <w:footnote w:id="10">
    <w:p w:rsidR="0033309A" w:rsidRPr="000C7B63" w:rsidRDefault="0033309A" w:rsidP="008A7538">
      <w:pPr>
        <w:pStyle w:val="FootnoteText"/>
        <w:rPr>
          <w:sz w:val="16"/>
          <w:szCs w:val="16"/>
        </w:rPr>
      </w:pPr>
      <w:r w:rsidRPr="000C7B63">
        <w:rPr>
          <w:rStyle w:val="FootnoteReference"/>
        </w:rPr>
        <w:footnoteRef/>
      </w:r>
      <w:r w:rsidRPr="000C7B63">
        <w:rPr>
          <w:rStyle w:val="FootnoteReference"/>
        </w:rPr>
        <w:t xml:space="preserve"> </w:t>
      </w:r>
      <w:r w:rsidRPr="000C7B63">
        <w:rPr>
          <w:sz w:val="16"/>
          <w:szCs w:val="16"/>
        </w:rPr>
        <w:t>Australian Bureau of Statistics</w:t>
      </w:r>
      <w:r>
        <w:rPr>
          <w:sz w:val="16"/>
          <w:szCs w:val="16"/>
        </w:rPr>
        <w:t>,</w:t>
      </w:r>
      <w:r w:rsidRPr="000C7B63">
        <w:rPr>
          <w:sz w:val="16"/>
          <w:szCs w:val="16"/>
        </w:rPr>
        <w:t xml:space="preserve"> Building Activity, Australia, 8752.0 </w:t>
      </w:r>
      <w:proofErr w:type="gramStart"/>
      <w:r w:rsidRPr="000C7B63">
        <w:rPr>
          <w:sz w:val="16"/>
          <w:szCs w:val="16"/>
        </w:rPr>
        <w:t>Table</w:t>
      </w:r>
      <w:proofErr w:type="gramEnd"/>
      <w:r w:rsidRPr="000C7B63">
        <w:rPr>
          <w:sz w:val="16"/>
          <w:szCs w:val="16"/>
        </w:rPr>
        <w:t xml:space="preserve"> 34. Number of Dwelling Unit Commencements by Sector, States and Territories</w:t>
      </w:r>
      <w:r>
        <w:rPr>
          <w:sz w:val="16"/>
          <w:szCs w:val="16"/>
        </w:rPr>
        <w:t>.</w:t>
      </w:r>
    </w:p>
  </w:footnote>
  <w:footnote w:id="11">
    <w:p w:rsidR="0033309A" w:rsidRPr="00CF591B" w:rsidRDefault="0033309A" w:rsidP="001D1656">
      <w:pPr>
        <w:pStyle w:val="FootnoteText"/>
        <w:rPr>
          <w:i/>
        </w:rPr>
      </w:pPr>
      <w:r>
        <w:rPr>
          <w:rStyle w:val="FootnoteReference"/>
        </w:rPr>
        <w:footnoteRef/>
      </w:r>
      <w:r>
        <w:t xml:space="preserve"> </w:t>
      </w:r>
      <w:r w:rsidRPr="000C7B63">
        <w:rPr>
          <w:sz w:val="16"/>
          <w:szCs w:val="16"/>
        </w:rPr>
        <w:t xml:space="preserve">The NCVER publication </w:t>
      </w:r>
      <w:r w:rsidRPr="00A7031B">
        <w:rPr>
          <w:sz w:val="16"/>
          <w:szCs w:val="16"/>
        </w:rPr>
        <w:t>Apprentices &amp; Trainees, Early trend estimates March Quarter 2013</w:t>
      </w:r>
      <w:r w:rsidRPr="000C7B63">
        <w:rPr>
          <w:sz w:val="16"/>
          <w:szCs w:val="16"/>
        </w:rPr>
        <w:t xml:space="preserve">, noted that at a national level </w:t>
      </w:r>
      <w:r>
        <w:rPr>
          <w:sz w:val="16"/>
          <w:szCs w:val="16"/>
        </w:rPr>
        <w:t>“</w:t>
      </w:r>
      <w:r w:rsidRPr="00A7031B">
        <w:rPr>
          <w:sz w:val="16"/>
          <w:szCs w:val="16"/>
        </w:rPr>
        <w:t>The substantial growth in non-trade commencements up to the June quarter 2012 and the subsequent decline in the September quarter is predominately due to changes to Commonwealth incentive payments for existing workers, namely the removal of the commencement incentive payment for those apprenticeships and traineeships not on the National Skills Needs List. Under the changes, training needed to have commenced prior to 1 July 2012 to attract the old subsidy rate.”</w:t>
      </w:r>
    </w:p>
  </w:footnote>
  <w:footnote w:id="12">
    <w:p w:rsidR="0033309A" w:rsidRDefault="0033309A" w:rsidP="008D2D17">
      <w:pPr>
        <w:spacing w:after="0" w:line="240" w:lineRule="auto"/>
        <w:rPr>
          <w:rFonts w:cs="Arial"/>
          <w:sz w:val="16"/>
          <w:szCs w:val="16"/>
        </w:rPr>
      </w:pPr>
      <w:r>
        <w:rPr>
          <w:rStyle w:val="FootnoteReference"/>
        </w:rPr>
        <w:footnoteRef/>
      </w:r>
      <w:r>
        <w:t xml:space="preserve"> </w:t>
      </w:r>
      <w:r>
        <w:rPr>
          <w:rFonts w:cs="Arial"/>
          <w:sz w:val="16"/>
          <w:szCs w:val="16"/>
        </w:rPr>
        <w:t>To ensure the most robust alignment with vocational outcomes in the government funded training sector this section is limited to:</w:t>
      </w:r>
    </w:p>
    <w:p w:rsidR="0033309A" w:rsidRDefault="0033309A" w:rsidP="008D2D17">
      <w:pPr>
        <w:pStyle w:val="ListBullet"/>
        <w:numPr>
          <w:ilvl w:val="0"/>
          <w:numId w:val="27"/>
        </w:numPr>
        <w:tabs>
          <w:tab w:val="left" w:pos="720"/>
        </w:tabs>
        <w:spacing w:after="0" w:line="240" w:lineRule="auto"/>
        <w:ind w:left="284" w:right="113" w:hanging="284"/>
        <w:rPr>
          <w:sz w:val="16"/>
          <w:szCs w:val="16"/>
        </w:rPr>
      </w:pPr>
      <w:r>
        <w:rPr>
          <w:sz w:val="16"/>
          <w:szCs w:val="16"/>
        </w:rPr>
        <w:t>government subsidised training to onshore domestic students</w:t>
      </w:r>
    </w:p>
    <w:p w:rsidR="0033309A" w:rsidRDefault="0033309A" w:rsidP="008D2D17">
      <w:pPr>
        <w:pStyle w:val="ListBullet"/>
        <w:numPr>
          <w:ilvl w:val="0"/>
          <w:numId w:val="27"/>
        </w:numPr>
        <w:tabs>
          <w:tab w:val="left" w:pos="720"/>
        </w:tabs>
        <w:spacing w:after="0" w:line="240" w:lineRule="auto"/>
        <w:ind w:left="284" w:right="113" w:hanging="284"/>
        <w:rPr>
          <w:sz w:val="16"/>
          <w:szCs w:val="16"/>
        </w:rPr>
      </w:pPr>
      <w:r>
        <w:rPr>
          <w:sz w:val="16"/>
          <w:szCs w:val="16"/>
        </w:rPr>
        <w:t>training in accredited AQF qualifications at Certificate I and above i.e. short courses, non-award courses and non-accredited training is excluded</w:t>
      </w:r>
    </w:p>
    <w:p w:rsidR="0033309A" w:rsidRDefault="0033309A" w:rsidP="008D2D17">
      <w:pPr>
        <w:pStyle w:val="ListBullet"/>
        <w:numPr>
          <w:ilvl w:val="0"/>
          <w:numId w:val="27"/>
        </w:numPr>
        <w:tabs>
          <w:tab w:val="left" w:pos="720"/>
        </w:tabs>
        <w:spacing w:after="0" w:line="240" w:lineRule="auto"/>
        <w:ind w:left="284" w:right="113" w:hanging="284"/>
        <w:rPr>
          <w:sz w:val="16"/>
          <w:szCs w:val="16"/>
        </w:rPr>
      </w:pPr>
      <w:r>
        <w:rPr>
          <w:sz w:val="16"/>
          <w:szCs w:val="16"/>
        </w:rPr>
        <w:t>excludes courses which cannot be classified directly</w:t>
      </w:r>
      <w:r>
        <w:rPr>
          <w:rStyle w:val="FootnoteReference"/>
          <w:sz w:val="16"/>
          <w:szCs w:val="16"/>
        </w:rPr>
        <w:footnoteRef/>
      </w:r>
      <w:r>
        <w:rPr>
          <w:sz w:val="16"/>
          <w:szCs w:val="16"/>
        </w:rPr>
        <w:t xml:space="preserve"> to an employment outcome in a particular occupation, such as training in generic foundation skills such as literacy and numeracy</w:t>
      </w:r>
    </w:p>
  </w:footnote>
  <w:footnote w:id="13">
    <w:p w:rsidR="0033309A" w:rsidRPr="000F4C2A" w:rsidRDefault="0033309A" w:rsidP="008D2D17">
      <w:pPr>
        <w:pStyle w:val="FootnoteText"/>
        <w:rPr>
          <w:rStyle w:val="FootnoteReference"/>
          <w:sz w:val="19"/>
          <w:szCs w:val="24"/>
        </w:rPr>
      </w:pPr>
      <w:r w:rsidRPr="000F4C2A">
        <w:rPr>
          <w:rStyle w:val="FootnoteReference"/>
          <w:sz w:val="19"/>
          <w:szCs w:val="24"/>
        </w:rPr>
        <w:footnoteRef/>
      </w:r>
      <w:r w:rsidRPr="000F4C2A">
        <w:rPr>
          <w:rStyle w:val="FootnoteReference"/>
          <w:sz w:val="19"/>
          <w:szCs w:val="24"/>
        </w:rPr>
        <w:t xml:space="preserve"> </w:t>
      </w:r>
      <w:r w:rsidRPr="000F4C2A">
        <w:rPr>
          <w:rFonts w:cs="Arial"/>
          <w:sz w:val="16"/>
          <w:szCs w:val="16"/>
        </w:rPr>
        <w:t>Australian Workforce and Productivity Agency</w:t>
      </w:r>
      <w:r>
        <w:rPr>
          <w:rFonts w:cs="Arial"/>
          <w:sz w:val="16"/>
          <w:szCs w:val="16"/>
        </w:rPr>
        <w:t xml:space="preserve"> (2012) specialised occupation</w:t>
      </w:r>
      <w:r w:rsidRPr="000F4C2A">
        <w:rPr>
          <w:rFonts w:cs="Arial"/>
          <w:sz w:val="16"/>
          <w:szCs w:val="16"/>
        </w:rPr>
        <w:t xml:space="preserve"> list.</w:t>
      </w:r>
    </w:p>
  </w:footnote>
  <w:footnote w:id="14">
    <w:p w:rsidR="0033309A" w:rsidRPr="000F4C2A" w:rsidRDefault="0033309A" w:rsidP="008D2D17">
      <w:pPr>
        <w:tabs>
          <w:tab w:val="num" w:pos="720"/>
        </w:tabs>
        <w:spacing w:after="0" w:line="240" w:lineRule="auto"/>
        <w:contextualSpacing/>
        <w:jc w:val="left"/>
        <w:rPr>
          <w:rStyle w:val="FootnoteReference"/>
        </w:rPr>
      </w:pPr>
      <w:r w:rsidRPr="000F4C2A">
        <w:rPr>
          <w:rStyle w:val="FootnoteReference"/>
        </w:rPr>
        <w:footnoteRef/>
      </w:r>
      <w:r w:rsidRPr="000F4C2A">
        <w:rPr>
          <w:rStyle w:val="FootnoteReference"/>
        </w:rPr>
        <w:t xml:space="preserve"> </w:t>
      </w:r>
      <w:proofErr w:type="gramStart"/>
      <w:r w:rsidRPr="000F4C2A">
        <w:rPr>
          <w:rFonts w:cs="Arial"/>
          <w:sz w:val="16"/>
          <w:szCs w:val="16"/>
        </w:rPr>
        <w:t xml:space="preserve">HESG </w:t>
      </w:r>
      <w:r>
        <w:rPr>
          <w:rFonts w:cs="Arial"/>
          <w:sz w:val="16"/>
          <w:szCs w:val="16"/>
        </w:rPr>
        <w:t xml:space="preserve">(2012) </w:t>
      </w:r>
      <w:r w:rsidRPr="000F4C2A">
        <w:rPr>
          <w:rFonts w:cs="Arial"/>
          <w:sz w:val="16"/>
          <w:szCs w:val="16"/>
        </w:rPr>
        <w:t>Skills Shortage list.</w:t>
      </w:r>
      <w:proofErr w:type="gramEnd"/>
      <w:r w:rsidRPr="000F4C2A">
        <w:rPr>
          <w:rFonts w:cs="Arial"/>
          <w:sz w:val="16"/>
          <w:szCs w:val="16"/>
        </w:rPr>
        <w:t xml:space="preserve"> </w:t>
      </w:r>
      <w:r>
        <w:rPr>
          <w:rFonts w:cs="Arial"/>
          <w:sz w:val="16"/>
          <w:szCs w:val="16"/>
        </w:rPr>
        <w:t xml:space="preserve">Skill shortage definition from </w:t>
      </w:r>
      <w:r w:rsidRPr="000F4C2A">
        <w:rPr>
          <w:rFonts w:cs="Arial"/>
          <w:sz w:val="16"/>
          <w:szCs w:val="16"/>
        </w:rPr>
        <w:t>DEEWR Skills Shortage List</w:t>
      </w:r>
    </w:p>
  </w:footnote>
  <w:footnote w:id="15">
    <w:p w:rsidR="0033309A" w:rsidRPr="006D3158" w:rsidRDefault="0033309A" w:rsidP="00704EB3">
      <w:pPr>
        <w:pStyle w:val="FootnoteText"/>
        <w:rPr>
          <w:sz w:val="19"/>
          <w:szCs w:val="19"/>
        </w:rPr>
      </w:pPr>
      <w:r w:rsidRPr="006D3158">
        <w:rPr>
          <w:rStyle w:val="FootnoteReference"/>
          <w:sz w:val="19"/>
          <w:szCs w:val="19"/>
        </w:rPr>
        <w:footnoteRef/>
      </w:r>
      <w:r w:rsidRPr="006D3158">
        <w:rPr>
          <w:sz w:val="19"/>
          <w:szCs w:val="19"/>
        </w:rPr>
        <w:t xml:space="preserve"> </w:t>
      </w:r>
      <w:r w:rsidRPr="006D3158">
        <w:rPr>
          <w:rFonts w:cs="Arial"/>
          <w:sz w:val="19"/>
          <w:szCs w:val="19"/>
        </w:rPr>
        <w:t>Recognition of Current Competency (RCC) delivery has been included in this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09A" w:rsidRDefault="0033309A" w:rsidP="00DA3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09A" w:rsidRDefault="0033309A" w:rsidP="00DA3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09A" w:rsidRDefault="0033309A" w:rsidP="00DA35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09A" w:rsidRDefault="0033309A" w:rsidP="00DA3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0052BC"/>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FEBC05B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5D2F10"/>
    <w:multiLevelType w:val="hybridMultilevel"/>
    <w:tmpl w:val="49165EB8"/>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nsid w:val="04A31F73"/>
    <w:multiLevelType w:val="hybridMultilevel"/>
    <w:tmpl w:val="6EA66BFC"/>
    <w:lvl w:ilvl="0" w:tplc="2CD08EFA">
      <w:start w:val="1"/>
      <w:numFmt w:val="bullet"/>
      <w:lvlText w:val="•"/>
      <w:lvlJc w:val="left"/>
      <w:pPr>
        <w:tabs>
          <w:tab w:val="num" w:pos="720"/>
        </w:tabs>
        <w:ind w:left="720" w:hanging="360"/>
      </w:pPr>
      <w:rPr>
        <w:rFonts w:ascii="Times New Roman" w:hAnsi="Times New Roman" w:hint="default"/>
      </w:rPr>
    </w:lvl>
    <w:lvl w:ilvl="1" w:tplc="7AFE0166" w:tentative="1">
      <w:start w:val="1"/>
      <w:numFmt w:val="bullet"/>
      <w:lvlText w:val="•"/>
      <w:lvlJc w:val="left"/>
      <w:pPr>
        <w:tabs>
          <w:tab w:val="num" w:pos="1440"/>
        </w:tabs>
        <w:ind w:left="1440" w:hanging="360"/>
      </w:pPr>
      <w:rPr>
        <w:rFonts w:ascii="Times New Roman" w:hAnsi="Times New Roman" w:hint="default"/>
      </w:rPr>
    </w:lvl>
    <w:lvl w:ilvl="2" w:tplc="21BA4BA6" w:tentative="1">
      <w:start w:val="1"/>
      <w:numFmt w:val="bullet"/>
      <w:lvlText w:val="•"/>
      <w:lvlJc w:val="left"/>
      <w:pPr>
        <w:tabs>
          <w:tab w:val="num" w:pos="2160"/>
        </w:tabs>
        <w:ind w:left="2160" w:hanging="360"/>
      </w:pPr>
      <w:rPr>
        <w:rFonts w:ascii="Times New Roman" w:hAnsi="Times New Roman" w:hint="default"/>
      </w:rPr>
    </w:lvl>
    <w:lvl w:ilvl="3" w:tplc="B2D4E808" w:tentative="1">
      <w:start w:val="1"/>
      <w:numFmt w:val="bullet"/>
      <w:lvlText w:val="•"/>
      <w:lvlJc w:val="left"/>
      <w:pPr>
        <w:tabs>
          <w:tab w:val="num" w:pos="2880"/>
        </w:tabs>
        <w:ind w:left="2880" w:hanging="360"/>
      </w:pPr>
      <w:rPr>
        <w:rFonts w:ascii="Times New Roman" w:hAnsi="Times New Roman" w:hint="default"/>
      </w:rPr>
    </w:lvl>
    <w:lvl w:ilvl="4" w:tplc="2B3861D4" w:tentative="1">
      <w:start w:val="1"/>
      <w:numFmt w:val="bullet"/>
      <w:lvlText w:val="•"/>
      <w:lvlJc w:val="left"/>
      <w:pPr>
        <w:tabs>
          <w:tab w:val="num" w:pos="3600"/>
        </w:tabs>
        <w:ind w:left="3600" w:hanging="360"/>
      </w:pPr>
      <w:rPr>
        <w:rFonts w:ascii="Times New Roman" w:hAnsi="Times New Roman" w:hint="default"/>
      </w:rPr>
    </w:lvl>
    <w:lvl w:ilvl="5" w:tplc="64F8E8AA" w:tentative="1">
      <w:start w:val="1"/>
      <w:numFmt w:val="bullet"/>
      <w:lvlText w:val="•"/>
      <w:lvlJc w:val="left"/>
      <w:pPr>
        <w:tabs>
          <w:tab w:val="num" w:pos="4320"/>
        </w:tabs>
        <w:ind w:left="4320" w:hanging="360"/>
      </w:pPr>
      <w:rPr>
        <w:rFonts w:ascii="Times New Roman" w:hAnsi="Times New Roman" w:hint="default"/>
      </w:rPr>
    </w:lvl>
    <w:lvl w:ilvl="6" w:tplc="8730C73A" w:tentative="1">
      <w:start w:val="1"/>
      <w:numFmt w:val="bullet"/>
      <w:lvlText w:val="•"/>
      <w:lvlJc w:val="left"/>
      <w:pPr>
        <w:tabs>
          <w:tab w:val="num" w:pos="5040"/>
        </w:tabs>
        <w:ind w:left="5040" w:hanging="360"/>
      </w:pPr>
      <w:rPr>
        <w:rFonts w:ascii="Times New Roman" w:hAnsi="Times New Roman" w:hint="default"/>
      </w:rPr>
    </w:lvl>
    <w:lvl w:ilvl="7" w:tplc="B652F256" w:tentative="1">
      <w:start w:val="1"/>
      <w:numFmt w:val="bullet"/>
      <w:lvlText w:val="•"/>
      <w:lvlJc w:val="left"/>
      <w:pPr>
        <w:tabs>
          <w:tab w:val="num" w:pos="5760"/>
        </w:tabs>
        <w:ind w:left="5760" w:hanging="360"/>
      </w:pPr>
      <w:rPr>
        <w:rFonts w:ascii="Times New Roman" w:hAnsi="Times New Roman" w:hint="default"/>
      </w:rPr>
    </w:lvl>
    <w:lvl w:ilvl="8" w:tplc="6D0264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BB724E"/>
    <w:multiLevelType w:val="singleLevel"/>
    <w:tmpl w:val="44C80BCE"/>
    <w:lvl w:ilvl="0">
      <w:start w:val="1"/>
      <w:numFmt w:val="decimal"/>
      <w:lvlRestart w:val="0"/>
      <w:pStyle w:val="BriefDocParagraph"/>
      <w:lvlText w:val="%1."/>
      <w:lvlJc w:val="left"/>
      <w:pPr>
        <w:tabs>
          <w:tab w:val="num" w:pos="357"/>
        </w:tabs>
        <w:ind w:left="357" w:hanging="357"/>
      </w:pPr>
      <w:rPr>
        <w:rFonts w:hint="default"/>
        <w:b w:val="0"/>
        <w:i w:val="0"/>
        <w:color w:val="auto"/>
        <w:sz w:val="24"/>
        <w:u w:val="none"/>
      </w:rPr>
    </w:lvl>
  </w:abstractNum>
  <w:abstractNum w:abstractNumId="5">
    <w:nsid w:val="0B574815"/>
    <w:multiLevelType w:val="hybridMultilevel"/>
    <w:tmpl w:val="2A00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6D7450"/>
    <w:multiLevelType w:val="hybridMultilevel"/>
    <w:tmpl w:val="07E66244"/>
    <w:lvl w:ilvl="0" w:tplc="20EEAA70">
      <w:start w:val="1"/>
      <w:numFmt w:val="bullet"/>
      <w:lvlText w:val=""/>
      <w:lvlJc w:val="left"/>
      <w:pPr>
        <w:ind w:left="360" w:hanging="360"/>
      </w:pPr>
      <w:rPr>
        <w:rFonts w:ascii="Symbol" w:hAnsi="Symbol" w:hint="default"/>
        <w:b w:val="0"/>
        <w:i w:val="0"/>
        <w:color w:val="76923C" w:themeColor="accent3" w:themeShade="BF"/>
        <w:position w:val="2"/>
        <w:sz w:val="1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20B71D5"/>
    <w:multiLevelType w:val="hybridMultilevel"/>
    <w:tmpl w:val="83306846"/>
    <w:lvl w:ilvl="0" w:tplc="20EEAA70">
      <w:start w:val="1"/>
      <w:numFmt w:val="bullet"/>
      <w:lvlText w:val=""/>
      <w:lvlJc w:val="left"/>
      <w:pPr>
        <w:tabs>
          <w:tab w:val="num" w:pos="113"/>
        </w:tabs>
        <w:ind w:left="227" w:hanging="114"/>
      </w:pPr>
      <w:rPr>
        <w:rFonts w:ascii="Symbol" w:hAnsi="Symbol" w:hint="default"/>
        <w:b w:val="0"/>
        <w:i w:val="0"/>
        <w:color w:val="76923C" w:themeColor="accent3" w:themeShade="BF"/>
        <w:position w:val="2"/>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1A7638"/>
    <w:multiLevelType w:val="hybridMultilevel"/>
    <w:tmpl w:val="45ECC746"/>
    <w:lvl w:ilvl="0" w:tplc="81E80EA0">
      <w:start w:val="1"/>
      <w:numFmt w:val="bullet"/>
      <w:lvlText w:val="•"/>
      <w:lvlJc w:val="left"/>
      <w:pPr>
        <w:tabs>
          <w:tab w:val="num" w:pos="720"/>
        </w:tabs>
        <w:ind w:left="720" w:hanging="360"/>
      </w:pPr>
      <w:rPr>
        <w:rFonts w:ascii="Times New Roman" w:hAnsi="Times New Roman" w:hint="default"/>
      </w:rPr>
    </w:lvl>
    <w:lvl w:ilvl="1" w:tplc="8BDE6F60" w:tentative="1">
      <w:start w:val="1"/>
      <w:numFmt w:val="bullet"/>
      <w:lvlText w:val="•"/>
      <w:lvlJc w:val="left"/>
      <w:pPr>
        <w:tabs>
          <w:tab w:val="num" w:pos="1440"/>
        </w:tabs>
        <w:ind w:left="1440" w:hanging="360"/>
      </w:pPr>
      <w:rPr>
        <w:rFonts w:ascii="Times New Roman" w:hAnsi="Times New Roman" w:hint="default"/>
      </w:rPr>
    </w:lvl>
    <w:lvl w:ilvl="2" w:tplc="3E06E9C0" w:tentative="1">
      <w:start w:val="1"/>
      <w:numFmt w:val="bullet"/>
      <w:lvlText w:val="•"/>
      <w:lvlJc w:val="left"/>
      <w:pPr>
        <w:tabs>
          <w:tab w:val="num" w:pos="2160"/>
        </w:tabs>
        <w:ind w:left="2160" w:hanging="360"/>
      </w:pPr>
      <w:rPr>
        <w:rFonts w:ascii="Times New Roman" w:hAnsi="Times New Roman" w:hint="default"/>
      </w:rPr>
    </w:lvl>
    <w:lvl w:ilvl="3" w:tplc="EBD25BBA" w:tentative="1">
      <w:start w:val="1"/>
      <w:numFmt w:val="bullet"/>
      <w:lvlText w:val="•"/>
      <w:lvlJc w:val="left"/>
      <w:pPr>
        <w:tabs>
          <w:tab w:val="num" w:pos="2880"/>
        </w:tabs>
        <w:ind w:left="2880" w:hanging="360"/>
      </w:pPr>
      <w:rPr>
        <w:rFonts w:ascii="Times New Roman" w:hAnsi="Times New Roman" w:hint="default"/>
      </w:rPr>
    </w:lvl>
    <w:lvl w:ilvl="4" w:tplc="8A4870AE" w:tentative="1">
      <w:start w:val="1"/>
      <w:numFmt w:val="bullet"/>
      <w:lvlText w:val="•"/>
      <w:lvlJc w:val="left"/>
      <w:pPr>
        <w:tabs>
          <w:tab w:val="num" w:pos="3600"/>
        </w:tabs>
        <w:ind w:left="3600" w:hanging="360"/>
      </w:pPr>
      <w:rPr>
        <w:rFonts w:ascii="Times New Roman" w:hAnsi="Times New Roman" w:hint="default"/>
      </w:rPr>
    </w:lvl>
    <w:lvl w:ilvl="5" w:tplc="5D505802" w:tentative="1">
      <w:start w:val="1"/>
      <w:numFmt w:val="bullet"/>
      <w:lvlText w:val="•"/>
      <w:lvlJc w:val="left"/>
      <w:pPr>
        <w:tabs>
          <w:tab w:val="num" w:pos="4320"/>
        </w:tabs>
        <w:ind w:left="4320" w:hanging="360"/>
      </w:pPr>
      <w:rPr>
        <w:rFonts w:ascii="Times New Roman" w:hAnsi="Times New Roman" w:hint="default"/>
      </w:rPr>
    </w:lvl>
    <w:lvl w:ilvl="6" w:tplc="DF101FF4" w:tentative="1">
      <w:start w:val="1"/>
      <w:numFmt w:val="bullet"/>
      <w:lvlText w:val="•"/>
      <w:lvlJc w:val="left"/>
      <w:pPr>
        <w:tabs>
          <w:tab w:val="num" w:pos="5040"/>
        </w:tabs>
        <w:ind w:left="5040" w:hanging="360"/>
      </w:pPr>
      <w:rPr>
        <w:rFonts w:ascii="Times New Roman" w:hAnsi="Times New Roman" w:hint="default"/>
      </w:rPr>
    </w:lvl>
    <w:lvl w:ilvl="7" w:tplc="2B8273E4" w:tentative="1">
      <w:start w:val="1"/>
      <w:numFmt w:val="bullet"/>
      <w:lvlText w:val="•"/>
      <w:lvlJc w:val="left"/>
      <w:pPr>
        <w:tabs>
          <w:tab w:val="num" w:pos="5760"/>
        </w:tabs>
        <w:ind w:left="5760" w:hanging="360"/>
      </w:pPr>
      <w:rPr>
        <w:rFonts w:ascii="Times New Roman" w:hAnsi="Times New Roman" w:hint="default"/>
      </w:rPr>
    </w:lvl>
    <w:lvl w:ilvl="8" w:tplc="7954F5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AE3E56"/>
    <w:multiLevelType w:val="hybridMultilevel"/>
    <w:tmpl w:val="673E0E06"/>
    <w:lvl w:ilvl="0" w:tplc="20EEAA70">
      <w:start w:val="1"/>
      <w:numFmt w:val="bullet"/>
      <w:lvlText w:val=""/>
      <w:lvlJc w:val="left"/>
      <w:pPr>
        <w:tabs>
          <w:tab w:val="num" w:pos="113"/>
        </w:tabs>
        <w:ind w:left="227" w:hanging="114"/>
      </w:pPr>
      <w:rPr>
        <w:rFonts w:ascii="Symbol" w:hAnsi="Symbol" w:hint="default"/>
        <w:b w:val="0"/>
        <w:i w:val="0"/>
        <w:color w:val="76923C" w:themeColor="accent3" w:themeShade="BF"/>
        <w:position w:val="2"/>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5811D1"/>
    <w:multiLevelType w:val="hybridMultilevel"/>
    <w:tmpl w:val="5B2E8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F4E7F89"/>
    <w:multiLevelType w:val="hybridMultilevel"/>
    <w:tmpl w:val="41D873E2"/>
    <w:lvl w:ilvl="0" w:tplc="D38E9C94">
      <w:numFmt w:val="bullet"/>
      <w:lvlText w:val="•"/>
      <w:lvlJc w:val="left"/>
      <w:pPr>
        <w:ind w:left="1065" w:hanging="70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1F6908"/>
    <w:multiLevelType w:val="hybridMultilevel"/>
    <w:tmpl w:val="3536ADC6"/>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20EEAA70">
      <w:start w:val="1"/>
      <w:numFmt w:val="bullet"/>
      <w:lvlText w:val=""/>
      <w:lvlJc w:val="left"/>
      <w:pPr>
        <w:ind w:left="1193" w:hanging="360"/>
      </w:pPr>
      <w:rPr>
        <w:rFonts w:ascii="Symbol" w:hAnsi="Symbol" w:hint="default"/>
        <w:b w:val="0"/>
        <w:i w:val="0"/>
        <w:color w:val="76923C" w:themeColor="accent3" w:themeShade="BF"/>
        <w:position w:val="2"/>
        <w:sz w:val="14"/>
      </w:rPr>
    </w:lvl>
    <w:lvl w:ilvl="2" w:tplc="0C090005">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3">
    <w:nsid w:val="40BF23C5"/>
    <w:multiLevelType w:val="hybridMultilevel"/>
    <w:tmpl w:val="02FCBB1E"/>
    <w:lvl w:ilvl="0" w:tplc="20EEAA70">
      <w:start w:val="1"/>
      <w:numFmt w:val="bullet"/>
      <w:lvlText w:val=""/>
      <w:lvlJc w:val="left"/>
      <w:pPr>
        <w:ind w:left="360" w:hanging="360"/>
      </w:pPr>
      <w:rPr>
        <w:rFonts w:ascii="Symbol" w:hAnsi="Symbol" w:hint="default"/>
        <w:b w:val="0"/>
        <w:i w:val="0"/>
        <w:color w:val="76923C" w:themeColor="accent3" w:themeShade="BF"/>
        <w:position w:val="2"/>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5643F75"/>
    <w:multiLevelType w:val="hybridMultilevel"/>
    <w:tmpl w:val="546076AC"/>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
    <w:nsid w:val="456A41E7"/>
    <w:multiLevelType w:val="hybridMultilevel"/>
    <w:tmpl w:val="6ED08D44"/>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nsid w:val="49003FCC"/>
    <w:multiLevelType w:val="hybridMultilevel"/>
    <w:tmpl w:val="4C0E0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D14127"/>
    <w:multiLevelType w:val="hybridMultilevel"/>
    <w:tmpl w:val="86E0D002"/>
    <w:lvl w:ilvl="0" w:tplc="954AD51C">
      <w:start w:val="1"/>
      <w:numFmt w:val="bullet"/>
      <w:lvlText w:val="•"/>
      <w:lvlJc w:val="left"/>
      <w:pPr>
        <w:tabs>
          <w:tab w:val="num" w:pos="360"/>
        </w:tabs>
        <w:ind w:left="360" w:hanging="360"/>
      </w:pPr>
      <w:rPr>
        <w:rFonts w:ascii="Times New Roman" w:hAnsi="Times New Roman" w:hint="default"/>
      </w:rPr>
    </w:lvl>
    <w:lvl w:ilvl="1" w:tplc="17B03ABC" w:tentative="1">
      <w:start w:val="1"/>
      <w:numFmt w:val="bullet"/>
      <w:lvlText w:val="•"/>
      <w:lvlJc w:val="left"/>
      <w:pPr>
        <w:tabs>
          <w:tab w:val="num" w:pos="1080"/>
        </w:tabs>
        <w:ind w:left="1080" w:hanging="360"/>
      </w:pPr>
      <w:rPr>
        <w:rFonts w:ascii="Times New Roman" w:hAnsi="Times New Roman" w:hint="default"/>
      </w:rPr>
    </w:lvl>
    <w:lvl w:ilvl="2" w:tplc="C2420ACC" w:tentative="1">
      <w:start w:val="1"/>
      <w:numFmt w:val="bullet"/>
      <w:lvlText w:val="•"/>
      <w:lvlJc w:val="left"/>
      <w:pPr>
        <w:tabs>
          <w:tab w:val="num" w:pos="1800"/>
        </w:tabs>
        <w:ind w:left="1800" w:hanging="360"/>
      </w:pPr>
      <w:rPr>
        <w:rFonts w:ascii="Times New Roman" w:hAnsi="Times New Roman" w:hint="default"/>
      </w:rPr>
    </w:lvl>
    <w:lvl w:ilvl="3" w:tplc="8110A8C6" w:tentative="1">
      <w:start w:val="1"/>
      <w:numFmt w:val="bullet"/>
      <w:lvlText w:val="•"/>
      <w:lvlJc w:val="left"/>
      <w:pPr>
        <w:tabs>
          <w:tab w:val="num" w:pos="2520"/>
        </w:tabs>
        <w:ind w:left="2520" w:hanging="360"/>
      </w:pPr>
      <w:rPr>
        <w:rFonts w:ascii="Times New Roman" w:hAnsi="Times New Roman" w:hint="default"/>
      </w:rPr>
    </w:lvl>
    <w:lvl w:ilvl="4" w:tplc="5380EEC8" w:tentative="1">
      <w:start w:val="1"/>
      <w:numFmt w:val="bullet"/>
      <w:lvlText w:val="•"/>
      <w:lvlJc w:val="left"/>
      <w:pPr>
        <w:tabs>
          <w:tab w:val="num" w:pos="3240"/>
        </w:tabs>
        <w:ind w:left="3240" w:hanging="360"/>
      </w:pPr>
      <w:rPr>
        <w:rFonts w:ascii="Times New Roman" w:hAnsi="Times New Roman" w:hint="default"/>
      </w:rPr>
    </w:lvl>
    <w:lvl w:ilvl="5" w:tplc="1D326E98" w:tentative="1">
      <w:start w:val="1"/>
      <w:numFmt w:val="bullet"/>
      <w:lvlText w:val="•"/>
      <w:lvlJc w:val="left"/>
      <w:pPr>
        <w:tabs>
          <w:tab w:val="num" w:pos="3960"/>
        </w:tabs>
        <w:ind w:left="3960" w:hanging="360"/>
      </w:pPr>
      <w:rPr>
        <w:rFonts w:ascii="Times New Roman" w:hAnsi="Times New Roman" w:hint="default"/>
      </w:rPr>
    </w:lvl>
    <w:lvl w:ilvl="6" w:tplc="14A454EE" w:tentative="1">
      <w:start w:val="1"/>
      <w:numFmt w:val="bullet"/>
      <w:lvlText w:val="•"/>
      <w:lvlJc w:val="left"/>
      <w:pPr>
        <w:tabs>
          <w:tab w:val="num" w:pos="4680"/>
        </w:tabs>
        <w:ind w:left="4680" w:hanging="360"/>
      </w:pPr>
      <w:rPr>
        <w:rFonts w:ascii="Times New Roman" w:hAnsi="Times New Roman" w:hint="default"/>
      </w:rPr>
    </w:lvl>
    <w:lvl w:ilvl="7" w:tplc="C59A2FA2" w:tentative="1">
      <w:start w:val="1"/>
      <w:numFmt w:val="bullet"/>
      <w:lvlText w:val="•"/>
      <w:lvlJc w:val="left"/>
      <w:pPr>
        <w:tabs>
          <w:tab w:val="num" w:pos="5400"/>
        </w:tabs>
        <w:ind w:left="5400" w:hanging="360"/>
      </w:pPr>
      <w:rPr>
        <w:rFonts w:ascii="Times New Roman" w:hAnsi="Times New Roman" w:hint="default"/>
      </w:rPr>
    </w:lvl>
    <w:lvl w:ilvl="8" w:tplc="B6183222" w:tentative="1">
      <w:start w:val="1"/>
      <w:numFmt w:val="bullet"/>
      <w:lvlText w:val="•"/>
      <w:lvlJc w:val="left"/>
      <w:pPr>
        <w:tabs>
          <w:tab w:val="num" w:pos="6120"/>
        </w:tabs>
        <w:ind w:left="6120" w:hanging="360"/>
      </w:pPr>
      <w:rPr>
        <w:rFonts w:ascii="Times New Roman" w:hAnsi="Times New Roman" w:hint="default"/>
      </w:rPr>
    </w:lvl>
  </w:abstractNum>
  <w:abstractNum w:abstractNumId="18">
    <w:nsid w:val="4FEB32A5"/>
    <w:multiLevelType w:val="hybridMultilevel"/>
    <w:tmpl w:val="4E4C12E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2B5ED1"/>
    <w:multiLevelType w:val="hybridMultilevel"/>
    <w:tmpl w:val="93BE8D3A"/>
    <w:lvl w:ilvl="0" w:tplc="20EEAA70">
      <w:start w:val="1"/>
      <w:numFmt w:val="bullet"/>
      <w:lvlText w:val=""/>
      <w:lvlJc w:val="left"/>
      <w:pPr>
        <w:ind w:left="357" w:hanging="357"/>
      </w:pPr>
      <w:rPr>
        <w:rFonts w:ascii="Symbol" w:hAnsi="Symbol" w:hint="default"/>
        <w:b w:val="0"/>
        <w:i w:val="0"/>
        <w:color w:val="76923C" w:themeColor="accent3" w:themeShade="BF"/>
        <w:position w:val="2"/>
        <w:sz w:val="1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08C2EDA"/>
    <w:multiLevelType w:val="hybridMultilevel"/>
    <w:tmpl w:val="455E876C"/>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1">
    <w:nsid w:val="611237DD"/>
    <w:multiLevelType w:val="hybridMultilevel"/>
    <w:tmpl w:val="933CE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CD58E0"/>
    <w:multiLevelType w:val="hybridMultilevel"/>
    <w:tmpl w:val="56DEE04A"/>
    <w:lvl w:ilvl="0" w:tplc="A18CF4FE">
      <w:start w:val="1"/>
      <w:numFmt w:val="bullet"/>
      <w:lvlText w:val=""/>
      <w:lvlJc w:val="left"/>
      <w:pPr>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C361547"/>
    <w:multiLevelType w:val="hybridMultilevel"/>
    <w:tmpl w:val="189C7528"/>
    <w:lvl w:ilvl="0" w:tplc="A18CF4FE">
      <w:start w:val="1"/>
      <w:numFmt w:val="bullet"/>
      <w:lvlText w:val=""/>
      <w:lvlJc w:val="left"/>
      <w:pPr>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2143DFC"/>
    <w:multiLevelType w:val="hybridMultilevel"/>
    <w:tmpl w:val="ABA2D370"/>
    <w:lvl w:ilvl="0" w:tplc="FFFFFFFF">
      <w:start w:val="1"/>
      <w:numFmt w:val="bullet"/>
      <w:pStyle w:val="Bulletlist"/>
      <w:lvlText w:val=""/>
      <w:lvlJc w:val="left"/>
      <w:pPr>
        <w:ind w:left="35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75627089"/>
    <w:multiLevelType w:val="hybridMultilevel"/>
    <w:tmpl w:val="EBAEF9F8"/>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6">
    <w:nsid w:val="77543155"/>
    <w:multiLevelType w:val="hybridMultilevel"/>
    <w:tmpl w:val="9C7E3D4A"/>
    <w:lvl w:ilvl="0" w:tplc="20EEAA70">
      <w:start w:val="1"/>
      <w:numFmt w:val="bullet"/>
      <w:lvlText w:val=""/>
      <w:lvlJc w:val="left"/>
      <w:pPr>
        <w:tabs>
          <w:tab w:val="num" w:pos="113"/>
        </w:tabs>
        <w:ind w:left="227" w:hanging="114"/>
      </w:pPr>
      <w:rPr>
        <w:rFonts w:ascii="Symbol" w:hAnsi="Symbol" w:hint="default"/>
        <w:b w:val="0"/>
        <w:i w:val="0"/>
        <w:color w:val="76923C" w:themeColor="accent3" w:themeShade="BF"/>
        <w:position w:val="2"/>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6C29DC"/>
    <w:multiLevelType w:val="hybridMultilevel"/>
    <w:tmpl w:val="C1962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67597F"/>
    <w:multiLevelType w:val="hybridMultilevel"/>
    <w:tmpl w:val="299E1C40"/>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9">
    <w:nsid w:val="795B5D29"/>
    <w:multiLevelType w:val="hybridMultilevel"/>
    <w:tmpl w:val="540A892C"/>
    <w:lvl w:ilvl="0" w:tplc="BF14EB0C">
      <w:start w:val="1"/>
      <w:numFmt w:val="bullet"/>
      <w:lvlText w:val="•"/>
      <w:lvlJc w:val="left"/>
      <w:pPr>
        <w:tabs>
          <w:tab w:val="num" w:pos="720"/>
        </w:tabs>
        <w:ind w:left="720" w:hanging="360"/>
      </w:pPr>
      <w:rPr>
        <w:rFonts w:ascii="Times New Roman" w:hAnsi="Times New Roman" w:hint="default"/>
      </w:rPr>
    </w:lvl>
    <w:lvl w:ilvl="1" w:tplc="BB764768" w:tentative="1">
      <w:start w:val="1"/>
      <w:numFmt w:val="bullet"/>
      <w:lvlText w:val="•"/>
      <w:lvlJc w:val="left"/>
      <w:pPr>
        <w:tabs>
          <w:tab w:val="num" w:pos="1440"/>
        </w:tabs>
        <w:ind w:left="1440" w:hanging="360"/>
      </w:pPr>
      <w:rPr>
        <w:rFonts w:ascii="Times New Roman" w:hAnsi="Times New Roman" w:hint="default"/>
      </w:rPr>
    </w:lvl>
    <w:lvl w:ilvl="2" w:tplc="D444EB50" w:tentative="1">
      <w:start w:val="1"/>
      <w:numFmt w:val="bullet"/>
      <w:lvlText w:val="•"/>
      <w:lvlJc w:val="left"/>
      <w:pPr>
        <w:tabs>
          <w:tab w:val="num" w:pos="2160"/>
        </w:tabs>
        <w:ind w:left="2160" w:hanging="360"/>
      </w:pPr>
      <w:rPr>
        <w:rFonts w:ascii="Times New Roman" w:hAnsi="Times New Roman" w:hint="default"/>
      </w:rPr>
    </w:lvl>
    <w:lvl w:ilvl="3" w:tplc="DB2CD5CA" w:tentative="1">
      <w:start w:val="1"/>
      <w:numFmt w:val="bullet"/>
      <w:lvlText w:val="•"/>
      <w:lvlJc w:val="left"/>
      <w:pPr>
        <w:tabs>
          <w:tab w:val="num" w:pos="2880"/>
        </w:tabs>
        <w:ind w:left="2880" w:hanging="360"/>
      </w:pPr>
      <w:rPr>
        <w:rFonts w:ascii="Times New Roman" w:hAnsi="Times New Roman" w:hint="default"/>
      </w:rPr>
    </w:lvl>
    <w:lvl w:ilvl="4" w:tplc="56F2DCE2" w:tentative="1">
      <w:start w:val="1"/>
      <w:numFmt w:val="bullet"/>
      <w:lvlText w:val="•"/>
      <w:lvlJc w:val="left"/>
      <w:pPr>
        <w:tabs>
          <w:tab w:val="num" w:pos="3600"/>
        </w:tabs>
        <w:ind w:left="3600" w:hanging="360"/>
      </w:pPr>
      <w:rPr>
        <w:rFonts w:ascii="Times New Roman" w:hAnsi="Times New Roman" w:hint="default"/>
      </w:rPr>
    </w:lvl>
    <w:lvl w:ilvl="5" w:tplc="77A8FA78" w:tentative="1">
      <w:start w:val="1"/>
      <w:numFmt w:val="bullet"/>
      <w:lvlText w:val="•"/>
      <w:lvlJc w:val="left"/>
      <w:pPr>
        <w:tabs>
          <w:tab w:val="num" w:pos="4320"/>
        </w:tabs>
        <w:ind w:left="4320" w:hanging="360"/>
      </w:pPr>
      <w:rPr>
        <w:rFonts w:ascii="Times New Roman" w:hAnsi="Times New Roman" w:hint="default"/>
      </w:rPr>
    </w:lvl>
    <w:lvl w:ilvl="6" w:tplc="98B2522E" w:tentative="1">
      <w:start w:val="1"/>
      <w:numFmt w:val="bullet"/>
      <w:lvlText w:val="•"/>
      <w:lvlJc w:val="left"/>
      <w:pPr>
        <w:tabs>
          <w:tab w:val="num" w:pos="5040"/>
        </w:tabs>
        <w:ind w:left="5040" w:hanging="360"/>
      </w:pPr>
      <w:rPr>
        <w:rFonts w:ascii="Times New Roman" w:hAnsi="Times New Roman" w:hint="default"/>
      </w:rPr>
    </w:lvl>
    <w:lvl w:ilvl="7" w:tplc="22D81398" w:tentative="1">
      <w:start w:val="1"/>
      <w:numFmt w:val="bullet"/>
      <w:lvlText w:val="•"/>
      <w:lvlJc w:val="left"/>
      <w:pPr>
        <w:tabs>
          <w:tab w:val="num" w:pos="5760"/>
        </w:tabs>
        <w:ind w:left="5760" w:hanging="360"/>
      </w:pPr>
      <w:rPr>
        <w:rFonts w:ascii="Times New Roman" w:hAnsi="Times New Roman" w:hint="default"/>
      </w:rPr>
    </w:lvl>
    <w:lvl w:ilvl="8" w:tplc="1E061B0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A3D4339"/>
    <w:multiLevelType w:val="hybridMultilevel"/>
    <w:tmpl w:val="40543132"/>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0"/>
  </w:num>
  <w:num w:numId="2">
    <w:abstractNumId w:val="1"/>
  </w:num>
  <w:num w:numId="3">
    <w:abstractNumId w:val="24"/>
  </w:num>
  <w:num w:numId="4">
    <w:abstractNumId w:val="4"/>
  </w:num>
  <w:num w:numId="5">
    <w:abstractNumId w:val="20"/>
  </w:num>
  <w:num w:numId="6">
    <w:abstractNumId w:val="30"/>
  </w:num>
  <w:num w:numId="7">
    <w:abstractNumId w:val="25"/>
  </w:num>
  <w:num w:numId="8">
    <w:abstractNumId w:val="15"/>
  </w:num>
  <w:num w:numId="9">
    <w:abstractNumId w:val="28"/>
  </w:num>
  <w:num w:numId="10">
    <w:abstractNumId w:val="14"/>
  </w:num>
  <w:num w:numId="11">
    <w:abstractNumId w:val="2"/>
  </w:num>
  <w:num w:numId="12">
    <w:abstractNumId w:val="18"/>
  </w:num>
  <w:num w:numId="13">
    <w:abstractNumId w:val="26"/>
  </w:num>
  <w:num w:numId="14">
    <w:abstractNumId w:val="12"/>
  </w:num>
  <w:num w:numId="15">
    <w:abstractNumId w:val="17"/>
  </w:num>
  <w:num w:numId="16">
    <w:abstractNumId w:val="8"/>
  </w:num>
  <w:num w:numId="17">
    <w:abstractNumId w:val="3"/>
  </w:num>
  <w:num w:numId="18">
    <w:abstractNumId w:val="29"/>
  </w:num>
  <w:num w:numId="19">
    <w:abstractNumId w:val="14"/>
  </w:num>
  <w:num w:numId="20">
    <w:abstractNumId w:val="21"/>
  </w:num>
  <w:num w:numId="21">
    <w:abstractNumId w:val="7"/>
  </w:num>
  <w:num w:numId="22">
    <w:abstractNumId w:val="9"/>
  </w:num>
  <w:num w:numId="23">
    <w:abstractNumId w:val="1"/>
  </w:num>
  <w:num w:numId="24">
    <w:abstractNumId w:val="1"/>
  </w:num>
  <w:num w:numId="25">
    <w:abstractNumId w:val="1"/>
  </w:num>
  <w:num w:numId="26">
    <w:abstractNumId w:val="27"/>
  </w:num>
  <w:num w:numId="27">
    <w:abstractNumId w:val="16"/>
  </w:num>
  <w:num w:numId="28">
    <w:abstractNumId w:val="1"/>
  </w:num>
  <w:num w:numId="29">
    <w:abstractNumId w:val="5"/>
  </w:num>
  <w:num w:numId="30">
    <w:abstractNumId w:val="11"/>
  </w:num>
  <w:num w:numId="31">
    <w:abstractNumId w:val="22"/>
  </w:num>
  <w:num w:numId="32">
    <w:abstractNumId w:val="23"/>
  </w:num>
  <w:num w:numId="33">
    <w:abstractNumId w:val="19"/>
  </w:num>
  <w:num w:numId="34">
    <w:abstractNumId w:val="10"/>
  </w:num>
  <w:num w:numId="35">
    <w:abstractNumId w:val="6"/>
  </w:num>
  <w:num w:numId="36">
    <w:abstractNumId w:val="13"/>
  </w:num>
  <w:num w:numId="3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evenAndOddHeaders/>
  <w:characterSpacingControl w:val="doNotCompress"/>
  <w:hdrShapeDefaults>
    <o:shapedefaults v:ext="edit" spidmax="20481">
      <o:colormru v:ext="edit" colors="#06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 w:name="Start" w:val="Empty"/>
  </w:docVars>
  <w:rsids>
    <w:rsidRoot w:val="00E41976"/>
    <w:rsid w:val="0000098C"/>
    <w:rsid w:val="00000D0B"/>
    <w:rsid w:val="000013BE"/>
    <w:rsid w:val="00001AF8"/>
    <w:rsid w:val="000021B0"/>
    <w:rsid w:val="000031E0"/>
    <w:rsid w:val="00003327"/>
    <w:rsid w:val="0000359A"/>
    <w:rsid w:val="0000436D"/>
    <w:rsid w:val="00004483"/>
    <w:rsid w:val="0000472C"/>
    <w:rsid w:val="00004E42"/>
    <w:rsid w:val="0000518C"/>
    <w:rsid w:val="000051A6"/>
    <w:rsid w:val="00005927"/>
    <w:rsid w:val="00005DDA"/>
    <w:rsid w:val="00005FBF"/>
    <w:rsid w:val="000073D9"/>
    <w:rsid w:val="00007B81"/>
    <w:rsid w:val="00010F3E"/>
    <w:rsid w:val="000115DF"/>
    <w:rsid w:val="00011895"/>
    <w:rsid w:val="000118FF"/>
    <w:rsid w:val="00011BFC"/>
    <w:rsid w:val="0001237D"/>
    <w:rsid w:val="00012B40"/>
    <w:rsid w:val="00012FB0"/>
    <w:rsid w:val="00013468"/>
    <w:rsid w:val="00013743"/>
    <w:rsid w:val="00013913"/>
    <w:rsid w:val="00013E21"/>
    <w:rsid w:val="00013E95"/>
    <w:rsid w:val="0001470B"/>
    <w:rsid w:val="00014D81"/>
    <w:rsid w:val="00014EAE"/>
    <w:rsid w:val="00015123"/>
    <w:rsid w:val="0001546F"/>
    <w:rsid w:val="000164CE"/>
    <w:rsid w:val="00016659"/>
    <w:rsid w:val="00016C10"/>
    <w:rsid w:val="00016E03"/>
    <w:rsid w:val="0001799B"/>
    <w:rsid w:val="00017A72"/>
    <w:rsid w:val="00020073"/>
    <w:rsid w:val="00020126"/>
    <w:rsid w:val="00020431"/>
    <w:rsid w:val="000205D5"/>
    <w:rsid w:val="0002073E"/>
    <w:rsid w:val="00021F8F"/>
    <w:rsid w:val="00022B50"/>
    <w:rsid w:val="00022DA7"/>
    <w:rsid w:val="000230B8"/>
    <w:rsid w:val="000230C3"/>
    <w:rsid w:val="00023385"/>
    <w:rsid w:val="000233EF"/>
    <w:rsid w:val="0002436A"/>
    <w:rsid w:val="00024645"/>
    <w:rsid w:val="00024755"/>
    <w:rsid w:val="00024CC6"/>
    <w:rsid w:val="000251FC"/>
    <w:rsid w:val="00025B97"/>
    <w:rsid w:val="0002637D"/>
    <w:rsid w:val="00026A86"/>
    <w:rsid w:val="00026B5B"/>
    <w:rsid w:val="00026DD0"/>
    <w:rsid w:val="000277CB"/>
    <w:rsid w:val="00027D3F"/>
    <w:rsid w:val="000301A6"/>
    <w:rsid w:val="000306CE"/>
    <w:rsid w:val="000315BF"/>
    <w:rsid w:val="00031A06"/>
    <w:rsid w:val="00032139"/>
    <w:rsid w:val="0003260C"/>
    <w:rsid w:val="00032693"/>
    <w:rsid w:val="00032D7D"/>
    <w:rsid w:val="000331E2"/>
    <w:rsid w:val="00033943"/>
    <w:rsid w:val="00033B5A"/>
    <w:rsid w:val="000344F2"/>
    <w:rsid w:val="000344F3"/>
    <w:rsid w:val="00035605"/>
    <w:rsid w:val="000359AF"/>
    <w:rsid w:val="00036337"/>
    <w:rsid w:val="00036B5A"/>
    <w:rsid w:val="00037113"/>
    <w:rsid w:val="00037144"/>
    <w:rsid w:val="00037779"/>
    <w:rsid w:val="00037C64"/>
    <w:rsid w:val="00037C6F"/>
    <w:rsid w:val="00037E8F"/>
    <w:rsid w:val="00040D76"/>
    <w:rsid w:val="00040DBD"/>
    <w:rsid w:val="000412CE"/>
    <w:rsid w:val="00041DB5"/>
    <w:rsid w:val="000427B9"/>
    <w:rsid w:val="000431BC"/>
    <w:rsid w:val="00044069"/>
    <w:rsid w:val="000445B3"/>
    <w:rsid w:val="0004488C"/>
    <w:rsid w:val="000448F9"/>
    <w:rsid w:val="00044D34"/>
    <w:rsid w:val="00045F0C"/>
    <w:rsid w:val="00047964"/>
    <w:rsid w:val="00047DB1"/>
    <w:rsid w:val="00047E08"/>
    <w:rsid w:val="00050691"/>
    <w:rsid w:val="00050AA4"/>
    <w:rsid w:val="00050F2B"/>
    <w:rsid w:val="00051C70"/>
    <w:rsid w:val="000530F2"/>
    <w:rsid w:val="000533B6"/>
    <w:rsid w:val="00053D88"/>
    <w:rsid w:val="00053F25"/>
    <w:rsid w:val="000542B4"/>
    <w:rsid w:val="000542BE"/>
    <w:rsid w:val="000544B0"/>
    <w:rsid w:val="00054902"/>
    <w:rsid w:val="00054966"/>
    <w:rsid w:val="00055674"/>
    <w:rsid w:val="000558AC"/>
    <w:rsid w:val="00055924"/>
    <w:rsid w:val="000567FF"/>
    <w:rsid w:val="00056B6C"/>
    <w:rsid w:val="000570D2"/>
    <w:rsid w:val="000609C4"/>
    <w:rsid w:val="00060FF1"/>
    <w:rsid w:val="0006144D"/>
    <w:rsid w:val="000624ED"/>
    <w:rsid w:val="00062501"/>
    <w:rsid w:val="0006334B"/>
    <w:rsid w:val="00063DD4"/>
    <w:rsid w:val="00064D9F"/>
    <w:rsid w:val="000650E9"/>
    <w:rsid w:val="0006608D"/>
    <w:rsid w:val="00066151"/>
    <w:rsid w:val="00066191"/>
    <w:rsid w:val="000670AF"/>
    <w:rsid w:val="000674EA"/>
    <w:rsid w:val="00070701"/>
    <w:rsid w:val="0007086C"/>
    <w:rsid w:val="00070EAA"/>
    <w:rsid w:val="00070FBB"/>
    <w:rsid w:val="00071BF5"/>
    <w:rsid w:val="00071E33"/>
    <w:rsid w:val="000723D7"/>
    <w:rsid w:val="0007240D"/>
    <w:rsid w:val="00072C85"/>
    <w:rsid w:val="00072E45"/>
    <w:rsid w:val="00073D30"/>
    <w:rsid w:val="0007417A"/>
    <w:rsid w:val="00074714"/>
    <w:rsid w:val="00075AE3"/>
    <w:rsid w:val="00076DD0"/>
    <w:rsid w:val="000778DC"/>
    <w:rsid w:val="00077C86"/>
    <w:rsid w:val="0008040B"/>
    <w:rsid w:val="00080CBB"/>
    <w:rsid w:val="00081678"/>
    <w:rsid w:val="00082870"/>
    <w:rsid w:val="00082ACB"/>
    <w:rsid w:val="00082BDC"/>
    <w:rsid w:val="00082F7C"/>
    <w:rsid w:val="000834AF"/>
    <w:rsid w:val="0008362A"/>
    <w:rsid w:val="00083B2E"/>
    <w:rsid w:val="00084502"/>
    <w:rsid w:val="000845E1"/>
    <w:rsid w:val="00085687"/>
    <w:rsid w:val="00085CA6"/>
    <w:rsid w:val="00085E8F"/>
    <w:rsid w:val="000866DB"/>
    <w:rsid w:val="00086B12"/>
    <w:rsid w:val="00086BD6"/>
    <w:rsid w:val="00086C04"/>
    <w:rsid w:val="00086DCD"/>
    <w:rsid w:val="0008714D"/>
    <w:rsid w:val="000874CB"/>
    <w:rsid w:val="0008750F"/>
    <w:rsid w:val="00090411"/>
    <w:rsid w:val="000904E5"/>
    <w:rsid w:val="0009295E"/>
    <w:rsid w:val="00092C2D"/>
    <w:rsid w:val="00093CFF"/>
    <w:rsid w:val="00093E20"/>
    <w:rsid w:val="00094060"/>
    <w:rsid w:val="00094B22"/>
    <w:rsid w:val="00094B73"/>
    <w:rsid w:val="00094C6E"/>
    <w:rsid w:val="0009522F"/>
    <w:rsid w:val="000952D6"/>
    <w:rsid w:val="000955C5"/>
    <w:rsid w:val="00095642"/>
    <w:rsid w:val="000957B5"/>
    <w:rsid w:val="00095D34"/>
    <w:rsid w:val="00095DBA"/>
    <w:rsid w:val="00096336"/>
    <w:rsid w:val="0009644C"/>
    <w:rsid w:val="00096914"/>
    <w:rsid w:val="00097A9E"/>
    <w:rsid w:val="000A01B4"/>
    <w:rsid w:val="000A0792"/>
    <w:rsid w:val="000A0CD0"/>
    <w:rsid w:val="000A12B3"/>
    <w:rsid w:val="000A1309"/>
    <w:rsid w:val="000A13A9"/>
    <w:rsid w:val="000A1523"/>
    <w:rsid w:val="000A191D"/>
    <w:rsid w:val="000A1C0E"/>
    <w:rsid w:val="000A263E"/>
    <w:rsid w:val="000A28E5"/>
    <w:rsid w:val="000A2BB1"/>
    <w:rsid w:val="000A3827"/>
    <w:rsid w:val="000A41E2"/>
    <w:rsid w:val="000A4428"/>
    <w:rsid w:val="000A4698"/>
    <w:rsid w:val="000A4E9B"/>
    <w:rsid w:val="000A4EAE"/>
    <w:rsid w:val="000A532A"/>
    <w:rsid w:val="000A5C0F"/>
    <w:rsid w:val="000A5C66"/>
    <w:rsid w:val="000B0008"/>
    <w:rsid w:val="000B07A1"/>
    <w:rsid w:val="000B0828"/>
    <w:rsid w:val="000B14A5"/>
    <w:rsid w:val="000B1BA6"/>
    <w:rsid w:val="000B1CF3"/>
    <w:rsid w:val="000B1EBC"/>
    <w:rsid w:val="000B208D"/>
    <w:rsid w:val="000B20BC"/>
    <w:rsid w:val="000B242F"/>
    <w:rsid w:val="000B3520"/>
    <w:rsid w:val="000B4033"/>
    <w:rsid w:val="000B4E4D"/>
    <w:rsid w:val="000B5151"/>
    <w:rsid w:val="000B5179"/>
    <w:rsid w:val="000B5372"/>
    <w:rsid w:val="000B5A60"/>
    <w:rsid w:val="000B63C6"/>
    <w:rsid w:val="000B6438"/>
    <w:rsid w:val="000B696B"/>
    <w:rsid w:val="000B7190"/>
    <w:rsid w:val="000B7B43"/>
    <w:rsid w:val="000B7EA5"/>
    <w:rsid w:val="000C0342"/>
    <w:rsid w:val="000C0A2C"/>
    <w:rsid w:val="000C0A7E"/>
    <w:rsid w:val="000C0C5B"/>
    <w:rsid w:val="000C1100"/>
    <w:rsid w:val="000C1529"/>
    <w:rsid w:val="000C18FC"/>
    <w:rsid w:val="000C193A"/>
    <w:rsid w:val="000C1BAF"/>
    <w:rsid w:val="000C1E17"/>
    <w:rsid w:val="000C1F9E"/>
    <w:rsid w:val="000C24B9"/>
    <w:rsid w:val="000C24FB"/>
    <w:rsid w:val="000C300D"/>
    <w:rsid w:val="000C304F"/>
    <w:rsid w:val="000C3C27"/>
    <w:rsid w:val="000C4238"/>
    <w:rsid w:val="000C5656"/>
    <w:rsid w:val="000C6A8B"/>
    <w:rsid w:val="000C6DE2"/>
    <w:rsid w:val="000C7B63"/>
    <w:rsid w:val="000D002C"/>
    <w:rsid w:val="000D0125"/>
    <w:rsid w:val="000D0131"/>
    <w:rsid w:val="000D0F9F"/>
    <w:rsid w:val="000D120A"/>
    <w:rsid w:val="000D1845"/>
    <w:rsid w:val="000D1C15"/>
    <w:rsid w:val="000D1D4F"/>
    <w:rsid w:val="000D26FA"/>
    <w:rsid w:val="000D2D76"/>
    <w:rsid w:val="000D2E28"/>
    <w:rsid w:val="000D3829"/>
    <w:rsid w:val="000D3D11"/>
    <w:rsid w:val="000D42D3"/>
    <w:rsid w:val="000D4602"/>
    <w:rsid w:val="000D4779"/>
    <w:rsid w:val="000D4AE8"/>
    <w:rsid w:val="000D4DEB"/>
    <w:rsid w:val="000D52DF"/>
    <w:rsid w:val="000D5764"/>
    <w:rsid w:val="000D5B80"/>
    <w:rsid w:val="000D61CA"/>
    <w:rsid w:val="000D631F"/>
    <w:rsid w:val="000D64A6"/>
    <w:rsid w:val="000D650C"/>
    <w:rsid w:val="000D6B2B"/>
    <w:rsid w:val="000D6F19"/>
    <w:rsid w:val="000D715B"/>
    <w:rsid w:val="000D7B6E"/>
    <w:rsid w:val="000E03AA"/>
    <w:rsid w:val="000E0614"/>
    <w:rsid w:val="000E15F7"/>
    <w:rsid w:val="000E1C05"/>
    <w:rsid w:val="000E25CF"/>
    <w:rsid w:val="000E296F"/>
    <w:rsid w:val="000E3652"/>
    <w:rsid w:val="000E3913"/>
    <w:rsid w:val="000E5201"/>
    <w:rsid w:val="000E5DF4"/>
    <w:rsid w:val="000E6E19"/>
    <w:rsid w:val="000E6E8E"/>
    <w:rsid w:val="000E7B52"/>
    <w:rsid w:val="000F07BC"/>
    <w:rsid w:val="000F0ED1"/>
    <w:rsid w:val="000F178B"/>
    <w:rsid w:val="000F191C"/>
    <w:rsid w:val="000F2173"/>
    <w:rsid w:val="000F2294"/>
    <w:rsid w:val="000F22B6"/>
    <w:rsid w:val="000F2336"/>
    <w:rsid w:val="000F2530"/>
    <w:rsid w:val="000F39A1"/>
    <w:rsid w:val="000F39CF"/>
    <w:rsid w:val="000F3BC9"/>
    <w:rsid w:val="000F3E83"/>
    <w:rsid w:val="000F44E9"/>
    <w:rsid w:val="000F48FE"/>
    <w:rsid w:val="000F4DDF"/>
    <w:rsid w:val="000F5582"/>
    <w:rsid w:val="000F5F74"/>
    <w:rsid w:val="000F62B7"/>
    <w:rsid w:val="000F68F8"/>
    <w:rsid w:val="000F6D76"/>
    <w:rsid w:val="000F759A"/>
    <w:rsid w:val="000F7F86"/>
    <w:rsid w:val="00100278"/>
    <w:rsid w:val="0010054C"/>
    <w:rsid w:val="0010169A"/>
    <w:rsid w:val="0010227E"/>
    <w:rsid w:val="00102584"/>
    <w:rsid w:val="001026CE"/>
    <w:rsid w:val="001035B5"/>
    <w:rsid w:val="0010392D"/>
    <w:rsid w:val="00103B14"/>
    <w:rsid w:val="00104DDF"/>
    <w:rsid w:val="00105985"/>
    <w:rsid w:val="00105A2F"/>
    <w:rsid w:val="00105B25"/>
    <w:rsid w:val="00105BAB"/>
    <w:rsid w:val="0010680B"/>
    <w:rsid w:val="00106E8B"/>
    <w:rsid w:val="001070D0"/>
    <w:rsid w:val="001101DB"/>
    <w:rsid w:val="001105A0"/>
    <w:rsid w:val="001108B4"/>
    <w:rsid w:val="001110D9"/>
    <w:rsid w:val="001113D9"/>
    <w:rsid w:val="00111F04"/>
    <w:rsid w:val="00112881"/>
    <w:rsid w:val="00113117"/>
    <w:rsid w:val="001132E2"/>
    <w:rsid w:val="001134F7"/>
    <w:rsid w:val="00113C7D"/>
    <w:rsid w:val="00113E2F"/>
    <w:rsid w:val="001140B2"/>
    <w:rsid w:val="00115ACD"/>
    <w:rsid w:val="00116BB7"/>
    <w:rsid w:val="00116E31"/>
    <w:rsid w:val="0011770A"/>
    <w:rsid w:val="00117EA7"/>
    <w:rsid w:val="0012014F"/>
    <w:rsid w:val="001209A8"/>
    <w:rsid w:val="00120CAF"/>
    <w:rsid w:val="00121063"/>
    <w:rsid w:val="0012135F"/>
    <w:rsid w:val="001219D3"/>
    <w:rsid w:val="00121C7B"/>
    <w:rsid w:val="00121DD8"/>
    <w:rsid w:val="00122529"/>
    <w:rsid w:val="00122755"/>
    <w:rsid w:val="0012276C"/>
    <w:rsid w:val="00122E6C"/>
    <w:rsid w:val="001232DA"/>
    <w:rsid w:val="001238DA"/>
    <w:rsid w:val="0012396C"/>
    <w:rsid w:val="00123D7F"/>
    <w:rsid w:val="00124F05"/>
    <w:rsid w:val="00125103"/>
    <w:rsid w:val="00125604"/>
    <w:rsid w:val="001256D1"/>
    <w:rsid w:val="001258F3"/>
    <w:rsid w:val="00125C24"/>
    <w:rsid w:val="00126689"/>
    <w:rsid w:val="00126CFD"/>
    <w:rsid w:val="00126DCF"/>
    <w:rsid w:val="001273F0"/>
    <w:rsid w:val="00127418"/>
    <w:rsid w:val="001305E3"/>
    <w:rsid w:val="00131DDA"/>
    <w:rsid w:val="0013272D"/>
    <w:rsid w:val="00132BAB"/>
    <w:rsid w:val="00132D85"/>
    <w:rsid w:val="001330E6"/>
    <w:rsid w:val="00133277"/>
    <w:rsid w:val="001333FA"/>
    <w:rsid w:val="00134751"/>
    <w:rsid w:val="00134B3D"/>
    <w:rsid w:val="001356A6"/>
    <w:rsid w:val="00136BFB"/>
    <w:rsid w:val="001375A4"/>
    <w:rsid w:val="00140050"/>
    <w:rsid w:val="0014079C"/>
    <w:rsid w:val="001407BE"/>
    <w:rsid w:val="0014080E"/>
    <w:rsid w:val="00140AAF"/>
    <w:rsid w:val="00141132"/>
    <w:rsid w:val="0014153F"/>
    <w:rsid w:val="001416A5"/>
    <w:rsid w:val="00141912"/>
    <w:rsid w:val="001427B0"/>
    <w:rsid w:val="001436DB"/>
    <w:rsid w:val="00143DC7"/>
    <w:rsid w:val="00143FE1"/>
    <w:rsid w:val="00144180"/>
    <w:rsid w:val="001441F7"/>
    <w:rsid w:val="00144A73"/>
    <w:rsid w:val="001454D6"/>
    <w:rsid w:val="00145859"/>
    <w:rsid w:val="00145909"/>
    <w:rsid w:val="001473B2"/>
    <w:rsid w:val="00147BA5"/>
    <w:rsid w:val="00147D01"/>
    <w:rsid w:val="00147F75"/>
    <w:rsid w:val="00150202"/>
    <w:rsid w:val="00150FCA"/>
    <w:rsid w:val="001513CC"/>
    <w:rsid w:val="0015173E"/>
    <w:rsid w:val="00151B26"/>
    <w:rsid w:val="00152340"/>
    <w:rsid w:val="00152498"/>
    <w:rsid w:val="00152DDC"/>
    <w:rsid w:val="00152DF0"/>
    <w:rsid w:val="00153583"/>
    <w:rsid w:val="001540F0"/>
    <w:rsid w:val="00154EFA"/>
    <w:rsid w:val="001551E4"/>
    <w:rsid w:val="001556B6"/>
    <w:rsid w:val="00155ACB"/>
    <w:rsid w:val="00156A0D"/>
    <w:rsid w:val="00156D17"/>
    <w:rsid w:val="00156E3A"/>
    <w:rsid w:val="00156E79"/>
    <w:rsid w:val="0015729C"/>
    <w:rsid w:val="00157F14"/>
    <w:rsid w:val="00160DBE"/>
    <w:rsid w:val="00160FCC"/>
    <w:rsid w:val="00161236"/>
    <w:rsid w:val="00161629"/>
    <w:rsid w:val="00161755"/>
    <w:rsid w:val="0016179B"/>
    <w:rsid w:val="00162B67"/>
    <w:rsid w:val="00163382"/>
    <w:rsid w:val="001637D2"/>
    <w:rsid w:val="00163DA9"/>
    <w:rsid w:val="00163E95"/>
    <w:rsid w:val="00164517"/>
    <w:rsid w:val="00165031"/>
    <w:rsid w:val="00165A89"/>
    <w:rsid w:val="00165A9C"/>
    <w:rsid w:val="00165BB3"/>
    <w:rsid w:val="00165E35"/>
    <w:rsid w:val="00165FD1"/>
    <w:rsid w:val="001661C5"/>
    <w:rsid w:val="00166CF5"/>
    <w:rsid w:val="00167A07"/>
    <w:rsid w:val="00167B61"/>
    <w:rsid w:val="00170CD7"/>
    <w:rsid w:val="00170D7E"/>
    <w:rsid w:val="00171020"/>
    <w:rsid w:val="00171CC7"/>
    <w:rsid w:val="00171F58"/>
    <w:rsid w:val="00173AE8"/>
    <w:rsid w:val="00174D56"/>
    <w:rsid w:val="00175C50"/>
    <w:rsid w:val="00175E2E"/>
    <w:rsid w:val="00180005"/>
    <w:rsid w:val="0018031D"/>
    <w:rsid w:val="0018175E"/>
    <w:rsid w:val="00181838"/>
    <w:rsid w:val="00181A4C"/>
    <w:rsid w:val="00182A95"/>
    <w:rsid w:val="00182ACC"/>
    <w:rsid w:val="00183580"/>
    <w:rsid w:val="001836E8"/>
    <w:rsid w:val="00184227"/>
    <w:rsid w:val="00184BF4"/>
    <w:rsid w:val="00184F84"/>
    <w:rsid w:val="00185804"/>
    <w:rsid w:val="00185BFA"/>
    <w:rsid w:val="001864A9"/>
    <w:rsid w:val="001865CC"/>
    <w:rsid w:val="00186E21"/>
    <w:rsid w:val="00187225"/>
    <w:rsid w:val="00187322"/>
    <w:rsid w:val="001877CD"/>
    <w:rsid w:val="001877DC"/>
    <w:rsid w:val="0019011C"/>
    <w:rsid w:val="001902DA"/>
    <w:rsid w:val="001904CD"/>
    <w:rsid w:val="001905F7"/>
    <w:rsid w:val="00190CE0"/>
    <w:rsid w:val="00191FD9"/>
    <w:rsid w:val="001920E4"/>
    <w:rsid w:val="00192656"/>
    <w:rsid w:val="00193029"/>
    <w:rsid w:val="0019346B"/>
    <w:rsid w:val="001934C0"/>
    <w:rsid w:val="00193D82"/>
    <w:rsid w:val="0019492E"/>
    <w:rsid w:val="00194B91"/>
    <w:rsid w:val="00194CA3"/>
    <w:rsid w:val="00196041"/>
    <w:rsid w:val="001962EA"/>
    <w:rsid w:val="0019649C"/>
    <w:rsid w:val="00196974"/>
    <w:rsid w:val="0019699B"/>
    <w:rsid w:val="00196EBA"/>
    <w:rsid w:val="00196F19"/>
    <w:rsid w:val="00197840"/>
    <w:rsid w:val="00197A9A"/>
    <w:rsid w:val="001A07BD"/>
    <w:rsid w:val="001A0854"/>
    <w:rsid w:val="001A1AD1"/>
    <w:rsid w:val="001A1E6E"/>
    <w:rsid w:val="001A3458"/>
    <w:rsid w:val="001A40F0"/>
    <w:rsid w:val="001A4590"/>
    <w:rsid w:val="001A492A"/>
    <w:rsid w:val="001A4B12"/>
    <w:rsid w:val="001A4CF9"/>
    <w:rsid w:val="001A4FF7"/>
    <w:rsid w:val="001A618D"/>
    <w:rsid w:val="001A65CA"/>
    <w:rsid w:val="001A68E3"/>
    <w:rsid w:val="001A7030"/>
    <w:rsid w:val="001A743A"/>
    <w:rsid w:val="001A77DB"/>
    <w:rsid w:val="001B0187"/>
    <w:rsid w:val="001B1F62"/>
    <w:rsid w:val="001B2568"/>
    <w:rsid w:val="001B33B8"/>
    <w:rsid w:val="001B3621"/>
    <w:rsid w:val="001B4775"/>
    <w:rsid w:val="001B537A"/>
    <w:rsid w:val="001B5413"/>
    <w:rsid w:val="001B545B"/>
    <w:rsid w:val="001B5B7E"/>
    <w:rsid w:val="001B6171"/>
    <w:rsid w:val="001B690A"/>
    <w:rsid w:val="001B6ED9"/>
    <w:rsid w:val="001B723B"/>
    <w:rsid w:val="001B796C"/>
    <w:rsid w:val="001B7D17"/>
    <w:rsid w:val="001B7FA5"/>
    <w:rsid w:val="001B7FE0"/>
    <w:rsid w:val="001C02B4"/>
    <w:rsid w:val="001C0387"/>
    <w:rsid w:val="001C062F"/>
    <w:rsid w:val="001C0BE7"/>
    <w:rsid w:val="001C10D4"/>
    <w:rsid w:val="001C1188"/>
    <w:rsid w:val="001C124F"/>
    <w:rsid w:val="001C1596"/>
    <w:rsid w:val="001C1759"/>
    <w:rsid w:val="001C1EE7"/>
    <w:rsid w:val="001C20D6"/>
    <w:rsid w:val="001C215C"/>
    <w:rsid w:val="001C2339"/>
    <w:rsid w:val="001C28DD"/>
    <w:rsid w:val="001C2DDC"/>
    <w:rsid w:val="001C3148"/>
    <w:rsid w:val="001C3505"/>
    <w:rsid w:val="001C3ACD"/>
    <w:rsid w:val="001C5D5A"/>
    <w:rsid w:val="001C6679"/>
    <w:rsid w:val="001C668F"/>
    <w:rsid w:val="001C68E2"/>
    <w:rsid w:val="001C6CBB"/>
    <w:rsid w:val="001C6EFC"/>
    <w:rsid w:val="001C7091"/>
    <w:rsid w:val="001C72E4"/>
    <w:rsid w:val="001C790D"/>
    <w:rsid w:val="001D0105"/>
    <w:rsid w:val="001D0AE1"/>
    <w:rsid w:val="001D1656"/>
    <w:rsid w:val="001D20B8"/>
    <w:rsid w:val="001D2792"/>
    <w:rsid w:val="001D2857"/>
    <w:rsid w:val="001D2CF4"/>
    <w:rsid w:val="001D3585"/>
    <w:rsid w:val="001D50D0"/>
    <w:rsid w:val="001D53B5"/>
    <w:rsid w:val="001D599A"/>
    <w:rsid w:val="001D6168"/>
    <w:rsid w:val="001D71CB"/>
    <w:rsid w:val="001D728C"/>
    <w:rsid w:val="001D7560"/>
    <w:rsid w:val="001D759F"/>
    <w:rsid w:val="001E0752"/>
    <w:rsid w:val="001E08B8"/>
    <w:rsid w:val="001E09DD"/>
    <w:rsid w:val="001E21F4"/>
    <w:rsid w:val="001E23BD"/>
    <w:rsid w:val="001E2B36"/>
    <w:rsid w:val="001E3026"/>
    <w:rsid w:val="001E3486"/>
    <w:rsid w:val="001E3686"/>
    <w:rsid w:val="001E3E22"/>
    <w:rsid w:val="001E4A04"/>
    <w:rsid w:val="001E5003"/>
    <w:rsid w:val="001E6395"/>
    <w:rsid w:val="001E7437"/>
    <w:rsid w:val="001E7C6A"/>
    <w:rsid w:val="001F0434"/>
    <w:rsid w:val="001F1847"/>
    <w:rsid w:val="001F1C0D"/>
    <w:rsid w:val="001F240B"/>
    <w:rsid w:val="001F29E3"/>
    <w:rsid w:val="001F2BFB"/>
    <w:rsid w:val="001F2C90"/>
    <w:rsid w:val="001F2DCF"/>
    <w:rsid w:val="001F2FE6"/>
    <w:rsid w:val="001F333F"/>
    <w:rsid w:val="001F3AE1"/>
    <w:rsid w:val="001F3DC5"/>
    <w:rsid w:val="001F4261"/>
    <w:rsid w:val="001F5431"/>
    <w:rsid w:val="001F56DC"/>
    <w:rsid w:val="001F580F"/>
    <w:rsid w:val="001F5FC3"/>
    <w:rsid w:val="001F6116"/>
    <w:rsid w:val="001F63E6"/>
    <w:rsid w:val="001F64A9"/>
    <w:rsid w:val="001F6726"/>
    <w:rsid w:val="001F6C83"/>
    <w:rsid w:val="001F78C1"/>
    <w:rsid w:val="001F7A52"/>
    <w:rsid w:val="001F7AEB"/>
    <w:rsid w:val="001F7C07"/>
    <w:rsid w:val="00200194"/>
    <w:rsid w:val="00200B0F"/>
    <w:rsid w:val="0020110B"/>
    <w:rsid w:val="002014E5"/>
    <w:rsid w:val="00202768"/>
    <w:rsid w:val="00202F23"/>
    <w:rsid w:val="002033D9"/>
    <w:rsid w:val="00204000"/>
    <w:rsid w:val="002044DF"/>
    <w:rsid w:val="00205339"/>
    <w:rsid w:val="00205A58"/>
    <w:rsid w:val="00205A9D"/>
    <w:rsid w:val="00205B50"/>
    <w:rsid w:val="00205EF5"/>
    <w:rsid w:val="0020601B"/>
    <w:rsid w:val="002061AC"/>
    <w:rsid w:val="002065E8"/>
    <w:rsid w:val="0020691A"/>
    <w:rsid w:val="0020796B"/>
    <w:rsid w:val="00207DF0"/>
    <w:rsid w:val="00210422"/>
    <w:rsid w:val="00210774"/>
    <w:rsid w:val="002118B7"/>
    <w:rsid w:val="002124F0"/>
    <w:rsid w:val="002125AB"/>
    <w:rsid w:val="00212E16"/>
    <w:rsid w:val="00213095"/>
    <w:rsid w:val="002131B9"/>
    <w:rsid w:val="00213BC5"/>
    <w:rsid w:val="00213C0F"/>
    <w:rsid w:val="00214F35"/>
    <w:rsid w:val="00215601"/>
    <w:rsid w:val="0021651B"/>
    <w:rsid w:val="00216B80"/>
    <w:rsid w:val="00217764"/>
    <w:rsid w:val="00220148"/>
    <w:rsid w:val="0022176C"/>
    <w:rsid w:val="00221A72"/>
    <w:rsid w:val="00221E29"/>
    <w:rsid w:val="00222544"/>
    <w:rsid w:val="0022275F"/>
    <w:rsid w:val="00222E74"/>
    <w:rsid w:val="0022400D"/>
    <w:rsid w:val="00224378"/>
    <w:rsid w:val="00224561"/>
    <w:rsid w:val="002248DA"/>
    <w:rsid w:val="00224C3A"/>
    <w:rsid w:val="00224E66"/>
    <w:rsid w:val="00225029"/>
    <w:rsid w:val="002269E2"/>
    <w:rsid w:val="00227312"/>
    <w:rsid w:val="002275C9"/>
    <w:rsid w:val="002277E9"/>
    <w:rsid w:val="00227F04"/>
    <w:rsid w:val="00227F35"/>
    <w:rsid w:val="002309EA"/>
    <w:rsid w:val="00230E49"/>
    <w:rsid w:val="002318E7"/>
    <w:rsid w:val="00231994"/>
    <w:rsid w:val="00231A35"/>
    <w:rsid w:val="00231FD0"/>
    <w:rsid w:val="002324B6"/>
    <w:rsid w:val="00232544"/>
    <w:rsid w:val="002329EF"/>
    <w:rsid w:val="00232C9F"/>
    <w:rsid w:val="00233202"/>
    <w:rsid w:val="00233452"/>
    <w:rsid w:val="00233C45"/>
    <w:rsid w:val="00233F17"/>
    <w:rsid w:val="00234DB4"/>
    <w:rsid w:val="00235011"/>
    <w:rsid w:val="0023505C"/>
    <w:rsid w:val="002358FE"/>
    <w:rsid w:val="0023598E"/>
    <w:rsid w:val="00236CCD"/>
    <w:rsid w:val="00236DE0"/>
    <w:rsid w:val="00240BA4"/>
    <w:rsid w:val="00240E1B"/>
    <w:rsid w:val="00240F20"/>
    <w:rsid w:val="00241BC1"/>
    <w:rsid w:val="0024209D"/>
    <w:rsid w:val="00243EAA"/>
    <w:rsid w:val="00244765"/>
    <w:rsid w:val="00244A97"/>
    <w:rsid w:val="00245864"/>
    <w:rsid w:val="00246095"/>
    <w:rsid w:val="0024706D"/>
    <w:rsid w:val="00247288"/>
    <w:rsid w:val="0024747B"/>
    <w:rsid w:val="00247897"/>
    <w:rsid w:val="002508E9"/>
    <w:rsid w:val="00251094"/>
    <w:rsid w:val="002511BC"/>
    <w:rsid w:val="00251427"/>
    <w:rsid w:val="00252000"/>
    <w:rsid w:val="0025254F"/>
    <w:rsid w:val="002531BA"/>
    <w:rsid w:val="00253442"/>
    <w:rsid w:val="00253FE6"/>
    <w:rsid w:val="0025400C"/>
    <w:rsid w:val="0025463D"/>
    <w:rsid w:val="00255874"/>
    <w:rsid w:val="00256257"/>
    <w:rsid w:val="00256922"/>
    <w:rsid w:val="002571B0"/>
    <w:rsid w:val="0026038D"/>
    <w:rsid w:val="0026109A"/>
    <w:rsid w:val="00261552"/>
    <w:rsid w:val="00261697"/>
    <w:rsid w:val="00261798"/>
    <w:rsid w:val="00261BE6"/>
    <w:rsid w:val="00261F1A"/>
    <w:rsid w:val="002629BC"/>
    <w:rsid w:val="00262C8A"/>
    <w:rsid w:val="002647C8"/>
    <w:rsid w:val="00265FE3"/>
    <w:rsid w:val="0026607E"/>
    <w:rsid w:val="00267307"/>
    <w:rsid w:val="0027062C"/>
    <w:rsid w:val="00271C2E"/>
    <w:rsid w:val="0027209E"/>
    <w:rsid w:val="002729F7"/>
    <w:rsid w:val="002734C6"/>
    <w:rsid w:val="0027429D"/>
    <w:rsid w:val="002744F6"/>
    <w:rsid w:val="002755F5"/>
    <w:rsid w:val="002757F4"/>
    <w:rsid w:val="00275C1F"/>
    <w:rsid w:val="00275E16"/>
    <w:rsid w:val="0027602B"/>
    <w:rsid w:val="002761B6"/>
    <w:rsid w:val="0027794E"/>
    <w:rsid w:val="00277A25"/>
    <w:rsid w:val="00277AD8"/>
    <w:rsid w:val="00277F59"/>
    <w:rsid w:val="00280144"/>
    <w:rsid w:val="00281061"/>
    <w:rsid w:val="002819C9"/>
    <w:rsid w:val="0028224E"/>
    <w:rsid w:val="002824F4"/>
    <w:rsid w:val="00282704"/>
    <w:rsid w:val="00282D83"/>
    <w:rsid w:val="00283290"/>
    <w:rsid w:val="002844A9"/>
    <w:rsid w:val="00284656"/>
    <w:rsid w:val="00285E32"/>
    <w:rsid w:val="00286148"/>
    <w:rsid w:val="002865B6"/>
    <w:rsid w:val="00286B1D"/>
    <w:rsid w:val="0028706F"/>
    <w:rsid w:val="002905B4"/>
    <w:rsid w:val="00291FA1"/>
    <w:rsid w:val="0029325D"/>
    <w:rsid w:val="002936E7"/>
    <w:rsid w:val="00294E33"/>
    <w:rsid w:val="00295CC2"/>
    <w:rsid w:val="00295E3C"/>
    <w:rsid w:val="00296087"/>
    <w:rsid w:val="002960BB"/>
    <w:rsid w:val="002967D9"/>
    <w:rsid w:val="00296B9A"/>
    <w:rsid w:val="0029718E"/>
    <w:rsid w:val="00297820"/>
    <w:rsid w:val="002A081A"/>
    <w:rsid w:val="002A0921"/>
    <w:rsid w:val="002A15E7"/>
    <w:rsid w:val="002A163D"/>
    <w:rsid w:val="002A1A81"/>
    <w:rsid w:val="002A1DD0"/>
    <w:rsid w:val="002A1E89"/>
    <w:rsid w:val="002A238F"/>
    <w:rsid w:val="002A3A89"/>
    <w:rsid w:val="002A4123"/>
    <w:rsid w:val="002A41B7"/>
    <w:rsid w:val="002A4AA2"/>
    <w:rsid w:val="002A4E4E"/>
    <w:rsid w:val="002A537E"/>
    <w:rsid w:val="002A53DF"/>
    <w:rsid w:val="002A55E3"/>
    <w:rsid w:val="002A5A95"/>
    <w:rsid w:val="002A5B3A"/>
    <w:rsid w:val="002A5FE3"/>
    <w:rsid w:val="002A6332"/>
    <w:rsid w:val="002A6C3C"/>
    <w:rsid w:val="002A6E04"/>
    <w:rsid w:val="002A6EE3"/>
    <w:rsid w:val="002A7990"/>
    <w:rsid w:val="002B0508"/>
    <w:rsid w:val="002B055A"/>
    <w:rsid w:val="002B095B"/>
    <w:rsid w:val="002B18E9"/>
    <w:rsid w:val="002B1E62"/>
    <w:rsid w:val="002B1F57"/>
    <w:rsid w:val="002B2550"/>
    <w:rsid w:val="002B3E90"/>
    <w:rsid w:val="002B4702"/>
    <w:rsid w:val="002B4E24"/>
    <w:rsid w:val="002B50EC"/>
    <w:rsid w:val="002B5CF7"/>
    <w:rsid w:val="002B5DD2"/>
    <w:rsid w:val="002B5FFA"/>
    <w:rsid w:val="002B62A0"/>
    <w:rsid w:val="002B6374"/>
    <w:rsid w:val="002B6720"/>
    <w:rsid w:val="002B69CB"/>
    <w:rsid w:val="002C004A"/>
    <w:rsid w:val="002C0587"/>
    <w:rsid w:val="002C076D"/>
    <w:rsid w:val="002C0816"/>
    <w:rsid w:val="002C1ABF"/>
    <w:rsid w:val="002C2116"/>
    <w:rsid w:val="002C21E2"/>
    <w:rsid w:val="002C240D"/>
    <w:rsid w:val="002C369F"/>
    <w:rsid w:val="002C3B6F"/>
    <w:rsid w:val="002C446E"/>
    <w:rsid w:val="002C4BD1"/>
    <w:rsid w:val="002C4D3A"/>
    <w:rsid w:val="002C4DC2"/>
    <w:rsid w:val="002C4E6B"/>
    <w:rsid w:val="002C5A1D"/>
    <w:rsid w:val="002C60E7"/>
    <w:rsid w:val="002C640A"/>
    <w:rsid w:val="002C6B0B"/>
    <w:rsid w:val="002C6C8C"/>
    <w:rsid w:val="002C72F2"/>
    <w:rsid w:val="002C7AC7"/>
    <w:rsid w:val="002C7EC1"/>
    <w:rsid w:val="002D0333"/>
    <w:rsid w:val="002D1565"/>
    <w:rsid w:val="002D16A9"/>
    <w:rsid w:val="002D2025"/>
    <w:rsid w:val="002D21EC"/>
    <w:rsid w:val="002D2B65"/>
    <w:rsid w:val="002D2C17"/>
    <w:rsid w:val="002D2F56"/>
    <w:rsid w:val="002D34B0"/>
    <w:rsid w:val="002D34CC"/>
    <w:rsid w:val="002D3846"/>
    <w:rsid w:val="002D431B"/>
    <w:rsid w:val="002D46C5"/>
    <w:rsid w:val="002D49D9"/>
    <w:rsid w:val="002D4C03"/>
    <w:rsid w:val="002D4C04"/>
    <w:rsid w:val="002D4D82"/>
    <w:rsid w:val="002D59AD"/>
    <w:rsid w:val="002D5AD5"/>
    <w:rsid w:val="002D5B23"/>
    <w:rsid w:val="002D5E2B"/>
    <w:rsid w:val="002D6560"/>
    <w:rsid w:val="002D66F4"/>
    <w:rsid w:val="002D6A3A"/>
    <w:rsid w:val="002D6CA8"/>
    <w:rsid w:val="002D7808"/>
    <w:rsid w:val="002D780B"/>
    <w:rsid w:val="002E0440"/>
    <w:rsid w:val="002E063A"/>
    <w:rsid w:val="002E06A5"/>
    <w:rsid w:val="002E08E3"/>
    <w:rsid w:val="002E1305"/>
    <w:rsid w:val="002E1A81"/>
    <w:rsid w:val="002E1EF8"/>
    <w:rsid w:val="002E2502"/>
    <w:rsid w:val="002E25A1"/>
    <w:rsid w:val="002E2B85"/>
    <w:rsid w:val="002E2F12"/>
    <w:rsid w:val="002E3B01"/>
    <w:rsid w:val="002E3B0C"/>
    <w:rsid w:val="002E48BF"/>
    <w:rsid w:val="002E4C15"/>
    <w:rsid w:val="002E4EF9"/>
    <w:rsid w:val="002E4F0C"/>
    <w:rsid w:val="002E59B9"/>
    <w:rsid w:val="002E5AA7"/>
    <w:rsid w:val="002E60E2"/>
    <w:rsid w:val="002E6786"/>
    <w:rsid w:val="002E6D1E"/>
    <w:rsid w:val="002E7DBC"/>
    <w:rsid w:val="002F0F44"/>
    <w:rsid w:val="002F1A38"/>
    <w:rsid w:val="002F25A7"/>
    <w:rsid w:val="002F2B7B"/>
    <w:rsid w:val="002F2BA4"/>
    <w:rsid w:val="002F3212"/>
    <w:rsid w:val="002F3C54"/>
    <w:rsid w:val="002F4553"/>
    <w:rsid w:val="002F45D5"/>
    <w:rsid w:val="002F46C0"/>
    <w:rsid w:val="002F6D3E"/>
    <w:rsid w:val="002F7067"/>
    <w:rsid w:val="002F763C"/>
    <w:rsid w:val="002F7717"/>
    <w:rsid w:val="002F78AB"/>
    <w:rsid w:val="002F7DB2"/>
    <w:rsid w:val="00300347"/>
    <w:rsid w:val="0030086D"/>
    <w:rsid w:val="00300B10"/>
    <w:rsid w:val="00300BBC"/>
    <w:rsid w:val="00301197"/>
    <w:rsid w:val="003013F7"/>
    <w:rsid w:val="00301FDF"/>
    <w:rsid w:val="003037E5"/>
    <w:rsid w:val="003040D5"/>
    <w:rsid w:val="00304358"/>
    <w:rsid w:val="0030458E"/>
    <w:rsid w:val="00304C92"/>
    <w:rsid w:val="00305146"/>
    <w:rsid w:val="003054BD"/>
    <w:rsid w:val="00305555"/>
    <w:rsid w:val="003057F1"/>
    <w:rsid w:val="00307014"/>
    <w:rsid w:val="003078FB"/>
    <w:rsid w:val="00307966"/>
    <w:rsid w:val="00307A13"/>
    <w:rsid w:val="0031016D"/>
    <w:rsid w:val="00310751"/>
    <w:rsid w:val="00310976"/>
    <w:rsid w:val="00310BCF"/>
    <w:rsid w:val="00310C91"/>
    <w:rsid w:val="00311256"/>
    <w:rsid w:val="00311297"/>
    <w:rsid w:val="00311660"/>
    <w:rsid w:val="003117F3"/>
    <w:rsid w:val="00311A2E"/>
    <w:rsid w:val="00311EAD"/>
    <w:rsid w:val="00312808"/>
    <w:rsid w:val="00312A9E"/>
    <w:rsid w:val="00312DC6"/>
    <w:rsid w:val="00313625"/>
    <w:rsid w:val="00313A94"/>
    <w:rsid w:val="0031418F"/>
    <w:rsid w:val="003144B4"/>
    <w:rsid w:val="003149B8"/>
    <w:rsid w:val="003152CC"/>
    <w:rsid w:val="00315C21"/>
    <w:rsid w:val="00316D7F"/>
    <w:rsid w:val="003178E7"/>
    <w:rsid w:val="0032113A"/>
    <w:rsid w:val="0032113E"/>
    <w:rsid w:val="00321D45"/>
    <w:rsid w:val="00321DE9"/>
    <w:rsid w:val="00321F8E"/>
    <w:rsid w:val="0032249D"/>
    <w:rsid w:val="0032399D"/>
    <w:rsid w:val="0032509B"/>
    <w:rsid w:val="00325C60"/>
    <w:rsid w:val="0032652B"/>
    <w:rsid w:val="00326E20"/>
    <w:rsid w:val="00327020"/>
    <w:rsid w:val="003274DF"/>
    <w:rsid w:val="00327A82"/>
    <w:rsid w:val="00327B56"/>
    <w:rsid w:val="00327B57"/>
    <w:rsid w:val="00330167"/>
    <w:rsid w:val="0033017F"/>
    <w:rsid w:val="0033099B"/>
    <w:rsid w:val="003318B2"/>
    <w:rsid w:val="00331A90"/>
    <w:rsid w:val="003323B6"/>
    <w:rsid w:val="003327CA"/>
    <w:rsid w:val="0033309A"/>
    <w:rsid w:val="00333FF8"/>
    <w:rsid w:val="00336495"/>
    <w:rsid w:val="00336FD9"/>
    <w:rsid w:val="003371E0"/>
    <w:rsid w:val="00337473"/>
    <w:rsid w:val="003402E1"/>
    <w:rsid w:val="003404F2"/>
    <w:rsid w:val="003419D9"/>
    <w:rsid w:val="00341BDE"/>
    <w:rsid w:val="0034225C"/>
    <w:rsid w:val="0034233A"/>
    <w:rsid w:val="003427AB"/>
    <w:rsid w:val="00342B0F"/>
    <w:rsid w:val="00342CAF"/>
    <w:rsid w:val="003432FF"/>
    <w:rsid w:val="0034339A"/>
    <w:rsid w:val="00343F58"/>
    <w:rsid w:val="00345224"/>
    <w:rsid w:val="00347B09"/>
    <w:rsid w:val="00347E13"/>
    <w:rsid w:val="00347EB8"/>
    <w:rsid w:val="0035036D"/>
    <w:rsid w:val="003503D9"/>
    <w:rsid w:val="00350D29"/>
    <w:rsid w:val="00350D9B"/>
    <w:rsid w:val="00350E35"/>
    <w:rsid w:val="00351166"/>
    <w:rsid w:val="003518C2"/>
    <w:rsid w:val="00351DE9"/>
    <w:rsid w:val="00352375"/>
    <w:rsid w:val="00352617"/>
    <w:rsid w:val="003535F3"/>
    <w:rsid w:val="00354108"/>
    <w:rsid w:val="003547D7"/>
    <w:rsid w:val="003552D9"/>
    <w:rsid w:val="003556C8"/>
    <w:rsid w:val="00355DDA"/>
    <w:rsid w:val="00356319"/>
    <w:rsid w:val="003564AE"/>
    <w:rsid w:val="003564F4"/>
    <w:rsid w:val="00356959"/>
    <w:rsid w:val="00356ED9"/>
    <w:rsid w:val="00357518"/>
    <w:rsid w:val="00360460"/>
    <w:rsid w:val="00360951"/>
    <w:rsid w:val="00360FE6"/>
    <w:rsid w:val="003612E2"/>
    <w:rsid w:val="00361689"/>
    <w:rsid w:val="00361DA1"/>
    <w:rsid w:val="00361E44"/>
    <w:rsid w:val="003626BB"/>
    <w:rsid w:val="0036283E"/>
    <w:rsid w:val="00362E51"/>
    <w:rsid w:val="00363B35"/>
    <w:rsid w:val="003642AD"/>
    <w:rsid w:val="0036442C"/>
    <w:rsid w:val="003648EF"/>
    <w:rsid w:val="00364A12"/>
    <w:rsid w:val="003655F4"/>
    <w:rsid w:val="00365806"/>
    <w:rsid w:val="003659C6"/>
    <w:rsid w:val="00366161"/>
    <w:rsid w:val="003669B4"/>
    <w:rsid w:val="00366ACC"/>
    <w:rsid w:val="003670E8"/>
    <w:rsid w:val="00367436"/>
    <w:rsid w:val="00367A84"/>
    <w:rsid w:val="00367E19"/>
    <w:rsid w:val="00367FDB"/>
    <w:rsid w:val="00370B87"/>
    <w:rsid w:val="003722DF"/>
    <w:rsid w:val="00372D4B"/>
    <w:rsid w:val="00373778"/>
    <w:rsid w:val="003746F8"/>
    <w:rsid w:val="00375752"/>
    <w:rsid w:val="003757C0"/>
    <w:rsid w:val="00375C94"/>
    <w:rsid w:val="00375DDA"/>
    <w:rsid w:val="00375EFF"/>
    <w:rsid w:val="00375F7F"/>
    <w:rsid w:val="003760F5"/>
    <w:rsid w:val="003764F2"/>
    <w:rsid w:val="0037746F"/>
    <w:rsid w:val="003778A9"/>
    <w:rsid w:val="0037793E"/>
    <w:rsid w:val="00377AAA"/>
    <w:rsid w:val="003801EA"/>
    <w:rsid w:val="0038178F"/>
    <w:rsid w:val="00381D8D"/>
    <w:rsid w:val="00382204"/>
    <w:rsid w:val="00382343"/>
    <w:rsid w:val="0038243B"/>
    <w:rsid w:val="00382960"/>
    <w:rsid w:val="00383942"/>
    <w:rsid w:val="00383CF6"/>
    <w:rsid w:val="00383D02"/>
    <w:rsid w:val="00384885"/>
    <w:rsid w:val="00384BC2"/>
    <w:rsid w:val="003859BE"/>
    <w:rsid w:val="00385DBA"/>
    <w:rsid w:val="00385F2D"/>
    <w:rsid w:val="003860F6"/>
    <w:rsid w:val="003863F2"/>
    <w:rsid w:val="003866C5"/>
    <w:rsid w:val="00386BFA"/>
    <w:rsid w:val="00387472"/>
    <w:rsid w:val="003878D5"/>
    <w:rsid w:val="00387912"/>
    <w:rsid w:val="00390092"/>
    <w:rsid w:val="003900F7"/>
    <w:rsid w:val="003903C9"/>
    <w:rsid w:val="0039055D"/>
    <w:rsid w:val="003906CE"/>
    <w:rsid w:val="0039072E"/>
    <w:rsid w:val="0039074D"/>
    <w:rsid w:val="00390B40"/>
    <w:rsid w:val="0039262A"/>
    <w:rsid w:val="003927AA"/>
    <w:rsid w:val="00392DAC"/>
    <w:rsid w:val="003938FB"/>
    <w:rsid w:val="0039410E"/>
    <w:rsid w:val="003941C8"/>
    <w:rsid w:val="00394A7B"/>
    <w:rsid w:val="00394A8E"/>
    <w:rsid w:val="00395242"/>
    <w:rsid w:val="003962B9"/>
    <w:rsid w:val="00397AF4"/>
    <w:rsid w:val="00397C0D"/>
    <w:rsid w:val="00397C95"/>
    <w:rsid w:val="003A05AD"/>
    <w:rsid w:val="003A0804"/>
    <w:rsid w:val="003A0C8E"/>
    <w:rsid w:val="003A0CB7"/>
    <w:rsid w:val="003A15C4"/>
    <w:rsid w:val="003A17A6"/>
    <w:rsid w:val="003A1BA5"/>
    <w:rsid w:val="003A3628"/>
    <w:rsid w:val="003A388D"/>
    <w:rsid w:val="003A3ECA"/>
    <w:rsid w:val="003A40A9"/>
    <w:rsid w:val="003A4F95"/>
    <w:rsid w:val="003A595B"/>
    <w:rsid w:val="003A5E44"/>
    <w:rsid w:val="003A680C"/>
    <w:rsid w:val="003A7C35"/>
    <w:rsid w:val="003B04EA"/>
    <w:rsid w:val="003B0532"/>
    <w:rsid w:val="003B0652"/>
    <w:rsid w:val="003B0D06"/>
    <w:rsid w:val="003B1428"/>
    <w:rsid w:val="003B33FB"/>
    <w:rsid w:val="003B3C27"/>
    <w:rsid w:val="003B3CA3"/>
    <w:rsid w:val="003B3E17"/>
    <w:rsid w:val="003B46B0"/>
    <w:rsid w:val="003B49B6"/>
    <w:rsid w:val="003B4B6C"/>
    <w:rsid w:val="003B4D63"/>
    <w:rsid w:val="003B4EE7"/>
    <w:rsid w:val="003B5280"/>
    <w:rsid w:val="003B57CE"/>
    <w:rsid w:val="003B5967"/>
    <w:rsid w:val="003B5B55"/>
    <w:rsid w:val="003B5CC2"/>
    <w:rsid w:val="003B6005"/>
    <w:rsid w:val="003B6A37"/>
    <w:rsid w:val="003B7116"/>
    <w:rsid w:val="003B716D"/>
    <w:rsid w:val="003B7A52"/>
    <w:rsid w:val="003B7A75"/>
    <w:rsid w:val="003C19A6"/>
    <w:rsid w:val="003C1D94"/>
    <w:rsid w:val="003C309B"/>
    <w:rsid w:val="003C3503"/>
    <w:rsid w:val="003C3779"/>
    <w:rsid w:val="003C3DFD"/>
    <w:rsid w:val="003C3EAC"/>
    <w:rsid w:val="003C42E3"/>
    <w:rsid w:val="003C4E57"/>
    <w:rsid w:val="003C531F"/>
    <w:rsid w:val="003C60A4"/>
    <w:rsid w:val="003C638E"/>
    <w:rsid w:val="003C64BD"/>
    <w:rsid w:val="003C6826"/>
    <w:rsid w:val="003C6BC3"/>
    <w:rsid w:val="003C70E2"/>
    <w:rsid w:val="003C7F25"/>
    <w:rsid w:val="003D01DF"/>
    <w:rsid w:val="003D04A5"/>
    <w:rsid w:val="003D06F9"/>
    <w:rsid w:val="003D0B77"/>
    <w:rsid w:val="003D0C76"/>
    <w:rsid w:val="003D127A"/>
    <w:rsid w:val="003D1B11"/>
    <w:rsid w:val="003D1F0F"/>
    <w:rsid w:val="003D2C28"/>
    <w:rsid w:val="003D2DB4"/>
    <w:rsid w:val="003D356E"/>
    <w:rsid w:val="003D428F"/>
    <w:rsid w:val="003D467A"/>
    <w:rsid w:val="003D5467"/>
    <w:rsid w:val="003D5B53"/>
    <w:rsid w:val="003D5F27"/>
    <w:rsid w:val="003D6152"/>
    <w:rsid w:val="003D6709"/>
    <w:rsid w:val="003D6ABC"/>
    <w:rsid w:val="003D6F84"/>
    <w:rsid w:val="003D7231"/>
    <w:rsid w:val="003D73F7"/>
    <w:rsid w:val="003D73FD"/>
    <w:rsid w:val="003D74FD"/>
    <w:rsid w:val="003D7663"/>
    <w:rsid w:val="003E1293"/>
    <w:rsid w:val="003E15DC"/>
    <w:rsid w:val="003E1898"/>
    <w:rsid w:val="003E26CF"/>
    <w:rsid w:val="003E2B4C"/>
    <w:rsid w:val="003E307C"/>
    <w:rsid w:val="003E325C"/>
    <w:rsid w:val="003E3A06"/>
    <w:rsid w:val="003E5729"/>
    <w:rsid w:val="003E5C73"/>
    <w:rsid w:val="003E5E52"/>
    <w:rsid w:val="003E66F5"/>
    <w:rsid w:val="003E6C12"/>
    <w:rsid w:val="003E7198"/>
    <w:rsid w:val="003E7502"/>
    <w:rsid w:val="003E78E5"/>
    <w:rsid w:val="003E7CFF"/>
    <w:rsid w:val="003F0817"/>
    <w:rsid w:val="003F0B1F"/>
    <w:rsid w:val="003F0B8D"/>
    <w:rsid w:val="003F0BDE"/>
    <w:rsid w:val="003F0C71"/>
    <w:rsid w:val="003F15B3"/>
    <w:rsid w:val="003F173C"/>
    <w:rsid w:val="003F2BBB"/>
    <w:rsid w:val="003F3002"/>
    <w:rsid w:val="003F3426"/>
    <w:rsid w:val="003F3ABA"/>
    <w:rsid w:val="003F3CC5"/>
    <w:rsid w:val="003F3CF1"/>
    <w:rsid w:val="003F3F47"/>
    <w:rsid w:val="003F4BA3"/>
    <w:rsid w:val="003F545E"/>
    <w:rsid w:val="003F5D03"/>
    <w:rsid w:val="003F61CF"/>
    <w:rsid w:val="003F6393"/>
    <w:rsid w:val="003F7606"/>
    <w:rsid w:val="004004B6"/>
    <w:rsid w:val="00400E32"/>
    <w:rsid w:val="004014B2"/>
    <w:rsid w:val="00401A98"/>
    <w:rsid w:val="004027ED"/>
    <w:rsid w:val="00402945"/>
    <w:rsid w:val="00402AE8"/>
    <w:rsid w:val="00402BA7"/>
    <w:rsid w:val="00403DC4"/>
    <w:rsid w:val="00404265"/>
    <w:rsid w:val="004042E8"/>
    <w:rsid w:val="00404AB0"/>
    <w:rsid w:val="00405349"/>
    <w:rsid w:val="00405B55"/>
    <w:rsid w:val="00405CF2"/>
    <w:rsid w:val="0040635F"/>
    <w:rsid w:val="004067B5"/>
    <w:rsid w:val="00406ABC"/>
    <w:rsid w:val="00407310"/>
    <w:rsid w:val="0040743A"/>
    <w:rsid w:val="00407788"/>
    <w:rsid w:val="00407A28"/>
    <w:rsid w:val="00407CB0"/>
    <w:rsid w:val="0041083F"/>
    <w:rsid w:val="004111E3"/>
    <w:rsid w:val="004113EA"/>
    <w:rsid w:val="00411DEF"/>
    <w:rsid w:val="00412284"/>
    <w:rsid w:val="0041249D"/>
    <w:rsid w:val="00413203"/>
    <w:rsid w:val="0041429C"/>
    <w:rsid w:val="004145B9"/>
    <w:rsid w:val="00414EFB"/>
    <w:rsid w:val="004155CE"/>
    <w:rsid w:val="00416B67"/>
    <w:rsid w:val="00416D6F"/>
    <w:rsid w:val="00422EC5"/>
    <w:rsid w:val="00423423"/>
    <w:rsid w:val="00424363"/>
    <w:rsid w:val="00424EFC"/>
    <w:rsid w:val="0042530C"/>
    <w:rsid w:val="00425450"/>
    <w:rsid w:val="004257C4"/>
    <w:rsid w:val="00426187"/>
    <w:rsid w:val="00426252"/>
    <w:rsid w:val="00426650"/>
    <w:rsid w:val="0042760E"/>
    <w:rsid w:val="00427E55"/>
    <w:rsid w:val="004302D8"/>
    <w:rsid w:val="00430A43"/>
    <w:rsid w:val="00431768"/>
    <w:rsid w:val="004319EB"/>
    <w:rsid w:val="00431D26"/>
    <w:rsid w:val="0043232D"/>
    <w:rsid w:val="004324BC"/>
    <w:rsid w:val="00432790"/>
    <w:rsid w:val="00433312"/>
    <w:rsid w:val="00433A3A"/>
    <w:rsid w:val="00434144"/>
    <w:rsid w:val="00434910"/>
    <w:rsid w:val="00434EEF"/>
    <w:rsid w:val="00435B9E"/>
    <w:rsid w:val="00435D95"/>
    <w:rsid w:val="00436827"/>
    <w:rsid w:val="0044026D"/>
    <w:rsid w:val="00441483"/>
    <w:rsid w:val="00442CBB"/>
    <w:rsid w:val="00442DEB"/>
    <w:rsid w:val="00443212"/>
    <w:rsid w:val="00443529"/>
    <w:rsid w:val="0044360F"/>
    <w:rsid w:val="0044425D"/>
    <w:rsid w:val="004445E4"/>
    <w:rsid w:val="004461F5"/>
    <w:rsid w:val="00446AF0"/>
    <w:rsid w:val="0044708C"/>
    <w:rsid w:val="004478B6"/>
    <w:rsid w:val="0045005D"/>
    <w:rsid w:val="0045041A"/>
    <w:rsid w:val="004504D4"/>
    <w:rsid w:val="00451109"/>
    <w:rsid w:val="004512E2"/>
    <w:rsid w:val="00451A20"/>
    <w:rsid w:val="00451C98"/>
    <w:rsid w:val="00451CF6"/>
    <w:rsid w:val="00452253"/>
    <w:rsid w:val="00452698"/>
    <w:rsid w:val="004529B8"/>
    <w:rsid w:val="00452C40"/>
    <w:rsid w:val="00452EAA"/>
    <w:rsid w:val="00454034"/>
    <w:rsid w:val="004543E3"/>
    <w:rsid w:val="0045471B"/>
    <w:rsid w:val="0045523F"/>
    <w:rsid w:val="00455A42"/>
    <w:rsid w:val="00455AA2"/>
    <w:rsid w:val="004566D8"/>
    <w:rsid w:val="004571B4"/>
    <w:rsid w:val="004571E4"/>
    <w:rsid w:val="00457E38"/>
    <w:rsid w:val="00460AB7"/>
    <w:rsid w:val="00462358"/>
    <w:rsid w:val="0046280E"/>
    <w:rsid w:val="004635B1"/>
    <w:rsid w:val="00463D64"/>
    <w:rsid w:val="00463D85"/>
    <w:rsid w:val="00466C7C"/>
    <w:rsid w:val="00466E1B"/>
    <w:rsid w:val="0046736F"/>
    <w:rsid w:val="004679ED"/>
    <w:rsid w:val="00467A90"/>
    <w:rsid w:val="00467F90"/>
    <w:rsid w:val="00471FC1"/>
    <w:rsid w:val="0047390C"/>
    <w:rsid w:val="00473E16"/>
    <w:rsid w:val="00473FF6"/>
    <w:rsid w:val="00474605"/>
    <w:rsid w:val="00475213"/>
    <w:rsid w:val="0047523E"/>
    <w:rsid w:val="00475A9C"/>
    <w:rsid w:val="00476107"/>
    <w:rsid w:val="0047660A"/>
    <w:rsid w:val="004771F6"/>
    <w:rsid w:val="00480283"/>
    <w:rsid w:val="004802BD"/>
    <w:rsid w:val="00480446"/>
    <w:rsid w:val="004807D9"/>
    <w:rsid w:val="00480A1C"/>
    <w:rsid w:val="00480AFA"/>
    <w:rsid w:val="00480B3B"/>
    <w:rsid w:val="00480D54"/>
    <w:rsid w:val="004816EE"/>
    <w:rsid w:val="00482F83"/>
    <w:rsid w:val="004833EF"/>
    <w:rsid w:val="00483582"/>
    <w:rsid w:val="00483ED3"/>
    <w:rsid w:val="00484338"/>
    <w:rsid w:val="00484A61"/>
    <w:rsid w:val="0048510C"/>
    <w:rsid w:val="00485115"/>
    <w:rsid w:val="00485168"/>
    <w:rsid w:val="004851B2"/>
    <w:rsid w:val="004855FD"/>
    <w:rsid w:val="004856D4"/>
    <w:rsid w:val="00485841"/>
    <w:rsid w:val="00485899"/>
    <w:rsid w:val="0048612D"/>
    <w:rsid w:val="00486FB5"/>
    <w:rsid w:val="00487041"/>
    <w:rsid w:val="004873CA"/>
    <w:rsid w:val="0048755D"/>
    <w:rsid w:val="0048779E"/>
    <w:rsid w:val="00487BE6"/>
    <w:rsid w:val="004907C4"/>
    <w:rsid w:val="004909DC"/>
    <w:rsid w:val="00490EA6"/>
    <w:rsid w:val="00491308"/>
    <w:rsid w:val="004914CF"/>
    <w:rsid w:val="00491822"/>
    <w:rsid w:val="00492955"/>
    <w:rsid w:val="0049336A"/>
    <w:rsid w:val="00493A15"/>
    <w:rsid w:val="004942B7"/>
    <w:rsid w:val="00494659"/>
    <w:rsid w:val="004946DA"/>
    <w:rsid w:val="00494F1F"/>
    <w:rsid w:val="004957F9"/>
    <w:rsid w:val="00495A64"/>
    <w:rsid w:val="00495C76"/>
    <w:rsid w:val="0049613A"/>
    <w:rsid w:val="0049626A"/>
    <w:rsid w:val="004970EB"/>
    <w:rsid w:val="004972C3"/>
    <w:rsid w:val="00497809"/>
    <w:rsid w:val="00497C8C"/>
    <w:rsid w:val="004A0779"/>
    <w:rsid w:val="004A0863"/>
    <w:rsid w:val="004A08A6"/>
    <w:rsid w:val="004A0B59"/>
    <w:rsid w:val="004A0BA6"/>
    <w:rsid w:val="004A1216"/>
    <w:rsid w:val="004A1B68"/>
    <w:rsid w:val="004A374A"/>
    <w:rsid w:val="004A379C"/>
    <w:rsid w:val="004A4330"/>
    <w:rsid w:val="004A4862"/>
    <w:rsid w:val="004A48AE"/>
    <w:rsid w:val="004A4DCD"/>
    <w:rsid w:val="004A60D7"/>
    <w:rsid w:val="004A6167"/>
    <w:rsid w:val="004A63A7"/>
    <w:rsid w:val="004A7171"/>
    <w:rsid w:val="004A7E3C"/>
    <w:rsid w:val="004B00BD"/>
    <w:rsid w:val="004B0AE6"/>
    <w:rsid w:val="004B19DE"/>
    <w:rsid w:val="004B2831"/>
    <w:rsid w:val="004B2BBC"/>
    <w:rsid w:val="004B328B"/>
    <w:rsid w:val="004B383A"/>
    <w:rsid w:val="004B3B2C"/>
    <w:rsid w:val="004B4665"/>
    <w:rsid w:val="004B47B3"/>
    <w:rsid w:val="004B47BB"/>
    <w:rsid w:val="004B4B50"/>
    <w:rsid w:val="004B4B8F"/>
    <w:rsid w:val="004B4CDC"/>
    <w:rsid w:val="004B4DAD"/>
    <w:rsid w:val="004B4E03"/>
    <w:rsid w:val="004B52D7"/>
    <w:rsid w:val="004B5382"/>
    <w:rsid w:val="004B558C"/>
    <w:rsid w:val="004B5B92"/>
    <w:rsid w:val="004B63DD"/>
    <w:rsid w:val="004B699C"/>
    <w:rsid w:val="004B742F"/>
    <w:rsid w:val="004C0232"/>
    <w:rsid w:val="004C0778"/>
    <w:rsid w:val="004C0BC4"/>
    <w:rsid w:val="004C0C3F"/>
    <w:rsid w:val="004C1212"/>
    <w:rsid w:val="004C182B"/>
    <w:rsid w:val="004C1E34"/>
    <w:rsid w:val="004C2074"/>
    <w:rsid w:val="004C214D"/>
    <w:rsid w:val="004C28F6"/>
    <w:rsid w:val="004C2953"/>
    <w:rsid w:val="004C2FA3"/>
    <w:rsid w:val="004C30A8"/>
    <w:rsid w:val="004C30CC"/>
    <w:rsid w:val="004C3365"/>
    <w:rsid w:val="004C4133"/>
    <w:rsid w:val="004C4556"/>
    <w:rsid w:val="004C4C2E"/>
    <w:rsid w:val="004C4F6B"/>
    <w:rsid w:val="004C50C9"/>
    <w:rsid w:val="004C5A1D"/>
    <w:rsid w:val="004C6AE7"/>
    <w:rsid w:val="004C7064"/>
    <w:rsid w:val="004C74E6"/>
    <w:rsid w:val="004C76C6"/>
    <w:rsid w:val="004C7933"/>
    <w:rsid w:val="004C7A16"/>
    <w:rsid w:val="004C7C07"/>
    <w:rsid w:val="004C7E5B"/>
    <w:rsid w:val="004D1427"/>
    <w:rsid w:val="004D1BB9"/>
    <w:rsid w:val="004D1E90"/>
    <w:rsid w:val="004D1F77"/>
    <w:rsid w:val="004D2823"/>
    <w:rsid w:val="004D29B8"/>
    <w:rsid w:val="004D38C7"/>
    <w:rsid w:val="004D38C8"/>
    <w:rsid w:val="004D3A11"/>
    <w:rsid w:val="004D40EC"/>
    <w:rsid w:val="004D422C"/>
    <w:rsid w:val="004D44FA"/>
    <w:rsid w:val="004D4522"/>
    <w:rsid w:val="004D47C4"/>
    <w:rsid w:val="004D4F69"/>
    <w:rsid w:val="004D5841"/>
    <w:rsid w:val="004D598A"/>
    <w:rsid w:val="004D5C63"/>
    <w:rsid w:val="004D646E"/>
    <w:rsid w:val="004D64B2"/>
    <w:rsid w:val="004D6937"/>
    <w:rsid w:val="004D6CEB"/>
    <w:rsid w:val="004D6EE1"/>
    <w:rsid w:val="004D7D6F"/>
    <w:rsid w:val="004E0101"/>
    <w:rsid w:val="004E0193"/>
    <w:rsid w:val="004E0FA0"/>
    <w:rsid w:val="004E1567"/>
    <w:rsid w:val="004E18BC"/>
    <w:rsid w:val="004E20AB"/>
    <w:rsid w:val="004E2D5E"/>
    <w:rsid w:val="004E3528"/>
    <w:rsid w:val="004E3EC2"/>
    <w:rsid w:val="004E4031"/>
    <w:rsid w:val="004E48F6"/>
    <w:rsid w:val="004E497D"/>
    <w:rsid w:val="004E585C"/>
    <w:rsid w:val="004E643D"/>
    <w:rsid w:val="004E77E1"/>
    <w:rsid w:val="004E7A47"/>
    <w:rsid w:val="004F0806"/>
    <w:rsid w:val="004F0C3E"/>
    <w:rsid w:val="004F0EED"/>
    <w:rsid w:val="004F21C7"/>
    <w:rsid w:val="004F2875"/>
    <w:rsid w:val="004F28F9"/>
    <w:rsid w:val="004F2B96"/>
    <w:rsid w:val="004F2BC4"/>
    <w:rsid w:val="004F309E"/>
    <w:rsid w:val="004F37AD"/>
    <w:rsid w:val="004F40ED"/>
    <w:rsid w:val="004F42E1"/>
    <w:rsid w:val="004F4399"/>
    <w:rsid w:val="004F531A"/>
    <w:rsid w:val="004F5D91"/>
    <w:rsid w:val="004F6909"/>
    <w:rsid w:val="00500B47"/>
    <w:rsid w:val="0050241E"/>
    <w:rsid w:val="005024B3"/>
    <w:rsid w:val="00502A21"/>
    <w:rsid w:val="00502A93"/>
    <w:rsid w:val="00502B6F"/>
    <w:rsid w:val="0050391C"/>
    <w:rsid w:val="005043DF"/>
    <w:rsid w:val="005045A9"/>
    <w:rsid w:val="00504D4C"/>
    <w:rsid w:val="005054AA"/>
    <w:rsid w:val="00505827"/>
    <w:rsid w:val="0050584F"/>
    <w:rsid w:val="005060F0"/>
    <w:rsid w:val="00506365"/>
    <w:rsid w:val="005070DD"/>
    <w:rsid w:val="005077D9"/>
    <w:rsid w:val="00507AB3"/>
    <w:rsid w:val="00507BAC"/>
    <w:rsid w:val="0051046D"/>
    <w:rsid w:val="00510ACF"/>
    <w:rsid w:val="00511064"/>
    <w:rsid w:val="0051170D"/>
    <w:rsid w:val="0051242C"/>
    <w:rsid w:val="00512EAB"/>
    <w:rsid w:val="00512F77"/>
    <w:rsid w:val="005133F2"/>
    <w:rsid w:val="0051380E"/>
    <w:rsid w:val="00513A29"/>
    <w:rsid w:val="00513B34"/>
    <w:rsid w:val="00513C7F"/>
    <w:rsid w:val="005145E5"/>
    <w:rsid w:val="00514DC6"/>
    <w:rsid w:val="005156F6"/>
    <w:rsid w:val="00516259"/>
    <w:rsid w:val="005163A3"/>
    <w:rsid w:val="005164C1"/>
    <w:rsid w:val="00516CDF"/>
    <w:rsid w:val="00516D52"/>
    <w:rsid w:val="00516D60"/>
    <w:rsid w:val="005179DC"/>
    <w:rsid w:val="00517A26"/>
    <w:rsid w:val="00517D0F"/>
    <w:rsid w:val="005200E2"/>
    <w:rsid w:val="0052033B"/>
    <w:rsid w:val="00520473"/>
    <w:rsid w:val="00520723"/>
    <w:rsid w:val="00520B8B"/>
    <w:rsid w:val="00520E24"/>
    <w:rsid w:val="00522D3D"/>
    <w:rsid w:val="0052300B"/>
    <w:rsid w:val="00523CCB"/>
    <w:rsid w:val="005248E0"/>
    <w:rsid w:val="00524A3E"/>
    <w:rsid w:val="00525112"/>
    <w:rsid w:val="005257CC"/>
    <w:rsid w:val="00525F75"/>
    <w:rsid w:val="005261BA"/>
    <w:rsid w:val="00526461"/>
    <w:rsid w:val="00526FF8"/>
    <w:rsid w:val="0052721E"/>
    <w:rsid w:val="005274A3"/>
    <w:rsid w:val="005275EE"/>
    <w:rsid w:val="00527E6B"/>
    <w:rsid w:val="00530325"/>
    <w:rsid w:val="00530BB8"/>
    <w:rsid w:val="0053179A"/>
    <w:rsid w:val="00532A8B"/>
    <w:rsid w:val="00532E69"/>
    <w:rsid w:val="00533365"/>
    <w:rsid w:val="00534276"/>
    <w:rsid w:val="005342CC"/>
    <w:rsid w:val="00534474"/>
    <w:rsid w:val="00534AA7"/>
    <w:rsid w:val="00534C20"/>
    <w:rsid w:val="00534E42"/>
    <w:rsid w:val="00535298"/>
    <w:rsid w:val="00535B58"/>
    <w:rsid w:val="00536046"/>
    <w:rsid w:val="00536848"/>
    <w:rsid w:val="00536D1C"/>
    <w:rsid w:val="00536E42"/>
    <w:rsid w:val="0053783C"/>
    <w:rsid w:val="00537E45"/>
    <w:rsid w:val="00537EC3"/>
    <w:rsid w:val="00537FFC"/>
    <w:rsid w:val="0054156A"/>
    <w:rsid w:val="005415D1"/>
    <w:rsid w:val="00541B24"/>
    <w:rsid w:val="00541C01"/>
    <w:rsid w:val="00541E62"/>
    <w:rsid w:val="005428A2"/>
    <w:rsid w:val="00542C4D"/>
    <w:rsid w:val="00542D0A"/>
    <w:rsid w:val="0054323B"/>
    <w:rsid w:val="00543352"/>
    <w:rsid w:val="00543659"/>
    <w:rsid w:val="00543940"/>
    <w:rsid w:val="00543C57"/>
    <w:rsid w:val="0054428D"/>
    <w:rsid w:val="005444B3"/>
    <w:rsid w:val="005448E1"/>
    <w:rsid w:val="005449D6"/>
    <w:rsid w:val="00544C47"/>
    <w:rsid w:val="00545396"/>
    <w:rsid w:val="0054549A"/>
    <w:rsid w:val="0054657E"/>
    <w:rsid w:val="00546FF3"/>
    <w:rsid w:val="005478EC"/>
    <w:rsid w:val="0055106F"/>
    <w:rsid w:val="005513CD"/>
    <w:rsid w:val="00551EE7"/>
    <w:rsid w:val="00552267"/>
    <w:rsid w:val="00553D35"/>
    <w:rsid w:val="00553FE6"/>
    <w:rsid w:val="0055438C"/>
    <w:rsid w:val="005544BA"/>
    <w:rsid w:val="0055463D"/>
    <w:rsid w:val="00554A9A"/>
    <w:rsid w:val="00554D80"/>
    <w:rsid w:val="005559B7"/>
    <w:rsid w:val="00556294"/>
    <w:rsid w:val="00556B43"/>
    <w:rsid w:val="0056007C"/>
    <w:rsid w:val="005600CA"/>
    <w:rsid w:val="005608BE"/>
    <w:rsid w:val="00561677"/>
    <w:rsid w:val="005618A8"/>
    <w:rsid w:val="005618DF"/>
    <w:rsid w:val="0056235D"/>
    <w:rsid w:val="005623EB"/>
    <w:rsid w:val="00562EA3"/>
    <w:rsid w:val="00563711"/>
    <w:rsid w:val="00563A19"/>
    <w:rsid w:val="00563B93"/>
    <w:rsid w:val="00563BDF"/>
    <w:rsid w:val="005642A8"/>
    <w:rsid w:val="00564627"/>
    <w:rsid w:val="00564A0D"/>
    <w:rsid w:val="005654CD"/>
    <w:rsid w:val="005657E5"/>
    <w:rsid w:val="00566467"/>
    <w:rsid w:val="00566DAE"/>
    <w:rsid w:val="00566E42"/>
    <w:rsid w:val="005671BD"/>
    <w:rsid w:val="00567724"/>
    <w:rsid w:val="00570464"/>
    <w:rsid w:val="00570E03"/>
    <w:rsid w:val="005713D1"/>
    <w:rsid w:val="005721E0"/>
    <w:rsid w:val="00572277"/>
    <w:rsid w:val="005722AB"/>
    <w:rsid w:val="00572795"/>
    <w:rsid w:val="00572D72"/>
    <w:rsid w:val="00572EA9"/>
    <w:rsid w:val="005732B5"/>
    <w:rsid w:val="005734D1"/>
    <w:rsid w:val="0057395C"/>
    <w:rsid w:val="00574097"/>
    <w:rsid w:val="00574BF9"/>
    <w:rsid w:val="00574CCF"/>
    <w:rsid w:val="0057573E"/>
    <w:rsid w:val="00576174"/>
    <w:rsid w:val="005763EB"/>
    <w:rsid w:val="005764E1"/>
    <w:rsid w:val="0057663D"/>
    <w:rsid w:val="0057676F"/>
    <w:rsid w:val="00580492"/>
    <w:rsid w:val="0058065A"/>
    <w:rsid w:val="00580BEE"/>
    <w:rsid w:val="005818FA"/>
    <w:rsid w:val="005822DB"/>
    <w:rsid w:val="00582E4C"/>
    <w:rsid w:val="00583039"/>
    <w:rsid w:val="00584014"/>
    <w:rsid w:val="005840FC"/>
    <w:rsid w:val="005844A6"/>
    <w:rsid w:val="00584D28"/>
    <w:rsid w:val="005853A2"/>
    <w:rsid w:val="0058587D"/>
    <w:rsid w:val="00585F0E"/>
    <w:rsid w:val="00586622"/>
    <w:rsid w:val="00586BF8"/>
    <w:rsid w:val="005870BC"/>
    <w:rsid w:val="00587D50"/>
    <w:rsid w:val="00587EF7"/>
    <w:rsid w:val="00590888"/>
    <w:rsid w:val="005908C5"/>
    <w:rsid w:val="00590F3C"/>
    <w:rsid w:val="00590FEF"/>
    <w:rsid w:val="00591B33"/>
    <w:rsid w:val="00591CA0"/>
    <w:rsid w:val="005921C0"/>
    <w:rsid w:val="00592C57"/>
    <w:rsid w:val="005931B6"/>
    <w:rsid w:val="00593A5B"/>
    <w:rsid w:val="00594702"/>
    <w:rsid w:val="0059542A"/>
    <w:rsid w:val="00595A4F"/>
    <w:rsid w:val="00595A75"/>
    <w:rsid w:val="00595D95"/>
    <w:rsid w:val="00596183"/>
    <w:rsid w:val="005961B7"/>
    <w:rsid w:val="00596716"/>
    <w:rsid w:val="005979E6"/>
    <w:rsid w:val="005A06D0"/>
    <w:rsid w:val="005A0CEB"/>
    <w:rsid w:val="005A0D36"/>
    <w:rsid w:val="005A13F1"/>
    <w:rsid w:val="005A1668"/>
    <w:rsid w:val="005A23D3"/>
    <w:rsid w:val="005A25C3"/>
    <w:rsid w:val="005A2B5E"/>
    <w:rsid w:val="005A2E6A"/>
    <w:rsid w:val="005A2F31"/>
    <w:rsid w:val="005A4041"/>
    <w:rsid w:val="005A42A6"/>
    <w:rsid w:val="005A4F0D"/>
    <w:rsid w:val="005A5787"/>
    <w:rsid w:val="005A5856"/>
    <w:rsid w:val="005A59CC"/>
    <w:rsid w:val="005A5CFD"/>
    <w:rsid w:val="005A775B"/>
    <w:rsid w:val="005A778A"/>
    <w:rsid w:val="005A78D9"/>
    <w:rsid w:val="005A7E6C"/>
    <w:rsid w:val="005B1665"/>
    <w:rsid w:val="005B1771"/>
    <w:rsid w:val="005B1783"/>
    <w:rsid w:val="005B1A83"/>
    <w:rsid w:val="005B210A"/>
    <w:rsid w:val="005B235C"/>
    <w:rsid w:val="005B2564"/>
    <w:rsid w:val="005B2A78"/>
    <w:rsid w:val="005B3DDA"/>
    <w:rsid w:val="005B3DF7"/>
    <w:rsid w:val="005B478C"/>
    <w:rsid w:val="005B47FC"/>
    <w:rsid w:val="005B4818"/>
    <w:rsid w:val="005B48EA"/>
    <w:rsid w:val="005B4B21"/>
    <w:rsid w:val="005B4F6B"/>
    <w:rsid w:val="005B51DD"/>
    <w:rsid w:val="005B533C"/>
    <w:rsid w:val="005B5730"/>
    <w:rsid w:val="005B6676"/>
    <w:rsid w:val="005B746A"/>
    <w:rsid w:val="005C1070"/>
    <w:rsid w:val="005C12FB"/>
    <w:rsid w:val="005C13CE"/>
    <w:rsid w:val="005C1634"/>
    <w:rsid w:val="005C229E"/>
    <w:rsid w:val="005C3749"/>
    <w:rsid w:val="005C3871"/>
    <w:rsid w:val="005C3976"/>
    <w:rsid w:val="005C3BA8"/>
    <w:rsid w:val="005C424E"/>
    <w:rsid w:val="005C44D7"/>
    <w:rsid w:val="005C45D3"/>
    <w:rsid w:val="005C4736"/>
    <w:rsid w:val="005C4DF9"/>
    <w:rsid w:val="005C5078"/>
    <w:rsid w:val="005C55EE"/>
    <w:rsid w:val="005C5C3D"/>
    <w:rsid w:val="005C5C90"/>
    <w:rsid w:val="005C628E"/>
    <w:rsid w:val="005C68C7"/>
    <w:rsid w:val="005C7102"/>
    <w:rsid w:val="005C76B6"/>
    <w:rsid w:val="005D0A1D"/>
    <w:rsid w:val="005D14F0"/>
    <w:rsid w:val="005D184D"/>
    <w:rsid w:val="005D1B56"/>
    <w:rsid w:val="005D2010"/>
    <w:rsid w:val="005D22D7"/>
    <w:rsid w:val="005D249A"/>
    <w:rsid w:val="005D24B7"/>
    <w:rsid w:val="005D33B6"/>
    <w:rsid w:val="005D38A8"/>
    <w:rsid w:val="005D3A43"/>
    <w:rsid w:val="005D3EC2"/>
    <w:rsid w:val="005D45A1"/>
    <w:rsid w:val="005D4649"/>
    <w:rsid w:val="005D46B9"/>
    <w:rsid w:val="005D49A4"/>
    <w:rsid w:val="005D4CC9"/>
    <w:rsid w:val="005D4D70"/>
    <w:rsid w:val="005D4ED9"/>
    <w:rsid w:val="005D5595"/>
    <w:rsid w:val="005D5610"/>
    <w:rsid w:val="005D5A34"/>
    <w:rsid w:val="005D5CA9"/>
    <w:rsid w:val="005D5D3C"/>
    <w:rsid w:val="005D5F65"/>
    <w:rsid w:val="005D67D7"/>
    <w:rsid w:val="005D6A8E"/>
    <w:rsid w:val="005D7006"/>
    <w:rsid w:val="005D73E6"/>
    <w:rsid w:val="005E0511"/>
    <w:rsid w:val="005E0855"/>
    <w:rsid w:val="005E09A0"/>
    <w:rsid w:val="005E0FE9"/>
    <w:rsid w:val="005E1659"/>
    <w:rsid w:val="005E2892"/>
    <w:rsid w:val="005E2A6B"/>
    <w:rsid w:val="005E2D96"/>
    <w:rsid w:val="005E32EB"/>
    <w:rsid w:val="005E336A"/>
    <w:rsid w:val="005E3757"/>
    <w:rsid w:val="005E3BE6"/>
    <w:rsid w:val="005E40C6"/>
    <w:rsid w:val="005E4464"/>
    <w:rsid w:val="005E4EE6"/>
    <w:rsid w:val="005E5093"/>
    <w:rsid w:val="005E54EF"/>
    <w:rsid w:val="005E54F8"/>
    <w:rsid w:val="005E5F68"/>
    <w:rsid w:val="005E6AE3"/>
    <w:rsid w:val="005E6E6D"/>
    <w:rsid w:val="005F038B"/>
    <w:rsid w:val="005F0D7E"/>
    <w:rsid w:val="005F0EEB"/>
    <w:rsid w:val="005F10CA"/>
    <w:rsid w:val="005F145E"/>
    <w:rsid w:val="005F166A"/>
    <w:rsid w:val="005F2DE9"/>
    <w:rsid w:val="005F2FD6"/>
    <w:rsid w:val="005F405E"/>
    <w:rsid w:val="005F43F0"/>
    <w:rsid w:val="005F45A6"/>
    <w:rsid w:val="005F4779"/>
    <w:rsid w:val="005F48E5"/>
    <w:rsid w:val="005F4CA6"/>
    <w:rsid w:val="005F550A"/>
    <w:rsid w:val="005F59D7"/>
    <w:rsid w:val="005F60A1"/>
    <w:rsid w:val="005F6EC8"/>
    <w:rsid w:val="005F716E"/>
    <w:rsid w:val="005F733A"/>
    <w:rsid w:val="005F73D7"/>
    <w:rsid w:val="005F7A4D"/>
    <w:rsid w:val="005F7EA4"/>
    <w:rsid w:val="006003DD"/>
    <w:rsid w:val="006007D8"/>
    <w:rsid w:val="00600A13"/>
    <w:rsid w:val="006017AF"/>
    <w:rsid w:val="006017BC"/>
    <w:rsid w:val="00601D9A"/>
    <w:rsid w:val="006023DB"/>
    <w:rsid w:val="00602414"/>
    <w:rsid w:val="00602750"/>
    <w:rsid w:val="00602C39"/>
    <w:rsid w:val="00602DDA"/>
    <w:rsid w:val="0060344B"/>
    <w:rsid w:val="00603687"/>
    <w:rsid w:val="00603EEA"/>
    <w:rsid w:val="00604618"/>
    <w:rsid w:val="0060490F"/>
    <w:rsid w:val="00604B3B"/>
    <w:rsid w:val="00604C80"/>
    <w:rsid w:val="00604ECC"/>
    <w:rsid w:val="006050D5"/>
    <w:rsid w:val="00605DF6"/>
    <w:rsid w:val="006066DE"/>
    <w:rsid w:val="006075A3"/>
    <w:rsid w:val="00607E3B"/>
    <w:rsid w:val="00607F6D"/>
    <w:rsid w:val="00607FB0"/>
    <w:rsid w:val="006114A2"/>
    <w:rsid w:val="00611513"/>
    <w:rsid w:val="00611E69"/>
    <w:rsid w:val="00613207"/>
    <w:rsid w:val="00614654"/>
    <w:rsid w:val="00614D84"/>
    <w:rsid w:val="00615050"/>
    <w:rsid w:val="006153A2"/>
    <w:rsid w:val="006157B1"/>
    <w:rsid w:val="00615B96"/>
    <w:rsid w:val="00615CE2"/>
    <w:rsid w:val="00615DE1"/>
    <w:rsid w:val="00615F57"/>
    <w:rsid w:val="00616C28"/>
    <w:rsid w:val="0061711E"/>
    <w:rsid w:val="006173D7"/>
    <w:rsid w:val="0061781E"/>
    <w:rsid w:val="00617C62"/>
    <w:rsid w:val="00617DF9"/>
    <w:rsid w:val="00620C4E"/>
    <w:rsid w:val="00620F5A"/>
    <w:rsid w:val="00621929"/>
    <w:rsid w:val="00621D18"/>
    <w:rsid w:val="00621F6A"/>
    <w:rsid w:val="006225CF"/>
    <w:rsid w:val="0062326B"/>
    <w:rsid w:val="00623528"/>
    <w:rsid w:val="0062363D"/>
    <w:rsid w:val="00623F2C"/>
    <w:rsid w:val="00624414"/>
    <w:rsid w:val="006244B3"/>
    <w:rsid w:val="00624954"/>
    <w:rsid w:val="00624E82"/>
    <w:rsid w:val="00625696"/>
    <w:rsid w:val="00625B52"/>
    <w:rsid w:val="006264D1"/>
    <w:rsid w:val="00626E65"/>
    <w:rsid w:val="00626EED"/>
    <w:rsid w:val="0062734E"/>
    <w:rsid w:val="00627D72"/>
    <w:rsid w:val="00630A60"/>
    <w:rsid w:val="00630F8F"/>
    <w:rsid w:val="00631084"/>
    <w:rsid w:val="006313D0"/>
    <w:rsid w:val="00631405"/>
    <w:rsid w:val="00631BA0"/>
    <w:rsid w:val="00631DB2"/>
    <w:rsid w:val="00631DE4"/>
    <w:rsid w:val="00631F13"/>
    <w:rsid w:val="00632717"/>
    <w:rsid w:val="00632EBD"/>
    <w:rsid w:val="006332D3"/>
    <w:rsid w:val="006339FB"/>
    <w:rsid w:val="00634045"/>
    <w:rsid w:val="00634640"/>
    <w:rsid w:val="006348E6"/>
    <w:rsid w:val="00634B13"/>
    <w:rsid w:val="00634DBE"/>
    <w:rsid w:val="00634FA8"/>
    <w:rsid w:val="00635235"/>
    <w:rsid w:val="00635F2B"/>
    <w:rsid w:val="006361B2"/>
    <w:rsid w:val="006363BF"/>
    <w:rsid w:val="00636FAF"/>
    <w:rsid w:val="006370C2"/>
    <w:rsid w:val="00637700"/>
    <w:rsid w:val="00640667"/>
    <w:rsid w:val="00640ACA"/>
    <w:rsid w:val="006410BE"/>
    <w:rsid w:val="00641355"/>
    <w:rsid w:val="006419B4"/>
    <w:rsid w:val="00641A50"/>
    <w:rsid w:val="00641DB4"/>
    <w:rsid w:val="0064229D"/>
    <w:rsid w:val="006429FA"/>
    <w:rsid w:val="00642E4E"/>
    <w:rsid w:val="0064339B"/>
    <w:rsid w:val="00643640"/>
    <w:rsid w:val="0064384F"/>
    <w:rsid w:val="00643A84"/>
    <w:rsid w:val="00643E6A"/>
    <w:rsid w:val="00643FCF"/>
    <w:rsid w:val="00644908"/>
    <w:rsid w:val="00644AF7"/>
    <w:rsid w:val="00645BCF"/>
    <w:rsid w:val="00645DDE"/>
    <w:rsid w:val="006463BA"/>
    <w:rsid w:val="006467D6"/>
    <w:rsid w:val="00647919"/>
    <w:rsid w:val="00647D69"/>
    <w:rsid w:val="00650962"/>
    <w:rsid w:val="00651032"/>
    <w:rsid w:val="00651174"/>
    <w:rsid w:val="00651223"/>
    <w:rsid w:val="0065185E"/>
    <w:rsid w:val="00652532"/>
    <w:rsid w:val="00652CC2"/>
    <w:rsid w:val="00652D1F"/>
    <w:rsid w:val="0065356A"/>
    <w:rsid w:val="00653634"/>
    <w:rsid w:val="006537CB"/>
    <w:rsid w:val="00653D7C"/>
    <w:rsid w:val="006549C2"/>
    <w:rsid w:val="006555FF"/>
    <w:rsid w:val="006559F0"/>
    <w:rsid w:val="00655A85"/>
    <w:rsid w:val="00655CC9"/>
    <w:rsid w:val="0065640A"/>
    <w:rsid w:val="00656839"/>
    <w:rsid w:val="0065735E"/>
    <w:rsid w:val="00657ECA"/>
    <w:rsid w:val="00660445"/>
    <w:rsid w:val="00660DA1"/>
    <w:rsid w:val="00660F1F"/>
    <w:rsid w:val="00661C0C"/>
    <w:rsid w:val="006621FB"/>
    <w:rsid w:val="0066236D"/>
    <w:rsid w:val="0066289A"/>
    <w:rsid w:val="00663489"/>
    <w:rsid w:val="00663A1C"/>
    <w:rsid w:val="00663D79"/>
    <w:rsid w:val="0066432C"/>
    <w:rsid w:val="006643B5"/>
    <w:rsid w:val="00664548"/>
    <w:rsid w:val="006655DF"/>
    <w:rsid w:val="006666F3"/>
    <w:rsid w:val="00666713"/>
    <w:rsid w:val="0066674A"/>
    <w:rsid w:val="00666ACF"/>
    <w:rsid w:val="00667042"/>
    <w:rsid w:val="006672F1"/>
    <w:rsid w:val="00667468"/>
    <w:rsid w:val="006674DA"/>
    <w:rsid w:val="00667740"/>
    <w:rsid w:val="00667CC8"/>
    <w:rsid w:val="00667CD2"/>
    <w:rsid w:val="00667E1C"/>
    <w:rsid w:val="00670E15"/>
    <w:rsid w:val="00670E65"/>
    <w:rsid w:val="00670ED4"/>
    <w:rsid w:val="006717E7"/>
    <w:rsid w:val="0067194A"/>
    <w:rsid w:val="00671B1A"/>
    <w:rsid w:val="0067260A"/>
    <w:rsid w:val="006732FE"/>
    <w:rsid w:val="00673777"/>
    <w:rsid w:val="006738FB"/>
    <w:rsid w:val="00673ED3"/>
    <w:rsid w:val="00673FAF"/>
    <w:rsid w:val="00676422"/>
    <w:rsid w:val="00676CCF"/>
    <w:rsid w:val="00680113"/>
    <w:rsid w:val="0068024D"/>
    <w:rsid w:val="006802BF"/>
    <w:rsid w:val="00680341"/>
    <w:rsid w:val="00681602"/>
    <w:rsid w:val="00681BB5"/>
    <w:rsid w:val="00681C3A"/>
    <w:rsid w:val="00681D4F"/>
    <w:rsid w:val="00681DBD"/>
    <w:rsid w:val="0068254D"/>
    <w:rsid w:val="0068260C"/>
    <w:rsid w:val="006826FE"/>
    <w:rsid w:val="006832E1"/>
    <w:rsid w:val="00683401"/>
    <w:rsid w:val="006836E7"/>
    <w:rsid w:val="00684217"/>
    <w:rsid w:val="0068505E"/>
    <w:rsid w:val="0068526C"/>
    <w:rsid w:val="00685C00"/>
    <w:rsid w:val="00686593"/>
    <w:rsid w:val="00686A3D"/>
    <w:rsid w:val="00686FAA"/>
    <w:rsid w:val="0068755B"/>
    <w:rsid w:val="0068771C"/>
    <w:rsid w:val="0069078C"/>
    <w:rsid w:val="00690A25"/>
    <w:rsid w:val="00690B78"/>
    <w:rsid w:val="00690D1F"/>
    <w:rsid w:val="00690D38"/>
    <w:rsid w:val="006911E7"/>
    <w:rsid w:val="00691DEA"/>
    <w:rsid w:val="00692154"/>
    <w:rsid w:val="00692C68"/>
    <w:rsid w:val="00692D4F"/>
    <w:rsid w:val="0069307D"/>
    <w:rsid w:val="006942C3"/>
    <w:rsid w:val="00694B2F"/>
    <w:rsid w:val="006951C3"/>
    <w:rsid w:val="00695EFE"/>
    <w:rsid w:val="00696DB3"/>
    <w:rsid w:val="0069769C"/>
    <w:rsid w:val="00697B97"/>
    <w:rsid w:val="00697D6A"/>
    <w:rsid w:val="006A0D6B"/>
    <w:rsid w:val="006A1079"/>
    <w:rsid w:val="006A11F8"/>
    <w:rsid w:val="006A19CD"/>
    <w:rsid w:val="006A19F9"/>
    <w:rsid w:val="006A1BFD"/>
    <w:rsid w:val="006A1CB5"/>
    <w:rsid w:val="006A37C0"/>
    <w:rsid w:val="006A3C5D"/>
    <w:rsid w:val="006A3CFA"/>
    <w:rsid w:val="006A3E62"/>
    <w:rsid w:val="006A415B"/>
    <w:rsid w:val="006A53C5"/>
    <w:rsid w:val="006A58D6"/>
    <w:rsid w:val="006A5D79"/>
    <w:rsid w:val="006A6503"/>
    <w:rsid w:val="006A68DA"/>
    <w:rsid w:val="006A6AE7"/>
    <w:rsid w:val="006A6CF4"/>
    <w:rsid w:val="006A6E38"/>
    <w:rsid w:val="006A7072"/>
    <w:rsid w:val="006A7F0C"/>
    <w:rsid w:val="006B08F9"/>
    <w:rsid w:val="006B0F2D"/>
    <w:rsid w:val="006B11AB"/>
    <w:rsid w:val="006B1A5A"/>
    <w:rsid w:val="006B1B53"/>
    <w:rsid w:val="006B2205"/>
    <w:rsid w:val="006B29BB"/>
    <w:rsid w:val="006B2CD8"/>
    <w:rsid w:val="006B4CF3"/>
    <w:rsid w:val="006B4E35"/>
    <w:rsid w:val="006B500A"/>
    <w:rsid w:val="006B56C2"/>
    <w:rsid w:val="006B6638"/>
    <w:rsid w:val="006B700F"/>
    <w:rsid w:val="006B7941"/>
    <w:rsid w:val="006C0366"/>
    <w:rsid w:val="006C0880"/>
    <w:rsid w:val="006C0A1B"/>
    <w:rsid w:val="006C0A32"/>
    <w:rsid w:val="006C0D53"/>
    <w:rsid w:val="006C1D5C"/>
    <w:rsid w:val="006C2B2B"/>
    <w:rsid w:val="006C2F88"/>
    <w:rsid w:val="006C3A42"/>
    <w:rsid w:val="006C3B7A"/>
    <w:rsid w:val="006C4447"/>
    <w:rsid w:val="006C482D"/>
    <w:rsid w:val="006C49A8"/>
    <w:rsid w:val="006C4C7F"/>
    <w:rsid w:val="006C503C"/>
    <w:rsid w:val="006C5152"/>
    <w:rsid w:val="006C51CF"/>
    <w:rsid w:val="006C60FB"/>
    <w:rsid w:val="006C65F5"/>
    <w:rsid w:val="006C6696"/>
    <w:rsid w:val="006C6844"/>
    <w:rsid w:val="006C743A"/>
    <w:rsid w:val="006C7ECE"/>
    <w:rsid w:val="006D0361"/>
    <w:rsid w:val="006D0C46"/>
    <w:rsid w:val="006D0CE9"/>
    <w:rsid w:val="006D1A58"/>
    <w:rsid w:val="006D1B68"/>
    <w:rsid w:val="006D200C"/>
    <w:rsid w:val="006D30F7"/>
    <w:rsid w:val="006D3F2F"/>
    <w:rsid w:val="006D3FF0"/>
    <w:rsid w:val="006D41D1"/>
    <w:rsid w:val="006D4F92"/>
    <w:rsid w:val="006D5D49"/>
    <w:rsid w:val="006D5EAE"/>
    <w:rsid w:val="006D6C4A"/>
    <w:rsid w:val="006D73B9"/>
    <w:rsid w:val="006D7CEE"/>
    <w:rsid w:val="006E0058"/>
    <w:rsid w:val="006E1F0B"/>
    <w:rsid w:val="006E2070"/>
    <w:rsid w:val="006E29DC"/>
    <w:rsid w:val="006E2CA5"/>
    <w:rsid w:val="006E39E9"/>
    <w:rsid w:val="006E3D45"/>
    <w:rsid w:val="006E4FB6"/>
    <w:rsid w:val="006E5138"/>
    <w:rsid w:val="006E5D40"/>
    <w:rsid w:val="006E66E8"/>
    <w:rsid w:val="006E745A"/>
    <w:rsid w:val="006E7CD7"/>
    <w:rsid w:val="006F120D"/>
    <w:rsid w:val="006F139F"/>
    <w:rsid w:val="006F1B03"/>
    <w:rsid w:val="006F2808"/>
    <w:rsid w:val="006F2EDF"/>
    <w:rsid w:val="006F35A8"/>
    <w:rsid w:val="006F424D"/>
    <w:rsid w:val="006F4AA2"/>
    <w:rsid w:val="006F4C0F"/>
    <w:rsid w:val="006F5A32"/>
    <w:rsid w:val="006F5E43"/>
    <w:rsid w:val="006F6071"/>
    <w:rsid w:val="006F6955"/>
    <w:rsid w:val="006F6BF0"/>
    <w:rsid w:val="006F702E"/>
    <w:rsid w:val="006F7BB6"/>
    <w:rsid w:val="006F7E65"/>
    <w:rsid w:val="00700189"/>
    <w:rsid w:val="007004F5"/>
    <w:rsid w:val="00700592"/>
    <w:rsid w:val="007009F9"/>
    <w:rsid w:val="00700ADC"/>
    <w:rsid w:val="00701614"/>
    <w:rsid w:val="007028DF"/>
    <w:rsid w:val="007031B4"/>
    <w:rsid w:val="007035D5"/>
    <w:rsid w:val="00703FBD"/>
    <w:rsid w:val="007044AB"/>
    <w:rsid w:val="007044BB"/>
    <w:rsid w:val="0070481F"/>
    <w:rsid w:val="00704A0F"/>
    <w:rsid w:val="00704BDF"/>
    <w:rsid w:val="00704EB3"/>
    <w:rsid w:val="0070517A"/>
    <w:rsid w:val="00705A6A"/>
    <w:rsid w:val="00705ABD"/>
    <w:rsid w:val="00706306"/>
    <w:rsid w:val="00707A85"/>
    <w:rsid w:val="007108D9"/>
    <w:rsid w:val="00710FA2"/>
    <w:rsid w:val="00713E3A"/>
    <w:rsid w:val="00713E3D"/>
    <w:rsid w:val="0071402F"/>
    <w:rsid w:val="00715173"/>
    <w:rsid w:val="00715603"/>
    <w:rsid w:val="00715C5B"/>
    <w:rsid w:val="00716231"/>
    <w:rsid w:val="007167F6"/>
    <w:rsid w:val="00716F19"/>
    <w:rsid w:val="0071728F"/>
    <w:rsid w:val="00717EC0"/>
    <w:rsid w:val="00720835"/>
    <w:rsid w:val="00721245"/>
    <w:rsid w:val="00721748"/>
    <w:rsid w:val="00721C84"/>
    <w:rsid w:val="00722508"/>
    <w:rsid w:val="007225CC"/>
    <w:rsid w:val="00722C38"/>
    <w:rsid w:val="00723485"/>
    <w:rsid w:val="0072366B"/>
    <w:rsid w:val="00724000"/>
    <w:rsid w:val="00724464"/>
    <w:rsid w:val="007245D2"/>
    <w:rsid w:val="00724F81"/>
    <w:rsid w:val="00725257"/>
    <w:rsid w:val="00726D7E"/>
    <w:rsid w:val="00726E48"/>
    <w:rsid w:val="0072709D"/>
    <w:rsid w:val="0072758E"/>
    <w:rsid w:val="00727E6E"/>
    <w:rsid w:val="0073026C"/>
    <w:rsid w:val="00730BF4"/>
    <w:rsid w:val="0073171A"/>
    <w:rsid w:val="00731D92"/>
    <w:rsid w:val="00731ED4"/>
    <w:rsid w:val="00732556"/>
    <w:rsid w:val="00732764"/>
    <w:rsid w:val="00732A64"/>
    <w:rsid w:val="007332B6"/>
    <w:rsid w:val="00733815"/>
    <w:rsid w:val="00733BF4"/>
    <w:rsid w:val="00733FDA"/>
    <w:rsid w:val="00733FE5"/>
    <w:rsid w:val="0073405C"/>
    <w:rsid w:val="0073416E"/>
    <w:rsid w:val="00734456"/>
    <w:rsid w:val="0073485D"/>
    <w:rsid w:val="00734D55"/>
    <w:rsid w:val="007350E0"/>
    <w:rsid w:val="00735629"/>
    <w:rsid w:val="0073570C"/>
    <w:rsid w:val="00735A31"/>
    <w:rsid w:val="00735F37"/>
    <w:rsid w:val="007360A1"/>
    <w:rsid w:val="00736513"/>
    <w:rsid w:val="00736AC4"/>
    <w:rsid w:val="0073736B"/>
    <w:rsid w:val="0073789B"/>
    <w:rsid w:val="007404DD"/>
    <w:rsid w:val="007405F0"/>
    <w:rsid w:val="00740D79"/>
    <w:rsid w:val="00741027"/>
    <w:rsid w:val="007416A6"/>
    <w:rsid w:val="0074182E"/>
    <w:rsid w:val="00741C44"/>
    <w:rsid w:val="00741E36"/>
    <w:rsid w:val="00741FC6"/>
    <w:rsid w:val="00742301"/>
    <w:rsid w:val="0074280D"/>
    <w:rsid w:val="007431BC"/>
    <w:rsid w:val="007436A4"/>
    <w:rsid w:val="00743D2A"/>
    <w:rsid w:val="007442A5"/>
    <w:rsid w:val="00744DC1"/>
    <w:rsid w:val="0074540B"/>
    <w:rsid w:val="00745CBC"/>
    <w:rsid w:val="007464A3"/>
    <w:rsid w:val="0074691A"/>
    <w:rsid w:val="00746F99"/>
    <w:rsid w:val="00747063"/>
    <w:rsid w:val="00747BC6"/>
    <w:rsid w:val="00747C33"/>
    <w:rsid w:val="0075010E"/>
    <w:rsid w:val="00750266"/>
    <w:rsid w:val="00750922"/>
    <w:rsid w:val="00751719"/>
    <w:rsid w:val="00751C3E"/>
    <w:rsid w:val="0075243D"/>
    <w:rsid w:val="00752A8D"/>
    <w:rsid w:val="00752D53"/>
    <w:rsid w:val="0075318B"/>
    <w:rsid w:val="00753D13"/>
    <w:rsid w:val="00753F00"/>
    <w:rsid w:val="007545A5"/>
    <w:rsid w:val="0075523B"/>
    <w:rsid w:val="00755400"/>
    <w:rsid w:val="00755B7E"/>
    <w:rsid w:val="00756574"/>
    <w:rsid w:val="00757289"/>
    <w:rsid w:val="007608FC"/>
    <w:rsid w:val="00762056"/>
    <w:rsid w:val="0076279C"/>
    <w:rsid w:val="00762ED4"/>
    <w:rsid w:val="00762FF9"/>
    <w:rsid w:val="00763B81"/>
    <w:rsid w:val="0076466A"/>
    <w:rsid w:val="00765E27"/>
    <w:rsid w:val="00766C59"/>
    <w:rsid w:val="00766CC6"/>
    <w:rsid w:val="00767C54"/>
    <w:rsid w:val="00767C7C"/>
    <w:rsid w:val="007707BC"/>
    <w:rsid w:val="00770A07"/>
    <w:rsid w:val="0077126D"/>
    <w:rsid w:val="007719A7"/>
    <w:rsid w:val="00771F91"/>
    <w:rsid w:val="0077346A"/>
    <w:rsid w:val="00774A98"/>
    <w:rsid w:val="00774E17"/>
    <w:rsid w:val="00775296"/>
    <w:rsid w:val="00776904"/>
    <w:rsid w:val="00776908"/>
    <w:rsid w:val="00776B83"/>
    <w:rsid w:val="0077753A"/>
    <w:rsid w:val="007775C4"/>
    <w:rsid w:val="00777BA8"/>
    <w:rsid w:val="00780270"/>
    <w:rsid w:val="00780631"/>
    <w:rsid w:val="00781647"/>
    <w:rsid w:val="00781A03"/>
    <w:rsid w:val="00781CF2"/>
    <w:rsid w:val="0078244A"/>
    <w:rsid w:val="00783017"/>
    <w:rsid w:val="00783503"/>
    <w:rsid w:val="00783590"/>
    <w:rsid w:val="007845FA"/>
    <w:rsid w:val="0078493F"/>
    <w:rsid w:val="00785303"/>
    <w:rsid w:val="00785628"/>
    <w:rsid w:val="007862F0"/>
    <w:rsid w:val="00787567"/>
    <w:rsid w:val="007877AE"/>
    <w:rsid w:val="007878D2"/>
    <w:rsid w:val="00787968"/>
    <w:rsid w:val="007902FD"/>
    <w:rsid w:val="0079050F"/>
    <w:rsid w:val="00790FA8"/>
    <w:rsid w:val="007910C5"/>
    <w:rsid w:val="00791233"/>
    <w:rsid w:val="00791863"/>
    <w:rsid w:val="0079261D"/>
    <w:rsid w:val="00792F3B"/>
    <w:rsid w:val="007933EA"/>
    <w:rsid w:val="007936E9"/>
    <w:rsid w:val="00793CB5"/>
    <w:rsid w:val="00794C13"/>
    <w:rsid w:val="00794EF3"/>
    <w:rsid w:val="0079511D"/>
    <w:rsid w:val="0079532F"/>
    <w:rsid w:val="007957E3"/>
    <w:rsid w:val="0079603E"/>
    <w:rsid w:val="00797E05"/>
    <w:rsid w:val="007A0034"/>
    <w:rsid w:val="007A0147"/>
    <w:rsid w:val="007A06EE"/>
    <w:rsid w:val="007A070F"/>
    <w:rsid w:val="007A1201"/>
    <w:rsid w:val="007A144E"/>
    <w:rsid w:val="007A1BF6"/>
    <w:rsid w:val="007A2223"/>
    <w:rsid w:val="007A27E5"/>
    <w:rsid w:val="007A28C5"/>
    <w:rsid w:val="007A28E4"/>
    <w:rsid w:val="007A2BA3"/>
    <w:rsid w:val="007A2CE7"/>
    <w:rsid w:val="007A2E6A"/>
    <w:rsid w:val="007A3A50"/>
    <w:rsid w:val="007A3BD4"/>
    <w:rsid w:val="007A41D5"/>
    <w:rsid w:val="007A4A4B"/>
    <w:rsid w:val="007A4A54"/>
    <w:rsid w:val="007A4ED0"/>
    <w:rsid w:val="007A587F"/>
    <w:rsid w:val="007A5C34"/>
    <w:rsid w:val="007A6711"/>
    <w:rsid w:val="007A71E5"/>
    <w:rsid w:val="007A7D5E"/>
    <w:rsid w:val="007B0860"/>
    <w:rsid w:val="007B0B1A"/>
    <w:rsid w:val="007B0FCD"/>
    <w:rsid w:val="007B1723"/>
    <w:rsid w:val="007B1DB1"/>
    <w:rsid w:val="007B1DCB"/>
    <w:rsid w:val="007B20E8"/>
    <w:rsid w:val="007B29DA"/>
    <w:rsid w:val="007B33AB"/>
    <w:rsid w:val="007B3547"/>
    <w:rsid w:val="007B3A84"/>
    <w:rsid w:val="007B3B1D"/>
    <w:rsid w:val="007B4284"/>
    <w:rsid w:val="007B4A16"/>
    <w:rsid w:val="007B52ED"/>
    <w:rsid w:val="007B530B"/>
    <w:rsid w:val="007B5993"/>
    <w:rsid w:val="007B6B4C"/>
    <w:rsid w:val="007B6D52"/>
    <w:rsid w:val="007B7FAE"/>
    <w:rsid w:val="007C0731"/>
    <w:rsid w:val="007C0937"/>
    <w:rsid w:val="007C0A80"/>
    <w:rsid w:val="007C105F"/>
    <w:rsid w:val="007C1279"/>
    <w:rsid w:val="007C16E1"/>
    <w:rsid w:val="007C1976"/>
    <w:rsid w:val="007C2327"/>
    <w:rsid w:val="007C259F"/>
    <w:rsid w:val="007C2964"/>
    <w:rsid w:val="007C2AC5"/>
    <w:rsid w:val="007C3680"/>
    <w:rsid w:val="007C3A1B"/>
    <w:rsid w:val="007C3D24"/>
    <w:rsid w:val="007C46F6"/>
    <w:rsid w:val="007C4C3D"/>
    <w:rsid w:val="007C4D71"/>
    <w:rsid w:val="007C55D1"/>
    <w:rsid w:val="007C565C"/>
    <w:rsid w:val="007C6426"/>
    <w:rsid w:val="007C64D9"/>
    <w:rsid w:val="007C6640"/>
    <w:rsid w:val="007C7311"/>
    <w:rsid w:val="007C7BBC"/>
    <w:rsid w:val="007D05A2"/>
    <w:rsid w:val="007D0B9E"/>
    <w:rsid w:val="007D0CA7"/>
    <w:rsid w:val="007D0D62"/>
    <w:rsid w:val="007D0F87"/>
    <w:rsid w:val="007D158A"/>
    <w:rsid w:val="007D1E39"/>
    <w:rsid w:val="007D1F00"/>
    <w:rsid w:val="007D20D4"/>
    <w:rsid w:val="007D276C"/>
    <w:rsid w:val="007D2E14"/>
    <w:rsid w:val="007D2E78"/>
    <w:rsid w:val="007D309B"/>
    <w:rsid w:val="007D3481"/>
    <w:rsid w:val="007D3F9B"/>
    <w:rsid w:val="007D43AE"/>
    <w:rsid w:val="007D4691"/>
    <w:rsid w:val="007D56E5"/>
    <w:rsid w:val="007D59C7"/>
    <w:rsid w:val="007D5EE3"/>
    <w:rsid w:val="007D6E47"/>
    <w:rsid w:val="007D6E5A"/>
    <w:rsid w:val="007D759C"/>
    <w:rsid w:val="007D75CA"/>
    <w:rsid w:val="007D7B83"/>
    <w:rsid w:val="007E0806"/>
    <w:rsid w:val="007E0D38"/>
    <w:rsid w:val="007E14F5"/>
    <w:rsid w:val="007E1CA0"/>
    <w:rsid w:val="007E2013"/>
    <w:rsid w:val="007E3448"/>
    <w:rsid w:val="007E3868"/>
    <w:rsid w:val="007E3A32"/>
    <w:rsid w:val="007E3C9F"/>
    <w:rsid w:val="007E45A0"/>
    <w:rsid w:val="007E483D"/>
    <w:rsid w:val="007E48DA"/>
    <w:rsid w:val="007E48DC"/>
    <w:rsid w:val="007E49D5"/>
    <w:rsid w:val="007E5CAF"/>
    <w:rsid w:val="007E5F95"/>
    <w:rsid w:val="007E63E9"/>
    <w:rsid w:val="007E717A"/>
    <w:rsid w:val="007E7B89"/>
    <w:rsid w:val="007F0360"/>
    <w:rsid w:val="007F0873"/>
    <w:rsid w:val="007F0928"/>
    <w:rsid w:val="007F09CF"/>
    <w:rsid w:val="007F0A64"/>
    <w:rsid w:val="007F0A7B"/>
    <w:rsid w:val="007F12D5"/>
    <w:rsid w:val="007F178F"/>
    <w:rsid w:val="007F2CF8"/>
    <w:rsid w:val="007F2D39"/>
    <w:rsid w:val="007F3076"/>
    <w:rsid w:val="007F3DD2"/>
    <w:rsid w:val="007F4066"/>
    <w:rsid w:val="007F42A6"/>
    <w:rsid w:val="007F44CC"/>
    <w:rsid w:val="007F58B2"/>
    <w:rsid w:val="007F5C0B"/>
    <w:rsid w:val="007F5EC5"/>
    <w:rsid w:val="007F66F1"/>
    <w:rsid w:val="007F66F5"/>
    <w:rsid w:val="007F6980"/>
    <w:rsid w:val="007F6BFA"/>
    <w:rsid w:val="007F6C4C"/>
    <w:rsid w:val="007F6C52"/>
    <w:rsid w:val="007F6FCA"/>
    <w:rsid w:val="007F732F"/>
    <w:rsid w:val="007F7FF9"/>
    <w:rsid w:val="0080096F"/>
    <w:rsid w:val="00800C58"/>
    <w:rsid w:val="00800D3B"/>
    <w:rsid w:val="00800E6F"/>
    <w:rsid w:val="00800ED9"/>
    <w:rsid w:val="00802130"/>
    <w:rsid w:val="0080231F"/>
    <w:rsid w:val="008024CA"/>
    <w:rsid w:val="008029D4"/>
    <w:rsid w:val="00802CEF"/>
    <w:rsid w:val="0080359A"/>
    <w:rsid w:val="00803871"/>
    <w:rsid w:val="00804150"/>
    <w:rsid w:val="0080482D"/>
    <w:rsid w:val="008054AC"/>
    <w:rsid w:val="0080629D"/>
    <w:rsid w:val="0080679A"/>
    <w:rsid w:val="008072C7"/>
    <w:rsid w:val="00810084"/>
    <w:rsid w:val="008108F0"/>
    <w:rsid w:val="00811200"/>
    <w:rsid w:val="008121D1"/>
    <w:rsid w:val="008145D4"/>
    <w:rsid w:val="00814D63"/>
    <w:rsid w:val="0081522F"/>
    <w:rsid w:val="00815417"/>
    <w:rsid w:val="0081559F"/>
    <w:rsid w:val="00816027"/>
    <w:rsid w:val="00817695"/>
    <w:rsid w:val="008176F8"/>
    <w:rsid w:val="00817761"/>
    <w:rsid w:val="0082018B"/>
    <w:rsid w:val="008203B5"/>
    <w:rsid w:val="00820C50"/>
    <w:rsid w:val="008210F0"/>
    <w:rsid w:val="00821DF9"/>
    <w:rsid w:val="00822725"/>
    <w:rsid w:val="00822E83"/>
    <w:rsid w:val="00823050"/>
    <w:rsid w:val="00824267"/>
    <w:rsid w:val="00824884"/>
    <w:rsid w:val="00824FD9"/>
    <w:rsid w:val="00825637"/>
    <w:rsid w:val="00825B64"/>
    <w:rsid w:val="00825D7F"/>
    <w:rsid w:val="008263F8"/>
    <w:rsid w:val="008274EB"/>
    <w:rsid w:val="00827CF1"/>
    <w:rsid w:val="00830DB0"/>
    <w:rsid w:val="0083106B"/>
    <w:rsid w:val="008316F6"/>
    <w:rsid w:val="00831B57"/>
    <w:rsid w:val="00832DED"/>
    <w:rsid w:val="00833E5E"/>
    <w:rsid w:val="00833FA2"/>
    <w:rsid w:val="00834544"/>
    <w:rsid w:val="00834ACD"/>
    <w:rsid w:val="00834F43"/>
    <w:rsid w:val="008350C4"/>
    <w:rsid w:val="0083522A"/>
    <w:rsid w:val="00835980"/>
    <w:rsid w:val="00835D9F"/>
    <w:rsid w:val="0083667E"/>
    <w:rsid w:val="00836BAA"/>
    <w:rsid w:val="00837A82"/>
    <w:rsid w:val="008400A7"/>
    <w:rsid w:val="008400C9"/>
    <w:rsid w:val="00840B83"/>
    <w:rsid w:val="00841842"/>
    <w:rsid w:val="00841AF5"/>
    <w:rsid w:val="00841F48"/>
    <w:rsid w:val="00842451"/>
    <w:rsid w:val="00842521"/>
    <w:rsid w:val="00842871"/>
    <w:rsid w:val="00842E88"/>
    <w:rsid w:val="00843310"/>
    <w:rsid w:val="008433F8"/>
    <w:rsid w:val="008437EB"/>
    <w:rsid w:val="0084394B"/>
    <w:rsid w:val="00843A27"/>
    <w:rsid w:val="00843BB3"/>
    <w:rsid w:val="00843FCD"/>
    <w:rsid w:val="0084470F"/>
    <w:rsid w:val="00844F81"/>
    <w:rsid w:val="0084505D"/>
    <w:rsid w:val="00845719"/>
    <w:rsid w:val="00846EB6"/>
    <w:rsid w:val="0084780D"/>
    <w:rsid w:val="008478F0"/>
    <w:rsid w:val="008478F8"/>
    <w:rsid w:val="00850296"/>
    <w:rsid w:val="00851F80"/>
    <w:rsid w:val="008520C5"/>
    <w:rsid w:val="00852AA8"/>
    <w:rsid w:val="00853656"/>
    <w:rsid w:val="00853684"/>
    <w:rsid w:val="008543B2"/>
    <w:rsid w:val="008553C7"/>
    <w:rsid w:val="008553F1"/>
    <w:rsid w:val="00855494"/>
    <w:rsid w:val="00855B88"/>
    <w:rsid w:val="00855D93"/>
    <w:rsid w:val="008567F4"/>
    <w:rsid w:val="008603E7"/>
    <w:rsid w:val="00860C4B"/>
    <w:rsid w:val="00861092"/>
    <w:rsid w:val="008610B1"/>
    <w:rsid w:val="008610DE"/>
    <w:rsid w:val="0086172F"/>
    <w:rsid w:val="00861BA9"/>
    <w:rsid w:val="00861E37"/>
    <w:rsid w:val="00862AC8"/>
    <w:rsid w:val="00862BD7"/>
    <w:rsid w:val="00862C48"/>
    <w:rsid w:val="00862FFD"/>
    <w:rsid w:val="00863BF8"/>
    <w:rsid w:val="00863DA9"/>
    <w:rsid w:val="008646DD"/>
    <w:rsid w:val="00864F6C"/>
    <w:rsid w:val="0086546B"/>
    <w:rsid w:val="00865E95"/>
    <w:rsid w:val="008660F7"/>
    <w:rsid w:val="00866CF3"/>
    <w:rsid w:val="008674E2"/>
    <w:rsid w:val="0086770D"/>
    <w:rsid w:val="00867C79"/>
    <w:rsid w:val="00870840"/>
    <w:rsid w:val="00871190"/>
    <w:rsid w:val="008712B8"/>
    <w:rsid w:val="0087156B"/>
    <w:rsid w:val="0087191A"/>
    <w:rsid w:val="00871A6A"/>
    <w:rsid w:val="00872765"/>
    <w:rsid w:val="00872830"/>
    <w:rsid w:val="00873524"/>
    <w:rsid w:val="008736F2"/>
    <w:rsid w:val="008736F9"/>
    <w:rsid w:val="00873A1E"/>
    <w:rsid w:val="00873A27"/>
    <w:rsid w:val="008747D9"/>
    <w:rsid w:val="00874B0C"/>
    <w:rsid w:val="00874F18"/>
    <w:rsid w:val="0087506D"/>
    <w:rsid w:val="0087526E"/>
    <w:rsid w:val="008763D7"/>
    <w:rsid w:val="0087646D"/>
    <w:rsid w:val="00876B42"/>
    <w:rsid w:val="00876D78"/>
    <w:rsid w:val="0088004C"/>
    <w:rsid w:val="008802CD"/>
    <w:rsid w:val="008808D9"/>
    <w:rsid w:val="00880DE5"/>
    <w:rsid w:val="0088127A"/>
    <w:rsid w:val="008819CD"/>
    <w:rsid w:val="00881AAB"/>
    <w:rsid w:val="00881CFF"/>
    <w:rsid w:val="00881E1D"/>
    <w:rsid w:val="00882035"/>
    <w:rsid w:val="00882CED"/>
    <w:rsid w:val="00883257"/>
    <w:rsid w:val="008835A8"/>
    <w:rsid w:val="008839A6"/>
    <w:rsid w:val="00883BCA"/>
    <w:rsid w:val="00883C06"/>
    <w:rsid w:val="00884279"/>
    <w:rsid w:val="008842A4"/>
    <w:rsid w:val="00884B08"/>
    <w:rsid w:val="00885223"/>
    <w:rsid w:val="00886180"/>
    <w:rsid w:val="0088765B"/>
    <w:rsid w:val="00887CED"/>
    <w:rsid w:val="00890737"/>
    <w:rsid w:val="00891619"/>
    <w:rsid w:val="0089176D"/>
    <w:rsid w:val="00891A33"/>
    <w:rsid w:val="00891E91"/>
    <w:rsid w:val="00892002"/>
    <w:rsid w:val="00892373"/>
    <w:rsid w:val="0089259D"/>
    <w:rsid w:val="00892C80"/>
    <w:rsid w:val="00893134"/>
    <w:rsid w:val="00893FC0"/>
    <w:rsid w:val="00894840"/>
    <w:rsid w:val="008952DF"/>
    <w:rsid w:val="00895474"/>
    <w:rsid w:val="008956CD"/>
    <w:rsid w:val="0089640E"/>
    <w:rsid w:val="00896FEA"/>
    <w:rsid w:val="00897DD5"/>
    <w:rsid w:val="00897F57"/>
    <w:rsid w:val="008A1997"/>
    <w:rsid w:val="008A1998"/>
    <w:rsid w:val="008A1A0F"/>
    <w:rsid w:val="008A1C18"/>
    <w:rsid w:val="008A1DDA"/>
    <w:rsid w:val="008A1E13"/>
    <w:rsid w:val="008A1E4F"/>
    <w:rsid w:val="008A2A00"/>
    <w:rsid w:val="008A2B68"/>
    <w:rsid w:val="008A3E33"/>
    <w:rsid w:val="008A40A3"/>
    <w:rsid w:val="008A4D44"/>
    <w:rsid w:val="008A5F7A"/>
    <w:rsid w:val="008A6441"/>
    <w:rsid w:val="008A6EDD"/>
    <w:rsid w:val="008A70A1"/>
    <w:rsid w:val="008A7538"/>
    <w:rsid w:val="008A76F0"/>
    <w:rsid w:val="008B1446"/>
    <w:rsid w:val="008B1B21"/>
    <w:rsid w:val="008B2184"/>
    <w:rsid w:val="008B26CC"/>
    <w:rsid w:val="008B2778"/>
    <w:rsid w:val="008B27BB"/>
    <w:rsid w:val="008B2D03"/>
    <w:rsid w:val="008B2F26"/>
    <w:rsid w:val="008B471F"/>
    <w:rsid w:val="008B4D01"/>
    <w:rsid w:val="008B6318"/>
    <w:rsid w:val="008B6585"/>
    <w:rsid w:val="008B6C38"/>
    <w:rsid w:val="008B6DEA"/>
    <w:rsid w:val="008C06D6"/>
    <w:rsid w:val="008C0A56"/>
    <w:rsid w:val="008C10E9"/>
    <w:rsid w:val="008C17E4"/>
    <w:rsid w:val="008C384B"/>
    <w:rsid w:val="008C3A1C"/>
    <w:rsid w:val="008C410C"/>
    <w:rsid w:val="008C4341"/>
    <w:rsid w:val="008C4640"/>
    <w:rsid w:val="008C4794"/>
    <w:rsid w:val="008C4CAE"/>
    <w:rsid w:val="008C51EE"/>
    <w:rsid w:val="008C52D7"/>
    <w:rsid w:val="008C5BF3"/>
    <w:rsid w:val="008C642C"/>
    <w:rsid w:val="008C75EE"/>
    <w:rsid w:val="008C76DC"/>
    <w:rsid w:val="008C7955"/>
    <w:rsid w:val="008D089B"/>
    <w:rsid w:val="008D0A84"/>
    <w:rsid w:val="008D0B3C"/>
    <w:rsid w:val="008D13A0"/>
    <w:rsid w:val="008D19EC"/>
    <w:rsid w:val="008D1F00"/>
    <w:rsid w:val="008D26B8"/>
    <w:rsid w:val="008D2A99"/>
    <w:rsid w:val="008D2D17"/>
    <w:rsid w:val="008D2D6D"/>
    <w:rsid w:val="008D3AD5"/>
    <w:rsid w:val="008D5A89"/>
    <w:rsid w:val="008D5C77"/>
    <w:rsid w:val="008D6D73"/>
    <w:rsid w:val="008D6EDC"/>
    <w:rsid w:val="008D6FD3"/>
    <w:rsid w:val="008D7D5A"/>
    <w:rsid w:val="008E0383"/>
    <w:rsid w:val="008E0725"/>
    <w:rsid w:val="008E0E61"/>
    <w:rsid w:val="008E0F58"/>
    <w:rsid w:val="008E0FFA"/>
    <w:rsid w:val="008E17B9"/>
    <w:rsid w:val="008E1968"/>
    <w:rsid w:val="008E1D1A"/>
    <w:rsid w:val="008E26C2"/>
    <w:rsid w:val="008E2C14"/>
    <w:rsid w:val="008E2CFF"/>
    <w:rsid w:val="008E2E43"/>
    <w:rsid w:val="008E35A7"/>
    <w:rsid w:val="008E366B"/>
    <w:rsid w:val="008E37FC"/>
    <w:rsid w:val="008E3E14"/>
    <w:rsid w:val="008E4520"/>
    <w:rsid w:val="008E5A60"/>
    <w:rsid w:val="008E5BEB"/>
    <w:rsid w:val="008E66DC"/>
    <w:rsid w:val="008E763E"/>
    <w:rsid w:val="008E7CED"/>
    <w:rsid w:val="008E7DA7"/>
    <w:rsid w:val="008F06D9"/>
    <w:rsid w:val="008F075B"/>
    <w:rsid w:val="008F0BCF"/>
    <w:rsid w:val="008F0E07"/>
    <w:rsid w:val="008F1942"/>
    <w:rsid w:val="008F1968"/>
    <w:rsid w:val="008F2321"/>
    <w:rsid w:val="008F2E5E"/>
    <w:rsid w:val="008F330E"/>
    <w:rsid w:val="008F358F"/>
    <w:rsid w:val="008F4915"/>
    <w:rsid w:val="008F5B96"/>
    <w:rsid w:val="008F5E1B"/>
    <w:rsid w:val="008F5FEC"/>
    <w:rsid w:val="008F6437"/>
    <w:rsid w:val="008F6998"/>
    <w:rsid w:val="008F741D"/>
    <w:rsid w:val="008F78B2"/>
    <w:rsid w:val="0090034E"/>
    <w:rsid w:val="00900B70"/>
    <w:rsid w:val="009011A4"/>
    <w:rsid w:val="009012BC"/>
    <w:rsid w:val="00901708"/>
    <w:rsid w:val="00902072"/>
    <w:rsid w:val="00903550"/>
    <w:rsid w:val="00903D11"/>
    <w:rsid w:val="00903D87"/>
    <w:rsid w:val="00903E77"/>
    <w:rsid w:val="00904FF5"/>
    <w:rsid w:val="00906560"/>
    <w:rsid w:val="0090660F"/>
    <w:rsid w:val="00906A1A"/>
    <w:rsid w:val="009071EF"/>
    <w:rsid w:val="009072C8"/>
    <w:rsid w:val="0091012C"/>
    <w:rsid w:val="00910212"/>
    <w:rsid w:val="0091031B"/>
    <w:rsid w:val="00910A12"/>
    <w:rsid w:val="00910C9A"/>
    <w:rsid w:val="00912340"/>
    <w:rsid w:val="00912895"/>
    <w:rsid w:val="00912B14"/>
    <w:rsid w:val="00914256"/>
    <w:rsid w:val="0091445A"/>
    <w:rsid w:val="009144C2"/>
    <w:rsid w:val="0091488F"/>
    <w:rsid w:val="00915A55"/>
    <w:rsid w:val="00915F01"/>
    <w:rsid w:val="00916401"/>
    <w:rsid w:val="0091670A"/>
    <w:rsid w:val="0091688B"/>
    <w:rsid w:val="009168B0"/>
    <w:rsid w:val="009171DD"/>
    <w:rsid w:val="009178E1"/>
    <w:rsid w:val="00917B7C"/>
    <w:rsid w:val="009205EA"/>
    <w:rsid w:val="0092089B"/>
    <w:rsid w:val="009209FE"/>
    <w:rsid w:val="00920DAA"/>
    <w:rsid w:val="009211B4"/>
    <w:rsid w:val="00921805"/>
    <w:rsid w:val="00921D2E"/>
    <w:rsid w:val="00922AAD"/>
    <w:rsid w:val="0092336B"/>
    <w:rsid w:val="009240F8"/>
    <w:rsid w:val="00924989"/>
    <w:rsid w:val="0092499B"/>
    <w:rsid w:val="00924D66"/>
    <w:rsid w:val="009266F7"/>
    <w:rsid w:val="00926AC1"/>
    <w:rsid w:val="00927329"/>
    <w:rsid w:val="00927968"/>
    <w:rsid w:val="00927DE0"/>
    <w:rsid w:val="00930138"/>
    <w:rsid w:val="00931CFA"/>
    <w:rsid w:val="009321B7"/>
    <w:rsid w:val="0093266C"/>
    <w:rsid w:val="00932A44"/>
    <w:rsid w:val="00932F0D"/>
    <w:rsid w:val="00933173"/>
    <w:rsid w:val="00933FDB"/>
    <w:rsid w:val="0093488C"/>
    <w:rsid w:val="00934BDD"/>
    <w:rsid w:val="00934FF9"/>
    <w:rsid w:val="00935643"/>
    <w:rsid w:val="00935B93"/>
    <w:rsid w:val="00935DCA"/>
    <w:rsid w:val="009367C5"/>
    <w:rsid w:val="00936871"/>
    <w:rsid w:val="009371DE"/>
    <w:rsid w:val="00937BBB"/>
    <w:rsid w:val="00937D0F"/>
    <w:rsid w:val="009406DC"/>
    <w:rsid w:val="00941010"/>
    <w:rsid w:val="009412AE"/>
    <w:rsid w:val="0094147E"/>
    <w:rsid w:val="0094160D"/>
    <w:rsid w:val="00942C52"/>
    <w:rsid w:val="00942FCD"/>
    <w:rsid w:val="0094306E"/>
    <w:rsid w:val="009432C5"/>
    <w:rsid w:val="009432F5"/>
    <w:rsid w:val="00943E87"/>
    <w:rsid w:val="0094436D"/>
    <w:rsid w:val="009445EA"/>
    <w:rsid w:val="00944792"/>
    <w:rsid w:val="009452E7"/>
    <w:rsid w:val="0094669B"/>
    <w:rsid w:val="00947194"/>
    <w:rsid w:val="009479BE"/>
    <w:rsid w:val="00947B91"/>
    <w:rsid w:val="00947C36"/>
    <w:rsid w:val="00947ED2"/>
    <w:rsid w:val="009503DA"/>
    <w:rsid w:val="00950C07"/>
    <w:rsid w:val="0095153A"/>
    <w:rsid w:val="009516C0"/>
    <w:rsid w:val="00951867"/>
    <w:rsid w:val="00951EBD"/>
    <w:rsid w:val="00953BD5"/>
    <w:rsid w:val="00953FCF"/>
    <w:rsid w:val="009540CA"/>
    <w:rsid w:val="009545EB"/>
    <w:rsid w:val="009549E6"/>
    <w:rsid w:val="009554A3"/>
    <w:rsid w:val="009554C8"/>
    <w:rsid w:val="00955769"/>
    <w:rsid w:val="009558ED"/>
    <w:rsid w:val="00955CEF"/>
    <w:rsid w:val="009565B5"/>
    <w:rsid w:val="009566F8"/>
    <w:rsid w:val="00956B4C"/>
    <w:rsid w:val="00956EE8"/>
    <w:rsid w:val="009570BA"/>
    <w:rsid w:val="00960471"/>
    <w:rsid w:val="009605F5"/>
    <w:rsid w:val="0096072E"/>
    <w:rsid w:val="00960E09"/>
    <w:rsid w:val="00961671"/>
    <w:rsid w:val="0096195B"/>
    <w:rsid w:val="00961BED"/>
    <w:rsid w:val="00961E63"/>
    <w:rsid w:val="00961FFE"/>
    <w:rsid w:val="00962237"/>
    <w:rsid w:val="00962660"/>
    <w:rsid w:val="00963271"/>
    <w:rsid w:val="00963A2A"/>
    <w:rsid w:val="0096468B"/>
    <w:rsid w:val="00964E76"/>
    <w:rsid w:val="0096559A"/>
    <w:rsid w:val="009656FF"/>
    <w:rsid w:val="00966133"/>
    <w:rsid w:val="00966289"/>
    <w:rsid w:val="0096694C"/>
    <w:rsid w:val="00966B94"/>
    <w:rsid w:val="00967084"/>
    <w:rsid w:val="00967354"/>
    <w:rsid w:val="0096750E"/>
    <w:rsid w:val="00970065"/>
    <w:rsid w:val="00970A05"/>
    <w:rsid w:val="00970C2F"/>
    <w:rsid w:val="009710CD"/>
    <w:rsid w:val="00971F2D"/>
    <w:rsid w:val="00972C26"/>
    <w:rsid w:val="00972F69"/>
    <w:rsid w:val="00973310"/>
    <w:rsid w:val="00973895"/>
    <w:rsid w:val="00973B6C"/>
    <w:rsid w:val="00973B7E"/>
    <w:rsid w:val="00974B7F"/>
    <w:rsid w:val="00975112"/>
    <w:rsid w:val="0097609C"/>
    <w:rsid w:val="0097660D"/>
    <w:rsid w:val="00976941"/>
    <w:rsid w:val="00976CAA"/>
    <w:rsid w:val="009775A7"/>
    <w:rsid w:val="00977BE0"/>
    <w:rsid w:val="00977E0A"/>
    <w:rsid w:val="00980A53"/>
    <w:rsid w:val="00980FC2"/>
    <w:rsid w:val="0098213E"/>
    <w:rsid w:val="009821D5"/>
    <w:rsid w:val="00982FBC"/>
    <w:rsid w:val="0098311A"/>
    <w:rsid w:val="00983FA4"/>
    <w:rsid w:val="00984307"/>
    <w:rsid w:val="00984B48"/>
    <w:rsid w:val="00984F58"/>
    <w:rsid w:val="009855FA"/>
    <w:rsid w:val="009868BB"/>
    <w:rsid w:val="00986C56"/>
    <w:rsid w:val="009901A0"/>
    <w:rsid w:val="00990342"/>
    <w:rsid w:val="009907A5"/>
    <w:rsid w:val="00990AAC"/>
    <w:rsid w:val="009911CF"/>
    <w:rsid w:val="00991481"/>
    <w:rsid w:val="00991587"/>
    <w:rsid w:val="009918AA"/>
    <w:rsid w:val="0099198D"/>
    <w:rsid w:val="009921B4"/>
    <w:rsid w:val="00992912"/>
    <w:rsid w:val="009930D3"/>
    <w:rsid w:val="00993815"/>
    <w:rsid w:val="00994490"/>
    <w:rsid w:val="009945B0"/>
    <w:rsid w:val="00994C97"/>
    <w:rsid w:val="00994D1D"/>
    <w:rsid w:val="00995873"/>
    <w:rsid w:val="00995AC5"/>
    <w:rsid w:val="0099614A"/>
    <w:rsid w:val="0099649F"/>
    <w:rsid w:val="00996922"/>
    <w:rsid w:val="00996D76"/>
    <w:rsid w:val="00997375"/>
    <w:rsid w:val="00997833"/>
    <w:rsid w:val="009A07BD"/>
    <w:rsid w:val="009A1B6F"/>
    <w:rsid w:val="009A1FE0"/>
    <w:rsid w:val="009A2D3B"/>
    <w:rsid w:val="009A4160"/>
    <w:rsid w:val="009A42DF"/>
    <w:rsid w:val="009A586A"/>
    <w:rsid w:val="009A595B"/>
    <w:rsid w:val="009A5B92"/>
    <w:rsid w:val="009A5C4C"/>
    <w:rsid w:val="009A6044"/>
    <w:rsid w:val="009A6584"/>
    <w:rsid w:val="009A68C5"/>
    <w:rsid w:val="009A6A74"/>
    <w:rsid w:val="009A6F78"/>
    <w:rsid w:val="009A716B"/>
    <w:rsid w:val="009A7514"/>
    <w:rsid w:val="009A756A"/>
    <w:rsid w:val="009A7E0D"/>
    <w:rsid w:val="009A7FF0"/>
    <w:rsid w:val="009B00D6"/>
    <w:rsid w:val="009B06BB"/>
    <w:rsid w:val="009B1AFD"/>
    <w:rsid w:val="009B24EB"/>
    <w:rsid w:val="009B27D2"/>
    <w:rsid w:val="009B2846"/>
    <w:rsid w:val="009B29A1"/>
    <w:rsid w:val="009B30E0"/>
    <w:rsid w:val="009B318D"/>
    <w:rsid w:val="009B3874"/>
    <w:rsid w:val="009B3936"/>
    <w:rsid w:val="009B40E0"/>
    <w:rsid w:val="009B416E"/>
    <w:rsid w:val="009B423C"/>
    <w:rsid w:val="009B51A9"/>
    <w:rsid w:val="009B51C6"/>
    <w:rsid w:val="009B5642"/>
    <w:rsid w:val="009B5895"/>
    <w:rsid w:val="009B5BD8"/>
    <w:rsid w:val="009B6121"/>
    <w:rsid w:val="009B614A"/>
    <w:rsid w:val="009B6A67"/>
    <w:rsid w:val="009B6D9E"/>
    <w:rsid w:val="009B6E7F"/>
    <w:rsid w:val="009B734B"/>
    <w:rsid w:val="009B7387"/>
    <w:rsid w:val="009B74C5"/>
    <w:rsid w:val="009C1600"/>
    <w:rsid w:val="009C1BBA"/>
    <w:rsid w:val="009C1F1C"/>
    <w:rsid w:val="009C25FC"/>
    <w:rsid w:val="009C3807"/>
    <w:rsid w:val="009C3D2B"/>
    <w:rsid w:val="009C3D94"/>
    <w:rsid w:val="009C4A67"/>
    <w:rsid w:val="009C6353"/>
    <w:rsid w:val="009C657F"/>
    <w:rsid w:val="009C6A30"/>
    <w:rsid w:val="009C6D1F"/>
    <w:rsid w:val="009C6E20"/>
    <w:rsid w:val="009C6E79"/>
    <w:rsid w:val="009C7247"/>
    <w:rsid w:val="009C7A39"/>
    <w:rsid w:val="009D099C"/>
    <w:rsid w:val="009D0FCF"/>
    <w:rsid w:val="009D1BAD"/>
    <w:rsid w:val="009D2161"/>
    <w:rsid w:val="009D32CD"/>
    <w:rsid w:val="009D3C68"/>
    <w:rsid w:val="009D3EB2"/>
    <w:rsid w:val="009D4221"/>
    <w:rsid w:val="009D437D"/>
    <w:rsid w:val="009D4B51"/>
    <w:rsid w:val="009D4D30"/>
    <w:rsid w:val="009D55E3"/>
    <w:rsid w:val="009D57BC"/>
    <w:rsid w:val="009D5B50"/>
    <w:rsid w:val="009D5C6C"/>
    <w:rsid w:val="009D5E5A"/>
    <w:rsid w:val="009D616C"/>
    <w:rsid w:val="009D7BEC"/>
    <w:rsid w:val="009D7DFA"/>
    <w:rsid w:val="009E03EF"/>
    <w:rsid w:val="009E0CDF"/>
    <w:rsid w:val="009E0D01"/>
    <w:rsid w:val="009E13B2"/>
    <w:rsid w:val="009E1EAD"/>
    <w:rsid w:val="009E20FF"/>
    <w:rsid w:val="009E2626"/>
    <w:rsid w:val="009E3A7B"/>
    <w:rsid w:val="009E3C85"/>
    <w:rsid w:val="009E406F"/>
    <w:rsid w:val="009E42BA"/>
    <w:rsid w:val="009E5922"/>
    <w:rsid w:val="009E5BB6"/>
    <w:rsid w:val="009E60B8"/>
    <w:rsid w:val="009E6239"/>
    <w:rsid w:val="009E72AD"/>
    <w:rsid w:val="009E73B0"/>
    <w:rsid w:val="009E73C8"/>
    <w:rsid w:val="009F0072"/>
    <w:rsid w:val="009F0122"/>
    <w:rsid w:val="009F12AD"/>
    <w:rsid w:val="009F145A"/>
    <w:rsid w:val="009F184D"/>
    <w:rsid w:val="009F2000"/>
    <w:rsid w:val="009F21F2"/>
    <w:rsid w:val="009F2531"/>
    <w:rsid w:val="009F2C5F"/>
    <w:rsid w:val="009F445F"/>
    <w:rsid w:val="009F5059"/>
    <w:rsid w:val="009F51D5"/>
    <w:rsid w:val="009F53E7"/>
    <w:rsid w:val="009F58BD"/>
    <w:rsid w:val="009F59E5"/>
    <w:rsid w:val="009F60F5"/>
    <w:rsid w:val="009F63B7"/>
    <w:rsid w:val="009F6C20"/>
    <w:rsid w:val="009F6C31"/>
    <w:rsid w:val="00A00A46"/>
    <w:rsid w:val="00A0178B"/>
    <w:rsid w:val="00A01918"/>
    <w:rsid w:val="00A01E44"/>
    <w:rsid w:val="00A02451"/>
    <w:rsid w:val="00A03D4F"/>
    <w:rsid w:val="00A03F31"/>
    <w:rsid w:val="00A03FE2"/>
    <w:rsid w:val="00A042D1"/>
    <w:rsid w:val="00A0444E"/>
    <w:rsid w:val="00A04AA6"/>
    <w:rsid w:val="00A05095"/>
    <w:rsid w:val="00A05773"/>
    <w:rsid w:val="00A05A6D"/>
    <w:rsid w:val="00A06096"/>
    <w:rsid w:val="00A06182"/>
    <w:rsid w:val="00A065F7"/>
    <w:rsid w:val="00A06652"/>
    <w:rsid w:val="00A06882"/>
    <w:rsid w:val="00A069BB"/>
    <w:rsid w:val="00A07718"/>
    <w:rsid w:val="00A07DEC"/>
    <w:rsid w:val="00A07EA6"/>
    <w:rsid w:val="00A07EBB"/>
    <w:rsid w:val="00A10CFD"/>
    <w:rsid w:val="00A11333"/>
    <w:rsid w:val="00A11B89"/>
    <w:rsid w:val="00A122C0"/>
    <w:rsid w:val="00A123F7"/>
    <w:rsid w:val="00A125C2"/>
    <w:rsid w:val="00A1265B"/>
    <w:rsid w:val="00A12815"/>
    <w:rsid w:val="00A128A2"/>
    <w:rsid w:val="00A12AF3"/>
    <w:rsid w:val="00A12B63"/>
    <w:rsid w:val="00A12C90"/>
    <w:rsid w:val="00A13C17"/>
    <w:rsid w:val="00A13C46"/>
    <w:rsid w:val="00A14997"/>
    <w:rsid w:val="00A1579D"/>
    <w:rsid w:val="00A15FDF"/>
    <w:rsid w:val="00A15FEF"/>
    <w:rsid w:val="00A16A7F"/>
    <w:rsid w:val="00A171E0"/>
    <w:rsid w:val="00A1744A"/>
    <w:rsid w:val="00A17649"/>
    <w:rsid w:val="00A17C05"/>
    <w:rsid w:val="00A17E5E"/>
    <w:rsid w:val="00A208AE"/>
    <w:rsid w:val="00A2179E"/>
    <w:rsid w:val="00A21B54"/>
    <w:rsid w:val="00A21ECD"/>
    <w:rsid w:val="00A2387A"/>
    <w:rsid w:val="00A23A06"/>
    <w:rsid w:val="00A23E1C"/>
    <w:rsid w:val="00A241F8"/>
    <w:rsid w:val="00A24733"/>
    <w:rsid w:val="00A24B20"/>
    <w:rsid w:val="00A24FC3"/>
    <w:rsid w:val="00A25081"/>
    <w:rsid w:val="00A2523C"/>
    <w:rsid w:val="00A253C4"/>
    <w:rsid w:val="00A25A59"/>
    <w:rsid w:val="00A25AD0"/>
    <w:rsid w:val="00A26ADD"/>
    <w:rsid w:val="00A26D81"/>
    <w:rsid w:val="00A270F2"/>
    <w:rsid w:val="00A27409"/>
    <w:rsid w:val="00A27BF7"/>
    <w:rsid w:val="00A27EC9"/>
    <w:rsid w:val="00A30550"/>
    <w:rsid w:val="00A30966"/>
    <w:rsid w:val="00A30C8F"/>
    <w:rsid w:val="00A313DA"/>
    <w:rsid w:val="00A31AE1"/>
    <w:rsid w:val="00A31E1A"/>
    <w:rsid w:val="00A326AF"/>
    <w:rsid w:val="00A34678"/>
    <w:rsid w:val="00A3546F"/>
    <w:rsid w:val="00A35ADF"/>
    <w:rsid w:val="00A35F0A"/>
    <w:rsid w:val="00A362A1"/>
    <w:rsid w:val="00A36682"/>
    <w:rsid w:val="00A369F8"/>
    <w:rsid w:val="00A37A40"/>
    <w:rsid w:val="00A37E72"/>
    <w:rsid w:val="00A37FC4"/>
    <w:rsid w:val="00A40263"/>
    <w:rsid w:val="00A40BFD"/>
    <w:rsid w:val="00A41DA7"/>
    <w:rsid w:val="00A425AE"/>
    <w:rsid w:val="00A42C93"/>
    <w:rsid w:val="00A43820"/>
    <w:rsid w:val="00A43F0B"/>
    <w:rsid w:val="00A447E6"/>
    <w:rsid w:val="00A44AB4"/>
    <w:rsid w:val="00A44BDB"/>
    <w:rsid w:val="00A44C75"/>
    <w:rsid w:val="00A44D61"/>
    <w:rsid w:val="00A44FEB"/>
    <w:rsid w:val="00A4567D"/>
    <w:rsid w:val="00A45796"/>
    <w:rsid w:val="00A45AAC"/>
    <w:rsid w:val="00A45F12"/>
    <w:rsid w:val="00A46053"/>
    <w:rsid w:val="00A4618F"/>
    <w:rsid w:val="00A46325"/>
    <w:rsid w:val="00A46600"/>
    <w:rsid w:val="00A4668A"/>
    <w:rsid w:val="00A4703B"/>
    <w:rsid w:val="00A47565"/>
    <w:rsid w:val="00A47ABA"/>
    <w:rsid w:val="00A50357"/>
    <w:rsid w:val="00A50905"/>
    <w:rsid w:val="00A5147F"/>
    <w:rsid w:val="00A516C2"/>
    <w:rsid w:val="00A516E5"/>
    <w:rsid w:val="00A51703"/>
    <w:rsid w:val="00A51ADC"/>
    <w:rsid w:val="00A51B8A"/>
    <w:rsid w:val="00A52944"/>
    <w:rsid w:val="00A529A1"/>
    <w:rsid w:val="00A52C22"/>
    <w:rsid w:val="00A52D97"/>
    <w:rsid w:val="00A535DD"/>
    <w:rsid w:val="00A53DE9"/>
    <w:rsid w:val="00A5473F"/>
    <w:rsid w:val="00A54987"/>
    <w:rsid w:val="00A54CD4"/>
    <w:rsid w:val="00A54E5D"/>
    <w:rsid w:val="00A5568B"/>
    <w:rsid w:val="00A55ADA"/>
    <w:rsid w:val="00A56BF3"/>
    <w:rsid w:val="00A5792B"/>
    <w:rsid w:val="00A57AC4"/>
    <w:rsid w:val="00A6044B"/>
    <w:rsid w:val="00A60731"/>
    <w:rsid w:val="00A60A2F"/>
    <w:rsid w:val="00A60DBE"/>
    <w:rsid w:val="00A6102D"/>
    <w:rsid w:val="00A62688"/>
    <w:rsid w:val="00A62E5E"/>
    <w:rsid w:val="00A63C79"/>
    <w:rsid w:val="00A641C4"/>
    <w:rsid w:val="00A648CA"/>
    <w:rsid w:val="00A650B5"/>
    <w:rsid w:val="00A6569A"/>
    <w:rsid w:val="00A65AE9"/>
    <w:rsid w:val="00A661F9"/>
    <w:rsid w:val="00A666E5"/>
    <w:rsid w:val="00A66872"/>
    <w:rsid w:val="00A67201"/>
    <w:rsid w:val="00A674EA"/>
    <w:rsid w:val="00A67786"/>
    <w:rsid w:val="00A67E1A"/>
    <w:rsid w:val="00A67E55"/>
    <w:rsid w:val="00A7031B"/>
    <w:rsid w:val="00A70366"/>
    <w:rsid w:val="00A705CD"/>
    <w:rsid w:val="00A706DC"/>
    <w:rsid w:val="00A70DA3"/>
    <w:rsid w:val="00A717D2"/>
    <w:rsid w:val="00A71AF2"/>
    <w:rsid w:val="00A722D3"/>
    <w:rsid w:val="00A724F4"/>
    <w:rsid w:val="00A726A1"/>
    <w:rsid w:val="00A7315D"/>
    <w:rsid w:val="00A73482"/>
    <w:rsid w:val="00A7377C"/>
    <w:rsid w:val="00A73969"/>
    <w:rsid w:val="00A73978"/>
    <w:rsid w:val="00A73D67"/>
    <w:rsid w:val="00A7403E"/>
    <w:rsid w:val="00A74278"/>
    <w:rsid w:val="00A74808"/>
    <w:rsid w:val="00A7484C"/>
    <w:rsid w:val="00A74BEF"/>
    <w:rsid w:val="00A75809"/>
    <w:rsid w:val="00A75B48"/>
    <w:rsid w:val="00A75D92"/>
    <w:rsid w:val="00A772F9"/>
    <w:rsid w:val="00A77D23"/>
    <w:rsid w:val="00A802D3"/>
    <w:rsid w:val="00A80A62"/>
    <w:rsid w:val="00A80D14"/>
    <w:rsid w:val="00A8118D"/>
    <w:rsid w:val="00A81853"/>
    <w:rsid w:val="00A824FC"/>
    <w:rsid w:val="00A83268"/>
    <w:rsid w:val="00A83459"/>
    <w:rsid w:val="00A84A1B"/>
    <w:rsid w:val="00A850AE"/>
    <w:rsid w:val="00A854F7"/>
    <w:rsid w:val="00A85819"/>
    <w:rsid w:val="00A861F3"/>
    <w:rsid w:val="00A86430"/>
    <w:rsid w:val="00A86523"/>
    <w:rsid w:val="00A86D60"/>
    <w:rsid w:val="00A8722D"/>
    <w:rsid w:val="00A8729B"/>
    <w:rsid w:val="00A87D7F"/>
    <w:rsid w:val="00A87F9B"/>
    <w:rsid w:val="00A903CB"/>
    <w:rsid w:val="00A907C4"/>
    <w:rsid w:val="00A9155E"/>
    <w:rsid w:val="00A9165D"/>
    <w:rsid w:val="00A9260A"/>
    <w:rsid w:val="00A93133"/>
    <w:rsid w:val="00A94534"/>
    <w:rsid w:val="00A958CB"/>
    <w:rsid w:val="00A95E02"/>
    <w:rsid w:val="00A96203"/>
    <w:rsid w:val="00A96DB2"/>
    <w:rsid w:val="00A976D5"/>
    <w:rsid w:val="00A977F2"/>
    <w:rsid w:val="00A978A8"/>
    <w:rsid w:val="00A97CCC"/>
    <w:rsid w:val="00A97DF4"/>
    <w:rsid w:val="00A97EFE"/>
    <w:rsid w:val="00AA0A2B"/>
    <w:rsid w:val="00AA11E9"/>
    <w:rsid w:val="00AA14A7"/>
    <w:rsid w:val="00AA2A28"/>
    <w:rsid w:val="00AA2FB8"/>
    <w:rsid w:val="00AA30CC"/>
    <w:rsid w:val="00AA34D3"/>
    <w:rsid w:val="00AA3672"/>
    <w:rsid w:val="00AA38F4"/>
    <w:rsid w:val="00AA4293"/>
    <w:rsid w:val="00AA44D2"/>
    <w:rsid w:val="00AA4B36"/>
    <w:rsid w:val="00AA54EB"/>
    <w:rsid w:val="00AA5681"/>
    <w:rsid w:val="00AA57CC"/>
    <w:rsid w:val="00AA61B4"/>
    <w:rsid w:val="00AA6C8B"/>
    <w:rsid w:val="00AA6CC2"/>
    <w:rsid w:val="00AA6CF5"/>
    <w:rsid w:val="00AA6EC8"/>
    <w:rsid w:val="00AB0036"/>
    <w:rsid w:val="00AB03D7"/>
    <w:rsid w:val="00AB11B9"/>
    <w:rsid w:val="00AB1A4B"/>
    <w:rsid w:val="00AB1F61"/>
    <w:rsid w:val="00AB2688"/>
    <w:rsid w:val="00AB275E"/>
    <w:rsid w:val="00AB2CEC"/>
    <w:rsid w:val="00AB2D09"/>
    <w:rsid w:val="00AB3289"/>
    <w:rsid w:val="00AB32E5"/>
    <w:rsid w:val="00AB3D95"/>
    <w:rsid w:val="00AB4C4F"/>
    <w:rsid w:val="00AB6611"/>
    <w:rsid w:val="00AB6CB3"/>
    <w:rsid w:val="00AB740B"/>
    <w:rsid w:val="00AB7C58"/>
    <w:rsid w:val="00AC0732"/>
    <w:rsid w:val="00AC07F3"/>
    <w:rsid w:val="00AC0E76"/>
    <w:rsid w:val="00AC1061"/>
    <w:rsid w:val="00AC1722"/>
    <w:rsid w:val="00AC3184"/>
    <w:rsid w:val="00AC37B5"/>
    <w:rsid w:val="00AC42D7"/>
    <w:rsid w:val="00AC55B2"/>
    <w:rsid w:val="00AC5705"/>
    <w:rsid w:val="00AC5CFD"/>
    <w:rsid w:val="00AC691A"/>
    <w:rsid w:val="00AC7E33"/>
    <w:rsid w:val="00AD0774"/>
    <w:rsid w:val="00AD136B"/>
    <w:rsid w:val="00AD154B"/>
    <w:rsid w:val="00AD1717"/>
    <w:rsid w:val="00AD1732"/>
    <w:rsid w:val="00AD1BBD"/>
    <w:rsid w:val="00AD2361"/>
    <w:rsid w:val="00AD2D2A"/>
    <w:rsid w:val="00AD4AE7"/>
    <w:rsid w:val="00AD4F8A"/>
    <w:rsid w:val="00AD562F"/>
    <w:rsid w:val="00AD5742"/>
    <w:rsid w:val="00AD6239"/>
    <w:rsid w:val="00AD640F"/>
    <w:rsid w:val="00AD6A9E"/>
    <w:rsid w:val="00AD718F"/>
    <w:rsid w:val="00AD79A3"/>
    <w:rsid w:val="00AE05BB"/>
    <w:rsid w:val="00AE063E"/>
    <w:rsid w:val="00AE0970"/>
    <w:rsid w:val="00AE09BD"/>
    <w:rsid w:val="00AE0CC1"/>
    <w:rsid w:val="00AE121B"/>
    <w:rsid w:val="00AE1940"/>
    <w:rsid w:val="00AE1D54"/>
    <w:rsid w:val="00AE2141"/>
    <w:rsid w:val="00AE2237"/>
    <w:rsid w:val="00AE39BF"/>
    <w:rsid w:val="00AE3D9A"/>
    <w:rsid w:val="00AE4754"/>
    <w:rsid w:val="00AE4812"/>
    <w:rsid w:val="00AE4F10"/>
    <w:rsid w:val="00AE54A3"/>
    <w:rsid w:val="00AE672D"/>
    <w:rsid w:val="00AE6989"/>
    <w:rsid w:val="00AE729E"/>
    <w:rsid w:val="00AF01A3"/>
    <w:rsid w:val="00AF01D0"/>
    <w:rsid w:val="00AF027F"/>
    <w:rsid w:val="00AF0721"/>
    <w:rsid w:val="00AF2125"/>
    <w:rsid w:val="00AF230B"/>
    <w:rsid w:val="00AF29D4"/>
    <w:rsid w:val="00AF362C"/>
    <w:rsid w:val="00AF3F88"/>
    <w:rsid w:val="00AF4DCF"/>
    <w:rsid w:val="00AF4F4E"/>
    <w:rsid w:val="00AF50E2"/>
    <w:rsid w:val="00AF525D"/>
    <w:rsid w:val="00AF5496"/>
    <w:rsid w:val="00AF570E"/>
    <w:rsid w:val="00AF5945"/>
    <w:rsid w:val="00AF59CF"/>
    <w:rsid w:val="00AF5F46"/>
    <w:rsid w:val="00AF6726"/>
    <w:rsid w:val="00AF688C"/>
    <w:rsid w:val="00AF6E00"/>
    <w:rsid w:val="00AF6E1F"/>
    <w:rsid w:val="00AF7473"/>
    <w:rsid w:val="00B00847"/>
    <w:rsid w:val="00B01380"/>
    <w:rsid w:val="00B0185A"/>
    <w:rsid w:val="00B02653"/>
    <w:rsid w:val="00B0348D"/>
    <w:rsid w:val="00B03850"/>
    <w:rsid w:val="00B03C13"/>
    <w:rsid w:val="00B04011"/>
    <w:rsid w:val="00B04161"/>
    <w:rsid w:val="00B049E6"/>
    <w:rsid w:val="00B04B71"/>
    <w:rsid w:val="00B04C62"/>
    <w:rsid w:val="00B0543C"/>
    <w:rsid w:val="00B062C4"/>
    <w:rsid w:val="00B069AF"/>
    <w:rsid w:val="00B0756A"/>
    <w:rsid w:val="00B077B4"/>
    <w:rsid w:val="00B07952"/>
    <w:rsid w:val="00B10EDC"/>
    <w:rsid w:val="00B12843"/>
    <w:rsid w:val="00B13DE6"/>
    <w:rsid w:val="00B1437B"/>
    <w:rsid w:val="00B14A59"/>
    <w:rsid w:val="00B14DB7"/>
    <w:rsid w:val="00B16580"/>
    <w:rsid w:val="00B1730F"/>
    <w:rsid w:val="00B207E7"/>
    <w:rsid w:val="00B21070"/>
    <w:rsid w:val="00B21C4D"/>
    <w:rsid w:val="00B22E77"/>
    <w:rsid w:val="00B235C9"/>
    <w:rsid w:val="00B24C4B"/>
    <w:rsid w:val="00B24FFB"/>
    <w:rsid w:val="00B25055"/>
    <w:rsid w:val="00B26006"/>
    <w:rsid w:val="00B264F8"/>
    <w:rsid w:val="00B26618"/>
    <w:rsid w:val="00B26B1D"/>
    <w:rsid w:val="00B26C9E"/>
    <w:rsid w:val="00B2703D"/>
    <w:rsid w:val="00B3005F"/>
    <w:rsid w:val="00B30275"/>
    <w:rsid w:val="00B30C60"/>
    <w:rsid w:val="00B313ED"/>
    <w:rsid w:val="00B3209C"/>
    <w:rsid w:val="00B32515"/>
    <w:rsid w:val="00B32935"/>
    <w:rsid w:val="00B32ADD"/>
    <w:rsid w:val="00B33730"/>
    <w:rsid w:val="00B339E4"/>
    <w:rsid w:val="00B33C0A"/>
    <w:rsid w:val="00B3446B"/>
    <w:rsid w:val="00B345E6"/>
    <w:rsid w:val="00B3553E"/>
    <w:rsid w:val="00B35779"/>
    <w:rsid w:val="00B35A2C"/>
    <w:rsid w:val="00B366FB"/>
    <w:rsid w:val="00B36C18"/>
    <w:rsid w:val="00B36FE5"/>
    <w:rsid w:val="00B36FE9"/>
    <w:rsid w:val="00B37019"/>
    <w:rsid w:val="00B377BB"/>
    <w:rsid w:val="00B378D9"/>
    <w:rsid w:val="00B40134"/>
    <w:rsid w:val="00B40325"/>
    <w:rsid w:val="00B40C43"/>
    <w:rsid w:val="00B40C85"/>
    <w:rsid w:val="00B40CCA"/>
    <w:rsid w:val="00B41108"/>
    <w:rsid w:val="00B41298"/>
    <w:rsid w:val="00B412CF"/>
    <w:rsid w:val="00B41369"/>
    <w:rsid w:val="00B41444"/>
    <w:rsid w:val="00B42099"/>
    <w:rsid w:val="00B42FA8"/>
    <w:rsid w:val="00B430AD"/>
    <w:rsid w:val="00B4332E"/>
    <w:rsid w:val="00B4345D"/>
    <w:rsid w:val="00B453C0"/>
    <w:rsid w:val="00B45566"/>
    <w:rsid w:val="00B45A9B"/>
    <w:rsid w:val="00B461A8"/>
    <w:rsid w:val="00B4686E"/>
    <w:rsid w:val="00B46C0A"/>
    <w:rsid w:val="00B46CC9"/>
    <w:rsid w:val="00B47A48"/>
    <w:rsid w:val="00B47D66"/>
    <w:rsid w:val="00B47EFD"/>
    <w:rsid w:val="00B51187"/>
    <w:rsid w:val="00B5336B"/>
    <w:rsid w:val="00B5417C"/>
    <w:rsid w:val="00B54811"/>
    <w:rsid w:val="00B560C7"/>
    <w:rsid w:val="00B562E6"/>
    <w:rsid w:val="00B56CC3"/>
    <w:rsid w:val="00B56D27"/>
    <w:rsid w:val="00B56F89"/>
    <w:rsid w:val="00B574F2"/>
    <w:rsid w:val="00B57A56"/>
    <w:rsid w:val="00B57C11"/>
    <w:rsid w:val="00B6005D"/>
    <w:rsid w:val="00B60580"/>
    <w:rsid w:val="00B60A4F"/>
    <w:rsid w:val="00B6104A"/>
    <w:rsid w:val="00B611CE"/>
    <w:rsid w:val="00B61365"/>
    <w:rsid w:val="00B62AF0"/>
    <w:rsid w:val="00B62B06"/>
    <w:rsid w:val="00B62C4D"/>
    <w:rsid w:val="00B62DB5"/>
    <w:rsid w:val="00B637B1"/>
    <w:rsid w:val="00B63826"/>
    <w:rsid w:val="00B6399C"/>
    <w:rsid w:val="00B64135"/>
    <w:rsid w:val="00B64434"/>
    <w:rsid w:val="00B657D2"/>
    <w:rsid w:val="00B65940"/>
    <w:rsid w:val="00B65D74"/>
    <w:rsid w:val="00B665E0"/>
    <w:rsid w:val="00B66680"/>
    <w:rsid w:val="00B67294"/>
    <w:rsid w:val="00B672BD"/>
    <w:rsid w:val="00B6745C"/>
    <w:rsid w:val="00B67698"/>
    <w:rsid w:val="00B677C9"/>
    <w:rsid w:val="00B67A95"/>
    <w:rsid w:val="00B67C87"/>
    <w:rsid w:val="00B67F43"/>
    <w:rsid w:val="00B70F1A"/>
    <w:rsid w:val="00B711DB"/>
    <w:rsid w:val="00B71391"/>
    <w:rsid w:val="00B715AD"/>
    <w:rsid w:val="00B7199C"/>
    <w:rsid w:val="00B7209A"/>
    <w:rsid w:val="00B723A3"/>
    <w:rsid w:val="00B72480"/>
    <w:rsid w:val="00B72707"/>
    <w:rsid w:val="00B72B2E"/>
    <w:rsid w:val="00B736CD"/>
    <w:rsid w:val="00B73C8B"/>
    <w:rsid w:val="00B758A9"/>
    <w:rsid w:val="00B76E6D"/>
    <w:rsid w:val="00B775B7"/>
    <w:rsid w:val="00B807CB"/>
    <w:rsid w:val="00B8093D"/>
    <w:rsid w:val="00B8121D"/>
    <w:rsid w:val="00B81281"/>
    <w:rsid w:val="00B813FD"/>
    <w:rsid w:val="00B81670"/>
    <w:rsid w:val="00B81C3C"/>
    <w:rsid w:val="00B828F9"/>
    <w:rsid w:val="00B8300B"/>
    <w:rsid w:val="00B83F9A"/>
    <w:rsid w:val="00B8426B"/>
    <w:rsid w:val="00B85214"/>
    <w:rsid w:val="00B86444"/>
    <w:rsid w:val="00B86C20"/>
    <w:rsid w:val="00B86E51"/>
    <w:rsid w:val="00B8799C"/>
    <w:rsid w:val="00B87F18"/>
    <w:rsid w:val="00B90580"/>
    <w:rsid w:val="00B913F8"/>
    <w:rsid w:val="00B91472"/>
    <w:rsid w:val="00B916D5"/>
    <w:rsid w:val="00B91D10"/>
    <w:rsid w:val="00B928E5"/>
    <w:rsid w:val="00B932E8"/>
    <w:rsid w:val="00B9389A"/>
    <w:rsid w:val="00B93B80"/>
    <w:rsid w:val="00B9431D"/>
    <w:rsid w:val="00B94402"/>
    <w:rsid w:val="00B944FC"/>
    <w:rsid w:val="00B94C86"/>
    <w:rsid w:val="00B94D91"/>
    <w:rsid w:val="00B95015"/>
    <w:rsid w:val="00B95E3F"/>
    <w:rsid w:val="00B95F2A"/>
    <w:rsid w:val="00B97320"/>
    <w:rsid w:val="00B97F8B"/>
    <w:rsid w:val="00BA07D5"/>
    <w:rsid w:val="00BA11A5"/>
    <w:rsid w:val="00BA1E2D"/>
    <w:rsid w:val="00BA2C82"/>
    <w:rsid w:val="00BA3186"/>
    <w:rsid w:val="00BA3F06"/>
    <w:rsid w:val="00BA4161"/>
    <w:rsid w:val="00BA4541"/>
    <w:rsid w:val="00BA4D7A"/>
    <w:rsid w:val="00BA58D4"/>
    <w:rsid w:val="00BA6359"/>
    <w:rsid w:val="00BA7302"/>
    <w:rsid w:val="00BA7BAF"/>
    <w:rsid w:val="00BA7D97"/>
    <w:rsid w:val="00BB0D42"/>
    <w:rsid w:val="00BB0F9D"/>
    <w:rsid w:val="00BB1E91"/>
    <w:rsid w:val="00BB30B9"/>
    <w:rsid w:val="00BB37EA"/>
    <w:rsid w:val="00BB3D3A"/>
    <w:rsid w:val="00BB42C5"/>
    <w:rsid w:val="00BB43E4"/>
    <w:rsid w:val="00BB4519"/>
    <w:rsid w:val="00BB46CC"/>
    <w:rsid w:val="00BB551A"/>
    <w:rsid w:val="00BB5E9B"/>
    <w:rsid w:val="00BB5EA3"/>
    <w:rsid w:val="00BB6373"/>
    <w:rsid w:val="00BB63F2"/>
    <w:rsid w:val="00BB6565"/>
    <w:rsid w:val="00BB6AF0"/>
    <w:rsid w:val="00BB7276"/>
    <w:rsid w:val="00BB7D39"/>
    <w:rsid w:val="00BC1554"/>
    <w:rsid w:val="00BC172B"/>
    <w:rsid w:val="00BC1E11"/>
    <w:rsid w:val="00BC2184"/>
    <w:rsid w:val="00BC2911"/>
    <w:rsid w:val="00BC3693"/>
    <w:rsid w:val="00BC3B24"/>
    <w:rsid w:val="00BC4014"/>
    <w:rsid w:val="00BC4F64"/>
    <w:rsid w:val="00BC596A"/>
    <w:rsid w:val="00BC5B29"/>
    <w:rsid w:val="00BC6567"/>
    <w:rsid w:val="00BC713E"/>
    <w:rsid w:val="00BC7552"/>
    <w:rsid w:val="00BC75FB"/>
    <w:rsid w:val="00BC793B"/>
    <w:rsid w:val="00BC7AFA"/>
    <w:rsid w:val="00BD05E2"/>
    <w:rsid w:val="00BD0909"/>
    <w:rsid w:val="00BD0CE3"/>
    <w:rsid w:val="00BD0F3F"/>
    <w:rsid w:val="00BD188E"/>
    <w:rsid w:val="00BD19B8"/>
    <w:rsid w:val="00BD1F3F"/>
    <w:rsid w:val="00BD2205"/>
    <w:rsid w:val="00BD40AF"/>
    <w:rsid w:val="00BD45AD"/>
    <w:rsid w:val="00BD48C3"/>
    <w:rsid w:val="00BD4956"/>
    <w:rsid w:val="00BD5457"/>
    <w:rsid w:val="00BD5759"/>
    <w:rsid w:val="00BD5941"/>
    <w:rsid w:val="00BD6202"/>
    <w:rsid w:val="00BD6458"/>
    <w:rsid w:val="00BD68EB"/>
    <w:rsid w:val="00BD6E0F"/>
    <w:rsid w:val="00BD6EF1"/>
    <w:rsid w:val="00BD7A2E"/>
    <w:rsid w:val="00BE011B"/>
    <w:rsid w:val="00BE0A43"/>
    <w:rsid w:val="00BE11FB"/>
    <w:rsid w:val="00BE2668"/>
    <w:rsid w:val="00BE29BF"/>
    <w:rsid w:val="00BE3545"/>
    <w:rsid w:val="00BE366B"/>
    <w:rsid w:val="00BE4185"/>
    <w:rsid w:val="00BE4320"/>
    <w:rsid w:val="00BE44E6"/>
    <w:rsid w:val="00BE44ED"/>
    <w:rsid w:val="00BE469B"/>
    <w:rsid w:val="00BE49EA"/>
    <w:rsid w:val="00BE4F3A"/>
    <w:rsid w:val="00BE6203"/>
    <w:rsid w:val="00BE6285"/>
    <w:rsid w:val="00BE6D8C"/>
    <w:rsid w:val="00BF00F9"/>
    <w:rsid w:val="00BF030E"/>
    <w:rsid w:val="00BF1E5C"/>
    <w:rsid w:val="00BF4DD7"/>
    <w:rsid w:val="00BF544B"/>
    <w:rsid w:val="00BF5A52"/>
    <w:rsid w:val="00BF639B"/>
    <w:rsid w:val="00BF6478"/>
    <w:rsid w:val="00BF6657"/>
    <w:rsid w:val="00BF6D9A"/>
    <w:rsid w:val="00BF7361"/>
    <w:rsid w:val="00BF7D47"/>
    <w:rsid w:val="00BF7E7E"/>
    <w:rsid w:val="00C002EF"/>
    <w:rsid w:val="00C0030A"/>
    <w:rsid w:val="00C003F4"/>
    <w:rsid w:val="00C004C6"/>
    <w:rsid w:val="00C008B3"/>
    <w:rsid w:val="00C01F6E"/>
    <w:rsid w:val="00C024F6"/>
    <w:rsid w:val="00C028EB"/>
    <w:rsid w:val="00C0314F"/>
    <w:rsid w:val="00C03543"/>
    <w:rsid w:val="00C03B4B"/>
    <w:rsid w:val="00C042EB"/>
    <w:rsid w:val="00C04F69"/>
    <w:rsid w:val="00C0549F"/>
    <w:rsid w:val="00C059EC"/>
    <w:rsid w:val="00C062BF"/>
    <w:rsid w:val="00C06D0E"/>
    <w:rsid w:val="00C06FE2"/>
    <w:rsid w:val="00C07D8A"/>
    <w:rsid w:val="00C113F0"/>
    <w:rsid w:val="00C11A0A"/>
    <w:rsid w:val="00C12171"/>
    <w:rsid w:val="00C127FD"/>
    <w:rsid w:val="00C13143"/>
    <w:rsid w:val="00C134AB"/>
    <w:rsid w:val="00C135C8"/>
    <w:rsid w:val="00C13AAE"/>
    <w:rsid w:val="00C13EC4"/>
    <w:rsid w:val="00C140D3"/>
    <w:rsid w:val="00C14724"/>
    <w:rsid w:val="00C14971"/>
    <w:rsid w:val="00C14A8B"/>
    <w:rsid w:val="00C14C35"/>
    <w:rsid w:val="00C14F78"/>
    <w:rsid w:val="00C15A15"/>
    <w:rsid w:val="00C161DB"/>
    <w:rsid w:val="00C1637A"/>
    <w:rsid w:val="00C1742F"/>
    <w:rsid w:val="00C1765E"/>
    <w:rsid w:val="00C20C8B"/>
    <w:rsid w:val="00C2142B"/>
    <w:rsid w:val="00C224B0"/>
    <w:rsid w:val="00C224EF"/>
    <w:rsid w:val="00C22DB9"/>
    <w:rsid w:val="00C2301A"/>
    <w:rsid w:val="00C236C8"/>
    <w:rsid w:val="00C23952"/>
    <w:rsid w:val="00C23B2A"/>
    <w:rsid w:val="00C2403C"/>
    <w:rsid w:val="00C24055"/>
    <w:rsid w:val="00C245E0"/>
    <w:rsid w:val="00C25220"/>
    <w:rsid w:val="00C25830"/>
    <w:rsid w:val="00C269CF"/>
    <w:rsid w:val="00C26EDF"/>
    <w:rsid w:val="00C27881"/>
    <w:rsid w:val="00C2798C"/>
    <w:rsid w:val="00C301B8"/>
    <w:rsid w:val="00C3122E"/>
    <w:rsid w:val="00C31A72"/>
    <w:rsid w:val="00C322E8"/>
    <w:rsid w:val="00C32942"/>
    <w:rsid w:val="00C3334B"/>
    <w:rsid w:val="00C3355E"/>
    <w:rsid w:val="00C33B65"/>
    <w:rsid w:val="00C343E2"/>
    <w:rsid w:val="00C344CE"/>
    <w:rsid w:val="00C34D67"/>
    <w:rsid w:val="00C35746"/>
    <w:rsid w:val="00C35869"/>
    <w:rsid w:val="00C36320"/>
    <w:rsid w:val="00C3687A"/>
    <w:rsid w:val="00C36C47"/>
    <w:rsid w:val="00C37A3B"/>
    <w:rsid w:val="00C401F8"/>
    <w:rsid w:val="00C403BD"/>
    <w:rsid w:val="00C40883"/>
    <w:rsid w:val="00C40B0C"/>
    <w:rsid w:val="00C40CAA"/>
    <w:rsid w:val="00C40D1B"/>
    <w:rsid w:val="00C40D56"/>
    <w:rsid w:val="00C4158C"/>
    <w:rsid w:val="00C41D58"/>
    <w:rsid w:val="00C42497"/>
    <w:rsid w:val="00C4319F"/>
    <w:rsid w:val="00C43497"/>
    <w:rsid w:val="00C440AF"/>
    <w:rsid w:val="00C449CF"/>
    <w:rsid w:val="00C44B72"/>
    <w:rsid w:val="00C45220"/>
    <w:rsid w:val="00C45AD9"/>
    <w:rsid w:val="00C45B16"/>
    <w:rsid w:val="00C464E9"/>
    <w:rsid w:val="00C46A63"/>
    <w:rsid w:val="00C46D3C"/>
    <w:rsid w:val="00C46D46"/>
    <w:rsid w:val="00C501FB"/>
    <w:rsid w:val="00C50FEB"/>
    <w:rsid w:val="00C5141F"/>
    <w:rsid w:val="00C5148E"/>
    <w:rsid w:val="00C518EE"/>
    <w:rsid w:val="00C51937"/>
    <w:rsid w:val="00C51BFA"/>
    <w:rsid w:val="00C51DF4"/>
    <w:rsid w:val="00C52103"/>
    <w:rsid w:val="00C52D6C"/>
    <w:rsid w:val="00C53713"/>
    <w:rsid w:val="00C53935"/>
    <w:rsid w:val="00C53C3C"/>
    <w:rsid w:val="00C55681"/>
    <w:rsid w:val="00C5583D"/>
    <w:rsid w:val="00C56673"/>
    <w:rsid w:val="00C57DA6"/>
    <w:rsid w:val="00C605FF"/>
    <w:rsid w:val="00C6168C"/>
    <w:rsid w:val="00C62164"/>
    <w:rsid w:val="00C627EE"/>
    <w:rsid w:val="00C62829"/>
    <w:rsid w:val="00C628E2"/>
    <w:rsid w:val="00C62910"/>
    <w:rsid w:val="00C62C9C"/>
    <w:rsid w:val="00C63816"/>
    <w:rsid w:val="00C63D52"/>
    <w:rsid w:val="00C640A8"/>
    <w:rsid w:val="00C65828"/>
    <w:rsid w:val="00C65CC7"/>
    <w:rsid w:val="00C65D62"/>
    <w:rsid w:val="00C65FDE"/>
    <w:rsid w:val="00C66413"/>
    <w:rsid w:val="00C6679F"/>
    <w:rsid w:val="00C66EDA"/>
    <w:rsid w:val="00C672D5"/>
    <w:rsid w:val="00C7009B"/>
    <w:rsid w:val="00C7030A"/>
    <w:rsid w:val="00C7033F"/>
    <w:rsid w:val="00C703EC"/>
    <w:rsid w:val="00C70CED"/>
    <w:rsid w:val="00C70E6E"/>
    <w:rsid w:val="00C7107E"/>
    <w:rsid w:val="00C719C7"/>
    <w:rsid w:val="00C7232C"/>
    <w:rsid w:val="00C72469"/>
    <w:rsid w:val="00C72508"/>
    <w:rsid w:val="00C72852"/>
    <w:rsid w:val="00C73333"/>
    <w:rsid w:val="00C735F1"/>
    <w:rsid w:val="00C73DBE"/>
    <w:rsid w:val="00C74A74"/>
    <w:rsid w:val="00C74DB9"/>
    <w:rsid w:val="00C7535A"/>
    <w:rsid w:val="00C757F2"/>
    <w:rsid w:val="00C75C97"/>
    <w:rsid w:val="00C766B3"/>
    <w:rsid w:val="00C767AD"/>
    <w:rsid w:val="00C7735A"/>
    <w:rsid w:val="00C77B36"/>
    <w:rsid w:val="00C80FF7"/>
    <w:rsid w:val="00C8100A"/>
    <w:rsid w:val="00C819FF"/>
    <w:rsid w:val="00C81A5C"/>
    <w:rsid w:val="00C81F4A"/>
    <w:rsid w:val="00C82628"/>
    <w:rsid w:val="00C8307E"/>
    <w:rsid w:val="00C83673"/>
    <w:rsid w:val="00C83E7F"/>
    <w:rsid w:val="00C84487"/>
    <w:rsid w:val="00C845CA"/>
    <w:rsid w:val="00C84C72"/>
    <w:rsid w:val="00C85357"/>
    <w:rsid w:val="00C8546A"/>
    <w:rsid w:val="00C85600"/>
    <w:rsid w:val="00C901CA"/>
    <w:rsid w:val="00C90634"/>
    <w:rsid w:val="00C90DA6"/>
    <w:rsid w:val="00C9107A"/>
    <w:rsid w:val="00C91269"/>
    <w:rsid w:val="00C91776"/>
    <w:rsid w:val="00C917ED"/>
    <w:rsid w:val="00C91DA3"/>
    <w:rsid w:val="00C91F49"/>
    <w:rsid w:val="00C92185"/>
    <w:rsid w:val="00C92DDE"/>
    <w:rsid w:val="00C933EE"/>
    <w:rsid w:val="00C945FC"/>
    <w:rsid w:val="00C9492A"/>
    <w:rsid w:val="00C9529A"/>
    <w:rsid w:val="00C95C39"/>
    <w:rsid w:val="00C95D0B"/>
    <w:rsid w:val="00C968FF"/>
    <w:rsid w:val="00C96FDE"/>
    <w:rsid w:val="00C979FF"/>
    <w:rsid w:val="00CA03C0"/>
    <w:rsid w:val="00CA0965"/>
    <w:rsid w:val="00CA0C83"/>
    <w:rsid w:val="00CA1725"/>
    <w:rsid w:val="00CA1E22"/>
    <w:rsid w:val="00CA3544"/>
    <w:rsid w:val="00CA3F4F"/>
    <w:rsid w:val="00CA5068"/>
    <w:rsid w:val="00CA53B2"/>
    <w:rsid w:val="00CA5895"/>
    <w:rsid w:val="00CA59A5"/>
    <w:rsid w:val="00CA59AF"/>
    <w:rsid w:val="00CA5B82"/>
    <w:rsid w:val="00CA7253"/>
    <w:rsid w:val="00CA761B"/>
    <w:rsid w:val="00CA79D5"/>
    <w:rsid w:val="00CB1117"/>
    <w:rsid w:val="00CB1C64"/>
    <w:rsid w:val="00CB2F95"/>
    <w:rsid w:val="00CB339D"/>
    <w:rsid w:val="00CB3474"/>
    <w:rsid w:val="00CB367C"/>
    <w:rsid w:val="00CB38A6"/>
    <w:rsid w:val="00CB40F3"/>
    <w:rsid w:val="00CB426A"/>
    <w:rsid w:val="00CB42AC"/>
    <w:rsid w:val="00CB53D7"/>
    <w:rsid w:val="00CB5563"/>
    <w:rsid w:val="00CB5B58"/>
    <w:rsid w:val="00CB5F33"/>
    <w:rsid w:val="00CB63CA"/>
    <w:rsid w:val="00CB7101"/>
    <w:rsid w:val="00CC00E2"/>
    <w:rsid w:val="00CC0C50"/>
    <w:rsid w:val="00CC2652"/>
    <w:rsid w:val="00CC27DC"/>
    <w:rsid w:val="00CC30AA"/>
    <w:rsid w:val="00CC33C0"/>
    <w:rsid w:val="00CC3531"/>
    <w:rsid w:val="00CC3858"/>
    <w:rsid w:val="00CC5A45"/>
    <w:rsid w:val="00CC6223"/>
    <w:rsid w:val="00CC62D6"/>
    <w:rsid w:val="00CC6372"/>
    <w:rsid w:val="00CC65B6"/>
    <w:rsid w:val="00CC6809"/>
    <w:rsid w:val="00CC6BE7"/>
    <w:rsid w:val="00CC6EFD"/>
    <w:rsid w:val="00CC70C1"/>
    <w:rsid w:val="00CC70E1"/>
    <w:rsid w:val="00CD0525"/>
    <w:rsid w:val="00CD08B6"/>
    <w:rsid w:val="00CD0E08"/>
    <w:rsid w:val="00CD1169"/>
    <w:rsid w:val="00CD21C1"/>
    <w:rsid w:val="00CD260E"/>
    <w:rsid w:val="00CD38BE"/>
    <w:rsid w:val="00CD3AAA"/>
    <w:rsid w:val="00CD3C5A"/>
    <w:rsid w:val="00CD3CBE"/>
    <w:rsid w:val="00CD3D7A"/>
    <w:rsid w:val="00CD3DD8"/>
    <w:rsid w:val="00CD3E5E"/>
    <w:rsid w:val="00CD4079"/>
    <w:rsid w:val="00CD423A"/>
    <w:rsid w:val="00CD5141"/>
    <w:rsid w:val="00CD52FA"/>
    <w:rsid w:val="00CD54C2"/>
    <w:rsid w:val="00CD55A7"/>
    <w:rsid w:val="00CD5B00"/>
    <w:rsid w:val="00CD5D51"/>
    <w:rsid w:val="00CD6CCF"/>
    <w:rsid w:val="00CE051C"/>
    <w:rsid w:val="00CE11E9"/>
    <w:rsid w:val="00CE12BE"/>
    <w:rsid w:val="00CE1C42"/>
    <w:rsid w:val="00CE1E09"/>
    <w:rsid w:val="00CE216F"/>
    <w:rsid w:val="00CE225C"/>
    <w:rsid w:val="00CE252B"/>
    <w:rsid w:val="00CE30C6"/>
    <w:rsid w:val="00CE32F9"/>
    <w:rsid w:val="00CE3686"/>
    <w:rsid w:val="00CE3873"/>
    <w:rsid w:val="00CE3978"/>
    <w:rsid w:val="00CE41CC"/>
    <w:rsid w:val="00CE47A3"/>
    <w:rsid w:val="00CE48D9"/>
    <w:rsid w:val="00CE5028"/>
    <w:rsid w:val="00CE618B"/>
    <w:rsid w:val="00CE66B6"/>
    <w:rsid w:val="00CE6A9D"/>
    <w:rsid w:val="00CE7528"/>
    <w:rsid w:val="00CE7A30"/>
    <w:rsid w:val="00CE7BDF"/>
    <w:rsid w:val="00CF0B87"/>
    <w:rsid w:val="00CF12A6"/>
    <w:rsid w:val="00CF17A2"/>
    <w:rsid w:val="00CF1CB9"/>
    <w:rsid w:val="00CF214A"/>
    <w:rsid w:val="00CF2938"/>
    <w:rsid w:val="00CF2A46"/>
    <w:rsid w:val="00CF2FD7"/>
    <w:rsid w:val="00CF32FB"/>
    <w:rsid w:val="00CF3422"/>
    <w:rsid w:val="00CF3D30"/>
    <w:rsid w:val="00CF4AAA"/>
    <w:rsid w:val="00CF4E9D"/>
    <w:rsid w:val="00CF591B"/>
    <w:rsid w:val="00CF5D1C"/>
    <w:rsid w:val="00CF61B9"/>
    <w:rsid w:val="00CF662D"/>
    <w:rsid w:val="00CF6C05"/>
    <w:rsid w:val="00CF6E2C"/>
    <w:rsid w:val="00D007AE"/>
    <w:rsid w:val="00D01B5D"/>
    <w:rsid w:val="00D020DD"/>
    <w:rsid w:val="00D022C6"/>
    <w:rsid w:val="00D02302"/>
    <w:rsid w:val="00D03540"/>
    <w:rsid w:val="00D03C9A"/>
    <w:rsid w:val="00D04314"/>
    <w:rsid w:val="00D0510F"/>
    <w:rsid w:val="00D053DA"/>
    <w:rsid w:val="00D0594C"/>
    <w:rsid w:val="00D05A64"/>
    <w:rsid w:val="00D05BCB"/>
    <w:rsid w:val="00D05F5E"/>
    <w:rsid w:val="00D05FE7"/>
    <w:rsid w:val="00D06016"/>
    <w:rsid w:val="00D06207"/>
    <w:rsid w:val="00D06C0E"/>
    <w:rsid w:val="00D06F82"/>
    <w:rsid w:val="00D07CF1"/>
    <w:rsid w:val="00D10224"/>
    <w:rsid w:val="00D1038C"/>
    <w:rsid w:val="00D107AA"/>
    <w:rsid w:val="00D109BC"/>
    <w:rsid w:val="00D118DC"/>
    <w:rsid w:val="00D11A78"/>
    <w:rsid w:val="00D11E29"/>
    <w:rsid w:val="00D12048"/>
    <w:rsid w:val="00D1237A"/>
    <w:rsid w:val="00D12AD8"/>
    <w:rsid w:val="00D13205"/>
    <w:rsid w:val="00D13582"/>
    <w:rsid w:val="00D13FA9"/>
    <w:rsid w:val="00D15199"/>
    <w:rsid w:val="00D151BE"/>
    <w:rsid w:val="00D15283"/>
    <w:rsid w:val="00D154BA"/>
    <w:rsid w:val="00D15BCB"/>
    <w:rsid w:val="00D168D3"/>
    <w:rsid w:val="00D16B8E"/>
    <w:rsid w:val="00D17972"/>
    <w:rsid w:val="00D17A78"/>
    <w:rsid w:val="00D17F7A"/>
    <w:rsid w:val="00D20582"/>
    <w:rsid w:val="00D212B9"/>
    <w:rsid w:val="00D21810"/>
    <w:rsid w:val="00D21B76"/>
    <w:rsid w:val="00D21EAD"/>
    <w:rsid w:val="00D22055"/>
    <w:rsid w:val="00D22716"/>
    <w:rsid w:val="00D227DE"/>
    <w:rsid w:val="00D2282E"/>
    <w:rsid w:val="00D23438"/>
    <w:rsid w:val="00D23810"/>
    <w:rsid w:val="00D246A2"/>
    <w:rsid w:val="00D248FA"/>
    <w:rsid w:val="00D249CB"/>
    <w:rsid w:val="00D24E6A"/>
    <w:rsid w:val="00D24E72"/>
    <w:rsid w:val="00D2533C"/>
    <w:rsid w:val="00D25831"/>
    <w:rsid w:val="00D264F1"/>
    <w:rsid w:val="00D26ACD"/>
    <w:rsid w:val="00D26BC4"/>
    <w:rsid w:val="00D27344"/>
    <w:rsid w:val="00D275F7"/>
    <w:rsid w:val="00D278CA"/>
    <w:rsid w:val="00D27F5E"/>
    <w:rsid w:val="00D30763"/>
    <w:rsid w:val="00D30A07"/>
    <w:rsid w:val="00D30BC0"/>
    <w:rsid w:val="00D30E20"/>
    <w:rsid w:val="00D315E3"/>
    <w:rsid w:val="00D31837"/>
    <w:rsid w:val="00D31E32"/>
    <w:rsid w:val="00D33931"/>
    <w:rsid w:val="00D345F3"/>
    <w:rsid w:val="00D34AE6"/>
    <w:rsid w:val="00D34BC1"/>
    <w:rsid w:val="00D35125"/>
    <w:rsid w:val="00D351CC"/>
    <w:rsid w:val="00D365B2"/>
    <w:rsid w:val="00D36819"/>
    <w:rsid w:val="00D3690D"/>
    <w:rsid w:val="00D36B62"/>
    <w:rsid w:val="00D3707C"/>
    <w:rsid w:val="00D37D95"/>
    <w:rsid w:val="00D37FF0"/>
    <w:rsid w:val="00D407FC"/>
    <w:rsid w:val="00D4154C"/>
    <w:rsid w:val="00D41869"/>
    <w:rsid w:val="00D41F4E"/>
    <w:rsid w:val="00D420C6"/>
    <w:rsid w:val="00D430AF"/>
    <w:rsid w:val="00D434D8"/>
    <w:rsid w:val="00D43DB5"/>
    <w:rsid w:val="00D45101"/>
    <w:rsid w:val="00D459FC"/>
    <w:rsid w:val="00D45F17"/>
    <w:rsid w:val="00D468C0"/>
    <w:rsid w:val="00D46C83"/>
    <w:rsid w:val="00D47E94"/>
    <w:rsid w:val="00D50194"/>
    <w:rsid w:val="00D503BC"/>
    <w:rsid w:val="00D50F5E"/>
    <w:rsid w:val="00D51496"/>
    <w:rsid w:val="00D51590"/>
    <w:rsid w:val="00D5246F"/>
    <w:rsid w:val="00D5311D"/>
    <w:rsid w:val="00D53876"/>
    <w:rsid w:val="00D53A25"/>
    <w:rsid w:val="00D53BDE"/>
    <w:rsid w:val="00D53CBA"/>
    <w:rsid w:val="00D53F6F"/>
    <w:rsid w:val="00D54C88"/>
    <w:rsid w:val="00D54F62"/>
    <w:rsid w:val="00D55E0D"/>
    <w:rsid w:val="00D5609A"/>
    <w:rsid w:val="00D56E24"/>
    <w:rsid w:val="00D574B6"/>
    <w:rsid w:val="00D57752"/>
    <w:rsid w:val="00D60B44"/>
    <w:rsid w:val="00D60CA4"/>
    <w:rsid w:val="00D62444"/>
    <w:rsid w:val="00D6299C"/>
    <w:rsid w:val="00D62CFB"/>
    <w:rsid w:val="00D64F9A"/>
    <w:rsid w:val="00D65420"/>
    <w:rsid w:val="00D6553B"/>
    <w:rsid w:val="00D655B7"/>
    <w:rsid w:val="00D66F93"/>
    <w:rsid w:val="00D67B5E"/>
    <w:rsid w:val="00D67CEA"/>
    <w:rsid w:val="00D70112"/>
    <w:rsid w:val="00D70D05"/>
    <w:rsid w:val="00D70E75"/>
    <w:rsid w:val="00D712E6"/>
    <w:rsid w:val="00D71C0C"/>
    <w:rsid w:val="00D71FFD"/>
    <w:rsid w:val="00D729A3"/>
    <w:rsid w:val="00D72ACF"/>
    <w:rsid w:val="00D72F0D"/>
    <w:rsid w:val="00D736D9"/>
    <w:rsid w:val="00D73E5A"/>
    <w:rsid w:val="00D75619"/>
    <w:rsid w:val="00D756FD"/>
    <w:rsid w:val="00D757E0"/>
    <w:rsid w:val="00D758F5"/>
    <w:rsid w:val="00D75FDF"/>
    <w:rsid w:val="00D7671A"/>
    <w:rsid w:val="00D76721"/>
    <w:rsid w:val="00D76D72"/>
    <w:rsid w:val="00D76E70"/>
    <w:rsid w:val="00D775AF"/>
    <w:rsid w:val="00D7770D"/>
    <w:rsid w:val="00D8052D"/>
    <w:rsid w:val="00D80D9D"/>
    <w:rsid w:val="00D813E6"/>
    <w:rsid w:val="00D81478"/>
    <w:rsid w:val="00D81B03"/>
    <w:rsid w:val="00D827F6"/>
    <w:rsid w:val="00D82820"/>
    <w:rsid w:val="00D82CED"/>
    <w:rsid w:val="00D82D07"/>
    <w:rsid w:val="00D83406"/>
    <w:rsid w:val="00D834EC"/>
    <w:rsid w:val="00D8389D"/>
    <w:rsid w:val="00D848D1"/>
    <w:rsid w:val="00D84CA9"/>
    <w:rsid w:val="00D8550F"/>
    <w:rsid w:val="00D857A4"/>
    <w:rsid w:val="00D86DA4"/>
    <w:rsid w:val="00D86FF6"/>
    <w:rsid w:val="00D90908"/>
    <w:rsid w:val="00D90EF4"/>
    <w:rsid w:val="00D9125B"/>
    <w:rsid w:val="00D912EA"/>
    <w:rsid w:val="00D923E1"/>
    <w:rsid w:val="00D9280F"/>
    <w:rsid w:val="00D92CE9"/>
    <w:rsid w:val="00D93474"/>
    <w:rsid w:val="00D93BF1"/>
    <w:rsid w:val="00D94074"/>
    <w:rsid w:val="00D940E1"/>
    <w:rsid w:val="00D944C8"/>
    <w:rsid w:val="00D948CA"/>
    <w:rsid w:val="00D952B7"/>
    <w:rsid w:val="00D95B03"/>
    <w:rsid w:val="00D9629B"/>
    <w:rsid w:val="00D962B9"/>
    <w:rsid w:val="00D9634D"/>
    <w:rsid w:val="00D96C09"/>
    <w:rsid w:val="00D96D9C"/>
    <w:rsid w:val="00D979A8"/>
    <w:rsid w:val="00DA1A94"/>
    <w:rsid w:val="00DA21A2"/>
    <w:rsid w:val="00DA2A7D"/>
    <w:rsid w:val="00DA3526"/>
    <w:rsid w:val="00DA3A7B"/>
    <w:rsid w:val="00DA4291"/>
    <w:rsid w:val="00DA4C20"/>
    <w:rsid w:val="00DA5649"/>
    <w:rsid w:val="00DA5706"/>
    <w:rsid w:val="00DA634F"/>
    <w:rsid w:val="00DA6AF9"/>
    <w:rsid w:val="00DA743D"/>
    <w:rsid w:val="00DA7582"/>
    <w:rsid w:val="00DA7EF3"/>
    <w:rsid w:val="00DB07E0"/>
    <w:rsid w:val="00DB08E2"/>
    <w:rsid w:val="00DB0D23"/>
    <w:rsid w:val="00DB126C"/>
    <w:rsid w:val="00DB14C3"/>
    <w:rsid w:val="00DB1840"/>
    <w:rsid w:val="00DB1E0C"/>
    <w:rsid w:val="00DB1E23"/>
    <w:rsid w:val="00DB28A8"/>
    <w:rsid w:val="00DB2BE7"/>
    <w:rsid w:val="00DB3BAE"/>
    <w:rsid w:val="00DB466F"/>
    <w:rsid w:val="00DB4B43"/>
    <w:rsid w:val="00DB5345"/>
    <w:rsid w:val="00DB54A4"/>
    <w:rsid w:val="00DB5C9C"/>
    <w:rsid w:val="00DB5E06"/>
    <w:rsid w:val="00DB620F"/>
    <w:rsid w:val="00DB65C2"/>
    <w:rsid w:val="00DB6E3B"/>
    <w:rsid w:val="00DB6F1E"/>
    <w:rsid w:val="00DB72B4"/>
    <w:rsid w:val="00DB731D"/>
    <w:rsid w:val="00DB7765"/>
    <w:rsid w:val="00DC01D2"/>
    <w:rsid w:val="00DC07D7"/>
    <w:rsid w:val="00DC0B26"/>
    <w:rsid w:val="00DC0BA2"/>
    <w:rsid w:val="00DC0DA5"/>
    <w:rsid w:val="00DC19C4"/>
    <w:rsid w:val="00DC3A04"/>
    <w:rsid w:val="00DC41E7"/>
    <w:rsid w:val="00DC46C7"/>
    <w:rsid w:val="00DC4E86"/>
    <w:rsid w:val="00DC58D9"/>
    <w:rsid w:val="00DC5904"/>
    <w:rsid w:val="00DC5E83"/>
    <w:rsid w:val="00DC6A0C"/>
    <w:rsid w:val="00DC6D47"/>
    <w:rsid w:val="00DC6F46"/>
    <w:rsid w:val="00DC78B4"/>
    <w:rsid w:val="00DC7917"/>
    <w:rsid w:val="00DC79F4"/>
    <w:rsid w:val="00DC7CEC"/>
    <w:rsid w:val="00DC7DC8"/>
    <w:rsid w:val="00DC7E31"/>
    <w:rsid w:val="00DC7EAC"/>
    <w:rsid w:val="00DD2751"/>
    <w:rsid w:val="00DD3AC7"/>
    <w:rsid w:val="00DD3F3B"/>
    <w:rsid w:val="00DD40A3"/>
    <w:rsid w:val="00DD41D9"/>
    <w:rsid w:val="00DD4243"/>
    <w:rsid w:val="00DD44AB"/>
    <w:rsid w:val="00DD4AC0"/>
    <w:rsid w:val="00DD4F9C"/>
    <w:rsid w:val="00DD52DE"/>
    <w:rsid w:val="00DD5456"/>
    <w:rsid w:val="00DD5FF2"/>
    <w:rsid w:val="00DD6D5B"/>
    <w:rsid w:val="00DD7E6F"/>
    <w:rsid w:val="00DE0030"/>
    <w:rsid w:val="00DE0559"/>
    <w:rsid w:val="00DE27EC"/>
    <w:rsid w:val="00DE2DDE"/>
    <w:rsid w:val="00DE3964"/>
    <w:rsid w:val="00DE3D8B"/>
    <w:rsid w:val="00DE411D"/>
    <w:rsid w:val="00DE42FA"/>
    <w:rsid w:val="00DE48E2"/>
    <w:rsid w:val="00DE48EB"/>
    <w:rsid w:val="00DE4A31"/>
    <w:rsid w:val="00DE53A4"/>
    <w:rsid w:val="00DE53B2"/>
    <w:rsid w:val="00DE55F2"/>
    <w:rsid w:val="00DE5606"/>
    <w:rsid w:val="00DE6154"/>
    <w:rsid w:val="00DE650C"/>
    <w:rsid w:val="00DE6982"/>
    <w:rsid w:val="00DE6B3A"/>
    <w:rsid w:val="00DE6D26"/>
    <w:rsid w:val="00DE6FA3"/>
    <w:rsid w:val="00DE70AD"/>
    <w:rsid w:val="00DE7180"/>
    <w:rsid w:val="00DE751A"/>
    <w:rsid w:val="00DE784E"/>
    <w:rsid w:val="00DF0ADC"/>
    <w:rsid w:val="00DF0EF9"/>
    <w:rsid w:val="00DF16BE"/>
    <w:rsid w:val="00DF18D3"/>
    <w:rsid w:val="00DF1B47"/>
    <w:rsid w:val="00DF1C63"/>
    <w:rsid w:val="00DF2279"/>
    <w:rsid w:val="00DF2386"/>
    <w:rsid w:val="00DF2433"/>
    <w:rsid w:val="00DF270A"/>
    <w:rsid w:val="00DF2C55"/>
    <w:rsid w:val="00DF2D8C"/>
    <w:rsid w:val="00DF3F20"/>
    <w:rsid w:val="00DF4C27"/>
    <w:rsid w:val="00DF4DDE"/>
    <w:rsid w:val="00DF4E0B"/>
    <w:rsid w:val="00DF544F"/>
    <w:rsid w:val="00DF62BF"/>
    <w:rsid w:val="00DF6A17"/>
    <w:rsid w:val="00DF7467"/>
    <w:rsid w:val="00DF7C01"/>
    <w:rsid w:val="00E00021"/>
    <w:rsid w:val="00E00149"/>
    <w:rsid w:val="00E00B9F"/>
    <w:rsid w:val="00E01ADB"/>
    <w:rsid w:val="00E01E41"/>
    <w:rsid w:val="00E02141"/>
    <w:rsid w:val="00E02224"/>
    <w:rsid w:val="00E028BC"/>
    <w:rsid w:val="00E034BE"/>
    <w:rsid w:val="00E03DE7"/>
    <w:rsid w:val="00E0459C"/>
    <w:rsid w:val="00E04A5D"/>
    <w:rsid w:val="00E05984"/>
    <w:rsid w:val="00E05A50"/>
    <w:rsid w:val="00E06C85"/>
    <w:rsid w:val="00E079A5"/>
    <w:rsid w:val="00E079F0"/>
    <w:rsid w:val="00E07A0F"/>
    <w:rsid w:val="00E113A1"/>
    <w:rsid w:val="00E1196B"/>
    <w:rsid w:val="00E11FD3"/>
    <w:rsid w:val="00E12072"/>
    <w:rsid w:val="00E123AB"/>
    <w:rsid w:val="00E1287D"/>
    <w:rsid w:val="00E129B2"/>
    <w:rsid w:val="00E1423E"/>
    <w:rsid w:val="00E14D83"/>
    <w:rsid w:val="00E14DEA"/>
    <w:rsid w:val="00E15362"/>
    <w:rsid w:val="00E153B3"/>
    <w:rsid w:val="00E159FF"/>
    <w:rsid w:val="00E16DF3"/>
    <w:rsid w:val="00E1754F"/>
    <w:rsid w:val="00E17C5E"/>
    <w:rsid w:val="00E2022C"/>
    <w:rsid w:val="00E20923"/>
    <w:rsid w:val="00E216BF"/>
    <w:rsid w:val="00E222E9"/>
    <w:rsid w:val="00E232C6"/>
    <w:rsid w:val="00E23F19"/>
    <w:rsid w:val="00E241AA"/>
    <w:rsid w:val="00E2454F"/>
    <w:rsid w:val="00E24958"/>
    <w:rsid w:val="00E25051"/>
    <w:rsid w:val="00E2616D"/>
    <w:rsid w:val="00E275DD"/>
    <w:rsid w:val="00E30A70"/>
    <w:rsid w:val="00E30EDD"/>
    <w:rsid w:val="00E313B8"/>
    <w:rsid w:val="00E3187C"/>
    <w:rsid w:val="00E31B4C"/>
    <w:rsid w:val="00E3204F"/>
    <w:rsid w:val="00E32275"/>
    <w:rsid w:val="00E32A42"/>
    <w:rsid w:val="00E32D1A"/>
    <w:rsid w:val="00E332C7"/>
    <w:rsid w:val="00E33454"/>
    <w:rsid w:val="00E3386E"/>
    <w:rsid w:val="00E33BEB"/>
    <w:rsid w:val="00E33E94"/>
    <w:rsid w:val="00E346FC"/>
    <w:rsid w:val="00E34827"/>
    <w:rsid w:val="00E3514F"/>
    <w:rsid w:val="00E36210"/>
    <w:rsid w:val="00E36927"/>
    <w:rsid w:val="00E36971"/>
    <w:rsid w:val="00E36C40"/>
    <w:rsid w:val="00E37232"/>
    <w:rsid w:val="00E37331"/>
    <w:rsid w:val="00E3735A"/>
    <w:rsid w:val="00E37E23"/>
    <w:rsid w:val="00E40008"/>
    <w:rsid w:val="00E40CD6"/>
    <w:rsid w:val="00E41976"/>
    <w:rsid w:val="00E42EF4"/>
    <w:rsid w:val="00E43372"/>
    <w:rsid w:val="00E435F6"/>
    <w:rsid w:val="00E436C0"/>
    <w:rsid w:val="00E439F5"/>
    <w:rsid w:val="00E43C55"/>
    <w:rsid w:val="00E43E29"/>
    <w:rsid w:val="00E441DE"/>
    <w:rsid w:val="00E443BE"/>
    <w:rsid w:val="00E45233"/>
    <w:rsid w:val="00E45236"/>
    <w:rsid w:val="00E454B9"/>
    <w:rsid w:val="00E4627E"/>
    <w:rsid w:val="00E46379"/>
    <w:rsid w:val="00E46B80"/>
    <w:rsid w:val="00E47240"/>
    <w:rsid w:val="00E50406"/>
    <w:rsid w:val="00E51A0D"/>
    <w:rsid w:val="00E51EB8"/>
    <w:rsid w:val="00E51EF4"/>
    <w:rsid w:val="00E52084"/>
    <w:rsid w:val="00E530A9"/>
    <w:rsid w:val="00E536A1"/>
    <w:rsid w:val="00E542B7"/>
    <w:rsid w:val="00E54C45"/>
    <w:rsid w:val="00E55D13"/>
    <w:rsid w:val="00E5611D"/>
    <w:rsid w:val="00E5616C"/>
    <w:rsid w:val="00E56991"/>
    <w:rsid w:val="00E56CF7"/>
    <w:rsid w:val="00E5740A"/>
    <w:rsid w:val="00E5780A"/>
    <w:rsid w:val="00E6010C"/>
    <w:rsid w:val="00E603D6"/>
    <w:rsid w:val="00E6041C"/>
    <w:rsid w:val="00E60668"/>
    <w:rsid w:val="00E60A8C"/>
    <w:rsid w:val="00E60CC7"/>
    <w:rsid w:val="00E612FD"/>
    <w:rsid w:val="00E6153B"/>
    <w:rsid w:val="00E615CC"/>
    <w:rsid w:val="00E61ECA"/>
    <w:rsid w:val="00E61FA4"/>
    <w:rsid w:val="00E621B6"/>
    <w:rsid w:val="00E6244D"/>
    <w:rsid w:val="00E63486"/>
    <w:rsid w:val="00E63830"/>
    <w:rsid w:val="00E63AF0"/>
    <w:rsid w:val="00E640F2"/>
    <w:rsid w:val="00E644BE"/>
    <w:rsid w:val="00E645B1"/>
    <w:rsid w:val="00E646B0"/>
    <w:rsid w:val="00E64894"/>
    <w:rsid w:val="00E64A77"/>
    <w:rsid w:val="00E64EB6"/>
    <w:rsid w:val="00E65959"/>
    <w:rsid w:val="00E66557"/>
    <w:rsid w:val="00E666E4"/>
    <w:rsid w:val="00E667FD"/>
    <w:rsid w:val="00E668AC"/>
    <w:rsid w:val="00E6727C"/>
    <w:rsid w:val="00E67C61"/>
    <w:rsid w:val="00E70002"/>
    <w:rsid w:val="00E70ECF"/>
    <w:rsid w:val="00E70FE9"/>
    <w:rsid w:val="00E71623"/>
    <w:rsid w:val="00E71985"/>
    <w:rsid w:val="00E71A69"/>
    <w:rsid w:val="00E71D15"/>
    <w:rsid w:val="00E71F2E"/>
    <w:rsid w:val="00E7212E"/>
    <w:rsid w:val="00E72788"/>
    <w:rsid w:val="00E72C99"/>
    <w:rsid w:val="00E72CED"/>
    <w:rsid w:val="00E735EB"/>
    <w:rsid w:val="00E7370A"/>
    <w:rsid w:val="00E7392C"/>
    <w:rsid w:val="00E741CD"/>
    <w:rsid w:val="00E742A4"/>
    <w:rsid w:val="00E742BB"/>
    <w:rsid w:val="00E74C01"/>
    <w:rsid w:val="00E751EC"/>
    <w:rsid w:val="00E75455"/>
    <w:rsid w:val="00E75763"/>
    <w:rsid w:val="00E75F75"/>
    <w:rsid w:val="00E75FF8"/>
    <w:rsid w:val="00E76C5B"/>
    <w:rsid w:val="00E774F4"/>
    <w:rsid w:val="00E81A29"/>
    <w:rsid w:val="00E821E5"/>
    <w:rsid w:val="00E82D09"/>
    <w:rsid w:val="00E85CCB"/>
    <w:rsid w:val="00E860C2"/>
    <w:rsid w:val="00E86237"/>
    <w:rsid w:val="00E862AD"/>
    <w:rsid w:val="00E86368"/>
    <w:rsid w:val="00E86C24"/>
    <w:rsid w:val="00E86E57"/>
    <w:rsid w:val="00E90E8A"/>
    <w:rsid w:val="00E91446"/>
    <w:rsid w:val="00E925B6"/>
    <w:rsid w:val="00E92751"/>
    <w:rsid w:val="00E93644"/>
    <w:rsid w:val="00E942B8"/>
    <w:rsid w:val="00E9449E"/>
    <w:rsid w:val="00E945CD"/>
    <w:rsid w:val="00E95287"/>
    <w:rsid w:val="00E95301"/>
    <w:rsid w:val="00E954A9"/>
    <w:rsid w:val="00E95DED"/>
    <w:rsid w:val="00E95DF1"/>
    <w:rsid w:val="00E966BB"/>
    <w:rsid w:val="00E96CB4"/>
    <w:rsid w:val="00E9714A"/>
    <w:rsid w:val="00E97217"/>
    <w:rsid w:val="00E97395"/>
    <w:rsid w:val="00E97EF1"/>
    <w:rsid w:val="00EA064C"/>
    <w:rsid w:val="00EA07C8"/>
    <w:rsid w:val="00EA0AA8"/>
    <w:rsid w:val="00EA14F8"/>
    <w:rsid w:val="00EA1AA3"/>
    <w:rsid w:val="00EA1B71"/>
    <w:rsid w:val="00EA233A"/>
    <w:rsid w:val="00EA2372"/>
    <w:rsid w:val="00EA23A5"/>
    <w:rsid w:val="00EA26AA"/>
    <w:rsid w:val="00EA27CC"/>
    <w:rsid w:val="00EA2A86"/>
    <w:rsid w:val="00EA2BFF"/>
    <w:rsid w:val="00EA2E3E"/>
    <w:rsid w:val="00EA411A"/>
    <w:rsid w:val="00EA4562"/>
    <w:rsid w:val="00EA5A06"/>
    <w:rsid w:val="00EA5ABC"/>
    <w:rsid w:val="00EA724D"/>
    <w:rsid w:val="00EA73C9"/>
    <w:rsid w:val="00EA74F8"/>
    <w:rsid w:val="00EA7875"/>
    <w:rsid w:val="00EB03D4"/>
    <w:rsid w:val="00EB0A1A"/>
    <w:rsid w:val="00EB181A"/>
    <w:rsid w:val="00EB1CCB"/>
    <w:rsid w:val="00EB1FF8"/>
    <w:rsid w:val="00EB2713"/>
    <w:rsid w:val="00EB2F4B"/>
    <w:rsid w:val="00EB320C"/>
    <w:rsid w:val="00EB3A86"/>
    <w:rsid w:val="00EB48F8"/>
    <w:rsid w:val="00EB4CDF"/>
    <w:rsid w:val="00EB4EE5"/>
    <w:rsid w:val="00EB58FC"/>
    <w:rsid w:val="00EB60B7"/>
    <w:rsid w:val="00EB6351"/>
    <w:rsid w:val="00EB6633"/>
    <w:rsid w:val="00EB68BB"/>
    <w:rsid w:val="00EB6AEC"/>
    <w:rsid w:val="00EB6FFA"/>
    <w:rsid w:val="00EB757F"/>
    <w:rsid w:val="00EB7F74"/>
    <w:rsid w:val="00EC0DB9"/>
    <w:rsid w:val="00EC2247"/>
    <w:rsid w:val="00EC3F15"/>
    <w:rsid w:val="00EC4729"/>
    <w:rsid w:val="00EC5088"/>
    <w:rsid w:val="00EC5C65"/>
    <w:rsid w:val="00EC6091"/>
    <w:rsid w:val="00EC6526"/>
    <w:rsid w:val="00EC664F"/>
    <w:rsid w:val="00EC67C3"/>
    <w:rsid w:val="00EC6D40"/>
    <w:rsid w:val="00EC7B01"/>
    <w:rsid w:val="00EC7FEF"/>
    <w:rsid w:val="00ED0454"/>
    <w:rsid w:val="00ED095A"/>
    <w:rsid w:val="00ED0D04"/>
    <w:rsid w:val="00ED171F"/>
    <w:rsid w:val="00ED19D3"/>
    <w:rsid w:val="00ED19E9"/>
    <w:rsid w:val="00ED1B27"/>
    <w:rsid w:val="00ED2280"/>
    <w:rsid w:val="00ED3BA7"/>
    <w:rsid w:val="00ED4E7D"/>
    <w:rsid w:val="00ED5FD8"/>
    <w:rsid w:val="00ED5FF4"/>
    <w:rsid w:val="00ED675F"/>
    <w:rsid w:val="00ED6E1C"/>
    <w:rsid w:val="00ED6EDF"/>
    <w:rsid w:val="00ED7E34"/>
    <w:rsid w:val="00ED7ECA"/>
    <w:rsid w:val="00EE010A"/>
    <w:rsid w:val="00EE04B2"/>
    <w:rsid w:val="00EE14F0"/>
    <w:rsid w:val="00EE1907"/>
    <w:rsid w:val="00EE197A"/>
    <w:rsid w:val="00EE2F9E"/>
    <w:rsid w:val="00EE3033"/>
    <w:rsid w:val="00EE32E8"/>
    <w:rsid w:val="00EE45D8"/>
    <w:rsid w:val="00EE4A35"/>
    <w:rsid w:val="00EE50C4"/>
    <w:rsid w:val="00EE5660"/>
    <w:rsid w:val="00EE567B"/>
    <w:rsid w:val="00EE5731"/>
    <w:rsid w:val="00EE5AD0"/>
    <w:rsid w:val="00EE6085"/>
    <w:rsid w:val="00EE616F"/>
    <w:rsid w:val="00EE6970"/>
    <w:rsid w:val="00EE6BD1"/>
    <w:rsid w:val="00EE7E32"/>
    <w:rsid w:val="00EF0780"/>
    <w:rsid w:val="00EF0DBE"/>
    <w:rsid w:val="00EF1402"/>
    <w:rsid w:val="00EF1DBC"/>
    <w:rsid w:val="00EF2F29"/>
    <w:rsid w:val="00EF39A5"/>
    <w:rsid w:val="00EF45C0"/>
    <w:rsid w:val="00EF55F0"/>
    <w:rsid w:val="00EF5C4D"/>
    <w:rsid w:val="00EF77C5"/>
    <w:rsid w:val="00EF799D"/>
    <w:rsid w:val="00EF7BF8"/>
    <w:rsid w:val="00F00D52"/>
    <w:rsid w:val="00F01267"/>
    <w:rsid w:val="00F015D8"/>
    <w:rsid w:val="00F01FB6"/>
    <w:rsid w:val="00F02991"/>
    <w:rsid w:val="00F02A00"/>
    <w:rsid w:val="00F02B92"/>
    <w:rsid w:val="00F034AF"/>
    <w:rsid w:val="00F04131"/>
    <w:rsid w:val="00F053A4"/>
    <w:rsid w:val="00F054EF"/>
    <w:rsid w:val="00F05803"/>
    <w:rsid w:val="00F05C9A"/>
    <w:rsid w:val="00F05E2E"/>
    <w:rsid w:val="00F0638A"/>
    <w:rsid w:val="00F06CEB"/>
    <w:rsid w:val="00F06EE6"/>
    <w:rsid w:val="00F0701D"/>
    <w:rsid w:val="00F0734E"/>
    <w:rsid w:val="00F07595"/>
    <w:rsid w:val="00F077D0"/>
    <w:rsid w:val="00F07F49"/>
    <w:rsid w:val="00F1008C"/>
    <w:rsid w:val="00F1035A"/>
    <w:rsid w:val="00F10674"/>
    <w:rsid w:val="00F108AA"/>
    <w:rsid w:val="00F10BCF"/>
    <w:rsid w:val="00F10C31"/>
    <w:rsid w:val="00F11085"/>
    <w:rsid w:val="00F114D2"/>
    <w:rsid w:val="00F11D45"/>
    <w:rsid w:val="00F123CC"/>
    <w:rsid w:val="00F131E6"/>
    <w:rsid w:val="00F1419E"/>
    <w:rsid w:val="00F14889"/>
    <w:rsid w:val="00F156AB"/>
    <w:rsid w:val="00F1575F"/>
    <w:rsid w:val="00F15C1C"/>
    <w:rsid w:val="00F16587"/>
    <w:rsid w:val="00F165E6"/>
    <w:rsid w:val="00F1684C"/>
    <w:rsid w:val="00F16953"/>
    <w:rsid w:val="00F16F74"/>
    <w:rsid w:val="00F177BC"/>
    <w:rsid w:val="00F17812"/>
    <w:rsid w:val="00F17E56"/>
    <w:rsid w:val="00F201FD"/>
    <w:rsid w:val="00F2161D"/>
    <w:rsid w:val="00F2190F"/>
    <w:rsid w:val="00F21C1A"/>
    <w:rsid w:val="00F222C1"/>
    <w:rsid w:val="00F22A45"/>
    <w:rsid w:val="00F22A6B"/>
    <w:rsid w:val="00F22D47"/>
    <w:rsid w:val="00F2332C"/>
    <w:rsid w:val="00F23F05"/>
    <w:rsid w:val="00F25073"/>
    <w:rsid w:val="00F254C4"/>
    <w:rsid w:val="00F25D32"/>
    <w:rsid w:val="00F25FA6"/>
    <w:rsid w:val="00F26244"/>
    <w:rsid w:val="00F26278"/>
    <w:rsid w:val="00F26AC3"/>
    <w:rsid w:val="00F26B92"/>
    <w:rsid w:val="00F26C5B"/>
    <w:rsid w:val="00F26CEB"/>
    <w:rsid w:val="00F271F7"/>
    <w:rsid w:val="00F3012F"/>
    <w:rsid w:val="00F301A7"/>
    <w:rsid w:val="00F304D7"/>
    <w:rsid w:val="00F31E54"/>
    <w:rsid w:val="00F31E8B"/>
    <w:rsid w:val="00F31FC4"/>
    <w:rsid w:val="00F32027"/>
    <w:rsid w:val="00F3262A"/>
    <w:rsid w:val="00F326CD"/>
    <w:rsid w:val="00F3283A"/>
    <w:rsid w:val="00F32E43"/>
    <w:rsid w:val="00F32E74"/>
    <w:rsid w:val="00F34DAD"/>
    <w:rsid w:val="00F35070"/>
    <w:rsid w:val="00F35156"/>
    <w:rsid w:val="00F35EC2"/>
    <w:rsid w:val="00F36173"/>
    <w:rsid w:val="00F36240"/>
    <w:rsid w:val="00F3627C"/>
    <w:rsid w:val="00F37555"/>
    <w:rsid w:val="00F37E7E"/>
    <w:rsid w:val="00F406E0"/>
    <w:rsid w:val="00F41965"/>
    <w:rsid w:val="00F41F93"/>
    <w:rsid w:val="00F42B4A"/>
    <w:rsid w:val="00F42D56"/>
    <w:rsid w:val="00F43A7D"/>
    <w:rsid w:val="00F43D0C"/>
    <w:rsid w:val="00F44057"/>
    <w:rsid w:val="00F44564"/>
    <w:rsid w:val="00F44583"/>
    <w:rsid w:val="00F44D5D"/>
    <w:rsid w:val="00F45306"/>
    <w:rsid w:val="00F46349"/>
    <w:rsid w:val="00F465A2"/>
    <w:rsid w:val="00F46AD9"/>
    <w:rsid w:val="00F46BB3"/>
    <w:rsid w:val="00F46C7D"/>
    <w:rsid w:val="00F46CB4"/>
    <w:rsid w:val="00F4742F"/>
    <w:rsid w:val="00F474F2"/>
    <w:rsid w:val="00F47532"/>
    <w:rsid w:val="00F501CB"/>
    <w:rsid w:val="00F50592"/>
    <w:rsid w:val="00F50953"/>
    <w:rsid w:val="00F51779"/>
    <w:rsid w:val="00F51940"/>
    <w:rsid w:val="00F523F7"/>
    <w:rsid w:val="00F53A84"/>
    <w:rsid w:val="00F53E4A"/>
    <w:rsid w:val="00F541A7"/>
    <w:rsid w:val="00F546C0"/>
    <w:rsid w:val="00F55035"/>
    <w:rsid w:val="00F55071"/>
    <w:rsid w:val="00F551CC"/>
    <w:rsid w:val="00F55250"/>
    <w:rsid w:val="00F55BDE"/>
    <w:rsid w:val="00F5648A"/>
    <w:rsid w:val="00F567E8"/>
    <w:rsid w:val="00F57087"/>
    <w:rsid w:val="00F57513"/>
    <w:rsid w:val="00F57AC7"/>
    <w:rsid w:val="00F57B01"/>
    <w:rsid w:val="00F57C80"/>
    <w:rsid w:val="00F60047"/>
    <w:rsid w:val="00F603E0"/>
    <w:rsid w:val="00F604D5"/>
    <w:rsid w:val="00F60A30"/>
    <w:rsid w:val="00F60B4E"/>
    <w:rsid w:val="00F60BD4"/>
    <w:rsid w:val="00F61352"/>
    <w:rsid w:val="00F619E1"/>
    <w:rsid w:val="00F61D87"/>
    <w:rsid w:val="00F6205B"/>
    <w:rsid w:val="00F6206A"/>
    <w:rsid w:val="00F624F2"/>
    <w:rsid w:val="00F62E2B"/>
    <w:rsid w:val="00F630F7"/>
    <w:rsid w:val="00F639EF"/>
    <w:rsid w:val="00F63A1D"/>
    <w:rsid w:val="00F642CE"/>
    <w:rsid w:val="00F64786"/>
    <w:rsid w:val="00F6501F"/>
    <w:rsid w:val="00F65064"/>
    <w:rsid w:val="00F652BB"/>
    <w:rsid w:val="00F6644B"/>
    <w:rsid w:val="00F6667E"/>
    <w:rsid w:val="00F67E85"/>
    <w:rsid w:val="00F700AC"/>
    <w:rsid w:val="00F70A7F"/>
    <w:rsid w:val="00F70B21"/>
    <w:rsid w:val="00F71582"/>
    <w:rsid w:val="00F71A26"/>
    <w:rsid w:val="00F72324"/>
    <w:rsid w:val="00F7261E"/>
    <w:rsid w:val="00F73776"/>
    <w:rsid w:val="00F74A8F"/>
    <w:rsid w:val="00F75021"/>
    <w:rsid w:val="00F75B32"/>
    <w:rsid w:val="00F75ECF"/>
    <w:rsid w:val="00F76524"/>
    <w:rsid w:val="00F7683C"/>
    <w:rsid w:val="00F76885"/>
    <w:rsid w:val="00F76BA5"/>
    <w:rsid w:val="00F7728F"/>
    <w:rsid w:val="00F772C4"/>
    <w:rsid w:val="00F772C5"/>
    <w:rsid w:val="00F7779E"/>
    <w:rsid w:val="00F81305"/>
    <w:rsid w:val="00F821BC"/>
    <w:rsid w:val="00F82284"/>
    <w:rsid w:val="00F828D5"/>
    <w:rsid w:val="00F82E0A"/>
    <w:rsid w:val="00F830DD"/>
    <w:rsid w:val="00F83EC2"/>
    <w:rsid w:val="00F83F6B"/>
    <w:rsid w:val="00F84A1F"/>
    <w:rsid w:val="00F84E27"/>
    <w:rsid w:val="00F860F9"/>
    <w:rsid w:val="00F86D5C"/>
    <w:rsid w:val="00F87392"/>
    <w:rsid w:val="00F876BB"/>
    <w:rsid w:val="00F87DA6"/>
    <w:rsid w:val="00F87EB1"/>
    <w:rsid w:val="00F90D71"/>
    <w:rsid w:val="00F91326"/>
    <w:rsid w:val="00F9148B"/>
    <w:rsid w:val="00F9156E"/>
    <w:rsid w:val="00F916BB"/>
    <w:rsid w:val="00F92609"/>
    <w:rsid w:val="00F930A2"/>
    <w:rsid w:val="00F9318B"/>
    <w:rsid w:val="00F93740"/>
    <w:rsid w:val="00F9393B"/>
    <w:rsid w:val="00F93BA5"/>
    <w:rsid w:val="00F93BFA"/>
    <w:rsid w:val="00F93E74"/>
    <w:rsid w:val="00F94367"/>
    <w:rsid w:val="00F9436D"/>
    <w:rsid w:val="00F948CC"/>
    <w:rsid w:val="00F94933"/>
    <w:rsid w:val="00F94B14"/>
    <w:rsid w:val="00F94D0C"/>
    <w:rsid w:val="00F952B3"/>
    <w:rsid w:val="00F96C46"/>
    <w:rsid w:val="00F97131"/>
    <w:rsid w:val="00F97247"/>
    <w:rsid w:val="00F979E8"/>
    <w:rsid w:val="00FA0737"/>
    <w:rsid w:val="00FA08BA"/>
    <w:rsid w:val="00FA0DFF"/>
    <w:rsid w:val="00FA1183"/>
    <w:rsid w:val="00FA23F0"/>
    <w:rsid w:val="00FA2660"/>
    <w:rsid w:val="00FA2F9A"/>
    <w:rsid w:val="00FA3124"/>
    <w:rsid w:val="00FA34BB"/>
    <w:rsid w:val="00FA3721"/>
    <w:rsid w:val="00FA3A34"/>
    <w:rsid w:val="00FA3E8E"/>
    <w:rsid w:val="00FA4508"/>
    <w:rsid w:val="00FA4C08"/>
    <w:rsid w:val="00FA50E5"/>
    <w:rsid w:val="00FA54E0"/>
    <w:rsid w:val="00FA591F"/>
    <w:rsid w:val="00FA5A94"/>
    <w:rsid w:val="00FA60EB"/>
    <w:rsid w:val="00FA64D5"/>
    <w:rsid w:val="00FA6614"/>
    <w:rsid w:val="00FA6FE1"/>
    <w:rsid w:val="00FA7172"/>
    <w:rsid w:val="00FA71F4"/>
    <w:rsid w:val="00FA7464"/>
    <w:rsid w:val="00FB0256"/>
    <w:rsid w:val="00FB168E"/>
    <w:rsid w:val="00FB1909"/>
    <w:rsid w:val="00FB1ECF"/>
    <w:rsid w:val="00FB3842"/>
    <w:rsid w:val="00FB4406"/>
    <w:rsid w:val="00FB49E6"/>
    <w:rsid w:val="00FB4FC1"/>
    <w:rsid w:val="00FB550C"/>
    <w:rsid w:val="00FB5597"/>
    <w:rsid w:val="00FB57DC"/>
    <w:rsid w:val="00FB5A5E"/>
    <w:rsid w:val="00FB5C33"/>
    <w:rsid w:val="00FB5CA3"/>
    <w:rsid w:val="00FB6652"/>
    <w:rsid w:val="00FB76F1"/>
    <w:rsid w:val="00FC0D2D"/>
    <w:rsid w:val="00FC2047"/>
    <w:rsid w:val="00FC263C"/>
    <w:rsid w:val="00FC26F5"/>
    <w:rsid w:val="00FC2785"/>
    <w:rsid w:val="00FC28AB"/>
    <w:rsid w:val="00FC33CB"/>
    <w:rsid w:val="00FC373B"/>
    <w:rsid w:val="00FC4F8E"/>
    <w:rsid w:val="00FC633F"/>
    <w:rsid w:val="00FC6605"/>
    <w:rsid w:val="00FC662F"/>
    <w:rsid w:val="00FC6C06"/>
    <w:rsid w:val="00FC6C8D"/>
    <w:rsid w:val="00FC6EAF"/>
    <w:rsid w:val="00FC76A1"/>
    <w:rsid w:val="00FC76BA"/>
    <w:rsid w:val="00FC779F"/>
    <w:rsid w:val="00FC77BC"/>
    <w:rsid w:val="00FC7DCE"/>
    <w:rsid w:val="00FD008E"/>
    <w:rsid w:val="00FD0A55"/>
    <w:rsid w:val="00FD1678"/>
    <w:rsid w:val="00FD172E"/>
    <w:rsid w:val="00FD21E7"/>
    <w:rsid w:val="00FD2EF6"/>
    <w:rsid w:val="00FD31FE"/>
    <w:rsid w:val="00FD365F"/>
    <w:rsid w:val="00FD40CF"/>
    <w:rsid w:val="00FD41DF"/>
    <w:rsid w:val="00FD43C6"/>
    <w:rsid w:val="00FD4594"/>
    <w:rsid w:val="00FD5C56"/>
    <w:rsid w:val="00FD6C2C"/>
    <w:rsid w:val="00FD6FA2"/>
    <w:rsid w:val="00FD76C1"/>
    <w:rsid w:val="00FD7B00"/>
    <w:rsid w:val="00FD7B39"/>
    <w:rsid w:val="00FD7FA7"/>
    <w:rsid w:val="00FE0405"/>
    <w:rsid w:val="00FE0876"/>
    <w:rsid w:val="00FE0FB6"/>
    <w:rsid w:val="00FE10F6"/>
    <w:rsid w:val="00FE1301"/>
    <w:rsid w:val="00FE24C5"/>
    <w:rsid w:val="00FE2549"/>
    <w:rsid w:val="00FE282A"/>
    <w:rsid w:val="00FE2839"/>
    <w:rsid w:val="00FE28E0"/>
    <w:rsid w:val="00FE360B"/>
    <w:rsid w:val="00FE58BA"/>
    <w:rsid w:val="00FE5E4B"/>
    <w:rsid w:val="00FE622D"/>
    <w:rsid w:val="00FE7E89"/>
    <w:rsid w:val="00FF0082"/>
    <w:rsid w:val="00FF0738"/>
    <w:rsid w:val="00FF0923"/>
    <w:rsid w:val="00FF1C37"/>
    <w:rsid w:val="00FF1D16"/>
    <w:rsid w:val="00FF23D7"/>
    <w:rsid w:val="00FF2785"/>
    <w:rsid w:val="00FF2CFF"/>
    <w:rsid w:val="00FF2F1E"/>
    <w:rsid w:val="00FF34F3"/>
    <w:rsid w:val="00FF385F"/>
    <w:rsid w:val="00FF4341"/>
    <w:rsid w:val="00FF4753"/>
    <w:rsid w:val="00FF4BB3"/>
    <w:rsid w:val="00FF5161"/>
    <w:rsid w:val="00FF53E1"/>
    <w:rsid w:val="00FF607D"/>
    <w:rsid w:val="00FF64CA"/>
    <w:rsid w:val="00FF6514"/>
    <w:rsid w:val="00FF66B4"/>
    <w:rsid w:val="00FF7A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06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footer" w:uiPriority="99"/>
    <w:lsdException w:name="caption" w:locked="1" w:uiPriority="35"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B5"/>
    <w:pPr>
      <w:spacing w:after="90" w:line="220" w:lineRule="atLeast"/>
      <w:jc w:val="both"/>
    </w:pPr>
    <w:rPr>
      <w:rFonts w:ascii="Arial" w:hAnsi="Arial"/>
      <w:sz w:val="19"/>
      <w:szCs w:val="24"/>
      <w:lang w:eastAsia="en-US"/>
    </w:rPr>
  </w:style>
  <w:style w:type="paragraph" w:styleId="Heading1">
    <w:name w:val="heading 1"/>
    <w:basedOn w:val="ReportTitle"/>
    <w:next w:val="Normal"/>
    <w:link w:val="Heading1Char"/>
    <w:qFormat/>
    <w:rsid w:val="00A9260A"/>
    <w:pPr>
      <w:jc w:val="left"/>
      <w:outlineLvl w:val="0"/>
    </w:pPr>
    <w:rPr>
      <w:color w:val="76923C" w:themeColor="accent3" w:themeShade="BF"/>
    </w:rPr>
  </w:style>
  <w:style w:type="paragraph" w:styleId="Heading2">
    <w:name w:val="heading 2"/>
    <w:basedOn w:val="Normal"/>
    <w:next w:val="Normal"/>
    <w:link w:val="Heading2Char1"/>
    <w:qFormat/>
    <w:rsid w:val="00A9260A"/>
    <w:pPr>
      <w:keepNext/>
      <w:spacing w:before="430" w:after="60" w:line="240" w:lineRule="auto"/>
      <w:outlineLvl w:val="1"/>
    </w:pPr>
    <w:rPr>
      <w:rFonts w:cs="Arial"/>
      <w:bCs/>
      <w:iCs/>
      <w:color w:val="76923C" w:themeColor="accent3" w:themeShade="BF"/>
      <w:sz w:val="28"/>
      <w:szCs w:val="28"/>
    </w:rPr>
  </w:style>
  <w:style w:type="paragraph" w:styleId="Heading3">
    <w:name w:val="heading 3"/>
    <w:basedOn w:val="Normal"/>
    <w:next w:val="Normal"/>
    <w:link w:val="Heading3Char"/>
    <w:qFormat/>
    <w:rsid w:val="00A9260A"/>
    <w:pPr>
      <w:keepNext/>
      <w:spacing w:before="70" w:after="80"/>
      <w:outlineLvl w:val="2"/>
    </w:pPr>
    <w:rPr>
      <w:rFonts w:cs="Arial"/>
      <w:b/>
      <w:bCs/>
      <w:color w:val="76923C" w:themeColor="accent3" w:themeShade="BF"/>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260A"/>
    <w:rPr>
      <w:rFonts w:ascii="Arial" w:hAnsi="Arial"/>
      <w:color w:val="76923C" w:themeColor="accent3" w:themeShade="BF"/>
      <w:spacing w:val="-12"/>
      <w:sz w:val="46"/>
      <w:szCs w:val="46"/>
      <w:lang w:eastAsia="en-US"/>
    </w:rPr>
  </w:style>
  <w:style w:type="character" w:customStyle="1" w:styleId="Heading2Char1">
    <w:name w:val="Heading 2 Char1"/>
    <w:link w:val="Heading2"/>
    <w:locked/>
    <w:rsid w:val="00A9260A"/>
    <w:rPr>
      <w:rFonts w:ascii="Arial" w:hAnsi="Arial" w:cs="Arial"/>
      <w:bCs/>
      <w:iCs/>
      <w:color w:val="76923C" w:themeColor="accent3" w:themeShade="BF"/>
      <w:sz w:val="28"/>
      <w:szCs w:val="28"/>
      <w:lang w:eastAsia="en-US"/>
    </w:rPr>
  </w:style>
  <w:style w:type="character" w:customStyle="1" w:styleId="Heading3Char">
    <w:name w:val="Heading 3 Char"/>
    <w:link w:val="Heading3"/>
    <w:locked/>
    <w:rsid w:val="00A9260A"/>
    <w:rPr>
      <w:rFonts w:ascii="Arial" w:hAnsi="Arial" w:cs="Arial"/>
      <w:b/>
      <w:bCs/>
      <w:color w:val="76923C" w:themeColor="accent3" w:themeShade="BF"/>
      <w:sz w:val="19"/>
      <w:szCs w:val="19"/>
      <w:lang w:eastAsia="en-US"/>
    </w:rPr>
  </w:style>
  <w:style w:type="paragraph" w:styleId="BalloonText">
    <w:name w:val="Balloon Text"/>
    <w:basedOn w:val="Normal"/>
    <w:link w:val="BalloonTextChar"/>
    <w:rsid w:val="008736F2"/>
    <w:pPr>
      <w:spacing w:after="0" w:line="240" w:lineRule="auto"/>
    </w:pPr>
    <w:rPr>
      <w:rFonts w:ascii="Tahoma" w:hAnsi="Tahoma"/>
      <w:sz w:val="16"/>
      <w:szCs w:val="16"/>
    </w:rPr>
  </w:style>
  <w:style w:type="character" w:customStyle="1" w:styleId="BalloonTextChar">
    <w:name w:val="Balloon Text Char"/>
    <w:link w:val="BalloonText"/>
    <w:locked/>
    <w:rsid w:val="008736F2"/>
    <w:rPr>
      <w:rFonts w:ascii="Tahoma" w:hAnsi="Tahoma" w:cs="Times New Roman"/>
      <w:color w:val="747378"/>
      <w:sz w:val="16"/>
      <w:szCs w:val="16"/>
      <w:lang w:val="x-none" w:eastAsia="en-US"/>
    </w:rPr>
  </w:style>
  <w:style w:type="paragraph" w:styleId="Header">
    <w:name w:val="header"/>
    <w:basedOn w:val="Normal"/>
    <w:link w:val="HeaderChar"/>
    <w:rsid w:val="00385DBA"/>
    <w:pPr>
      <w:tabs>
        <w:tab w:val="center" w:pos="4320"/>
        <w:tab w:val="right" w:pos="8640"/>
      </w:tabs>
    </w:pPr>
    <w:rPr>
      <w:sz w:val="18"/>
    </w:rPr>
  </w:style>
  <w:style w:type="character" w:customStyle="1" w:styleId="HeaderChar">
    <w:name w:val="Header Char"/>
    <w:link w:val="Header"/>
    <w:locked/>
    <w:rsid w:val="002A163D"/>
    <w:rPr>
      <w:rFonts w:ascii="Arial" w:hAnsi="Arial" w:cs="Times New Roman"/>
      <w:sz w:val="24"/>
      <w:lang w:val="en-AU" w:eastAsia="en-US"/>
    </w:rPr>
  </w:style>
  <w:style w:type="paragraph" w:styleId="Footer">
    <w:name w:val="footer"/>
    <w:basedOn w:val="Normal"/>
    <w:link w:val="FooterChar"/>
    <w:uiPriority w:val="99"/>
    <w:rsid w:val="00010F3E"/>
    <w:pPr>
      <w:tabs>
        <w:tab w:val="center" w:pos="4536"/>
        <w:tab w:val="right" w:pos="9072"/>
      </w:tabs>
      <w:spacing w:after="0" w:line="240" w:lineRule="auto"/>
      <w:ind w:right="57"/>
      <w:jc w:val="right"/>
    </w:pPr>
    <w:rPr>
      <w:b/>
      <w:spacing w:val="-1"/>
      <w:sz w:val="16"/>
      <w:szCs w:val="14"/>
    </w:rPr>
  </w:style>
  <w:style w:type="character" w:customStyle="1" w:styleId="FooterChar">
    <w:name w:val="Footer Char"/>
    <w:link w:val="Footer"/>
    <w:uiPriority w:val="99"/>
    <w:locked/>
    <w:rsid w:val="00010F3E"/>
    <w:rPr>
      <w:rFonts w:ascii="Arial" w:hAnsi="Arial"/>
      <w:b/>
      <w:color w:val="747378"/>
      <w:spacing w:val="-1"/>
      <w:sz w:val="16"/>
      <w:szCs w:val="14"/>
      <w:lang w:eastAsia="en-US"/>
    </w:rPr>
  </w:style>
  <w:style w:type="paragraph" w:customStyle="1" w:styleId="ReportTitle">
    <w:name w:val="Report Title"/>
    <w:basedOn w:val="Normal"/>
    <w:rsid w:val="00BB6565"/>
    <w:pPr>
      <w:spacing w:after="35" w:line="480" w:lineRule="exact"/>
    </w:pPr>
    <w:rPr>
      <w:color w:val="286EB4"/>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rPr>
  </w:style>
  <w:style w:type="paragraph" w:customStyle="1" w:styleId="CopyrightDetails">
    <w:name w:val="Copyright Details"/>
    <w:basedOn w:val="Normal"/>
    <w:rsid w:val="00F015D8"/>
    <w:pPr>
      <w:spacing w:after="0" w:line="260" w:lineRule="exact"/>
    </w:p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286EB4"/>
      <w:sz w:val="36"/>
      <w:szCs w:val="20"/>
      <w:lang w:val="x-none"/>
    </w:rPr>
  </w:style>
  <w:style w:type="character" w:customStyle="1" w:styleId="TOCTitleChar">
    <w:name w:val="TOC Title Char"/>
    <w:link w:val="TOCTitle"/>
    <w:locked/>
    <w:rsid w:val="0002637D"/>
    <w:rPr>
      <w:rFonts w:ascii="Arial" w:hAnsi="Arial"/>
      <w:color w:val="286EB4"/>
      <w:sz w:val="36"/>
      <w:lang w:val="x-none" w:eastAsia="en-US"/>
    </w:rPr>
  </w:style>
  <w:style w:type="table" w:styleId="TableGrid">
    <w:name w:val="Table Grid"/>
    <w:basedOn w:val="TableNormal"/>
    <w:uiPriority w:val="59"/>
    <w:rsid w:val="00E72C99"/>
    <w:pPr>
      <w:spacing w:after="90" w:line="220" w:lineRule="atLeast"/>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3778A9"/>
    <w:pPr>
      <w:tabs>
        <w:tab w:val="right" w:pos="6698"/>
      </w:tabs>
      <w:spacing w:after="120" w:line="240" w:lineRule="auto"/>
      <w:jc w:val="left"/>
    </w:pPr>
    <w:rPr>
      <w:rFonts w:asciiTheme="majorHAnsi" w:hAnsiTheme="majorHAnsi" w:cs="Arial"/>
      <w:b/>
      <w:bCs/>
      <w:caps/>
      <w:noProof/>
      <w:sz w:val="24"/>
    </w:rPr>
  </w:style>
  <w:style w:type="character" w:styleId="PageNumber">
    <w:name w:val="page number"/>
    <w:rsid w:val="00BB6565"/>
    <w:rPr>
      <w:rFonts w:cs="Times New Roman"/>
    </w:rPr>
  </w:style>
  <w:style w:type="paragraph" w:styleId="ListBullet">
    <w:name w:val="List Bullet"/>
    <w:basedOn w:val="Normal"/>
    <w:rsid w:val="0099614A"/>
    <w:pPr>
      <w:numPr>
        <w:numId w:val="2"/>
      </w:numPr>
      <w:spacing w:after="84"/>
    </w:pPr>
  </w:style>
  <w:style w:type="paragraph" w:styleId="TOC3">
    <w:name w:val="toc 3"/>
    <w:basedOn w:val="Normal"/>
    <w:next w:val="Normal"/>
    <w:autoRedefine/>
    <w:uiPriority w:val="39"/>
    <w:rsid w:val="00AF50E2"/>
    <w:pPr>
      <w:spacing w:after="0"/>
      <w:ind w:left="190"/>
      <w:jc w:val="left"/>
    </w:pPr>
    <w:rPr>
      <w:rFonts w:asciiTheme="minorHAnsi" w:hAnsiTheme="minorHAnsi"/>
      <w:sz w:val="20"/>
      <w:szCs w:val="20"/>
    </w:rPr>
  </w:style>
  <w:style w:type="paragraph" w:styleId="TOC2">
    <w:name w:val="toc 2"/>
    <w:basedOn w:val="Normal"/>
    <w:next w:val="Normal"/>
    <w:uiPriority w:val="39"/>
    <w:rsid w:val="009367C5"/>
    <w:pPr>
      <w:spacing w:before="240" w:after="0"/>
      <w:jc w:val="left"/>
    </w:pPr>
    <w:rPr>
      <w:rFonts w:asciiTheme="minorHAnsi" w:hAnsiTheme="minorHAnsi"/>
      <w:b/>
      <w:bCs/>
      <w:sz w:val="20"/>
      <w:szCs w:val="20"/>
    </w:rPr>
  </w:style>
  <w:style w:type="paragraph" w:styleId="Quote">
    <w:name w:val="Quote"/>
    <w:basedOn w:val="Normal"/>
    <w:link w:val="QuoteChar"/>
    <w:qFormat/>
    <w:rsid w:val="00B345E6"/>
    <w:rPr>
      <w:b/>
      <w:color w:val="286EB4"/>
      <w:szCs w:val="19"/>
    </w:rPr>
  </w:style>
  <w:style w:type="character" w:customStyle="1" w:styleId="QuoteChar">
    <w:name w:val="Quote Char"/>
    <w:link w:val="Quote"/>
    <w:locked/>
    <w:rsid w:val="008736F2"/>
    <w:rPr>
      <w:rFonts w:ascii="Arial" w:hAnsi="Arial" w:cs="Times New Roman"/>
      <w:b/>
      <w:color w:val="286EB4"/>
      <w:sz w:val="19"/>
      <w:szCs w:val="19"/>
      <w:lang w:val="x-none" w:eastAsia="en-US"/>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uiPriority w:val="35"/>
    <w:qFormat/>
    <w:rsid w:val="0025400C"/>
    <w:rPr>
      <w:b/>
      <w:bCs/>
      <w:color w:val="76923C" w:themeColor="accent3" w:themeShade="BF"/>
      <w:sz w:val="18"/>
      <w:szCs w:val="16"/>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uiPriority w:val="99"/>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ListBullet2">
    <w:name w:val="List Bullet 2"/>
    <w:basedOn w:val="Normal"/>
    <w:rsid w:val="00D27344"/>
    <w:pPr>
      <w:tabs>
        <w:tab w:val="num" w:pos="340"/>
      </w:tabs>
      <w:spacing w:after="0"/>
      <w:ind w:left="340" w:hanging="170"/>
    </w:pPr>
  </w:style>
  <w:style w:type="paragraph" w:styleId="FootnoteText">
    <w:name w:val="footnote text"/>
    <w:basedOn w:val="Normal"/>
    <w:link w:val="FootnoteTextChar"/>
    <w:uiPriority w:val="99"/>
    <w:rsid w:val="008736F2"/>
    <w:rPr>
      <w:sz w:val="20"/>
      <w:szCs w:val="20"/>
    </w:rPr>
  </w:style>
  <w:style w:type="character" w:customStyle="1" w:styleId="FootnoteTextChar">
    <w:name w:val="Footnote Text Char"/>
    <w:link w:val="FootnoteText"/>
    <w:uiPriority w:val="99"/>
    <w:locked/>
    <w:rsid w:val="008736F2"/>
    <w:rPr>
      <w:rFonts w:ascii="Arial" w:hAnsi="Arial" w:cs="Times New Roman"/>
      <w:color w:val="747378"/>
      <w:lang w:val="x-none" w:eastAsia="en-US"/>
    </w:rPr>
  </w:style>
  <w:style w:type="character" w:styleId="FootnoteReference">
    <w:name w:val="footnote reference"/>
    <w:uiPriority w:val="99"/>
    <w:rsid w:val="008736F2"/>
    <w:rPr>
      <w:rFonts w:cs="Times New Roman"/>
      <w:vertAlign w:val="superscript"/>
    </w:rPr>
  </w:style>
  <w:style w:type="character" w:styleId="CommentReference">
    <w:name w:val="annotation reference"/>
    <w:rsid w:val="008736F2"/>
    <w:rPr>
      <w:rFonts w:cs="Times New Roman"/>
      <w:sz w:val="16"/>
      <w:szCs w:val="16"/>
    </w:rPr>
  </w:style>
  <w:style w:type="paragraph" w:styleId="CommentText">
    <w:name w:val="annotation text"/>
    <w:basedOn w:val="Normal"/>
    <w:link w:val="CommentTextChar"/>
    <w:rsid w:val="008736F2"/>
    <w:rPr>
      <w:sz w:val="20"/>
      <w:szCs w:val="20"/>
    </w:rPr>
  </w:style>
  <w:style w:type="character" w:customStyle="1" w:styleId="CommentTextChar">
    <w:name w:val="Comment Text Char"/>
    <w:link w:val="CommentText"/>
    <w:locked/>
    <w:rsid w:val="008736F2"/>
    <w:rPr>
      <w:rFonts w:ascii="Arial" w:hAnsi="Arial" w:cs="Times New Roman"/>
      <w:color w:val="747378"/>
      <w:lang w:val="x-none" w:eastAsia="en-US"/>
    </w:rPr>
  </w:style>
  <w:style w:type="paragraph" w:styleId="CommentSubject">
    <w:name w:val="annotation subject"/>
    <w:basedOn w:val="CommentText"/>
    <w:next w:val="CommentText"/>
    <w:link w:val="CommentSubjectChar"/>
    <w:rsid w:val="008736F2"/>
    <w:rPr>
      <w:b/>
      <w:bCs/>
    </w:rPr>
  </w:style>
  <w:style w:type="character" w:customStyle="1" w:styleId="CommentSubjectChar">
    <w:name w:val="Comment Subject Char"/>
    <w:link w:val="CommentSubject"/>
    <w:locked/>
    <w:rsid w:val="008736F2"/>
    <w:rPr>
      <w:rFonts w:ascii="Arial" w:hAnsi="Arial" w:cs="Times New Roman"/>
      <w:b/>
      <w:bCs/>
      <w:color w:val="747378"/>
      <w:lang w:val="x-none" w:eastAsia="en-US"/>
    </w:rPr>
  </w:style>
  <w:style w:type="paragraph" w:customStyle="1" w:styleId="Bulletlist">
    <w:name w:val="Bullet list"/>
    <w:basedOn w:val="Normal"/>
    <w:rsid w:val="008736F2"/>
    <w:pPr>
      <w:numPr>
        <w:numId w:val="3"/>
      </w:numPr>
      <w:autoSpaceDE w:val="0"/>
      <w:autoSpaceDN w:val="0"/>
      <w:adjustRightInd w:val="0"/>
      <w:spacing w:before="60" w:after="60" w:line="240" w:lineRule="auto"/>
    </w:pPr>
    <w:rPr>
      <w:rFonts w:cs="Arial"/>
      <w:color w:val="000000"/>
      <w:sz w:val="22"/>
      <w:szCs w:val="22"/>
      <w:lang w:eastAsia="en-AU"/>
    </w:rPr>
  </w:style>
  <w:style w:type="character" w:styleId="Hyperlink">
    <w:name w:val="Hyperlink"/>
    <w:rsid w:val="008736F2"/>
    <w:rPr>
      <w:rFonts w:cs="Times New Roman"/>
      <w:color w:val="0000FF"/>
      <w:u w:val="single"/>
    </w:rPr>
  </w:style>
  <w:style w:type="character" w:styleId="FollowedHyperlink">
    <w:name w:val="FollowedHyperlink"/>
    <w:rsid w:val="00E61FA4"/>
    <w:rPr>
      <w:rFonts w:cs="Times New Roman"/>
      <w:color w:val="800080"/>
      <w:u w:val="single"/>
    </w:rPr>
  </w:style>
  <w:style w:type="table" w:customStyle="1" w:styleId="LightShading-Accent11">
    <w:name w:val="Light Shading - Accent 11"/>
    <w:rsid w:val="00E61FA4"/>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ListParagraph">
    <w:name w:val="List Paragraph"/>
    <w:basedOn w:val="Normal"/>
    <w:uiPriority w:val="34"/>
    <w:qFormat/>
    <w:rsid w:val="00636FAF"/>
    <w:pPr>
      <w:spacing w:after="200" w:line="276" w:lineRule="auto"/>
      <w:ind w:left="720"/>
      <w:jc w:val="left"/>
    </w:pPr>
    <w:rPr>
      <w:rFonts w:ascii="Calibri" w:hAnsi="Calibri"/>
      <w:sz w:val="22"/>
      <w:szCs w:val="22"/>
    </w:rPr>
  </w:style>
  <w:style w:type="paragraph" w:styleId="TOC4">
    <w:name w:val="toc 4"/>
    <w:basedOn w:val="Normal"/>
    <w:next w:val="Normal"/>
    <w:autoRedefine/>
    <w:uiPriority w:val="39"/>
    <w:locked/>
    <w:rsid w:val="00082ACB"/>
    <w:pPr>
      <w:spacing w:after="0"/>
      <w:ind w:left="380"/>
      <w:jc w:val="left"/>
    </w:pPr>
    <w:rPr>
      <w:rFonts w:asciiTheme="minorHAnsi" w:hAnsiTheme="minorHAnsi"/>
      <w:sz w:val="20"/>
      <w:szCs w:val="20"/>
    </w:rPr>
  </w:style>
  <w:style w:type="paragraph" w:styleId="TOC5">
    <w:name w:val="toc 5"/>
    <w:basedOn w:val="Normal"/>
    <w:next w:val="Normal"/>
    <w:autoRedefine/>
    <w:uiPriority w:val="39"/>
    <w:locked/>
    <w:rsid w:val="00082ACB"/>
    <w:pPr>
      <w:spacing w:after="0"/>
      <w:ind w:left="570"/>
      <w:jc w:val="left"/>
    </w:pPr>
    <w:rPr>
      <w:rFonts w:asciiTheme="minorHAnsi" w:hAnsiTheme="minorHAnsi"/>
      <w:sz w:val="20"/>
      <w:szCs w:val="20"/>
    </w:rPr>
  </w:style>
  <w:style w:type="paragraph" w:styleId="TOC6">
    <w:name w:val="toc 6"/>
    <w:basedOn w:val="Normal"/>
    <w:next w:val="Normal"/>
    <w:autoRedefine/>
    <w:uiPriority w:val="39"/>
    <w:locked/>
    <w:rsid w:val="00082ACB"/>
    <w:pPr>
      <w:spacing w:after="0"/>
      <w:ind w:left="760"/>
      <w:jc w:val="left"/>
    </w:pPr>
    <w:rPr>
      <w:rFonts w:asciiTheme="minorHAnsi" w:hAnsiTheme="minorHAnsi"/>
      <w:sz w:val="20"/>
      <w:szCs w:val="20"/>
    </w:rPr>
  </w:style>
  <w:style w:type="paragraph" w:styleId="TOC7">
    <w:name w:val="toc 7"/>
    <w:basedOn w:val="Normal"/>
    <w:next w:val="Normal"/>
    <w:autoRedefine/>
    <w:uiPriority w:val="39"/>
    <w:locked/>
    <w:rsid w:val="00082ACB"/>
    <w:pPr>
      <w:spacing w:after="0"/>
      <w:ind w:left="950"/>
      <w:jc w:val="left"/>
    </w:pPr>
    <w:rPr>
      <w:rFonts w:asciiTheme="minorHAnsi" w:hAnsiTheme="minorHAnsi"/>
      <w:sz w:val="20"/>
      <w:szCs w:val="20"/>
    </w:rPr>
  </w:style>
  <w:style w:type="paragraph" w:styleId="TOC8">
    <w:name w:val="toc 8"/>
    <w:basedOn w:val="Normal"/>
    <w:next w:val="Normal"/>
    <w:autoRedefine/>
    <w:uiPriority w:val="39"/>
    <w:locked/>
    <w:rsid w:val="00082ACB"/>
    <w:pPr>
      <w:spacing w:after="0"/>
      <w:ind w:left="1140"/>
      <w:jc w:val="left"/>
    </w:pPr>
    <w:rPr>
      <w:rFonts w:asciiTheme="minorHAnsi" w:hAnsiTheme="minorHAnsi"/>
      <w:sz w:val="20"/>
      <w:szCs w:val="20"/>
    </w:rPr>
  </w:style>
  <w:style w:type="paragraph" w:styleId="TOC9">
    <w:name w:val="toc 9"/>
    <w:basedOn w:val="Normal"/>
    <w:next w:val="Normal"/>
    <w:autoRedefine/>
    <w:uiPriority w:val="39"/>
    <w:locked/>
    <w:rsid w:val="00082ACB"/>
    <w:pPr>
      <w:spacing w:after="0"/>
      <w:ind w:left="1330"/>
      <w:jc w:val="left"/>
    </w:pPr>
    <w:rPr>
      <w:rFonts w:asciiTheme="minorHAnsi" w:hAnsiTheme="minorHAnsi"/>
      <w:sz w:val="20"/>
      <w:szCs w:val="20"/>
    </w:rPr>
  </w:style>
  <w:style w:type="table" w:customStyle="1" w:styleId="LightShading-Accent12">
    <w:name w:val="Light Shading - Accent 12"/>
    <w:rsid w:val="00397AF4"/>
    <w:rPr>
      <w:color w:val="365F91"/>
      <w:lang w:eastAsia="ko-K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StyleBoldWhiteAfter0ptLinespacingsingle">
    <w:name w:val="Style Bold White After:  0 pt Line spacing:  single"/>
    <w:basedOn w:val="Normal"/>
    <w:rsid w:val="00397AF4"/>
    <w:pPr>
      <w:spacing w:after="0" w:line="240" w:lineRule="auto"/>
      <w:jc w:val="left"/>
    </w:pPr>
    <w:rPr>
      <w:b/>
      <w:bCs/>
      <w:color w:val="286EB4"/>
      <w:szCs w:val="20"/>
    </w:rPr>
  </w:style>
  <w:style w:type="paragraph" w:styleId="ListNumber">
    <w:name w:val="List Number"/>
    <w:basedOn w:val="Normal"/>
    <w:locked/>
    <w:rsid w:val="00CD3E5E"/>
    <w:pPr>
      <w:numPr>
        <w:numId w:val="1"/>
      </w:numPr>
      <w:spacing w:after="0" w:line="240" w:lineRule="auto"/>
      <w:jc w:val="left"/>
    </w:pPr>
    <w:rPr>
      <w:rFonts w:cs="Arial"/>
      <w:sz w:val="24"/>
      <w:lang w:eastAsia="en-AU"/>
    </w:rPr>
  </w:style>
  <w:style w:type="paragraph" w:styleId="BodyText">
    <w:name w:val="Body Text"/>
    <w:basedOn w:val="ListNumber"/>
    <w:link w:val="BodyTextChar"/>
    <w:rsid w:val="000D002C"/>
    <w:pPr>
      <w:numPr>
        <w:numId w:val="0"/>
      </w:numPr>
      <w:tabs>
        <w:tab w:val="num" w:pos="680"/>
      </w:tabs>
      <w:spacing w:after="120"/>
    </w:pPr>
    <w:rPr>
      <w:lang w:eastAsia="en-US"/>
    </w:rPr>
  </w:style>
  <w:style w:type="character" w:customStyle="1" w:styleId="BodyTextChar">
    <w:name w:val="Body Text Char"/>
    <w:link w:val="BodyText"/>
    <w:locked/>
    <w:rsid w:val="008E0FFA"/>
    <w:rPr>
      <w:rFonts w:ascii="Arial" w:hAnsi="Arial" w:cs="Times New Roman"/>
      <w:color w:val="747378"/>
      <w:sz w:val="24"/>
      <w:szCs w:val="24"/>
      <w:lang w:val="x-none" w:eastAsia="en-US"/>
    </w:rPr>
  </w:style>
  <w:style w:type="character" w:customStyle="1" w:styleId="st1">
    <w:name w:val="st1"/>
    <w:basedOn w:val="DefaultParagraphFont"/>
    <w:rsid w:val="00FF6514"/>
  </w:style>
  <w:style w:type="character" w:customStyle="1" w:styleId="Heading2Char">
    <w:name w:val="Heading 2 Char"/>
    <w:locked/>
    <w:rsid w:val="00441483"/>
    <w:rPr>
      <w:rFonts w:ascii="Arial" w:hAnsi="Arial" w:cs="Arial"/>
      <w:bCs/>
      <w:iCs/>
      <w:color w:val="286EB4"/>
      <w:sz w:val="28"/>
      <w:szCs w:val="28"/>
      <w:lang w:val="en-AU" w:eastAsia="en-US" w:bidi="ar-SA"/>
    </w:rPr>
  </w:style>
  <w:style w:type="paragraph" w:customStyle="1" w:styleId="BriefDocParagraph">
    <w:name w:val="BriefDoc Paragraph"/>
    <w:basedOn w:val="Normal"/>
    <w:rsid w:val="00BA4D7A"/>
    <w:pPr>
      <w:numPr>
        <w:numId w:val="4"/>
      </w:numPr>
      <w:spacing w:after="0" w:line="240" w:lineRule="auto"/>
      <w:jc w:val="left"/>
    </w:pPr>
    <w:rPr>
      <w:rFonts w:ascii="Times New Roman" w:hAnsi="Times New Roman"/>
      <w:sz w:val="24"/>
      <w:szCs w:val="20"/>
    </w:rPr>
  </w:style>
  <w:style w:type="paragraph" w:customStyle="1" w:styleId="BoxText1">
    <w:name w:val="Box Text+1"/>
    <w:basedOn w:val="Default"/>
    <w:next w:val="Default"/>
    <w:uiPriority w:val="99"/>
    <w:rsid w:val="00F46CB4"/>
    <w:pPr>
      <w:widowControl/>
    </w:pPr>
    <w:rPr>
      <w:rFonts w:ascii="Garamond" w:eastAsia="Calibri" w:hAnsi="Garamond" w:cs="Times New Roman"/>
      <w:color w:val="auto"/>
      <w:lang w:val="en-AU"/>
    </w:rPr>
  </w:style>
  <w:style w:type="character" w:styleId="Strong">
    <w:name w:val="Strong"/>
    <w:basedOn w:val="DefaultParagraphFont"/>
    <w:qFormat/>
    <w:locked/>
    <w:rsid w:val="00651032"/>
    <w:rPr>
      <w:b/>
      <w:bCs/>
    </w:rPr>
  </w:style>
  <w:style w:type="character" w:styleId="Emphasis">
    <w:name w:val="Emphasis"/>
    <w:basedOn w:val="DefaultParagraphFont"/>
    <w:qFormat/>
    <w:locked/>
    <w:rsid w:val="00903D11"/>
    <w:rPr>
      <w:i/>
      <w:iCs/>
    </w:rPr>
  </w:style>
  <w:style w:type="numbering" w:customStyle="1" w:styleId="NoList1">
    <w:name w:val="No List1"/>
    <w:next w:val="NoList"/>
    <w:uiPriority w:val="99"/>
    <w:semiHidden/>
    <w:unhideWhenUsed/>
    <w:rsid w:val="00D758F5"/>
  </w:style>
  <w:style w:type="paragraph" w:styleId="NormalWeb">
    <w:name w:val="Normal (Web)"/>
    <w:basedOn w:val="Normal"/>
    <w:uiPriority w:val="99"/>
    <w:unhideWhenUsed/>
    <w:rsid w:val="00FE2839"/>
    <w:pPr>
      <w:spacing w:before="100" w:beforeAutospacing="1" w:after="100" w:afterAutospacing="1" w:line="240" w:lineRule="auto"/>
      <w:jc w:val="left"/>
    </w:pPr>
    <w:rPr>
      <w:rFonts w:ascii="Times New Roman" w:hAnsi="Times New Roman"/>
      <w:sz w:val="24"/>
      <w:lang w:eastAsia="en-AU"/>
    </w:rPr>
  </w:style>
  <w:style w:type="paragraph" w:styleId="PlainText">
    <w:name w:val="Plain Text"/>
    <w:basedOn w:val="Normal"/>
    <w:link w:val="PlainTextChar"/>
    <w:uiPriority w:val="99"/>
    <w:unhideWhenUsed/>
    <w:rsid w:val="005B1665"/>
    <w:pPr>
      <w:spacing w:after="0" w:line="240" w:lineRule="auto"/>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B1665"/>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footer" w:uiPriority="99"/>
    <w:lsdException w:name="caption" w:locked="1" w:uiPriority="35"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B5"/>
    <w:pPr>
      <w:spacing w:after="90" w:line="220" w:lineRule="atLeast"/>
      <w:jc w:val="both"/>
    </w:pPr>
    <w:rPr>
      <w:rFonts w:ascii="Arial" w:hAnsi="Arial"/>
      <w:sz w:val="19"/>
      <w:szCs w:val="24"/>
      <w:lang w:eastAsia="en-US"/>
    </w:rPr>
  </w:style>
  <w:style w:type="paragraph" w:styleId="Heading1">
    <w:name w:val="heading 1"/>
    <w:basedOn w:val="ReportTitle"/>
    <w:next w:val="Normal"/>
    <w:link w:val="Heading1Char"/>
    <w:qFormat/>
    <w:rsid w:val="00A9260A"/>
    <w:pPr>
      <w:jc w:val="left"/>
      <w:outlineLvl w:val="0"/>
    </w:pPr>
    <w:rPr>
      <w:color w:val="76923C" w:themeColor="accent3" w:themeShade="BF"/>
    </w:rPr>
  </w:style>
  <w:style w:type="paragraph" w:styleId="Heading2">
    <w:name w:val="heading 2"/>
    <w:basedOn w:val="Normal"/>
    <w:next w:val="Normal"/>
    <w:link w:val="Heading2Char1"/>
    <w:qFormat/>
    <w:rsid w:val="00A9260A"/>
    <w:pPr>
      <w:keepNext/>
      <w:spacing w:before="430" w:after="60" w:line="240" w:lineRule="auto"/>
      <w:outlineLvl w:val="1"/>
    </w:pPr>
    <w:rPr>
      <w:rFonts w:cs="Arial"/>
      <w:bCs/>
      <w:iCs/>
      <w:color w:val="76923C" w:themeColor="accent3" w:themeShade="BF"/>
      <w:sz w:val="28"/>
      <w:szCs w:val="28"/>
    </w:rPr>
  </w:style>
  <w:style w:type="paragraph" w:styleId="Heading3">
    <w:name w:val="heading 3"/>
    <w:basedOn w:val="Normal"/>
    <w:next w:val="Normal"/>
    <w:link w:val="Heading3Char"/>
    <w:qFormat/>
    <w:rsid w:val="00A9260A"/>
    <w:pPr>
      <w:keepNext/>
      <w:spacing w:before="70" w:after="80"/>
      <w:outlineLvl w:val="2"/>
    </w:pPr>
    <w:rPr>
      <w:rFonts w:cs="Arial"/>
      <w:b/>
      <w:bCs/>
      <w:color w:val="76923C" w:themeColor="accent3" w:themeShade="BF"/>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260A"/>
    <w:rPr>
      <w:rFonts w:ascii="Arial" w:hAnsi="Arial"/>
      <w:color w:val="76923C" w:themeColor="accent3" w:themeShade="BF"/>
      <w:spacing w:val="-12"/>
      <w:sz w:val="46"/>
      <w:szCs w:val="46"/>
      <w:lang w:eastAsia="en-US"/>
    </w:rPr>
  </w:style>
  <w:style w:type="character" w:customStyle="1" w:styleId="Heading2Char1">
    <w:name w:val="Heading 2 Char1"/>
    <w:link w:val="Heading2"/>
    <w:locked/>
    <w:rsid w:val="00A9260A"/>
    <w:rPr>
      <w:rFonts w:ascii="Arial" w:hAnsi="Arial" w:cs="Arial"/>
      <w:bCs/>
      <w:iCs/>
      <w:color w:val="76923C" w:themeColor="accent3" w:themeShade="BF"/>
      <w:sz w:val="28"/>
      <w:szCs w:val="28"/>
      <w:lang w:eastAsia="en-US"/>
    </w:rPr>
  </w:style>
  <w:style w:type="character" w:customStyle="1" w:styleId="Heading3Char">
    <w:name w:val="Heading 3 Char"/>
    <w:link w:val="Heading3"/>
    <w:locked/>
    <w:rsid w:val="00A9260A"/>
    <w:rPr>
      <w:rFonts w:ascii="Arial" w:hAnsi="Arial" w:cs="Arial"/>
      <w:b/>
      <w:bCs/>
      <w:color w:val="76923C" w:themeColor="accent3" w:themeShade="BF"/>
      <w:sz w:val="19"/>
      <w:szCs w:val="19"/>
      <w:lang w:eastAsia="en-US"/>
    </w:rPr>
  </w:style>
  <w:style w:type="paragraph" w:styleId="BalloonText">
    <w:name w:val="Balloon Text"/>
    <w:basedOn w:val="Normal"/>
    <w:link w:val="BalloonTextChar"/>
    <w:rsid w:val="008736F2"/>
    <w:pPr>
      <w:spacing w:after="0" w:line="240" w:lineRule="auto"/>
    </w:pPr>
    <w:rPr>
      <w:rFonts w:ascii="Tahoma" w:hAnsi="Tahoma"/>
      <w:sz w:val="16"/>
      <w:szCs w:val="16"/>
    </w:rPr>
  </w:style>
  <w:style w:type="character" w:customStyle="1" w:styleId="BalloonTextChar">
    <w:name w:val="Balloon Text Char"/>
    <w:link w:val="BalloonText"/>
    <w:locked/>
    <w:rsid w:val="008736F2"/>
    <w:rPr>
      <w:rFonts w:ascii="Tahoma" w:hAnsi="Tahoma" w:cs="Times New Roman"/>
      <w:color w:val="747378"/>
      <w:sz w:val="16"/>
      <w:szCs w:val="16"/>
      <w:lang w:val="x-none" w:eastAsia="en-US"/>
    </w:rPr>
  </w:style>
  <w:style w:type="paragraph" w:styleId="Header">
    <w:name w:val="header"/>
    <w:basedOn w:val="Normal"/>
    <w:link w:val="HeaderChar"/>
    <w:rsid w:val="00385DBA"/>
    <w:pPr>
      <w:tabs>
        <w:tab w:val="center" w:pos="4320"/>
        <w:tab w:val="right" w:pos="8640"/>
      </w:tabs>
    </w:pPr>
    <w:rPr>
      <w:sz w:val="18"/>
    </w:rPr>
  </w:style>
  <w:style w:type="character" w:customStyle="1" w:styleId="HeaderChar">
    <w:name w:val="Header Char"/>
    <w:link w:val="Header"/>
    <w:locked/>
    <w:rsid w:val="002A163D"/>
    <w:rPr>
      <w:rFonts w:ascii="Arial" w:hAnsi="Arial" w:cs="Times New Roman"/>
      <w:sz w:val="24"/>
      <w:lang w:val="en-AU" w:eastAsia="en-US"/>
    </w:rPr>
  </w:style>
  <w:style w:type="paragraph" w:styleId="Footer">
    <w:name w:val="footer"/>
    <w:basedOn w:val="Normal"/>
    <w:link w:val="FooterChar"/>
    <w:uiPriority w:val="99"/>
    <w:rsid w:val="00010F3E"/>
    <w:pPr>
      <w:tabs>
        <w:tab w:val="center" w:pos="4536"/>
        <w:tab w:val="right" w:pos="9072"/>
      </w:tabs>
      <w:spacing w:after="0" w:line="240" w:lineRule="auto"/>
      <w:ind w:right="57"/>
      <w:jc w:val="right"/>
    </w:pPr>
    <w:rPr>
      <w:b/>
      <w:spacing w:val="-1"/>
      <w:sz w:val="16"/>
      <w:szCs w:val="14"/>
    </w:rPr>
  </w:style>
  <w:style w:type="character" w:customStyle="1" w:styleId="FooterChar">
    <w:name w:val="Footer Char"/>
    <w:link w:val="Footer"/>
    <w:uiPriority w:val="99"/>
    <w:locked/>
    <w:rsid w:val="00010F3E"/>
    <w:rPr>
      <w:rFonts w:ascii="Arial" w:hAnsi="Arial"/>
      <w:b/>
      <w:color w:val="747378"/>
      <w:spacing w:val="-1"/>
      <w:sz w:val="16"/>
      <w:szCs w:val="14"/>
      <w:lang w:eastAsia="en-US"/>
    </w:rPr>
  </w:style>
  <w:style w:type="paragraph" w:customStyle="1" w:styleId="ReportTitle">
    <w:name w:val="Report Title"/>
    <w:basedOn w:val="Normal"/>
    <w:rsid w:val="00BB6565"/>
    <w:pPr>
      <w:spacing w:after="35" w:line="480" w:lineRule="exact"/>
    </w:pPr>
    <w:rPr>
      <w:color w:val="286EB4"/>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rPr>
  </w:style>
  <w:style w:type="paragraph" w:customStyle="1" w:styleId="CopyrightDetails">
    <w:name w:val="Copyright Details"/>
    <w:basedOn w:val="Normal"/>
    <w:rsid w:val="00F015D8"/>
    <w:pPr>
      <w:spacing w:after="0" w:line="260" w:lineRule="exact"/>
    </w:p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286EB4"/>
      <w:sz w:val="36"/>
      <w:szCs w:val="20"/>
      <w:lang w:val="x-none"/>
    </w:rPr>
  </w:style>
  <w:style w:type="character" w:customStyle="1" w:styleId="TOCTitleChar">
    <w:name w:val="TOC Title Char"/>
    <w:link w:val="TOCTitle"/>
    <w:locked/>
    <w:rsid w:val="0002637D"/>
    <w:rPr>
      <w:rFonts w:ascii="Arial" w:hAnsi="Arial"/>
      <w:color w:val="286EB4"/>
      <w:sz w:val="36"/>
      <w:lang w:val="x-none" w:eastAsia="en-US"/>
    </w:rPr>
  </w:style>
  <w:style w:type="table" w:styleId="TableGrid">
    <w:name w:val="Table Grid"/>
    <w:basedOn w:val="TableNormal"/>
    <w:uiPriority w:val="59"/>
    <w:rsid w:val="00E72C99"/>
    <w:pPr>
      <w:spacing w:after="90" w:line="220" w:lineRule="atLeast"/>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3778A9"/>
    <w:pPr>
      <w:tabs>
        <w:tab w:val="right" w:pos="6698"/>
      </w:tabs>
      <w:spacing w:after="120" w:line="240" w:lineRule="auto"/>
      <w:jc w:val="left"/>
    </w:pPr>
    <w:rPr>
      <w:rFonts w:asciiTheme="majorHAnsi" w:hAnsiTheme="majorHAnsi" w:cs="Arial"/>
      <w:b/>
      <w:bCs/>
      <w:caps/>
      <w:noProof/>
      <w:sz w:val="24"/>
    </w:rPr>
  </w:style>
  <w:style w:type="character" w:styleId="PageNumber">
    <w:name w:val="page number"/>
    <w:rsid w:val="00BB6565"/>
    <w:rPr>
      <w:rFonts w:cs="Times New Roman"/>
    </w:rPr>
  </w:style>
  <w:style w:type="paragraph" w:styleId="ListBullet">
    <w:name w:val="List Bullet"/>
    <w:basedOn w:val="Normal"/>
    <w:rsid w:val="0099614A"/>
    <w:pPr>
      <w:numPr>
        <w:numId w:val="2"/>
      </w:numPr>
      <w:spacing w:after="84"/>
    </w:pPr>
  </w:style>
  <w:style w:type="paragraph" w:styleId="TOC3">
    <w:name w:val="toc 3"/>
    <w:basedOn w:val="Normal"/>
    <w:next w:val="Normal"/>
    <w:autoRedefine/>
    <w:uiPriority w:val="39"/>
    <w:rsid w:val="00AF50E2"/>
    <w:pPr>
      <w:spacing w:after="0"/>
      <w:ind w:left="190"/>
      <w:jc w:val="left"/>
    </w:pPr>
    <w:rPr>
      <w:rFonts w:asciiTheme="minorHAnsi" w:hAnsiTheme="minorHAnsi"/>
      <w:sz w:val="20"/>
      <w:szCs w:val="20"/>
    </w:rPr>
  </w:style>
  <w:style w:type="paragraph" w:styleId="TOC2">
    <w:name w:val="toc 2"/>
    <w:basedOn w:val="Normal"/>
    <w:next w:val="Normal"/>
    <w:uiPriority w:val="39"/>
    <w:rsid w:val="009367C5"/>
    <w:pPr>
      <w:spacing w:before="240" w:after="0"/>
      <w:jc w:val="left"/>
    </w:pPr>
    <w:rPr>
      <w:rFonts w:asciiTheme="minorHAnsi" w:hAnsiTheme="minorHAnsi"/>
      <w:b/>
      <w:bCs/>
      <w:sz w:val="20"/>
      <w:szCs w:val="20"/>
    </w:rPr>
  </w:style>
  <w:style w:type="paragraph" w:styleId="Quote">
    <w:name w:val="Quote"/>
    <w:basedOn w:val="Normal"/>
    <w:link w:val="QuoteChar"/>
    <w:qFormat/>
    <w:rsid w:val="00B345E6"/>
    <w:rPr>
      <w:b/>
      <w:color w:val="286EB4"/>
      <w:szCs w:val="19"/>
    </w:rPr>
  </w:style>
  <w:style w:type="character" w:customStyle="1" w:styleId="QuoteChar">
    <w:name w:val="Quote Char"/>
    <w:link w:val="Quote"/>
    <w:locked/>
    <w:rsid w:val="008736F2"/>
    <w:rPr>
      <w:rFonts w:ascii="Arial" w:hAnsi="Arial" w:cs="Times New Roman"/>
      <w:b/>
      <w:color w:val="286EB4"/>
      <w:sz w:val="19"/>
      <w:szCs w:val="19"/>
      <w:lang w:val="x-none" w:eastAsia="en-US"/>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uiPriority w:val="35"/>
    <w:qFormat/>
    <w:rsid w:val="0025400C"/>
    <w:rPr>
      <w:b/>
      <w:bCs/>
      <w:color w:val="76923C" w:themeColor="accent3" w:themeShade="BF"/>
      <w:sz w:val="18"/>
      <w:szCs w:val="16"/>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uiPriority w:val="99"/>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ListBullet2">
    <w:name w:val="List Bullet 2"/>
    <w:basedOn w:val="Normal"/>
    <w:rsid w:val="00D27344"/>
    <w:pPr>
      <w:tabs>
        <w:tab w:val="num" w:pos="340"/>
      </w:tabs>
      <w:spacing w:after="0"/>
      <w:ind w:left="340" w:hanging="170"/>
    </w:pPr>
  </w:style>
  <w:style w:type="paragraph" w:styleId="FootnoteText">
    <w:name w:val="footnote text"/>
    <w:basedOn w:val="Normal"/>
    <w:link w:val="FootnoteTextChar"/>
    <w:uiPriority w:val="99"/>
    <w:rsid w:val="008736F2"/>
    <w:rPr>
      <w:sz w:val="20"/>
      <w:szCs w:val="20"/>
    </w:rPr>
  </w:style>
  <w:style w:type="character" w:customStyle="1" w:styleId="FootnoteTextChar">
    <w:name w:val="Footnote Text Char"/>
    <w:link w:val="FootnoteText"/>
    <w:uiPriority w:val="99"/>
    <w:locked/>
    <w:rsid w:val="008736F2"/>
    <w:rPr>
      <w:rFonts w:ascii="Arial" w:hAnsi="Arial" w:cs="Times New Roman"/>
      <w:color w:val="747378"/>
      <w:lang w:val="x-none" w:eastAsia="en-US"/>
    </w:rPr>
  </w:style>
  <w:style w:type="character" w:styleId="FootnoteReference">
    <w:name w:val="footnote reference"/>
    <w:uiPriority w:val="99"/>
    <w:rsid w:val="008736F2"/>
    <w:rPr>
      <w:rFonts w:cs="Times New Roman"/>
      <w:vertAlign w:val="superscript"/>
    </w:rPr>
  </w:style>
  <w:style w:type="character" w:styleId="CommentReference">
    <w:name w:val="annotation reference"/>
    <w:rsid w:val="008736F2"/>
    <w:rPr>
      <w:rFonts w:cs="Times New Roman"/>
      <w:sz w:val="16"/>
      <w:szCs w:val="16"/>
    </w:rPr>
  </w:style>
  <w:style w:type="paragraph" w:styleId="CommentText">
    <w:name w:val="annotation text"/>
    <w:basedOn w:val="Normal"/>
    <w:link w:val="CommentTextChar"/>
    <w:rsid w:val="008736F2"/>
    <w:rPr>
      <w:sz w:val="20"/>
      <w:szCs w:val="20"/>
    </w:rPr>
  </w:style>
  <w:style w:type="character" w:customStyle="1" w:styleId="CommentTextChar">
    <w:name w:val="Comment Text Char"/>
    <w:link w:val="CommentText"/>
    <w:locked/>
    <w:rsid w:val="008736F2"/>
    <w:rPr>
      <w:rFonts w:ascii="Arial" w:hAnsi="Arial" w:cs="Times New Roman"/>
      <w:color w:val="747378"/>
      <w:lang w:val="x-none" w:eastAsia="en-US"/>
    </w:rPr>
  </w:style>
  <w:style w:type="paragraph" w:styleId="CommentSubject">
    <w:name w:val="annotation subject"/>
    <w:basedOn w:val="CommentText"/>
    <w:next w:val="CommentText"/>
    <w:link w:val="CommentSubjectChar"/>
    <w:rsid w:val="008736F2"/>
    <w:rPr>
      <w:b/>
      <w:bCs/>
    </w:rPr>
  </w:style>
  <w:style w:type="character" w:customStyle="1" w:styleId="CommentSubjectChar">
    <w:name w:val="Comment Subject Char"/>
    <w:link w:val="CommentSubject"/>
    <w:locked/>
    <w:rsid w:val="008736F2"/>
    <w:rPr>
      <w:rFonts w:ascii="Arial" w:hAnsi="Arial" w:cs="Times New Roman"/>
      <w:b/>
      <w:bCs/>
      <w:color w:val="747378"/>
      <w:lang w:val="x-none" w:eastAsia="en-US"/>
    </w:rPr>
  </w:style>
  <w:style w:type="paragraph" w:customStyle="1" w:styleId="Bulletlist">
    <w:name w:val="Bullet list"/>
    <w:basedOn w:val="Normal"/>
    <w:rsid w:val="008736F2"/>
    <w:pPr>
      <w:numPr>
        <w:numId w:val="3"/>
      </w:numPr>
      <w:autoSpaceDE w:val="0"/>
      <w:autoSpaceDN w:val="0"/>
      <w:adjustRightInd w:val="0"/>
      <w:spacing w:before="60" w:after="60" w:line="240" w:lineRule="auto"/>
    </w:pPr>
    <w:rPr>
      <w:rFonts w:cs="Arial"/>
      <w:color w:val="000000"/>
      <w:sz w:val="22"/>
      <w:szCs w:val="22"/>
      <w:lang w:eastAsia="en-AU"/>
    </w:rPr>
  </w:style>
  <w:style w:type="character" w:styleId="Hyperlink">
    <w:name w:val="Hyperlink"/>
    <w:rsid w:val="008736F2"/>
    <w:rPr>
      <w:rFonts w:cs="Times New Roman"/>
      <w:color w:val="0000FF"/>
      <w:u w:val="single"/>
    </w:rPr>
  </w:style>
  <w:style w:type="character" w:styleId="FollowedHyperlink">
    <w:name w:val="FollowedHyperlink"/>
    <w:rsid w:val="00E61FA4"/>
    <w:rPr>
      <w:rFonts w:cs="Times New Roman"/>
      <w:color w:val="800080"/>
      <w:u w:val="single"/>
    </w:rPr>
  </w:style>
  <w:style w:type="table" w:customStyle="1" w:styleId="LightShading-Accent11">
    <w:name w:val="Light Shading - Accent 11"/>
    <w:rsid w:val="00E61FA4"/>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ListParagraph">
    <w:name w:val="List Paragraph"/>
    <w:basedOn w:val="Normal"/>
    <w:uiPriority w:val="34"/>
    <w:qFormat/>
    <w:rsid w:val="00636FAF"/>
    <w:pPr>
      <w:spacing w:after="200" w:line="276" w:lineRule="auto"/>
      <w:ind w:left="720"/>
      <w:jc w:val="left"/>
    </w:pPr>
    <w:rPr>
      <w:rFonts w:ascii="Calibri" w:hAnsi="Calibri"/>
      <w:sz w:val="22"/>
      <w:szCs w:val="22"/>
    </w:rPr>
  </w:style>
  <w:style w:type="paragraph" w:styleId="TOC4">
    <w:name w:val="toc 4"/>
    <w:basedOn w:val="Normal"/>
    <w:next w:val="Normal"/>
    <w:autoRedefine/>
    <w:uiPriority w:val="39"/>
    <w:locked/>
    <w:rsid w:val="00082ACB"/>
    <w:pPr>
      <w:spacing w:after="0"/>
      <w:ind w:left="380"/>
      <w:jc w:val="left"/>
    </w:pPr>
    <w:rPr>
      <w:rFonts w:asciiTheme="minorHAnsi" w:hAnsiTheme="minorHAnsi"/>
      <w:sz w:val="20"/>
      <w:szCs w:val="20"/>
    </w:rPr>
  </w:style>
  <w:style w:type="paragraph" w:styleId="TOC5">
    <w:name w:val="toc 5"/>
    <w:basedOn w:val="Normal"/>
    <w:next w:val="Normal"/>
    <w:autoRedefine/>
    <w:uiPriority w:val="39"/>
    <w:locked/>
    <w:rsid w:val="00082ACB"/>
    <w:pPr>
      <w:spacing w:after="0"/>
      <w:ind w:left="570"/>
      <w:jc w:val="left"/>
    </w:pPr>
    <w:rPr>
      <w:rFonts w:asciiTheme="minorHAnsi" w:hAnsiTheme="minorHAnsi"/>
      <w:sz w:val="20"/>
      <w:szCs w:val="20"/>
    </w:rPr>
  </w:style>
  <w:style w:type="paragraph" w:styleId="TOC6">
    <w:name w:val="toc 6"/>
    <w:basedOn w:val="Normal"/>
    <w:next w:val="Normal"/>
    <w:autoRedefine/>
    <w:uiPriority w:val="39"/>
    <w:locked/>
    <w:rsid w:val="00082ACB"/>
    <w:pPr>
      <w:spacing w:after="0"/>
      <w:ind w:left="760"/>
      <w:jc w:val="left"/>
    </w:pPr>
    <w:rPr>
      <w:rFonts w:asciiTheme="minorHAnsi" w:hAnsiTheme="minorHAnsi"/>
      <w:sz w:val="20"/>
      <w:szCs w:val="20"/>
    </w:rPr>
  </w:style>
  <w:style w:type="paragraph" w:styleId="TOC7">
    <w:name w:val="toc 7"/>
    <w:basedOn w:val="Normal"/>
    <w:next w:val="Normal"/>
    <w:autoRedefine/>
    <w:uiPriority w:val="39"/>
    <w:locked/>
    <w:rsid w:val="00082ACB"/>
    <w:pPr>
      <w:spacing w:after="0"/>
      <w:ind w:left="950"/>
      <w:jc w:val="left"/>
    </w:pPr>
    <w:rPr>
      <w:rFonts w:asciiTheme="minorHAnsi" w:hAnsiTheme="minorHAnsi"/>
      <w:sz w:val="20"/>
      <w:szCs w:val="20"/>
    </w:rPr>
  </w:style>
  <w:style w:type="paragraph" w:styleId="TOC8">
    <w:name w:val="toc 8"/>
    <w:basedOn w:val="Normal"/>
    <w:next w:val="Normal"/>
    <w:autoRedefine/>
    <w:uiPriority w:val="39"/>
    <w:locked/>
    <w:rsid w:val="00082ACB"/>
    <w:pPr>
      <w:spacing w:after="0"/>
      <w:ind w:left="1140"/>
      <w:jc w:val="left"/>
    </w:pPr>
    <w:rPr>
      <w:rFonts w:asciiTheme="minorHAnsi" w:hAnsiTheme="minorHAnsi"/>
      <w:sz w:val="20"/>
      <w:szCs w:val="20"/>
    </w:rPr>
  </w:style>
  <w:style w:type="paragraph" w:styleId="TOC9">
    <w:name w:val="toc 9"/>
    <w:basedOn w:val="Normal"/>
    <w:next w:val="Normal"/>
    <w:autoRedefine/>
    <w:uiPriority w:val="39"/>
    <w:locked/>
    <w:rsid w:val="00082ACB"/>
    <w:pPr>
      <w:spacing w:after="0"/>
      <w:ind w:left="1330"/>
      <w:jc w:val="left"/>
    </w:pPr>
    <w:rPr>
      <w:rFonts w:asciiTheme="minorHAnsi" w:hAnsiTheme="minorHAnsi"/>
      <w:sz w:val="20"/>
      <w:szCs w:val="20"/>
    </w:rPr>
  </w:style>
  <w:style w:type="table" w:customStyle="1" w:styleId="LightShading-Accent12">
    <w:name w:val="Light Shading - Accent 12"/>
    <w:rsid w:val="00397AF4"/>
    <w:rPr>
      <w:color w:val="365F91"/>
      <w:lang w:eastAsia="ko-K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StyleBoldWhiteAfter0ptLinespacingsingle">
    <w:name w:val="Style Bold White After:  0 pt Line spacing:  single"/>
    <w:basedOn w:val="Normal"/>
    <w:rsid w:val="00397AF4"/>
    <w:pPr>
      <w:spacing w:after="0" w:line="240" w:lineRule="auto"/>
      <w:jc w:val="left"/>
    </w:pPr>
    <w:rPr>
      <w:b/>
      <w:bCs/>
      <w:color w:val="286EB4"/>
      <w:szCs w:val="20"/>
    </w:rPr>
  </w:style>
  <w:style w:type="paragraph" w:styleId="ListNumber">
    <w:name w:val="List Number"/>
    <w:basedOn w:val="Normal"/>
    <w:locked/>
    <w:rsid w:val="00CD3E5E"/>
    <w:pPr>
      <w:numPr>
        <w:numId w:val="1"/>
      </w:numPr>
      <w:spacing w:after="0" w:line="240" w:lineRule="auto"/>
      <w:jc w:val="left"/>
    </w:pPr>
    <w:rPr>
      <w:rFonts w:cs="Arial"/>
      <w:sz w:val="24"/>
      <w:lang w:eastAsia="en-AU"/>
    </w:rPr>
  </w:style>
  <w:style w:type="paragraph" w:styleId="BodyText">
    <w:name w:val="Body Text"/>
    <w:basedOn w:val="ListNumber"/>
    <w:link w:val="BodyTextChar"/>
    <w:rsid w:val="000D002C"/>
    <w:pPr>
      <w:numPr>
        <w:numId w:val="0"/>
      </w:numPr>
      <w:tabs>
        <w:tab w:val="num" w:pos="680"/>
      </w:tabs>
      <w:spacing w:after="120"/>
    </w:pPr>
    <w:rPr>
      <w:lang w:eastAsia="en-US"/>
    </w:rPr>
  </w:style>
  <w:style w:type="character" w:customStyle="1" w:styleId="BodyTextChar">
    <w:name w:val="Body Text Char"/>
    <w:link w:val="BodyText"/>
    <w:locked/>
    <w:rsid w:val="008E0FFA"/>
    <w:rPr>
      <w:rFonts w:ascii="Arial" w:hAnsi="Arial" w:cs="Times New Roman"/>
      <w:color w:val="747378"/>
      <w:sz w:val="24"/>
      <w:szCs w:val="24"/>
      <w:lang w:val="x-none" w:eastAsia="en-US"/>
    </w:rPr>
  </w:style>
  <w:style w:type="character" w:customStyle="1" w:styleId="st1">
    <w:name w:val="st1"/>
    <w:basedOn w:val="DefaultParagraphFont"/>
    <w:rsid w:val="00FF6514"/>
  </w:style>
  <w:style w:type="character" w:customStyle="1" w:styleId="Heading2Char">
    <w:name w:val="Heading 2 Char"/>
    <w:locked/>
    <w:rsid w:val="00441483"/>
    <w:rPr>
      <w:rFonts w:ascii="Arial" w:hAnsi="Arial" w:cs="Arial"/>
      <w:bCs/>
      <w:iCs/>
      <w:color w:val="286EB4"/>
      <w:sz w:val="28"/>
      <w:szCs w:val="28"/>
      <w:lang w:val="en-AU" w:eastAsia="en-US" w:bidi="ar-SA"/>
    </w:rPr>
  </w:style>
  <w:style w:type="paragraph" w:customStyle="1" w:styleId="BriefDocParagraph">
    <w:name w:val="BriefDoc Paragraph"/>
    <w:basedOn w:val="Normal"/>
    <w:rsid w:val="00BA4D7A"/>
    <w:pPr>
      <w:numPr>
        <w:numId w:val="4"/>
      </w:numPr>
      <w:spacing w:after="0" w:line="240" w:lineRule="auto"/>
      <w:jc w:val="left"/>
    </w:pPr>
    <w:rPr>
      <w:rFonts w:ascii="Times New Roman" w:hAnsi="Times New Roman"/>
      <w:sz w:val="24"/>
      <w:szCs w:val="20"/>
    </w:rPr>
  </w:style>
  <w:style w:type="paragraph" w:customStyle="1" w:styleId="BoxText1">
    <w:name w:val="Box Text+1"/>
    <w:basedOn w:val="Default"/>
    <w:next w:val="Default"/>
    <w:uiPriority w:val="99"/>
    <w:rsid w:val="00F46CB4"/>
    <w:pPr>
      <w:widowControl/>
    </w:pPr>
    <w:rPr>
      <w:rFonts w:ascii="Garamond" w:eastAsia="Calibri" w:hAnsi="Garamond" w:cs="Times New Roman"/>
      <w:color w:val="auto"/>
      <w:lang w:val="en-AU"/>
    </w:rPr>
  </w:style>
  <w:style w:type="character" w:styleId="Strong">
    <w:name w:val="Strong"/>
    <w:basedOn w:val="DefaultParagraphFont"/>
    <w:qFormat/>
    <w:locked/>
    <w:rsid w:val="00651032"/>
    <w:rPr>
      <w:b/>
      <w:bCs/>
    </w:rPr>
  </w:style>
  <w:style w:type="character" w:styleId="Emphasis">
    <w:name w:val="Emphasis"/>
    <w:basedOn w:val="DefaultParagraphFont"/>
    <w:qFormat/>
    <w:locked/>
    <w:rsid w:val="00903D11"/>
    <w:rPr>
      <w:i/>
      <w:iCs/>
    </w:rPr>
  </w:style>
  <w:style w:type="numbering" w:customStyle="1" w:styleId="NoList1">
    <w:name w:val="No List1"/>
    <w:next w:val="NoList"/>
    <w:uiPriority w:val="99"/>
    <w:semiHidden/>
    <w:unhideWhenUsed/>
    <w:rsid w:val="00D758F5"/>
  </w:style>
  <w:style w:type="paragraph" w:styleId="NormalWeb">
    <w:name w:val="Normal (Web)"/>
    <w:basedOn w:val="Normal"/>
    <w:uiPriority w:val="99"/>
    <w:unhideWhenUsed/>
    <w:rsid w:val="00FE2839"/>
    <w:pPr>
      <w:spacing w:before="100" w:beforeAutospacing="1" w:after="100" w:afterAutospacing="1" w:line="240" w:lineRule="auto"/>
      <w:jc w:val="left"/>
    </w:pPr>
    <w:rPr>
      <w:rFonts w:ascii="Times New Roman" w:hAnsi="Times New Roman"/>
      <w:sz w:val="24"/>
      <w:lang w:eastAsia="en-AU"/>
    </w:rPr>
  </w:style>
  <w:style w:type="paragraph" w:styleId="PlainText">
    <w:name w:val="Plain Text"/>
    <w:basedOn w:val="Normal"/>
    <w:link w:val="PlainTextChar"/>
    <w:uiPriority w:val="99"/>
    <w:unhideWhenUsed/>
    <w:rsid w:val="005B1665"/>
    <w:pPr>
      <w:spacing w:after="0" w:line="240" w:lineRule="auto"/>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B1665"/>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21904404">
      <w:bodyDiv w:val="1"/>
      <w:marLeft w:val="0"/>
      <w:marRight w:val="0"/>
      <w:marTop w:val="0"/>
      <w:marBottom w:val="0"/>
      <w:divBdr>
        <w:top w:val="none" w:sz="0" w:space="0" w:color="auto"/>
        <w:left w:val="none" w:sz="0" w:space="0" w:color="auto"/>
        <w:bottom w:val="none" w:sz="0" w:space="0" w:color="auto"/>
        <w:right w:val="none" w:sz="0" w:space="0" w:color="auto"/>
      </w:divBdr>
    </w:div>
    <w:div w:id="26570624">
      <w:bodyDiv w:val="1"/>
      <w:marLeft w:val="0"/>
      <w:marRight w:val="0"/>
      <w:marTop w:val="0"/>
      <w:marBottom w:val="0"/>
      <w:divBdr>
        <w:top w:val="none" w:sz="0" w:space="0" w:color="auto"/>
        <w:left w:val="none" w:sz="0" w:space="0" w:color="auto"/>
        <w:bottom w:val="none" w:sz="0" w:space="0" w:color="auto"/>
        <w:right w:val="none" w:sz="0" w:space="0" w:color="auto"/>
      </w:divBdr>
    </w:div>
    <w:div w:id="36438446">
      <w:bodyDiv w:val="1"/>
      <w:marLeft w:val="0"/>
      <w:marRight w:val="0"/>
      <w:marTop w:val="0"/>
      <w:marBottom w:val="0"/>
      <w:divBdr>
        <w:top w:val="none" w:sz="0" w:space="0" w:color="auto"/>
        <w:left w:val="none" w:sz="0" w:space="0" w:color="auto"/>
        <w:bottom w:val="none" w:sz="0" w:space="0" w:color="auto"/>
        <w:right w:val="none" w:sz="0" w:space="0" w:color="auto"/>
      </w:divBdr>
    </w:div>
    <w:div w:id="42827368">
      <w:bodyDiv w:val="1"/>
      <w:marLeft w:val="0"/>
      <w:marRight w:val="0"/>
      <w:marTop w:val="0"/>
      <w:marBottom w:val="0"/>
      <w:divBdr>
        <w:top w:val="none" w:sz="0" w:space="0" w:color="auto"/>
        <w:left w:val="none" w:sz="0" w:space="0" w:color="auto"/>
        <w:bottom w:val="none" w:sz="0" w:space="0" w:color="auto"/>
        <w:right w:val="none" w:sz="0" w:space="0" w:color="auto"/>
      </w:divBdr>
    </w:div>
    <w:div w:id="49235849">
      <w:bodyDiv w:val="1"/>
      <w:marLeft w:val="0"/>
      <w:marRight w:val="0"/>
      <w:marTop w:val="0"/>
      <w:marBottom w:val="0"/>
      <w:divBdr>
        <w:top w:val="none" w:sz="0" w:space="0" w:color="auto"/>
        <w:left w:val="none" w:sz="0" w:space="0" w:color="auto"/>
        <w:bottom w:val="none" w:sz="0" w:space="0" w:color="auto"/>
        <w:right w:val="none" w:sz="0" w:space="0" w:color="auto"/>
      </w:divBdr>
    </w:div>
    <w:div w:id="50807158">
      <w:bodyDiv w:val="1"/>
      <w:marLeft w:val="0"/>
      <w:marRight w:val="0"/>
      <w:marTop w:val="0"/>
      <w:marBottom w:val="0"/>
      <w:divBdr>
        <w:top w:val="none" w:sz="0" w:space="0" w:color="auto"/>
        <w:left w:val="none" w:sz="0" w:space="0" w:color="auto"/>
        <w:bottom w:val="none" w:sz="0" w:space="0" w:color="auto"/>
        <w:right w:val="none" w:sz="0" w:space="0" w:color="auto"/>
      </w:divBdr>
    </w:div>
    <w:div w:id="55204213">
      <w:bodyDiv w:val="1"/>
      <w:marLeft w:val="0"/>
      <w:marRight w:val="0"/>
      <w:marTop w:val="0"/>
      <w:marBottom w:val="0"/>
      <w:divBdr>
        <w:top w:val="none" w:sz="0" w:space="0" w:color="auto"/>
        <w:left w:val="none" w:sz="0" w:space="0" w:color="auto"/>
        <w:bottom w:val="none" w:sz="0" w:space="0" w:color="auto"/>
        <w:right w:val="none" w:sz="0" w:space="0" w:color="auto"/>
      </w:divBdr>
    </w:div>
    <w:div w:id="56392931">
      <w:bodyDiv w:val="1"/>
      <w:marLeft w:val="0"/>
      <w:marRight w:val="0"/>
      <w:marTop w:val="0"/>
      <w:marBottom w:val="0"/>
      <w:divBdr>
        <w:top w:val="none" w:sz="0" w:space="0" w:color="auto"/>
        <w:left w:val="none" w:sz="0" w:space="0" w:color="auto"/>
        <w:bottom w:val="none" w:sz="0" w:space="0" w:color="auto"/>
        <w:right w:val="none" w:sz="0" w:space="0" w:color="auto"/>
      </w:divBdr>
    </w:div>
    <w:div w:id="92627430">
      <w:bodyDiv w:val="1"/>
      <w:marLeft w:val="0"/>
      <w:marRight w:val="0"/>
      <w:marTop w:val="0"/>
      <w:marBottom w:val="0"/>
      <w:divBdr>
        <w:top w:val="none" w:sz="0" w:space="0" w:color="auto"/>
        <w:left w:val="none" w:sz="0" w:space="0" w:color="auto"/>
        <w:bottom w:val="none" w:sz="0" w:space="0" w:color="auto"/>
        <w:right w:val="none" w:sz="0" w:space="0" w:color="auto"/>
      </w:divBdr>
      <w:divsChild>
        <w:div w:id="109709226">
          <w:marLeft w:val="1267"/>
          <w:marRight w:val="0"/>
          <w:marTop w:val="0"/>
          <w:marBottom w:val="0"/>
          <w:divBdr>
            <w:top w:val="none" w:sz="0" w:space="0" w:color="auto"/>
            <w:left w:val="none" w:sz="0" w:space="0" w:color="auto"/>
            <w:bottom w:val="none" w:sz="0" w:space="0" w:color="auto"/>
            <w:right w:val="none" w:sz="0" w:space="0" w:color="auto"/>
          </w:divBdr>
        </w:div>
      </w:divsChild>
    </w:div>
    <w:div w:id="110326984">
      <w:bodyDiv w:val="1"/>
      <w:marLeft w:val="0"/>
      <w:marRight w:val="0"/>
      <w:marTop w:val="0"/>
      <w:marBottom w:val="0"/>
      <w:divBdr>
        <w:top w:val="none" w:sz="0" w:space="0" w:color="auto"/>
        <w:left w:val="none" w:sz="0" w:space="0" w:color="auto"/>
        <w:bottom w:val="none" w:sz="0" w:space="0" w:color="auto"/>
        <w:right w:val="none" w:sz="0" w:space="0" w:color="auto"/>
      </w:divBdr>
    </w:div>
    <w:div w:id="129203174">
      <w:bodyDiv w:val="1"/>
      <w:marLeft w:val="0"/>
      <w:marRight w:val="0"/>
      <w:marTop w:val="0"/>
      <w:marBottom w:val="0"/>
      <w:divBdr>
        <w:top w:val="none" w:sz="0" w:space="0" w:color="auto"/>
        <w:left w:val="none" w:sz="0" w:space="0" w:color="auto"/>
        <w:bottom w:val="none" w:sz="0" w:space="0" w:color="auto"/>
        <w:right w:val="none" w:sz="0" w:space="0" w:color="auto"/>
      </w:divBdr>
    </w:div>
    <w:div w:id="138151111">
      <w:bodyDiv w:val="1"/>
      <w:marLeft w:val="0"/>
      <w:marRight w:val="0"/>
      <w:marTop w:val="0"/>
      <w:marBottom w:val="0"/>
      <w:divBdr>
        <w:top w:val="none" w:sz="0" w:space="0" w:color="auto"/>
        <w:left w:val="none" w:sz="0" w:space="0" w:color="auto"/>
        <w:bottom w:val="none" w:sz="0" w:space="0" w:color="auto"/>
        <w:right w:val="none" w:sz="0" w:space="0" w:color="auto"/>
      </w:divBdr>
    </w:div>
    <w:div w:id="149097227">
      <w:bodyDiv w:val="1"/>
      <w:marLeft w:val="0"/>
      <w:marRight w:val="0"/>
      <w:marTop w:val="0"/>
      <w:marBottom w:val="0"/>
      <w:divBdr>
        <w:top w:val="none" w:sz="0" w:space="0" w:color="auto"/>
        <w:left w:val="none" w:sz="0" w:space="0" w:color="auto"/>
        <w:bottom w:val="none" w:sz="0" w:space="0" w:color="auto"/>
        <w:right w:val="none" w:sz="0" w:space="0" w:color="auto"/>
      </w:divBdr>
    </w:div>
    <w:div w:id="171183019">
      <w:bodyDiv w:val="1"/>
      <w:marLeft w:val="0"/>
      <w:marRight w:val="0"/>
      <w:marTop w:val="0"/>
      <w:marBottom w:val="0"/>
      <w:divBdr>
        <w:top w:val="none" w:sz="0" w:space="0" w:color="auto"/>
        <w:left w:val="none" w:sz="0" w:space="0" w:color="auto"/>
        <w:bottom w:val="none" w:sz="0" w:space="0" w:color="auto"/>
        <w:right w:val="none" w:sz="0" w:space="0" w:color="auto"/>
      </w:divBdr>
    </w:div>
    <w:div w:id="197403017">
      <w:bodyDiv w:val="1"/>
      <w:marLeft w:val="0"/>
      <w:marRight w:val="0"/>
      <w:marTop w:val="0"/>
      <w:marBottom w:val="0"/>
      <w:divBdr>
        <w:top w:val="none" w:sz="0" w:space="0" w:color="auto"/>
        <w:left w:val="none" w:sz="0" w:space="0" w:color="auto"/>
        <w:bottom w:val="none" w:sz="0" w:space="0" w:color="auto"/>
        <w:right w:val="none" w:sz="0" w:space="0" w:color="auto"/>
      </w:divBdr>
    </w:div>
    <w:div w:id="217743070">
      <w:bodyDiv w:val="1"/>
      <w:marLeft w:val="0"/>
      <w:marRight w:val="0"/>
      <w:marTop w:val="0"/>
      <w:marBottom w:val="0"/>
      <w:divBdr>
        <w:top w:val="none" w:sz="0" w:space="0" w:color="auto"/>
        <w:left w:val="none" w:sz="0" w:space="0" w:color="auto"/>
        <w:bottom w:val="none" w:sz="0" w:space="0" w:color="auto"/>
        <w:right w:val="none" w:sz="0" w:space="0" w:color="auto"/>
      </w:divBdr>
    </w:div>
    <w:div w:id="219707477">
      <w:bodyDiv w:val="1"/>
      <w:marLeft w:val="0"/>
      <w:marRight w:val="0"/>
      <w:marTop w:val="0"/>
      <w:marBottom w:val="0"/>
      <w:divBdr>
        <w:top w:val="none" w:sz="0" w:space="0" w:color="auto"/>
        <w:left w:val="none" w:sz="0" w:space="0" w:color="auto"/>
        <w:bottom w:val="none" w:sz="0" w:space="0" w:color="auto"/>
        <w:right w:val="none" w:sz="0" w:space="0" w:color="auto"/>
      </w:divBdr>
      <w:divsChild>
        <w:div w:id="1226797114">
          <w:marLeft w:val="446"/>
          <w:marRight w:val="0"/>
          <w:marTop w:val="0"/>
          <w:marBottom w:val="0"/>
          <w:divBdr>
            <w:top w:val="none" w:sz="0" w:space="0" w:color="auto"/>
            <w:left w:val="none" w:sz="0" w:space="0" w:color="auto"/>
            <w:bottom w:val="none" w:sz="0" w:space="0" w:color="auto"/>
            <w:right w:val="none" w:sz="0" w:space="0" w:color="auto"/>
          </w:divBdr>
        </w:div>
        <w:div w:id="1218584735">
          <w:marLeft w:val="446"/>
          <w:marRight w:val="0"/>
          <w:marTop w:val="0"/>
          <w:marBottom w:val="0"/>
          <w:divBdr>
            <w:top w:val="none" w:sz="0" w:space="0" w:color="auto"/>
            <w:left w:val="none" w:sz="0" w:space="0" w:color="auto"/>
            <w:bottom w:val="none" w:sz="0" w:space="0" w:color="auto"/>
            <w:right w:val="none" w:sz="0" w:space="0" w:color="auto"/>
          </w:divBdr>
        </w:div>
      </w:divsChild>
    </w:div>
    <w:div w:id="259222998">
      <w:bodyDiv w:val="1"/>
      <w:marLeft w:val="0"/>
      <w:marRight w:val="0"/>
      <w:marTop w:val="0"/>
      <w:marBottom w:val="0"/>
      <w:divBdr>
        <w:top w:val="none" w:sz="0" w:space="0" w:color="auto"/>
        <w:left w:val="none" w:sz="0" w:space="0" w:color="auto"/>
        <w:bottom w:val="none" w:sz="0" w:space="0" w:color="auto"/>
        <w:right w:val="none" w:sz="0" w:space="0" w:color="auto"/>
      </w:divBdr>
    </w:div>
    <w:div w:id="269287667">
      <w:bodyDiv w:val="1"/>
      <w:marLeft w:val="0"/>
      <w:marRight w:val="0"/>
      <w:marTop w:val="0"/>
      <w:marBottom w:val="0"/>
      <w:divBdr>
        <w:top w:val="none" w:sz="0" w:space="0" w:color="auto"/>
        <w:left w:val="none" w:sz="0" w:space="0" w:color="auto"/>
        <w:bottom w:val="none" w:sz="0" w:space="0" w:color="auto"/>
        <w:right w:val="none" w:sz="0" w:space="0" w:color="auto"/>
      </w:divBdr>
    </w:div>
    <w:div w:id="276527857">
      <w:bodyDiv w:val="1"/>
      <w:marLeft w:val="0"/>
      <w:marRight w:val="0"/>
      <w:marTop w:val="0"/>
      <w:marBottom w:val="0"/>
      <w:divBdr>
        <w:top w:val="none" w:sz="0" w:space="0" w:color="auto"/>
        <w:left w:val="none" w:sz="0" w:space="0" w:color="auto"/>
        <w:bottom w:val="none" w:sz="0" w:space="0" w:color="auto"/>
        <w:right w:val="none" w:sz="0" w:space="0" w:color="auto"/>
      </w:divBdr>
    </w:div>
    <w:div w:id="299265708">
      <w:bodyDiv w:val="1"/>
      <w:marLeft w:val="0"/>
      <w:marRight w:val="0"/>
      <w:marTop w:val="0"/>
      <w:marBottom w:val="0"/>
      <w:divBdr>
        <w:top w:val="none" w:sz="0" w:space="0" w:color="auto"/>
        <w:left w:val="none" w:sz="0" w:space="0" w:color="auto"/>
        <w:bottom w:val="none" w:sz="0" w:space="0" w:color="auto"/>
        <w:right w:val="none" w:sz="0" w:space="0" w:color="auto"/>
      </w:divBdr>
    </w:div>
    <w:div w:id="315113224">
      <w:bodyDiv w:val="1"/>
      <w:marLeft w:val="0"/>
      <w:marRight w:val="0"/>
      <w:marTop w:val="0"/>
      <w:marBottom w:val="0"/>
      <w:divBdr>
        <w:top w:val="none" w:sz="0" w:space="0" w:color="auto"/>
        <w:left w:val="none" w:sz="0" w:space="0" w:color="auto"/>
        <w:bottom w:val="none" w:sz="0" w:space="0" w:color="auto"/>
        <w:right w:val="none" w:sz="0" w:space="0" w:color="auto"/>
      </w:divBdr>
    </w:div>
    <w:div w:id="348602351">
      <w:bodyDiv w:val="1"/>
      <w:marLeft w:val="0"/>
      <w:marRight w:val="0"/>
      <w:marTop w:val="0"/>
      <w:marBottom w:val="0"/>
      <w:divBdr>
        <w:top w:val="none" w:sz="0" w:space="0" w:color="auto"/>
        <w:left w:val="none" w:sz="0" w:space="0" w:color="auto"/>
        <w:bottom w:val="none" w:sz="0" w:space="0" w:color="auto"/>
        <w:right w:val="none" w:sz="0" w:space="0" w:color="auto"/>
      </w:divBdr>
    </w:div>
    <w:div w:id="353265717">
      <w:bodyDiv w:val="1"/>
      <w:marLeft w:val="0"/>
      <w:marRight w:val="0"/>
      <w:marTop w:val="0"/>
      <w:marBottom w:val="0"/>
      <w:divBdr>
        <w:top w:val="none" w:sz="0" w:space="0" w:color="auto"/>
        <w:left w:val="none" w:sz="0" w:space="0" w:color="auto"/>
        <w:bottom w:val="none" w:sz="0" w:space="0" w:color="auto"/>
        <w:right w:val="none" w:sz="0" w:space="0" w:color="auto"/>
      </w:divBdr>
    </w:div>
    <w:div w:id="368994135">
      <w:bodyDiv w:val="1"/>
      <w:marLeft w:val="0"/>
      <w:marRight w:val="0"/>
      <w:marTop w:val="0"/>
      <w:marBottom w:val="0"/>
      <w:divBdr>
        <w:top w:val="none" w:sz="0" w:space="0" w:color="auto"/>
        <w:left w:val="none" w:sz="0" w:space="0" w:color="auto"/>
        <w:bottom w:val="none" w:sz="0" w:space="0" w:color="auto"/>
        <w:right w:val="none" w:sz="0" w:space="0" w:color="auto"/>
      </w:divBdr>
    </w:div>
    <w:div w:id="386801642">
      <w:bodyDiv w:val="1"/>
      <w:marLeft w:val="0"/>
      <w:marRight w:val="0"/>
      <w:marTop w:val="0"/>
      <w:marBottom w:val="0"/>
      <w:divBdr>
        <w:top w:val="none" w:sz="0" w:space="0" w:color="auto"/>
        <w:left w:val="none" w:sz="0" w:space="0" w:color="auto"/>
        <w:bottom w:val="none" w:sz="0" w:space="0" w:color="auto"/>
        <w:right w:val="none" w:sz="0" w:space="0" w:color="auto"/>
      </w:divBdr>
    </w:div>
    <w:div w:id="393508241">
      <w:bodyDiv w:val="1"/>
      <w:marLeft w:val="0"/>
      <w:marRight w:val="0"/>
      <w:marTop w:val="0"/>
      <w:marBottom w:val="0"/>
      <w:divBdr>
        <w:top w:val="none" w:sz="0" w:space="0" w:color="auto"/>
        <w:left w:val="none" w:sz="0" w:space="0" w:color="auto"/>
        <w:bottom w:val="none" w:sz="0" w:space="0" w:color="auto"/>
        <w:right w:val="none" w:sz="0" w:space="0" w:color="auto"/>
      </w:divBdr>
    </w:div>
    <w:div w:id="394163375">
      <w:bodyDiv w:val="1"/>
      <w:marLeft w:val="0"/>
      <w:marRight w:val="0"/>
      <w:marTop w:val="0"/>
      <w:marBottom w:val="0"/>
      <w:divBdr>
        <w:top w:val="none" w:sz="0" w:space="0" w:color="auto"/>
        <w:left w:val="none" w:sz="0" w:space="0" w:color="auto"/>
        <w:bottom w:val="none" w:sz="0" w:space="0" w:color="auto"/>
        <w:right w:val="none" w:sz="0" w:space="0" w:color="auto"/>
      </w:divBdr>
    </w:div>
    <w:div w:id="409273470">
      <w:bodyDiv w:val="1"/>
      <w:marLeft w:val="0"/>
      <w:marRight w:val="0"/>
      <w:marTop w:val="0"/>
      <w:marBottom w:val="0"/>
      <w:divBdr>
        <w:top w:val="none" w:sz="0" w:space="0" w:color="auto"/>
        <w:left w:val="none" w:sz="0" w:space="0" w:color="auto"/>
        <w:bottom w:val="none" w:sz="0" w:space="0" w:color="auto"/>
        <w:right w:val="none" w:sz="0" w:space="0" w:color="auto"/>
      </w:divBdr>
    </w:div>
    <w:div w:id="409424578">
      <w:bodyDiv w:val="1"/>
      <w:marLeft w:val="0"/>
      <w:marRight w:val="0"/>
      <w:marTop w:val="0"/>
      <w:marBottom w:val="0"/>
      <w:divBdr>
        <w:top w:val="none" w:sz="0" w:space="0" w:color="auto"/>
        <w:left w:val="none" w:sz="0" w:space="0" w:color="auto"/>
        <w:bottom w:val="none" w:sz="0" w:space="0" w:color="auto"/>
        <w:right w:val="none" w:sz="0" w:space="0" w:color="auto"/>
      </w:divBdr>
    </w:div>
    <w:div w:id="424309034">
      <w:bodyDiv w:val="1"/>
      <w:marLeft w:val="0"/>
      <w:marRight w:val="0"/>
      <w:marTop w:val="0"/>
      <w:marBottom w:val="0"/>
      <w:divBdr>
        <w:top w:val="none" w:sz="0" w:space="0" w:color="auto"/>
        <w:left w:val="none" w:sz="0" w:space="0" w:color="auto"/>
        <w:bottom w:val="none" w:sz="0" w:space="0" w:color="auto"/>
        <w:right w:val="none" w:sz="0" w:space="0" w:color="auto"/>
      </w:divBdr>
    </w:div>
    <w:div w:id="440760507">
      <w:bodyDiv w:val="1"/>
      <w:marLeft w:val="0"/>
      <w:marRight w:val="0"/>
      <w:marTop w:val="0"/>
      <w:marBottom w:val="0"/>
      <w:divBdr>
        <w:top w:val="none" w:sz="0" w:space="0" w:color="auto"/>
        <w:left w:val="none" w:sz="0" w:space="0" w:color="auto"/>
        <w:bottom w:val="none" w:sz="0" w:space="0" w:color="auto"/>
        <w:right w:val="none" w:sz="0" w:space="0" w:color="auto"/>
      </w:divBdr>
    </w:div>
    <w:div w:id="472063878">
      <w:bodyDiv w:val="1"/>
      <w:marLeft w:val="0"/>
      <w:marRight w:val="0"/>
      <w:marTop w:val="0"/>
      <w:marBottom w:val="0"/>
      <w:divBdr>
        <w:top w:val="none" w:sz="0" w:space="0" w:color="auto"/>
        <w:left w:val="none" w:sz="0" w:space="0" w:color="auto"/>
        <w:bottom w:val="none" w:sz="0" w:space="0" w:color="auto"/>
        <w:right w:val="none" w:sz="0" w:space="0" w:color="auto"/>
      </w:divBdr>
    </w:div>
    <w:div w:id="495464738">
      <w:bodyDiv w:val="1"/>
      <w:marLeft w:val="0"/>
      <w:marRight w:val="0"/>
      <w:marTop w:val="0"/>
      <w:marBottom w:val="0"/>
      <w:divBdr>
        <w:top w:val="none" w:sz="0" w:space="0" w:color="auto"/>
        <w:left w:val="none" w:sz="0" w:space="0" w:color="auto"/>
        <w:bottom w:val="none" w:sz="0" w:space="0" w:color="auto"/>
        <w:right w:val="none" w:sz="0" w:space="0" w:color="auto"/>
      </w:divBdr>
    </w:div>
    <w:div w:id="502744800">
      <w:bodyDiv w:val="1"/>
      <w:marLeft w:val="0"/>
      <w:marRight w:val="0"/>
      <w:marTop w:val="0"/>
      <w:marBottom w:val="0"/>
      <w:divBdr>
        <w:top w:val="none" w:sz="0" w:space="0" w:color="auto"/>
        <w:left w:val="none" w:sz="0" w:space="0" w:color="auto"/>
        <w:bottom w:val="none" w:sz="0" w:space="0" w:color="auto"/>
        <w:right w:val="none" w:sz="0" w:space="0" w:color="auto"/>
      </w:divBdr>
    </w:div>
    <w:div w:id="521867757">
      <w:bodyDiv w:val="1"/>
      <w:marLeft w:val="0"/>
      <w:marRight w:val="0"/>
      <w:marTop w:val="0"/>
      <w:marBottom w:val="0"/>
      <w:divBdr>
        <w:top w:val="none" w:sz="0" w:space="0" w:color="auto"/>
        <w:left w:val="none" w:sz="0" w:space="0" w:color="auto"/>
        <w:bottom w:val="none" w:sz="0" w:space="0" w:color="auto"/>
        <w:right w:val="none" w:sz="0" w:space="0" w:color="auto"/>
      </w:divBdr>
    </w:div>
    <w:div w:id="556167868">
      <w:bodyDiv w:val="1"/>
      <w:marLeft w:val="0"/>
      <w:marRight w:val="0"/>
      <w:marTop w:val="0"/>
      <w:marBottom w:val="0"/>
      <w:divBdr>
        <w:top w:val="none" w:sz="0" w:space="0" w:color="auto"/>
        <w:left w:val="none" w:sz="0" w:space="0" w:color="auto"/>
        <w:bottom w:val="none" w:sz="0" w:space="0" w:color="auto"/>
        <w:right w:val="none" w:sz="0" w:space="0" w:color="auto"/>
      </w:divBdr>
    </w:div>
    <w:div w:id="580019016">
      <w:bodyDiv w:val="1"/>
      <w:marLeft w:val="0"/>
      <w:marRight w:val="0"/>
      <w:marTop w:val="0"/>
      <w:marBottom w:val="0"/>
      <w:divBdr>
        <w:top w:val="none" w:sz="0" w:space="0" w:color="auto"/>
        <w:left w:val="none" w:sz="0" w:space="0" w:color="auto"/>
        <w:bottom w:val="none" w:sz="0" w:space="0" w:color="auto"/>
        <w:right w:val="none" w:sz="0" w:space="0" w:color="auto"/>
      </w:divBdr>
    </w:div>
    <w:div w:id="595985880">
      <w:bodyDiv w:val="1"/>
      <w:marLeft w:val="0"/>
      <w:marRight w:val="0"/>
      <w:marTop w:val="0"/>
      <w:marBottom w:val="0"/>
      <w:divBdr>
        <w:top w:val="none" w:sz="0" w:space="0" w:color="auto"/>
        <w:left w:val="none" w:sz="0" w:space="0" w:color="auto"/>
        <w:bottom w:val="none" w:sz="0" w:space="0" w:color="auto"/>
        <w:right w:val="none" w:sz="0" w:space="0" w:color="auto"/>
      </w:divBdr>
    </w:div>
    <w:div w:id="599140166">
      <w:bodyDiv w:val="1"/>
      <w:marLeft w:val="0"/>
      <w:marRight w:val="0"/>
      <w:marTop w:val="0"/>
      <w:marBottom w:val="0"/>
      <w:divBdr>
        <w:top w:val="none" w:sz="0" w:space="0" w:color="auto"/>
        <w:left w:val="none" w:sz="0" w:space="0" w:color="auto"/>
        <w:bottom w:val="none" w:sz="0" w:space="0" w:color="auto"/>
        <w:right w:val="none" w:sz="0" w:space="0" w:color="auto"/>
      </w:divBdr>
    </w:div>
    <w:div w:id="602231731">
      <w:bodyDiv w:val="1"/>
      <w:marLeft w:val="0"/>
      <w:marRight w:val="0"/>
      <w:marTop w:val="0"/>
      <w:marBottom w:val="0"/>
      <w:divBdr>
        <w:top w:val="none" w:sz="0" w:space="0" w:color="auto"/>
        <w:left w:val="none" w:sz="0" w:space="0" w:color="auto"/>
        <w:bottom w:val="none" w:sz="0" w:space="0" w:color="auto"/>
        <w:right w:val="none" w:sz="0" w:space="0" w:color="auto"/>
      </w:divBdr>
    </w:div>
    <w:div w:id="604191723">
      <w:bodyDiv w:val="1"/>
      <w:marLeft w:val="0"/>
      <w:marRight w:val="0"/>
      <w:marTop w:val="0"/>
      <w:marBottom w:val="0"/>
      <w:divBdr>
        <w:top w:val="none" w:sz="0" w:space="0" w:color="auto"/>
        <w:left w:val="none" w:sz="0" w:space="0" w:color="auto"/>
        <w:bottom w:val="none" w:sz="0" w:space="0" w:color="auto"/>
        <w:right w:val="none" w:sz="0" w:space="0" w:color="auto"/>
      </w:divBdr>
    </w:div>
    <w:div w:id="606499992">
      <w:bodyDiv w:val="1"/>
      <w:marLeft w:val="0"/>
      <w:marRight w:val="0"/>
      <w:marTop w:val="0"/>
      <w:marBottom w:val="0"/>
      <w:divBdr>
        <w:top w:val="none" w:sz="0" w:space="0" w:color="auto"/>
        <w:left w:val="none" w:sz="0" w:space="0" w:color="auto"/>
        <w:bottom w:val="none" w:sz="0" w:space="0" w:color="auto"/>
        <w:right w:val="none" w:sz="0" w:space="0" w:color="auto"/>
      </w:divBdr>
      <w:divsChild>
        <w:div w:id="515123521">
          <w:marLeft w:val="446"/>
          <w:marRight w:val="0"/>
          <w:marTop w:val="0"/>
          <w:marBottom w:val="0"/>
          <w:divBdr>
            <w:top w:val="none" w:sz="0" w:space="0" w:color="auto"/>
            <w:left w:val="none" w:sz="0" w:space="0" w:color="auto"/>
            <w:bottom w:val="none" w:sz="0" w:space="0" w:color="auto"/>
            <w:right w:val="none" w:sz="0" w:space="0" w:color="auto"/>
          </w:divBdr>
        </w:div>
        <w:div w:id="1236936774">
          <w:marLeft w:val="446"/>
          <w:marRight w:val="0"/>
          <w:marTop w:val="0"/>
          <w:marBottom w:val="0"/>
          <w:divBdr>
            <w:top w:val="none" w:sz="0" w:space="0" w:color="auto"/>
            <w:left w:val="none" w:sz="0" w:space="0" w:color="auto"/>
            <w:bottom w:val="none" w:sz="0" w:space="0" w:color="auto"/>
            <w:right w:val="none" w:sz="0" w:space="0" w:color="auto"/>
          </w:divBdr>
        </w:div>
      </w:divsChild>
    </w:div>
    <w:div w:id="637954967">
      <w:bodyDiv w:val="1"/>
      <w:marLeft w:val="0"/>
      <w:marRight w:val="0"/>
      <w:marTop w:val="0"/>
      <w:marBottom w:val="0"/>
      <w:divBdr>
        <w:top w:val="none" w:sz="0" w:space="0" w:color="auto"/>
        <w:left w:val="none" w:sz="0" w:space="0" w:color="auto"/>
        <w:bottom w:val="none" w:sz="0" w:space="0" w:color="auto"/>
        <w:right w:val="none" w:sz="0" w:space="0" w:color="auto"/>
      </w:divBdr>
    </w:div>
    <w:div w:id="640577684">
      <w:bodyDiv w:val="1"/>
      <w:marLeft w:val="0"/>
      <w:marRight w:val="0"/>
      <w:marTop w:val="0"/>
      <w:marBottom w:val="0"/>
      <w:divBdr>
        <w:top w:val="none" w:sz="0" w:space="0" w:color="auto"/>
        <w:left w:val="none" w:sz="0" w:space="0" w:color="auto"/>
        <w:bottom w:val="none" w:sz="0" w:space="0" w:color="auto"/>
        <w:right w:val="none" w:sz="0" w:space="0" w:color="auto"/>
      </w:divBdr>
    </w:div>
    <w:div w:id="644504840">
      <w:bodyDiv w:val="1"/>
      <w:marLeft w:val="0"/>
      <w:marRight w:val="0"/>
      <w:marTop w:val="0"/>
      <w:marBottom w:val="0"/>
      <w:divBdr>
        <w:top w:val="none" w:sz="0" w:space="0" w:color="auto"/>
        <w:left w:val="none" w:sz="0" w:space="0" w:color="auto"/>
        <w:bottom w:val="none" w:sz="0" w:space="0" w:color="auto"/>
        <w:right w:val="none" w:sz="0" w:space="0" w:color="auto"/>
      </w:divBdr>
    </w:div>
    <w:div w:id="649017042">
      <w:bodyDiv w:val="1"/>
      <w:marLeft w:val="0"/>
      <w:marRight w:val="0"/>
      <w:marTop w:val="0"/>
      <w:marBottom w:val="0"/>
      <w:divBdr>
        <w:top w:val="none" w:sz="0" w:space="0" w:color="auto"/>
        <w:left w:val="none" w:sz="0" w:space="0" w:color="auto"/>
        <w:bottom w:val="none" w:sz="0" w:space="0" w:color="auto"/>
        <w:right w:val="none" w:sz="0" w:space="0" w:color="auto"/>
      </w:divBdr>
    </w:div>
    <w:div w:id="651831700">
      <w:bodyDiv w:val="1"/>
      <w:marLeft w:val="0"/>
      <w:marRight w:val="0"/>
      <w:marTop w:val="0"/>
      <w:marBottom w:val="0"/>
      <w:divBdr>
        <w:top w:val="none" w:sz="0" w:space="0" w:color="auto"/>
        <w:left w:val="none" w:sz="0" w:space="0" w:color="auto"/>
        <w:bottom w:val="none" w:sz="0" w:space="0" w:color="auto"/>
        <w:right w:val="none" w:sz="0" w:space="0" w:color="auto"/>
      </w:divBdr>
    </w:div>
    <w:div w:id="653874746">
      <w:bodyDiv w:val="1"/>
      <w:marLeft w:val="0"/>
      <w:marRight w:val="0"/>
      <w:marTop w:val="0"/>
      <w:marBottom w:val="0"/>
      <w:divBdr>
        <w:top w:val="none" w:sz="0" w:space="0" w:color="auto"/>
        <w:left w:val="none" w:sz="0" w:space="0" w:color="auto"/>
        <w:bottom w:val="none" w:sz="0" w:space="0" w:color="auto"/>
        <w:right w:val="none" w:sz="0" w:space="0" w:color="auto"/>
      </w:divBdr>
    </w:div>
    <w:div w:id="659038782">
      <w:bodyDiv w:val="1"/>
      <w:marLeft w:val="0"/>
      <w:marRight w:val="0"/>
      <w:marTop w:val="0"/>
      <w:marBottom w:val="0"/>
      <w:divBdr>
        <w:top w:val="none" w:sz="0" w:space="0" w:color="auto"/>
        <w:left w:val="none" w:sz="0" w:space="0" w:color="auto"/>
        <w:bottom w:val="none" w:sz="0" w:space="0" w:color="auto"/>
        <w:right w:val="none" w:sz="0" w:space="0" w:color="auto"/>
      </w:divBdr>
    </w:div>
    <w:div w:id="662246970">
      <w:bodyDiv w:val="1"/>
      <w:marLeft w:val="0"/>
      <w:marRight w:val="0"/>
      <w:marTop w:val="0"/>
      <w:marBottom w:val="0"/>
      <w:divBdr>
        <w:top w:val="none" w:sz="0" w:space="0" w:color="auto"/>
        <w:left w:val="none" w:sz="0" w:space="0" w:color="auto"/>
        <w:bottom w:val="none" w:sz="0" w:space="0" w:color="auto"/>
        <w:right w:val="none" w:sz="0" w:space="0" w:color="auto"/>
      </w:divBdr>
    </w:div>
    <w:div w:id="673610285">
      <w:bodyDiv w:val="1"/>
      <w:marLeft w:val="0"/>
      <w:marRight w:val="0"/>
      <w:marTop w:val="0"/>
      <w:marBottom w:val="0"/>
      <w:divBdr>
        <w:top w:val="none" w:sz="0" w:space="0" w:color="auto"/>
        <w:left w:val="none" w:sz="0" w:space="0" w:color="auto"/>
        <w:bottom w:val="none" w:sz="0" w:space="0" w:color="auto"/>
        <w:right w:val="none" w:sz="0" w:space="0" w:color="auto"/>
      </w:divBdr>
    </w:div>
    <w:div w:id="676271076">
      <w:bodyDiv w:val="1"/>
      <w:marLeft w:val="0"/>
      <w:marRight w:val="0"/>
      <w:marTop w:val="0"/>
      <w:marBottom w:val="0"/>
      <w:divBdr>
        <w:top w:val="none" w:sz="0" w:space="0" w:color="auto"/>
        <w:left w:val="none" w:sz="0" w:space="0" w:color="auto"/>
        <w:bottom w:val="none" w:sz="0" w:space="0" w:color="auto"/>
        <w:right w:val="none" w:sz="0" w:space="0" w:color="auto"/>
      </w:divBdr>
    </w:div>
    <w:div w:id="692077260">
      <w:bodyDiv w:val="1"/>
      <w:marLeft w:val="0"/>
      <w:marRight w:val="0"/>
      <w:marTop w:val="0"/>
      <w:marBottom w:val="0"/>
      <w:divBdr>
        <w:top w:val="none" w:sz="0" w:space="0" w:color="auto"/>
        <w:left w:val="none" w:sz="0" w:space="0" w:color="auto"/>
        <w:bottom w:val="none" w:sz="0" w:space="0" w:color="auto"/>
        <w:right w:val="none" w:sz="0" w:space="0" w:color="auto"/>
      </w:divBdr>
    </w:div>
    <w:div w:id="722212742">
      <w:bodyDiv w:val="1"/>
      <w:marLeft w:val="0"/>
      <w:marRight w:val="0"/>
      <w:marTop w:val="0"/>
      <w:marBottom w:val="0"/>
      <w:divBdr>
        <w:top w:val="none" w:sz="0" w:space="0" w:color="auto"/>
        <w:left w:val="none" w:sz="0" w:space="0" w:color="auto"/>
        <w:bottom w:val="none" w:sz="0" w:space="0" w:color="auto"/>
        <w:right w:val="none" w:sz="0" w:space="0" w:color="auto"/>
      </w:divBdr>
    </w:div>
    <w:div w:id="727220100">
      <w:bodyDiv w:val="1"/>
      <w:marLeft w:val="0"/>
      <w:marRight w:val="0"/>
      <w:marTop w:val="0"/>
      <w:marBottom w:val="0"/>
      <w:divBdr>
        <w:top w:val="none" w:sz="0" w:space="0" w:color="auto"/>
        <w:left w:val="none" w:sz="0" w:space="0" w:color="auto"/>
        <w:bottom w:val="none" w:sz="0" w:space="0" w:color="auto"/>
        <w:right w:val="none" w:sz="0" w:space="0" w:color="auto"/>
      </w:divBdr>
    </w:div>
    <w:div w:id="750392587">
      <w:bodyDiv w:val="1"/>
      <w:marLeft w:val="0"/>
      <w:marRight w:val="0"/>
      <w:marTop w:val="0"/>
      <w:marBottom w:val="0"/>
      <w:divBdr>
        <w:top w:val="none" w:sz="0" w:space="0" w:color="auto"/>
        <w:left w:val="none" w:sz="0" w:space="0" w:color="auto"/>
        <w:bottom w:val="none" w:sz="0" w:space="0" w:color="auto"/>
        <w:right w:val="none" w:sz="0" w:space="0" w:color="auto"/>
      </w:divBdr>
    </w:div>
    <w:div w:id="753824108">
      <w:bodyDiv w:val="1"/>
      <w:marLeft w:val="0"/>
      <w:marRight w:val="0"/>
      <w:marTop w:val="0"/>
      <w:marBottom w:val="0"/>
      <w:divBdr>
        <w:top w:val="none" w:sz="0" w:space="0" w:color="auto"/>
        <w:left w:val="none" w:sz="0" w:space="0" w:color="auto"/>
        <w:bottom w:val="none" w:sz="0" w:space="0" w:color="auto"/>
        <w:right w:val="none" w:sz="0" w:space="0" w:color="auto"/>
      </w:divBdr>
    </w:div>
    <w:div w:id="756632768">
      <w:bodyDiv w:val="1"/>
      <w:marLeft w:val="0"/>
      <w:marRight w:val="0"/>
      <w:marTop w:val="0"/>
      <w:marBottom w:val="0"/>
      <w:divBdr>
        <w:top w:val="none" w:sz="0" w:space="0" w:color="auto"/>
        <w:left w:val="none" w:sz="0" w:space="0" w:color="auto"/>
        <w:bottom w:val="none" w:sz="0" w:space="0" w:color="auto"/>
        <w:right w:val="none" w:sz="0" w:space="0" w:color="auto"/>
      </w:divBdr>
    </w:div>
    <w:div w:id="756708944">
      <w:bodyDiv w:val="1"/>
      <w:marLeft w:val="0"/>
      <w:marRight w:val="0"/>
      <w:marTop w:val="0"/>
      <w:marBottom w:val="0"/>
      <w:divBdr>
        <w:top w:val="none" w:sz="0" w:space="0" w:color="auto"/>
        <w:left w:val="none" w:sz="0" w:space="0" w:color="auto"/>
        <w:bottom w:val="none" w:sz="0" w:space="0" w:color="auto"/>
        <w:right w:val="none" w:sz="0" w:space="0" w:color="auto"/>
      </w:divBdr>
    </w:div>
    <w:div w:id="766192232">
      <w:bodyDiv w:val="1"/>
      <w:marLeft w:val="0"/>
      <w:marRight w:val="0"/>
      <w:marTop w:val="0"/>
      <w:marBottom w:val="0"/>
      <w:divBdr>
        <w:top w:val="none" w:sz="0" w:space="0" w:color="auto"/>
        <w:left w:val="none" w:sz="0" w:space="0" w:color="auto"/>
        <w:bottom w:val="none" w:sz="0" w:space="0" w:color="auto"/>
        <w:right w:val="none" w:sz="0" w:space="0" w:color="auto"/>
      </w:divBdr>
    </w:div>
    <w:div w:id="787311020">
      <w:bodyDiv w:val="1"/>
      <w:marLeft w:val="0"/>
      <w:marRight w:val="0"/>
      <w:marTop w:val="0"/>
      <w:marBottom w:val="0"/>
      <w:divBdr>
        <w:top w:val="none" w:sz="0" w:space="0" w:color="auto"/>
        <w:left w:val="none" w:sz="0" w:space="0" w:color="auto"/>
        <w:bottom w:val="none" w:sz="0" w:space="0" w:color="auto"/>
        <w:right w:val="none" w:sz="0" w:space="0" w:color="auto"/>
      </w:divBdr>
    </w:div>
    <w:div w:id="801772528">
      <w:bodyDiv w:val="1"/>
      <w:marLeft w:val="0"/>
      <w:marRight w:val="0"/>
      <w:marTop w:val="0"/>
      <w:marBottom w:val="0"/>
      <w:divBdr>
        <w:top w:val="none" w:sz="0" w:space="0" w:color="auto"/>
        <w:left w:val="none" w:sz="0" w:space="0" w:color="auto"/>
        <w:bottom w:val="none" w:sz="0" w:space="0" w:color="auto"/>
        <w:right w:val="none" w:sz="0" w:space="0" w:color="auto"/>
      </w:divBdr>
    </w:div>
    <w:div w:id="833494912">
      <w:bodyDiv w:val="1"/>
      <w:marLeft w:val="0"/>
      <w:marRight w:val="0"/>
      <w:marTop w:val="0"/>
      <w:marBottom w:val="0"/>
      <w:divBdr>
        <w:top w:val="none" w:sz="0" w:space="0" w:color="auto"/>
        <w:left w:val="none" w:sz="0" w:space="0" w:color="auto"/>
        <w:bottom w:val="none" w:sz="0" w:space="0" w:color="auto"/>
        <w:right w:val="none" w:sz="0" w:space="0" w:color="auto"/>
      </w:divBdr>
    </w:div>
    <w:div w:id="868103619">
      <w:bodyDiv w:val="1"/>
      <w:marLeft w:val="0"/>
      <w:marRight w:val="0"/>
      <w:marTop w:val="0"/>
      <w:marBottom w:val="0"/>
      <w:divBdr>
        <w:top w:val="none" w:sz="0" w:space="0" w:color="auto"/>
        <w:left w:val="none" w:sz="0" w:space="0" w:color="auto"/>
        <w:bottom w:val="none" w:sz="0" w:space="0" w:color="auto"/>
        <w:right w:val="none" w:sz="0" w:space="0" w:color="auto"/>
      </w:divBdr>
    </w:div>
    <w:div w:id="874385238">
      <w:bodyDiv w:val="1"/>
      <w:marLeft w:val="0"/>
      <w:marRight w:val="0"/>
      <w:marTop w:val="0"/>
      <w:marBottom w:val="0"/>
      <w:divBdr>
        <w:top w:val="none" w:sz="0" w:space="0" w:color="auto"/>
        <w:left w:val="none" w:sz="0" w:space="0" w:color="auto"/>
        <w:bottom w:val="none" w:sz="0" w:space="0" w:color="auto"/>
        <w:right w:val="none" w:sz="0" w:space="0" w:color="auto"/>
      </w:divBdr>
    </w:div>
    <w:div w:id="878131765">
      <w:bodyDiv w:val="1"/>
      <w:marLeft w:val="0"/>
      <w:marRight w:val="0"/>
      <w:marTop w:val="0"/>
      <w:marBottom w:val="0"/>
      <w:divBdr>
        <w:top w:val="none" w:sz="0" w:space="0" w:color="auto"/>
        <w:left w:val="none" w:sz="0" w:space="0" w:color="auto"/>
        <w:bottom w:val="none" w:sz="0" w:space="0" w:color="auto"/>
        <w:right w:val="none" w:sz="0" w:space="0" w:color="auto"/>
      </w:divBdr>
    </w:div>
    <w:div w:id="880482552">
      <w:bodyDiv w:val="1"/>
      <w:marLeft w:val="0"/>
      <w:marRight w:val="0"/>
      <w:marTop w:val="0"/>
      <w:marBottom w:val="0"/>
      <w:divBdr>
        <w:top w:val="none" w:sz="0" w:space="0" w:color="auto"/>
        <w:left w:val="none" w:sz="0" w:space="0" w:color="auto"/>
        <w:bottom w:val="none" w:sz="0" w:space="0" w:color="auto"/>
        <w:right w:val="none" w:sz="0" w:space="0" w:color="auto"/>
      </w:divBdr>
    </w:div>
    <w:div w:id="885292793">
      <w:bodyDiv w:val="1"/>
      <w:marLeft w:val="0"/>
      <w:marRight w:val="0"/>
      <w:marTop w:val="0"/>
      <w:marBottom w:val="0"/>
      <w:divBdr>
        <w:top w:val="none" w:sz="0" w:space="0" w:color="auto"/>
        <w:left w:val="none" w:sz="0" w:space="0" w:color="auto"/>
        <w:bottom w:val="none" w:sz="0" w:space="0" w:color="auto"/>
        <w:right w:val="none" w:sz="0" w:space="0" w:color="auto"/>
      </w:divBdr>
    </w:div>
    <w:div w:id="900486687">
      <w:bodyDiv w:val="1"/>
      <w:marLeft w:val="0"/>
      <w:marRight w:val="0"/>
      <w:marTop w:val="0"/>
      <w:marBottom w:val="0"/>
      <w:divBdr>
        <w:top w:val="none" w:sz="0" w:space="0" w:color="auto"/>
        <w:left w:val="none" w:sz="0" w:space="0" w:color="auto"/>
        <w:bottom w:val="none" w:sz="0" w:space="0" w:color="auto"/>
        <w:right w:val="none" w:sz="0" w:space="0" w:color="auto"/>
      </w:divBdr>
    </w:div>
    <w:div w:id="932396997">
      <w:bodyDiv w:val="1"/>
      <w:marLeft w:val="0"/>
      <w:marRight w:val="0"/>
      <w:marTop w:val="0"/>
      <w:marBottom w:val="0"/>
      <w:divBdr>
        <w:top w:val="none" w:sz="0" w:space="0" w:color="auto"/>
        <w:left w:val="none" w:sz="0" w:space="0" w:color="auto"/>
        <w:bottom w:val="none" w:sz="0" w:space="0" w:color="auto"/>
        <w:right w:val="none" w:sz="0" w:space="0" w:color="auto"/>
      </w:divBdr>
    </w:div>
    <w:div w:id="939072476">
      <w:bodyDiv w:val="1"/>
      <w:marLeft w:val="0"/>
      <w:marRight w:val="0"/>
      <w:marTop w:val="0"/>
      <w:marBottom w:val="0"/>
      <w:divBdr>
        <w:top w:val="none" w:sz="0" w:space="0" w:color="auto"/>
        <w:left w:val="none" w:sz="0" w:space="0" w:color="auto"/>
        <w:bottom w:val="none" w:sz="0" w:space="0" w:color="auto"/>
        <w:right w:val="none" w:sz="0" w:space="0" w:color="auto"/>
      </w:divBdr>
    </w:div>
    <w:div w:id="961620341">
      <w:bodyDiv w:val="1"/>
      <w:marLeft w:val="0"/>
      <w:marRight w:val="0"/>
      <w:marTop w:val="0"/>
      <w:marBottom w:val="0"/>
      <w:divBdr>
        <w:top w:val="none" w:sz="0" w:space="0" w:color="auto"/>
        <w:left w:val="none" w:sz="0" w:space="0" w:color="auto"/>
        <w:bottom w:val="none" w:sz="0" w:space="0" w:color="auto"/>
        <w:right w:val="none" w:sz="0" w:space="0" w:color="auto"/>
      </w:divBdr>
    </w:div>
    <w:div w:id="1002701468">
      <w:bodyDiv w:val="1"/>
      <w:marLeft w:val="0"/>
      <w:marRight w:val="0"/>
      <w:marTop w:val="0"/>
      <w:marBottom w:val="0"/>
      <w:divBdr>
        <w:top w:val="none" w:sz="0" w:space="0" w:color="auto"/>
        <w:left w:val="none" w:sz="0" w:space="0" w:color="auto"/>
        <w:bottom w:val="none" w:sz="0" w:space="0" w:color="auto"/>
        <w:right w:val="none" w:sz="0" w:space="0" w:color="auto"/>
      </w:divBdr>
    </w:div>
    <w:div w:id="1009256202">
      <w:bodyDiv w:val="1"/>
      <w:marLeft w:val="0"/>
      <w:marRight w:val="0"/>
      <w:marTop w:val="0"/>
      <w:marBottom w:val="0"/>
      <w:divBdr>
        <w:top w:val="none" w:sz="0" w:space="0" w:color="auto"/>
        <w:left w:val="none" w:sz="0" w:space="0" w:color="auto"/>
        <w:bottom w:val="none" w:sz="0" w:space="0" w:color="auto"/>
        <w:right w:val="none" w:sz="0" w:space="0" w:color="auto"/>
      </w:divBdr>
    </w:div>
    <w:div w:id="1020160554">
      <w:bodyDiv w:val="1"/>
      <w:marLeft w:val="0"/>
      <w:marRight w:val="0"/>
      <w:marTop w:val="0"/>
      <w:marBottom w:val="0"/>
      <w:divBdr>
        <w:top w:val="none" w:sz="0" w:space="0" w:color="auto"/>
        <w:left w:val="none" w:sz="0" w:space="0" w:color="auto"/>
        <w:bottom w:val="none" w:sz="0" w:space="0" w:color="auto"/>
        <w:right w:val="none" w:sz="0" w:space="0" w:color="auto"/>
      </w:divBdr>
    </w:div>
    <w:div w:id="1029338716">
      <w:bodyDiv w:val="1"/>
      <w:marLeft w:val="0"/>
      <w:marRight w:val="0"/>
      <w:marTop w:val="0"/>
      <w:marBottom w:val="0"/>
      <w:divBdr>
        <w:top w:val="none" w:sz="0" w:space="0" w:color="auto"/>
        <w:left w:val="none" w:sz="0" w:space="0" w:color="auto"/>
        <w:bottom w:val="none" w:sz="0" w:space="0" w:color="auto"/>
        <w:right w:val="none" w:sz="0" w:space="0" w:color="auto"/>
      </w:divBdr>
    </w:div>
    <w:div w:id="1031225651">
      <w:bodyDiv w:val="1"/>
      <w:marLeft w:val="0"/>
      <w:marRight w:val="0"/>
      <w:marTop w:val="0"/>
      <w:marBottom w:val="0"/>
      <w:divBdr>
        <w:top w:val="none" w:sz="0" w:space="0" w:color="auto"/>
        <w:left w:val="none" w:sz="0" w:space="0" w:color="auto"/>
        <w:bottom w:val="none" w:sz="0" w:space="0" w:color="auto"/>
        <w:right w:val="none" w:sz="0" w:space="0" w:color="auto"/>
      </w:divBdr>
    </w:div>
    <w:div w:id="1032653327">
      <w:bodyDiv w:val="1"/>
      <w:marLeft w:val="0"/>
      <w:marRight w:val="0"/>
      <w:marTop w:val="0"/>
      <w:marBottom w:val="0"/>
      <w:divBdr>
        <w:top w:val="none" w:sz="0" w:space="0" w:color="auto"/>
        <w:left w:val="none" w:sz="0" w:space="0" w:color="auto"/>
        <w:bottom w:val="none" w:sz="0" w:space="0" w:color="auto"/>
        <w:right w:val="none" w:sz="0" w:space="0" w:color="auto"/>
      </w:divBdr>
    </w:div>
    <w:div w:id="1072003114">
      <w:bodyDiv w:val="1"/>
      <w:marLeft w:val="0"/>
      <w:marRight w:val="0"/>
      <w:marTop w:val="0"/>
      <w:marBottom w:val="0"/>
      <w:divBdr>
        <w:top w:val="none" w:sz="0" w:space="0" w:color="auto"/>
        <w:left w:val="none" w:sz="0" w:space="0" w:color="auto"/>
        <w:bottom w:val="none" w:sz="0" w:space="0" w:color="auto"/>
        <w:right w:val="none" w:sz="0" w:space="0" w:color="auto"/>
      </w:divBdr>
    </w:div>
    <w:div w:id="1076055241">
      <w:bodyDiv w:val="1"/>
      <w:marLeft w:val="0"/>
      <w:marRight w:val="0"/>
      <w:marTop w:val="0"/>
      <w:marBottom w:val="0"/>
      <w:divBdr>
        <w:top w:val="none" w:sz="0" w:space="0" w:color="auto"/>
        <w:left w:val="none" w:sz="0" w:space="0" w:color="auto"/>
        <w:bottom w:val="none" w:sz="0" w:space="0" w:color="auto"/>
        <w:right w:val="none" w:sz="0" w:space="0" w:color="auto"/>
      </w:divBdr>
    </w:div>
    <w:div w:id="1076131018">
      <w:bodyDiv w:val="1"/>
      <w:marLeft w:val="0"/>
      <w:marRight w:val="0"/>
      <w:marTop w:val="0"/>
      <w:marBottom w:val="0"/>
      <w:divBdr>
        <w:top w:val="none" w:sz="0" w:space="0" w:color="auto"/>
        <w:left w:val="none" w:sz="0" w:space="0" w:color="auto"/>
        <w:bottom w:val="none" w:sz="0" w:space="0" w:color="auto"/>
        <w:right w:val="none" w:sz="0" w:space="0" w:color="auto"/>
      </w:divBdr>
    </w:div>
    <w:div w:id="1087733749">
      <w:bodyDiv w:val="1"/>
      <w:marLeft w:val="0"/>
      <w:marRight w:val="0"/>
      <w:marTop w:val="0"/>
      <w:marBottom w:val="0"/>
      <w:divBdr>
        <w:top w:val="none" w:sz="0" w:space="0" w:color="auto"/>
        <w:left w:val="none" w:sz="0" w:space="0" w:color="auto"/>
        <w:bottom w:val="none" w:sz="0" w:space="0" w:color="auto"/>
        <w:right w:val="none" w:sz="0" w:space="0" w:color="auto"/>
      </w:divBdr>
    </w:div>
    <w:div w:id="1094740375">
      <w:bodyDiv w:val="1"/>
      <w:marLeft w:val="0"/>
      <w:marRight w:val="0"/>
      <w:marTop w:val="0"/>
      <w:marBottom w:val="0"/>
      <w:divBdr>
        <w:top w:val="none" w:sz="0" w:space="0" w:color="auto"/>
        <w:left w:val="none" w:sz="0" w:space="0" w:color="auto"/>
        <w:bottom w:val="none" w:sz="0" w:space="0" w:color="auto"/>
        <w:right w:val="none" w:sz="0" w:space="0" w:color="auto"/>
      </w:divBdr>
      <w:divsChild>
        <w:div w:id="890076274">
          <w:marLeft w:val="446"/>
          <w:marRight w:val="0"/>
          <w:marTop w:val="0"/>
          <w:marBottom w:val="0"/>
          <w:divBdr>
            <w:top w:val="none" w:sz="0" w:space="0" w:color="auto"/>
            <w:left w:val="none" w:sz="0" w:space="0" w:color="auto"/>
            <w:bottom w:val="none" w:sz="0" w:space="0" w:color="auto"/>
            <w:right w:val="none" w:sz="0" w:space="0" w:color="auto"/>
          </w:divBdr>
        </w:div>
      </w:divsChild>
    </w:div>
    <w:div w:id="1110277891">
      <w:bodyDiv w:val="1"/>
      <w:marLeft w:val="0"/>
      <w:marRight w:val="0"/>
      <w:marTop w:val="0"/>
      <w:marBottom w:val="0"/>
      <w:divBdr>
        <w:top w:val="none" w:sz="0" w:space="0" w:color="auto"/>
        <w:left w:val="none" w:sz="0" w:space="0" w:color="auto"/>
        <w:bottom w:val="none" w:sz="0" w:space="0" w:color="auto"/>
        <w:right w:val="none" w:sz="0" w:space="0" w:color="auto"/>
      </w:divBdr>
    </w:div>
    <w:div w:id="1126124166">
      <w:bodyDiv w:val="1"/>
      <w:marLeft w:val="0"/>
      <w:marRight w:val="0"/>
      <w:marTop w:val="0"/>
      <w:marBottom w:val="0"/>
      <w:divBdr>
        <w:top w:val="none" w:sz="0" w:space="0" w:color="auto"/>
        <w:left w:val="none" w:sz="0" w:space="0" w:color="auto"/>
        <w:bottom w:val="none" w:sz="0" w:space="0" w:color="auto"/>
        <w:right w:val="none" w:sz="0" w:space="0" w:color="auto"/>
      </w:divBdr>
    </w:div>
    <w:div w:id="1143699625">
      <w:bodyDiv w:val="1"/>
      <w:marLeft w:val="0"/>
      <w:marRight w:val="0"/>
      <w:marTop w:val="0"/>
      <w:marBottom w:val="0"/>
      <w:divBdr>
        <w:top w:val="none" w:sz="0" w:space="0" w:color="auto"/>
        <w:left w:val="none" w:sz="0" w:space="0" w:color="auto"/>
        <w:bottom w:val="none" w:sz="0" w:space="0" w:color="auto"/>
        <w:right w:val="none" w:sz="0" w:space="0" w:color="auto"/>
      </w:divBdr>
    </w:div>
    <w:div w:id="1162550648">
      <w:bodyDiv w:val="1"/>
      <w:marLeft w:val="0"/>
      <w:marRight w:val="0"/>
      <w:marTop w:val="0"/>
      <w:marBottom w:val="0"/>
      <w:divBdr>
        <w:top w:val="none" w:sz="0" w:space="0" w:color="auto"/>
        <w:left w:val="none" w:sz="0" w:space="0" w:color="auto"/>
        <w:bottom w:val="none" w:sz="0" w:space="0" w:color="auto"/>
        <w:right w:val="none" w:sz="0" w:space="0" w:color="auto"/>
      </w:divBdr>
    </w:div>
    <w:div w:id="1170757009">
      <w:bodyDiv w:val="1"/>
      <w:marLeft w:val="0"/>
      <w:marRight w:val="0"/>
      <w:marTop w:val="0"/>
      <w:marBottom w:val="0"/>
      <w:divBdr>
        <w:top w:val="none" w:sz="0" w:space="0" w:color="auto"/>
        <w:left w:val="none" w:sz="0" w:space="0" w:color="auto"/>
        <w:bottom w:val="none" w:sz="0" w:space="0" w:color="auto"/>
        <w:right w:val="none" w:sz="0" w:space="0" w:color="auto"/>
      </w:divBdr>
    </w:div>
    <w:div w:id="1172792957">
      <w:bodyDiv w:val="1"/>
      <w:marLeft w:val="0"/>
      <w:marRight w:val="0"/>
      <w:marTop w:val="0"/>
      <w:marBottom w:val="0"/>
      <w:divBdr>
        <w:top w:val="none" w:sz="0" w:space="0" w:color="auto"/>
        <w:left w:val="none" w:sz="0" w:space="0" w:color="auto"/>
        <w:bottom w:val="none" w:sz="0" w:space="0" w:color="auto"/>
        <w:right w:val="none" w:sz="0" w:space="0" w:color="auto"/>
      </w:divBdr>
    </w:div>
    <w:div w:id="1181165302">
      <w:bodyDiv w:val="1"/>
      <w:marLeft w:val="0"/>
      <w:marRight w:val="0"/>
      <w:marTop w:val="0"/>
      <w:marBottom w:val="0"/>
      <w:divBdr>
        <w:top w:val="none" w:sz="0" w:space="0" w:color="auto"/>
        <w:left w:val="none" w:sz="0" w:space="0" w:color="auto"/>
        <w:bottom w:val="none" w:sz="0" w:space="0" w:color="auto"/>
        <w:right w:val="none" w:sz="0" w:space="0" w:color="auto"/>
      </w:divBdr>
    </w:div>
    <w:div w:id="1204951459">
      <w:bodyDiv w:val="1"/>
      <w:marLeft w:val="0"/>
      <w:marRight w:val="0"/>
      <w:marTop w:val="0"/>
      <w:marBottom w:val="0"/>
      <w:divBdr>
        <w:top w:val="none" w:sz="0" w:space="0" w:color="auto"/>
        <w:left w:val="none" w:sz="0" w:space="0" w:color="auto"/>
        <w:bottom w:val="none" w:sz="0" w:space="0" w:color="auto"/>
        <w:right w:val="none" w:sz="0" w:space="0" w:color="auto"/>
      </w:divBdr>
    </w:div>
    <w:div w:id="1225529033">
      <w:bodyDiv w:val="1"/>
      <w:marLeft w:val="0"/>
      <w:marRight w:val="0"/>
      <w:marTop w:val="0"/>
      <w:marBottom w:val="0"/>
      <w:divBdr>
        <w:top w:val="none" w:sz="0" w:space="0" w:color="auto"/>
        <w:left w:val="none" w:sz="0" w:space="0" w:color="auto"/>
        <w:bottom w:val="none" w:sz="0" w:space="0" w:color="auto"/>
        <w:right w:val="none" w:sz="0" w:space="0" w:color="auto"/>
      </w:divBdr>
    </w:div>
    <w:div w:id="1230918737">
      <w:bodyDiv w:val="1"/>
      <w:marLeft w:val="0"/>
      <w:marRight w:val="0"/>
      <w:marTop w:val="0"/>
      <w:marBottom w:val="0"/>
      <w:divBdr>
        <w:top w:val="none" w:sz="0" w:space="0" w:color="auto"/>
        <w:left w:val="none" w:sz="0" w:space="0" w:color="auto"/>
        <w:bottom w:val="none" w:sz="0" w:space="0" w:color="auto"/>
        <w:right w:val="none" w:sz="0" w:space="0" w:color="auto"/>
      </w:divBdr>
    </w:div>
    <w:div w:id="1236940534">
      <w:bodyDiv w:val="1"/>
      <w:marLeft w:val="0"/>
      <w:marRight w:val="0"/>
      <w:marTop w:val="0"/>
      <w:marBottom w:val="0"/>
      <w:divBdr>
        <w:top w:val="none" w:sz="0" w:space="0" w:color="auto"/>
        <w:left w:val="none" w:sz="0" w:space="0" w:color="auto"/>
        <w:bottom w:val="none" w:sz="0" w:space="0" w:color="auto"/>
        <w:right w:val="none" w:sz="0" w:space="0" w:color="auto"/>
      </w:divBdr>
    </w:div>
    <w:div w:id="1264534448">
      <w:bodyDiv w:val="1"/>
      <w:marLeft w:val="0"/>
      <w:marRight w:val="0"/>
      <w:marTop w:val="0"/>
      <w:marBottom w:val="0"/>
      <w:divBdr>
        <w:top w:val="none" w:sz="0" w:space="0" w:color="auto"/>
        <w:left w:val="none" w:sz="0" w:space="0" w:color="auto"/>
        <w:bottom w:val="none" w:sz="0" w:space="0" w:color="auto"/>
        <w:right w:val="none" w:sz="0" w:space="0" w:color="auto"/>
      </w:divBdr>
    </w:div>
    <w:div w:id="1284310513">
      <w:bodyDiv w:val="1"/>
      <w:marLeft w:val="0"/>
      <w:marRight w:val="0"/>
      <w:marTop w:val="0"/>
      <w:marBottom w:val="0"/>
      <w:divBdr>
        <w:top w:val="none" w:sz="0" w:space="0" w:color="auto"/>
        <w:left w:val="none" w:sz="0" w:space="0" w:color="auto"/>
        <w:bottom w:val="none" w:sz="0" w:space="0" w:color="auto"/>
        <w:right w:val="none" w:sz="0" w:space="0" w:color="auto"/>
      </w:divBdr>
    </w:div>
    <w:div w:id="1302153045">
      <w:bodyDiv w:val="1"/>
      <w:marLeft w:val="0"/>
      <w:marRight w:val="0"/>
      <w:marTop w:val="0"/>
      <w:marBottom w:val="0"/>
      <w:divBdr>
        <w:top w:val="none" w:sz="0" w:space="0" w:color="auto"/>
        <w:left w:val="none" w:sz="0" w:space="0" w:color="auto"/>
        <w:bottom w:val="none" w:sz="0" w:space="0" w:color="auto"/>
        <w:right w:val="none" w:sz="0" w:space="0" w:color="auto"/>
      </w:divBdr>
    </w:div>
    <w:div w:id="1321156344">
      <w:bodyDiv w:val="1"/>
      <w:marLeft w:val="0"/>
      <w:marRight w:val="0"/>
      <w:marTop w:val="0"/>
      <w:marBottom w:val="0"/>
      <w:divBdr>
        <w:top w:val="none" w:sz="0" w:space="0" w:color="auto"/>
        <w:left w:val="none" w:sz="0" w:space="0" w:color="auto"/>
        <w:bottom w:val="none" w:sz="0" w:space="0" w:color="auto"/>
        <w:right w:val="none" w:sz="0" w:space="0" w:color="auto"/>
      </w:divBdr>
    </w:div>
    <w:div w:id="1332561304">
      <w:bodyDiv w:val="1"/>
      <w:marLeft w:val="0"/>
      <w:marRight w:val="0"/>
      <w:marTop w:val="0"/>
      <w:marBottom w:val="0"/>
      <w:divBdr>
        <w:top w:val="none" w:sz="0" w:space="0" w:color="auto"/>
        <w:left w:val="none" w:sz="0" w:space="0" w:color="auto"/>
        <w:bottom w:val="none" w:sz="0" w:space="0" w:color="auto"/>
        <w:right w:val="none" w:sz="0" w:space="0" w:color="auto"/>
      </w:divBdr>
    </w:div>
    <w:div w:id="1334408463">
      <w:bodyDiv w:val="1"/>
      <w:marLeft w:val="0"/>
      <w:marRight w:val="0"/>
      <w:marTop w:val="0"/>
      <w:marBottom w:val="0"/>
      <w:divBdr>
        <w:top w:val="none" w:sz="0" w:space="0" w:color="auto"/>
        <w:left w:val="none" w:sz="0" w:space="0" w:color="auto"/>
        <w:bottom w:val="none" w:sz="0" w:space="0" w:color="auto"/>
        <w:right w:val="none" w:sz="0" w:space="0" w:color="auto"/>
      </w:divBdr>
    </w:div>
    <w:div w:id="1363937202">
      <w:bodyDiv w:val="1"/>
      <w:marLeft w:val="0"/>
      <w:marRight w:val="0"/>
      <w:marTop w:val="0"/>
      <w:marBottom w:val="0"/>
      <w:divBdr>
        <w:top w:val="none" w:sz="0" w:space="0" w:color="auto"/>
        <w:left w:val="none" w:sz="0" w:space="0" w:color="auto"/>
        <w:bottom w:val="none" w:sz="0" w:space="0" w:color="auto"/>
        <w:right w:val="none" w:sz="0" w:space="0" w:color="auto"/>
      </w:divBdr>
    </w:div>
    <w:div w:id="1373769670">
      <w:bodyDiv w:val="1"/>
      <w:marLeft w:val="0"/>
      <w:marRight w:val="0"/>
      <w:marTop w:val="0"/>
      <w:marBottom w:val="0"/>
      <w:divBdr>
        <w:top w:val="none" w:sz="0" w:space="0" w:color="auto"/>
        <w:left w:val="none" w:sz="0" w:space="0" w:color="auto"/>
        <w:bottom w:val="none" w:sz="0" w:space="0" w:color="auto"/>
        <w:right w:val="none" w:sz="0" w:space="0" w:color="auto"/>
      </w:divBdr>
    </w:div>
    <w:div w:id="1391416762">
      <w:bodyDiv w:val="1"/>
      <w:marLeft w:val="0"/>
      <w:marRight w:val="0"/>
      <w:marTop w:val="0"/>
      <w:marBottom w:val="0"/>
      <w:divBdr>
        <w:top w:val="none" w:sz="0" w:space="0" w:color="auto"/>
        <w:left w:val="none" w:sz="0" w:space="0" w:color="auto"/>
        <w:bottom w:val="none" w:sz="0" w:space="0" w:color="auto"/>
        <w:right w:val="none" w:sz="0" w:space="0" w:color="auto"/>
      </w:divBdr>
    </w:div>
    <w:div w:id="1406151928">
      <w:bodyDiv w:val="1"/>
      <w:marLeft w:val="0"/>
      <w:marRight w:val="0"/>
      <w:marTop w:val="0"/>
      <w:marBottom w:val="0"/>
      <w:divBdr>
        <w:top w:val="none" w:sz="0" w:space="0" w:color="auto"/>
        <w:left w:val="none" w:sz="0" w:space="0" w:color="auto"/>
        <w:bottom w:val="none" w:sz="0" w:space="0" w:color="auto"/>
        <w:right w:val="none" w:sz="0" w:space="0" w:color="auto"/>
      </w:divBdr>
    </w:div>
    <w:div w:id="1416973984">
      <w:bodyDiv w:val="1"/>
      <w:marLeft w:val="0"/>
      <w:marRight w:val="0"/>
      <w:marTop w:val="0"/>
      <w:marBottom w:val="0"/>
      <w:divBdr>
        <w:top w:val="none" w:sz="0" w:space="0" w:color="auto"/>
        <w:left w:val="none" w:sz="0" w:space="0" w:color="auto"/>
        <w:bottom w:val="none" w:sz="0" w:space="0" w:color="auto"/>
        <w:right w:val="none" w:sz="0" w:space="0" w:color="auto"/>
      </w:divBdr>
    </w:div>
    <w:div w:id="1417364504">
      <w:bodyDiv w:val="1"/>
      <w:marLeft w:val="0"/>
      <w:marRight w:val="0"/>
      <w:marTop w:val="0"/>
      <w:marBottom w:val="0"/>
      <w:divBdr>
        <w:top w:val="none" w:sz="0" w:space="0" w:color="auto"/>
        <w:left w:val="none" w:sz="0" w:space="0" w:color="auto"/>
        <w:bottom w:val="none" w:sz="0" w:space="0" w:color="auto"/>
        <w:right w:val="none" w:sz="0" w:space="0" w:color="auto"/>
      </w:divBdr>
    </w:div>
    <w:div w:id="1421372913">
      <w:bodyDiv w:val="1"/>
      <w:marLeft w:val="0"/>
      <w:marRight w:val="0"/>
      <w:marTop w:val="0"/>
      <w:marBottom w:val="0"/>
      <w:divBdr>
        <w:top w:val="none" w:sz="0" w:space="0" w:color="auto"/>
        <w:left w:val="none" w:sz="0" w:space="0" w:color="auto"/>
        <w:bottom w:val="none" w:sz="0" w:space="0" w:color="auto"/>
        <w:right w:val="none" w:sz="0" w:space="0" w:color="auto"/>
      </w:divBdr>
    </w:div>
    <w:div w:id="1425490806">
      <w:bodyDiv w:val="1"/>
      <w:marLeft w:val="0"/>
      <w:marRight w:val="0"/>
      <w:marTop w:val="0"/>
      <w:marBottom w:val="0"/>
      <w:divBdr>
        <w:top w:val="none" w:sz="0" w:space="0" w:color="auto"/>
        <w:left w:val="none" w:sz="0" w:space="0" w:color="auto"/>
        <w:bottom w:val="none" w:sz="0" w:space="0" w:color="auto"/>
        <w:right w:val="none" w:sz="0" w:space="0" w:color="auto"/>
      </w:divBdr>
      <w:divsChild>
        <w:div w:id="1472359931">
          <w:marLeft w:val="0"/>
          <w:marRight w:val="0"/>
          <w:marTop w:val="0"/>
          <w:marBottom w:val="0"/>
          <w:divBdr>
            <w:top w:val="none" w:sz="0" w:space="0" w:color="auto"/>
            <w:left w:val="none" w:sz="0" w:space="0" w:color="auto"/>
            <w:bottom w:val="none" w:sz="0" w:space="0" w:color="auto"/>
            <w:right w:val="none" w:sz="0" w:space="0" w:color="auto"/>
          </w:divBdr>
          <w:divsChild>
            <w:div w:id="604532022">
              <w:marLeft w:val="0"/>
              <w:marRight w:val="0"/>
              <w:marTop w:val="0"/>
              <w:marBottom w:val="0"/>
              <w:divBdr>
                <w:top w:val="none" w:sz="0" w:space="0" w:color="auto"/>
                <w:left w:val="none" w:sz="0" w:space="0" w:color="auto"/>
                <w:bottom w:val="none" w:sz="0" w:space="0" w:color="auto"/>
                <w:right w:val="none" w:sz="0" w:space="0" w:color="auto"/>
              </w:divBdr>
              <w:divsChild>
                <w:div w:id="566263648">
                  <w:marLeft w:val="0"/>
                  <w:marRight w:val="0"/>
                  <w:marTop w:val="0"/>
                  <w:marBottom w:val="0"/>
                  <w:divBdr>
                    <w:top w:val="none" w:sz="0" w:space="0" w:color="auto"/>
                    <w:left w:val="none" w:sz="0" w:space="0" w:color="auto"/>
                    <w:bottom w:val="none" w:sz="0" w:space="0" w:color="auto"/>
                    <w:right w:val="none" w:sz="0" w:space="0" w:color="auto"/>
                  </w:divBdr>
                  <w:divsChild>
                    <w:div w:id="630134239">
                      <w:marLeft w:val="0"/>
                      <w:marRight w:val="0"/>
                      <w:marTop w:val="0"/>
                      <w:marBottom w:val="0"/>
                      <w:divBdr>
                        <w:top w:val="none" w:sz="0" w:space="0" w:color="auto"/>
                        <w:left w:val="none" w:sz="0" w:space="0" w:color="auto"/>
                        <w:bottom w:val="none" w:sz="0" w:space="0" w:color="auto"/>
                        <w:right w:val="none" w:sz="0" w:space="0" w:color="auto"/>
                      </w:divBdr>
                      <w:divsChild>
                        <w:div w:id="13263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3327">
      <w:bodyDiv w:val="1"/>
      <w:marLeft w:val="0"/>
      <w:marRight w:val="0"/>
      <w:marTop w:val="0"/>
      <w:marBottom w:val="0"/>
      <w:divBdr>
        <w:top w:val="none" w:sz="0" w:space="0" w:color="auto"/>
        <w:left w:val="none" w:sz="0" w:space="0" w:color="auto"/>
        <w:bottom w:val="none" w:sz="0" w:space="0" w:color="auto"/>
        <w:right w:val="none" w:sz="0" w:space="0" w:color="auto"/>
      </w:divBdr>
    </w:div>
    <w:div w:id="1443963935">
      <w:bodyDiv w:val="1"/>
      <w:marLeft w:val="0"/>
      <w:marRight w:val="0"/>
      <w:marTop w:val="0"/>
      <w:marBottom w:val="0"/>
      <w:divBdr>
        <w:top w:val="none" w:sz="0" w:space="0" w:color="auto"/>
        <w:left w:val="none" w:sz="0" w:space="0" w:color="auto"/>
        <w:bottom w:val="none" w:sz="0" w:space="0" w:color="auto"/>
        <w:right w:val="none" w:sz="0" w:space="0" w:color="auto"/>
      </w:divBdr>
    </w:div>
    <w:div w:id="1455828419">
      <w:bodyDiv w:val="1"/>
      <w:marLeft w:val="0"/>
      <w:marRight w:val="0"/>
      <w:marTop w:val="0"/>
      <w:marBottom w:val="0"/>
      <w:divBdr>
        <w:top w:val="none" w:sz="0" w:space="0" w:color="auto"/>
        <w:left w:val="none" w:sz="0" w:space="0" w:color="auto"/>
        <w:bottom w:val="none" w:sz="0" w:space="0" w:color="auto"/>
        <w:right w:val="none" w:sz="0" w:space="0" w:color="auto"/>
      </w:divBdr>
    </w:div>
    <w:div w:id="1465349613">
      <w:bodyDiv w:val="1"/>
      <w:marLeft w:val="0"/>
      <w:marRight w:val="0"/>
      <w:marTop w:val="0"/>
      <w:marBottom w:val="0"/>
      <w:divBdr>
        <w:top w:val="none" w:sz="0" w:space="0" w:color="auto"/>
        <w:left w:val="none" w:sz="0" w:space="0" w:color="auto"/>
        <w:bottom w:val="none" w:sz="0" w:space="0" w:color="auto"/>
        <w:right w:val="none" w:sz="0" w:space="0" w:color="auto"/>
      </w:divBdr>
    </w:div>
    <w:div w:id="1470317051">
      <w:bodyDiv w:val="1"/>
      <w:marLeft w:val="0"/>
      <w:marRight w:val="0"/>
      <w:marTop w:val="0"/>
      <w:marBottom w:val="0"/>
      <w:divBdr>
        <w:top w:val="none" w:sz="0" w:space="0" w:color="auto"/>
        <w:left w:val="none" w:sz="0" w:space="0" w:color="auto"/>
        <w:bottom w:val="none" w:sz="0" w:space="0" w:color="auto"/>
        <w:right w:val="none" w:sz="0" w:space="0" w:color="auto"/>
      </w:divBdr>
    </w:div>
    <w:div w:id="1477145293">
      <w:bodyDiv w:val="1"/>
      <w:marLeft w:val="0"/>
      <w:marRight w:val="0"/>
      <w:marTop w:val="0"/>
      <w:marBottom w:val="0"/>
      <w:divBdr>
        <w:top w:val="none" w:sz="0" w:space="0" w:color="auto"/>
        <w:left w:val="none" w:sz="0" w:space="0" w:color="auto"/>
        <w:bottom w:val="none" w:sz="0" w:space="0" w:color="auto"/>
        <w:right w:val="none" w:sz="0" w:space="0" w:color="auto"/>
      </w:divBdr>
    </w:div>
    <w:div w:id="1480726324">
      <w:bodyDiv w:val="1"/>
      <w:marLeft w:val="0"/>
      <w:marRight w:val="0"/>
      <w:marTop w:val="0"/>
      <w:marBottom w:val="0"/>
      <w:divBdr>
        <w:top w:val="none" w:sz="0" w:space="0" w:color="auto"/>
        <w:left w:val="none" w:sz="0" w:space="0" w:color="auto"/>
        <w:bottom w:val="none" w:sz="0" w:space="0" w:color="auto"/>
        <w:right w:val="none" w:sz="0" w:space="0" w:color="auto"/>
      </w:divBdr>
    </w:div>
    <w:div w:id="1480999231">
      <w:bodyDiv w:val="1"/>
      <w:marLeft w:val="0"/>
      <w:marRight w:val="0"/>
      <w:marTop w:val="0"/>
      <w:marBottom w:val="0"/>
      <w:divBdr>
        <w:top w:val="none" w:sz="0" w:space="0" w:color="auto"/>
        <w:left w:val="none" w:sz="0" w:space="0" w:color="auto"/>
        <w:bottom w:val="none" w:sz="0" w:space="0" w:color="auto"/>
        <w:right w:val="none" w:sz="0" w:space="0" w:color="auto"/>
      </w:divBdr>
    </w:div>
    <w:div w:id="1506356716">
      <w:bodyDiv w:val="1"/>
      <w:marLeft w:val="0"/>
      <w:marRight w:val="0"/>
      <w:marTop w:val="0"/>
      <w:marBottom w:val="0"/>
      <w:divBdr>
        <w:top w:val="none" w:sz="0" w:space="0" w:color="auto"/>
        <w:left w:val="none" w:sz="0" w:space="0" w:color="auto"/>
        <w:bottom w:val="none" w:sz="0" w:space="0" w:color="auto"/>
        <w:right w:val="none" w:sz="0" w:space="0" w:color="auto"/>
      </w:divBdr>
    </w:div>
    <w:div w:id="1509056509">
      <w:bodyDiv w:val="1"/>
      <w:marLeft w:val="0"/>
      <w:marRight w:val="0"/>
      <w:marTop w:val="0"/>
      <w:marBottom w:val="0"/>
      <w:divBdr>
        <w:top w:val="none" w:sz="0" w:space="0" w:color="auto"/>
        <w:left w:val="none" w:sz="0" w:space="0" w:color="auto"/>
        <w:bottom w:val="none" w:sz="0" w:space="0" w:color="auto"/>
        <w:right w:val="none" w:sz="0" w:space="0" w:color="auto"/>
      </w:divBdr>
    </w:div>
    <w:div w:id="1544100927">
      <w:bodyDiv w:val="1"/>
      <w:marLeft w:val="0"/>
      <w:marRight w:val="0"/>
      <w:marTop w:val="0"/>
      <w:marBottom w:val="0"/>
      <w:divBdr>
        <w:top w:val="none" w:sz="0" w:space="0" w:color="auto"/>
        <w:left w:val="none" w:sz="0" w:space="0" w:color="auto"/>
        <w:bottom w:val="none" w:sz="0" w:space="0" w:color="auto"/>
        <w:right w:val="none" w:sz="0" w:space="0" w:color="auto"/>
      </w:divBdr>
    </w:div>
    <w:div w:id="1555003383">
      <w:bodyDiv w:val="1"/>
      <w:marLeft w:val="0"/>
      <w:marRight w:val="0"/>
      <w:marTop w:val="0"/>
      <w:marBottom w:val="0"/>
      <w:divBdr>
        <w:top w:val="none" w:sz="0" w:space="0" w:color="auto"/>
        <w:left w:val="none" w:sz="0" w:space="0" w:color="auto"/>
        <w:bottom w:val="none" w:sz="0" w:space="0" w:color="auto"/>
        <w:right w:val="none" w:sz="0" w:space="0" w:color="auto"/>
      </w:divBdr>
    </w:div>
    <w:div w:id="1570115054">
      <w:bodyDiv w:val="1"/>
      <w:marLeft w:val="0"/>
      <w:marRight w:val="0"/>
      <w:marTop w:val="0"/>
      <w:marBottom w:val="0"/>
      <w:divBdr>
        <w:top w:val="none" w:sz="0" w:space="0" w:color="auto"/>
        <w:left w:val="none" w:sz="0" w:space="0" w:color="auto"/>
        <w:bottom w:val="none" w:sz="0" w:space="0" w:color="auto"/>
        <w:right w:val="none" w:sz="0" w:space="0" w:color="auto"/>
      </w:divBdr>
    </w:div>
    <w:div w:id="1574118518">
      <w:bodyDiv w:val="1"/>
      <w:marLeft w:val="0"/>
      <w:marRight w:val="0"/>
      <w:marTop w:val="0"/>
      <w:marBottom w:val="0"/>
      <w:divBdr>
        <w:top w:val="none" w:sz="0" w:space="0" w:color="auto"/>
        <w:left w:val="none" w:sz="0" w:space="0" w:color="auto"/>
        <w:bottom w:val="none" w:sz="0" w:space="0" w:color="auto"/>
        <w:right w:val="none" w:sz="0" w:space="0" w:color="auto"/>
      </w:divBdr>
    </w:div>
    <w:div w:id="1598636696">
      <w:bodyDiv w:val="1"/>
      <w:marLeft w:val="0"/>
      <w:marRight w:val="0"/>
      <w:marTop w:val="0"/>
      <w:marBottom w:val="0"/>
      <w:divBdr>
        <w:top w:val="none" w:sz="0" w:space="0" w:color="auto"/>
        <w:left w:val="none" w:sz="0" w:space="0" w:color="auto"/>
        <w:bottom w:val="none" w:sz="0" w:space="0" w:color="auto"/>
        <w:right w:val="none" w:sz="0" w:space="0" w:color="auto"/>
      </w:divBdr>
    </w:div>
    <w:div w:id="1639531775">
      <w:bodyDiv w:val="1"/>
      <w:marLeft w:val="0"/>
      <w:marRight w:val="0"/>
      <w:marTop w:val="0"/>
      <w:marBottom w:val="0"/>
      <w:divBdr>
        <w:top w:val="none" w:sz="0" w:space="0" w:color="auto"/>
        <w:left w:val="none" w:sz="0" w:space="0" w:color="auto"/>
        <w:bottom w:val="none" w:sz="0" w:space="0" w:color="auto"/>
        <w:right w:val="none" w:sz="0" w:space="0" w:color="auto"/>
      </w:divBdr>
    </w:div>
    <w:div w:id="1653943552">
      <w:bodyDiv w:val="1"/>
      <w:marLeft w:val="0"/>
      <w:marRight w:val="0"/>
      <w:marTop w:val="0"/>
      <w:marBottom w:val="0"/>
      <w:divBdr>
        <w:top w:val="none" w:sz="0" w:space="0" w:color="auto"/>
        <w:left w:val="none" w:sz="0" w:space="0" w:color="auto"/>
        <w:bottom w:val="none" w:sz="0" w:space="0" w:color="auto"/>
        <w:right w:val="none" w:sz="0" w:space="0" w:color="auto"/>
      </w:divBdr>
    </w:div>
    <w:div w:id="1658806079">
      <w:bodyDiv w:val="1"/>
      <w:marLeft w:val="0"/>
      <w:marRight w:val="0"/>
      <w:marTop w:val="0"/>
      <w:marBottom w:val="0"/>
      <w:divBdr>
        <w:top w:val="none" w:sz="0" w:space="0" w:color="auto"/>
        <w:left w:val="none" w:sz="0" w:space="0" w:color="auto"/>
        <w:bottom w:val="none" w:sz="0" w:space="0" w:color="auto"/>
        <w:right w:val="none" w:sz="0" w:space="0" w:color="auto"/>
      </w:divBdr>
    </w:div>
    <w:div w:id="1660307197">
      <w:bodyDiv w:val="1"/>
      <w:marLeft w:val="0"/>
      <w:marRight w:val="0"/>
      <w:marTop w:val="0"/>
      <w:marBottom w:val="0"/>
      <w:divBdr>
        <w:top w:val="none" w:sz="0" w:space="0" w:color="auto"/>
        <w:left w:val="none" w:sz="0" w:space="0" w:color="auto"/>
        <w:bottom w:val="none" w:sz="0" w:space="0" w:color="auto"/>
        <w:right w:val="none" w:sz="0" w:space="0" w:color="auto"/>
      </w:divBdr>
    </w:div>
    <w:div w:id="1666007092">
      <w:bodyDiv w:val="1"/>
      <w:marLeft w:val="0"/>
      <w:marRight w:val="0"/>
      <w:marTop w:val="0"/>
      <w:marBottom w:val="0"/>
      <w:divBdr>
        <w:top w:val="none" w:sz="0" w:space="0" w:color="auto"/>
        <w:left w:val="none" w:sz="0" w:space="0" w:color="auto"/>
        <w:bottom w:val="none" w:sz="0" w:space="0" w:color="auto"/>
        <w:right w:val="none" w:sz="0" w:space="0" w:color="auto"/>
      </w:divBdr>
    </w:div>
    <w:div w:id="1672639601">
      <w:bodyDiv w:val="1"/>
      <w:marLeft w:val="0"/>
      <w:marRight w:val="0"/>
      <w:marTop w:val="0"/>
      <w:marBottom w:val="0"/>
      <w:divBdr>
        <w:top w:val="none" w:sz="0" w:space="0" w:color="auto"/>
        <w:left w:val="none" w:sz="0" w:space="0" w:color="auto"/>
        <w:bottom w:val="none" w:sz="0" w:space="0" w:color="auto"/>
        <w:right w:val="none" w:sz="0" w:space="0" w:color="auto"/>
      </w:divBdr>
    </w:div>
    <w:div w:id="1676877725">
      <w:bodyDiv w:val="1"/>
      <w:marLeft w:val="0"/>
      <w:marRight w:val="0"/>
      <w:marTop w:val="0"/>
      <w:marBottom w:val="0"/>
      <w:divBdr>
        <w:top w:val="none" w:sz="0" w:space="0" w:color="auto"/>
        <w:left w:val="none" w:sz="0" w:space="0" w:color="auto"/>
        <w:bottom w:val="none" w:sz="0" w:space="0" w:color="auto"/>
        <w:right w:val="none" w:sz="0" w:space="0" w:color="auto"/>
      </w:divBdr>
    </w:div>
    <w:div w:id="1682780702">
      <w:bodyDiv w:val="1"/>
      <w:marLeft w:val="0"/>
      <w:marRight w:val="0"/>
      <w:marTop w:val="0"/>
      <w:marBottom w:val="0"/>
      <w:divBdr>
        <w:top w:val="none" w:sz="0" w:space="0" w:color="auto"/>
        <w:left w:val="none" w:sz="0" w:space="0" w:color="auto"/>
        <w:bottom w:val="none" w:sz="0" w:space="0" w:color="auto"/>
        <w:right w:val="none" w:sz="0" w:space="0" w:color="auto"/>
      </w:divBdr>
    </w:div>
    <w:div w:id="1686515779">
      <w:bodyDiv w:val="1"/>
      <w:marLeft w:val="0"/>
      <w:marRight w:val="0"/>
      <w:marTop w:val="0"/>
      <w:marBottom w:val="0"/>
      <w:divBdr>
        <w:top w:val="none" w:sz="0" w:space="0" w:color="auto"/>
        <w:left w:val="none" w:sz="0" w:space="0" w:color="auto"/>
        <w:bottom w:val="none" w:sz="0" w:space="0" w:color="auto"/>
        <w:right w:val="none" w:sz="0" w:space="0" w:color="auto"/>
      </w:divBdr>
    </w:div>
    <w:div w:id="1696271946">
      <w:bodyDiv w:val="1"/>
      <w:marLeft w:val="0"/>
      <w:marRight w:val="0"/>
      <w:marTop w:val="0"/>
      <w:marBottom w:val="0"/>
      <w:divBdr>
        <w:top w:val="none" w:sz="0" w:space="0" w:color="auto"/>
        <w:left w:val="none" w:sz="0" w:space="0" w:color="auto"/>
        <w:bottom w:val="none" w:sz="0" w:space="0" w:color="auto"/>
        <w:right w:val="none" w:sz="0" w:space="0" w:color="auto"/>
      </w:divBdr>
    </w:div>
    <w:div w:id="1701274399">
      <w:bodyDiv w:val="1"/>
      <w:marLeft w:val="0"/>
      <w:marRight w:val="0"/>
      <w:marTop w:val="0"/>
      <w:marBottom w:val="0"/>
      <w:divBdr>
        <w:top w:val="none" w:sz="0" w:space="0" w:color="auto"/>
        <w:left w:val="none" w:sz="0" w:space="0" w:color="auto"/>
        <w:bottom w:val="none" w:sz="0" w:space="0" w:color="auto"/>
        <w:right w:val="none" w:sz="0" w:space="0" w:color="auto"/>
      </w:divBdr>
    </w:div>
    <w:div w:id="1726098101">
      <w:bodyDiv w:val="1"/>
      <w:marLeft w:val="0"/>
      <w:marRight w:val="0"/>
      <w:marTop w:val="0"/>
      <w:marBottom w:val="0"/>
      <w:divBdr>
        <w:top w:val="none" w:sz="0" w:space="0" w:color="auto"/>
        <w:left w:val="none" w:sz="0" w:space="0" w:color="auto"/>
        <w:bottom w:val="none" w:sz="0" w:space="0" w:color="auto"/>
        <w:right w:val="none" w:sz="0" w:space="0" w:color="auto"/>
      </w:divBdr>
    </w:div>
    <w:div w:id="1730031274">
      <w:bodyDiv w:val="1"/>
      <w:marLeft w:val="0"/>
      <w:marRight w:val="0"/>
      <w:marTop w:val="0"/>
      <w:marBottom w:val="0"/>
      <w:divBdr>
        <w:top w:val="none" w:sz="0" w:space="0" w:color="auto"/>
        <w:left w:val="none" w:sz="0" w:space="0" w:color="auto"/>
        <w:bottom w:val="none" w:sz="0" w:space="0" w:color="auto"/>
        <w:right w:val="none" w:sz="0" w:space="0" w:color="auto"/>
      </w:divBdr>
    </w:div>
    <w:div w:id="1733112151">
      <w:bodyDiv w:val="1"/>
      <w:marLeft w:val="0"/>
      <w:marRight w:val="0"/>
      <w:marTop w:val="0"/>
      <w:marBottom w:val="0"/>
      <w:divBdr>
        <w:top w:val="none" w:sz="0" w:space="0" w:color="auto"/>
        <w:left w:val="none" w:sz="0" w:space="0" w:color="auto"/>
        <w:bottom w:val="none" w:sz="0" w:space="0" w:color="auto"/>
        <w:right w:val="none" w:sz="0" w:space="0" w:color="auto"/>
      </w:divBdr>
    </w:div>
    <w:div w:id="1738436401">
      <w:bodyDiv w:val="1"/>
      <w:marLeft w:val="0"/>
      <w:marRight w:val="0"/>
      <w:marTop w:val="0"/>
      <w:marBottom w:val="0"/>
      <w:divBdr>
        <w:top w:val="none" w:sz="0" w:space="0" w:color="auto"/>
        <w:left w:val="none" w:sz="0" w:space="0" w:color="auto"/>
        <w:bottom w:val="none" w:sz="0" w:space="0" w:color="auto"/>
        <w:right w:val="none" w:sz="0" w:space="0" w:color="auto"/>
      </w:divBdr>
    </w:div>
    <w:div w:id="1740209223">
      <w:bodyDiv w:val="1"/>
      <w:marLeft w:val="0"/>
      <w:marRight w:val="0"/>
      <w:marTop w:val="0"/>
      <w:marBottom w:val="0"/>
      <w:divBdr>
        <w:top w:val="none" w:sz="0" w:space="0" w:color="auto"/>
        <w:left w:val="none" w:sz="0" w:space="0" w:color="auto"/>
        <w:bottom w:val="none" w:sz="0" w:space="0" w:color="auto"/>
        <w:right w:val="none" w:sz="0" w:space="0" w:color="auto"/>
      </w:divBdr>
    </w:div>
    <w:div w:id="1792892975">
      <w:bodyDiv w:val="1"/>
      <w:marLeft w:val="0"/>
      <w:marRight w:val="0"/>
      <w:marTop w:val="0"/>
      <w:marBottom w:val="0"/>
      <w:divBdr>
        <w:top w:val="none" w:sz="0" w:space="0" w:color="auto"/>
        <w:left w:val="none" w:sz="0" w:space="0" w:color="auto"/>
        <w:bottom w:val="none" w:sz="0" w:space="0" w:color="auto"/>
        <w:right w:val="none" w:sz="0" w:space="0" w:color="auto"/>
      </w:divBdr>
    </w:div>
    <w:div w:id="1797599497">
      <w:bodyDiv w:val="1"/>
      <w:marLeft w:val="0"/>
      <w:marRight w:val="0"/>
      <w:marTop w:val="0"/>
      <w:marBottom w:val="0"/>
      <w:divBdr>
        <w:top w:val="none" w:sz="0" w:space="0" w:color="auto"/>
        <w:left w:val="none" w:sz="0" w:space="0" w:color="auto"/>
        <w:bottom w:val="none" w:sz="0" w:space="0" w:color="auto"/>
        <w:right w:val="none" w:sz="0" w:space="0" w:color="auto"/>
      </w:divBdr>
    </w:div>
    <w:div w:id="1802266774">
      <w:bodyDiv w:val="1"/>
      <w:marLeft w:val="0"/>
      <w:marRight w:val="0"/>
      <w:marTop w:val="0"/>
      <w:marBottom w:val="0"/>
      <w:divBdr>
        <w:top w:val="none" w:sz="0" w:space="0" w:color="auto"/>
        <w:left w:val="none" w:sz="0" w:space="0" w:color="auto"/>
        <w:bottom w:val="none" w:sz="0" w:space="0" w:color="auto"/>
        <w:right w:val="none" w:sz="0" w:space="0" w:color="auto"/>
      </w:divBdr>
    </w:div>
    <w:div w:id="1808432616">
      <w:bodyDiv w:val="1"/>
      <w:marLeft w:val="0"/>
      <w:marRight w:val="0"/>
      <w:marTop w:val="0"/>
      <w:marBottom w:val="0"/>
      <w:divBdr>
        <w:top w:val="none" w:sz="0" w:space="0" w:color="auto"/>
        <w:left w:val="none" w:sz="0" w:space="0" w:color="auto"/>
        <w:bottom w:val="none" w:sz="0" w:space="0" w:color="auto"/>
        <w:right w:val="none" w:sz="0" w:space="0" w:color="auto"/>
      </w:divBdr>
    </w:div>
    <w:div w:id="1842045350">
      <w:bodyDiv w:val="1"/>
      <w:marLeft w:val="0"/>
      <w:marRight w:val="0"/>
      <w:marTop w:val="0"/>
      <w:marBottom w:val="0"/>
      <w:divBdr>
        <w:top w:val="none" w:sz="0" w:space="0" w:color="auto"/>
        <w:left w:val="none" w:sz="0" w:space="0" w:color="auto"/>
        <w:bottom w:val="none" w:sz="0" w:space="0" w:color="auto"/>
        <w:right w:val="none" w:sz="0" w:space="0" w:color="auto"/>
      </w:divBdr>
    </w:div>
    <w:div w:id="1853106015">
      <w:bodyDiv w:val="1"/>
      <w:marLeft w:val="0"/>
      <w:marRight w:val="0"/>
      <w:marTop w:val="0"/>
      <w:marBottom w:val="0"/>
      <w:divBdr>
        <w:top w:val="none" w:sz="0" w:space="0" w:color="auto"/>
        <w:left w:val="none" w:sz="0" w:space="0" w:color="auto"/>
        <w:bottom w:val="none" w:sz="0" w:space="0" w:color="auto"/>
        <w:right w:val="none" w:sz="0" w:space="0" w:color="auto"/>
      </w:divBdr>
    </w:div>
    <w:div w:id="1863349841">
      <w:bodyDiv w:val="1"/>
      <w:marLeft w:val="0"/>
      <w:marRight w:val="0"/>
      <w:marTop w:val="0"/>
      <w:marBottom w:val="0"/>
      <w:divBdr>
        <w:top w:val="none" w:sz="0" w:space="0" w:color="auto"/>
        <w:left w:val="none" w:sz="0" w:space="0" w:color="auto"/>
        <w:bottom w:val="none" w:sz="0" w:space="0" w:color="auto"/>
        <w:right w:val="none" w:sz="0" w:space="0" w:color="auto"/>
      </w:divBdr>
    </w:div>
    <w:div w:id="1877505507">
      <w:bodyDiv w:val="1"/>
      <w:marLeft w:val="0"/>
      <w:marRight w:val="0"/>
      <w:marTop w:val="0"/>
      <w:marBottom w:val="0"/>
      <w:divBdr>
        <w:top w:val="none" w:sz="0" w:space="0" w:color="auto"/>
        <w:left w:val="none" w:sz="0" w:space="0" w:color="auto"/>
        <w:bottom w:val="none" w:sz="0" w:space="0" w:color="auto"/>
        <w:right w:val="none" w:sz="0" w:space="0" w:color="auto"/>
      </w:divBdr>
    </w:div>
    <w:div w:id="1880556703">
      <w:bodyDiv w:val="1"/>
      <w:marLeft w:val="0"/>
      <w:marRight w:val="0"/>
      <w:marTop w:val="0"/>
      <w:marBottom w:val="0"/>
      <w:divBdr>
        <w:top w:val="none" w:sz="0" w:space="0" w:color="auto"/>
        <w:left w:val="none" w:sz="0" w:space="0" w:color="auto"/>
        <w:bottom w:val="none" w:sz="0" w:space="0" w:color="auto"/>
        <w:right w:val="none" w:sz="0" w:space="0" w:color="auto"/>
      </w:divBdr>
    </w:div>
    <w:div w:id="1901362025">
      <w:bodyDiv w:val="1"/>
      <w:marLeft w:val="0"/>
      <w:marRight w:val="0"/>
      <w:marTop w:val="0"/>
      <w:marBottom w:val="0"/>
      <w:divBdr>
        <w:top w:val="none" w:sz="0" w:space="0" w:color="auto"/>
        <w:left w:val="none" w:sz="0" w:space="0" w:color="auto"/>
        <w:bottom w:val="none" w:sz="0" w:space="0" w:color="auto"/>
        <w:right w:val="none" w:sz="0" w:space="0" w:color="auto"/>
      </w:divBdr>
    </w:div>
    <w:div w:id="1921596395">
      <w:bodyDiv w:val="1"/>
      <w:marLeft w:val="0"/>
      <w:marRight w:val="0"/>
      <w:marTop w:val="0"/>
      <w:marBottom w:val="0"/>
      <w:divBdr>
        <w:top w:val="none" w:sz="0" w:space="0" w:color="auto"/>
        <w:left w:val="none" w:sz="0" w:space="0" w:color="auto"/>
        <w:bottom w:val="none" w:sz="0" w:space="0" w:color="auto"/>
        <w:right w:val="none" w:sz="0" w:space="0" w:color="auto"/>
      </w:divBdr>
    </w:div>
    <w:div w:id="1939409237">
      <w:bodyDiv w:val="1"/>
      <w:marLeft w:val="0"/>
      <w:marRight w:val="0"/>
      <w:marTop w:val="0"/>
      <w:marBottom w:val="0"/>
      <w:divBdr>
        <w:top w:val="none" w:sz="0" w:space="0" w:color="auto"/>
        <w:left w:val="none" w:sz="0" w:space="0" w:color="auto"/>
        <w:bottom w:val="none" w:sz="0" w:space="0" w:color="auto"/>
        <w:right w:val="none" w:sz="0" w:space="0" w:color="auto"/>
      </w:divBdr>
    </w:div>
    <w:div w:id="1977681954">
      <w:bodyDiv w:val="1"/>
      <w:marLeft w:val="0"/>
      <w:marRight w:val="0"/>
      <w:marTop w:val="0"/>
      <w:marBottom w:val="0"/>
      <w:divBdr>
        <w:top w:val="none" w:sz="0" w:space="0" w:color="auto"/>
        <w:left w:val="none" w:sz="0" w:space="0" w:color="auto"/>
        <w:bottom w:val="none" w:sz="0" w:space="0" w:color="auto"/>
        <w:right w:val="none" w:sz="0" w:space="0" w:color="auto"/>
      </w:divBdr>
    </w:div>
    <w:div w:id="1978875781">
      <w:bodyDiv w:val="1"/>
      <w:marLeft w:val="0"/>
      <w:marRight w:val="0"/>
      <w:marTop w:val="0"/>
      <w:marBottom w:val="0"/>
      <w:divBdr>
        <w:top w:val="none" w:sz="0" w:space="0" w:color="auto"/>
        <w:left w:val="none" w:sz="0" w:space="0" w:color="auto"/>
        <w:bottom w:val="none" w:sz="0" w:space="0" w:color="auto"/>
        <w:right w:val="none" w:sz="0" w:space="0" w:color="auto"/>
      </w:divBdr>
    </w:div>
    <w:div w:id="1988775788">
      <w:bodyDiv w:val="1"/>
      <w:marLeft w:val="0"/>
      <w:marRight w:val="0"/>
      <w:marTop w:val="0"/>
      <w:marBottom w:val="0"/>
      <w:divBdr>
        <w:top w:val="none" w:sz="0" w:space="0" w:color="auto"/>
        <w:left w:val="none" w:sz="0" w:space="0" w:color="auto"/>
        <w:bottom w:val="none" w:sz="0" w:space="0" w:color="auto"/>
        <w:right w:val="none" w:sz="0" w:space="0" w:color="auto"/>
      </w:divBdr>
    </w:div>
    <w:div w:id="2004968216">
      <w:bodyDiv w:val="1"/>
      <w:marLeft w:val="0"/>
      <w:marRight w:val="0"/>
      <w:marTop w:val="0"/>
      <w:marBottom w:val="0"/>
      <w:divBdr>
        <w:top w:val="none" w:sz="0" w:space="0" w:color="auto"/>
        <w:left w:val="none" w:sz="0" w:space="0" w:color="auto"/>
        <w:bottom w:val="none" w:sz="0" w:space="0" w:color="auto"/>
        <w:right w:val="none" w:sz="0" w:space="0" w:color="auto"/>
      </w:divBdr>
    </w:div>
    <w:div w:id="2005237710">
      <w:bodyDiv w:val="1"/>
      <w:marLeft w:val="0"/>
      <w:marRight w:val="0"/>
      <w:marTop w:val="0"/>
      <w:marBottom w:val="0"/>
      <w:divBdr>
        <w:top w:val="none" w:sz="0" w:space="0" w:color="auto"/>
        <w:left w:val="none" w:sz="0" w:space="0" w:color="auto"/>
        <w:bottom w:val="none" w:sz="0" w:space="0" w:color="auto"/>
        <w:right w:val="none" w:sz="0" w:space="0" w:color="auto"/>
      </w:divBdr>
    </w:div>
    <w:div w:id="2011253436">
      <w:bodyDiv w:val="1"/>
      <w:marLeft w:val="0"/>
      <w:marRight w:val="0"/>
      <w:marTop w:val="0"/>
      <w:marBottom w:val="0"/>
      <w:divBdr>
        <w:top w:val="none" w:sz="0" w:space="0" w:color="auto"/>
        <w:left w:val="none" w:sz="0" w:space="0" w:color="auto"/>
        <w:bottom w:val="none" w:sz="0" w:space="0" w:color="auto"/>
        <w:right w:val="none" w:sz="0" w:space="0" w:color="auto"/>
      </w:divBdr>
    </w:div>
    <w:div w:id="2022470374">
      <w:bodyDiv w:val="1"/>
      <w:marLeft w:val="0"/>
      <w:marRight w:val="0"/>
      <w:marTop w:val="0"/>
      <w:marBottom w:val="0"/>
      <w:divBdr>
        <w:top w:val="none" w:sz="0" w:space="0" w:color="auto"/>
        <w:left w:val="none" w:sz="0" w:space="0" w:color="auto"/>
        <w:bottom w:val="none" w:sz="0" w:space="0" w:color="auto"/>
        <w:right w:val="none" w:sz="0" w:space="0" w:color="auto"/>
      </w:divBdr>
    </w:div>
    <w:div w:id="2035381541">
      <w:bodyDiv w:val="1"/>
      <w:marLeft w:val="0"/>
      <w:marRight w:val="0"/>
      <w:marTop w:val="0"/>
      <w:marBottom w:val="0"/>
      <w:divBdr>
        <w:top w:val="none" w:sz="0" w:space="0" w:color="auto"/>
        <w:left w:val="none" w:sz="0" w:space="0" w:color="auto"/>
        <w:bottom w:val="none" w:sz="0" w:space="0" w:color="auto"/>
        <w:right w:val="none" w:sz="0" w:space="0" w:color="auto"/>
      </w:divBdr>
    </w:div>
    <w:div w:id="2043625307">
      <w:bodyDiv w:val="1"/>
      <w:marLeft w:val="0"/>
      <w:marRight w:val="0"/>
      <w:marTop w:val="0"/>
      <w:marBottom w:val="0"/>
      <w:divBdr>
        <w:top w:val="none" w:sz="0" w:space="0" w:color="auto"/>
        <w:left w:val="none" w:sz="0" w:space="0" w:color="auto"/>
        <w:bottom w:val="none" w:sz="0" w:space="0" w:color="auto"/>
        <w:right w:val="none" w:sz="0" w:space="0" w:color="auto"/>
      </w:divBdr>
    </w:div>
    <w:div w:id="2054887814">
      <w:bodyDiv w:val="1"/>
      <w:marLeft w:val="0"/>
      <w:marRight w:val="0"/>
      <w:marTop w:val="0"/>
      <w:marBottom w:val="0"/>
      <w:divBdr>
        <w:top w:val="none" w:sz="0" w:space="0" w:color="auto"/>
        <w:left w:val="none" w:sz="0" w:space="0" w:color="auto"/>
        <w:bottom w:val="none" w:sz="0" w:space="0" w:color="auto"/>
        <w:right w:val="none" w:sz="0" w:space="0" w:color="auto"/>
      </w:divBdr>
    </w:div>
    <w:div w:id="2055344419">
      <w:bodyDiv w:val="1"/>
      <w:marLeft w:val="0"/>
      <w:marRight w:val="0"/>
      <w:marTop w:val="0"/>
      <w:marBottom w:val="0"/>
      <w:divBdr>
        <w:top w:val="none" w:sz="0" w:space="0" w:color="auto"/>
        <w:left w:val="none" w:sz="0" w:space="0" w:color="auto"/>
        <w:bottom w:val="none" w:sz="0" w:space="0" w:color="auto"/>
        <w:right w:val="none" w:sz="0" w:space="0" w:color="auto"/>
      </w:divBdr>
    </w:div>
    <w:div w:id="2071421848">
      <w:bodyDiv w:val="1"/>
      <w:marLeft w:val="0"/>
      <w:marRight w:val="0"/>
      <w:marTop w:val="0"/>
      <w:marBottom w:val="0"/>
      <w:divBdr>
        <w:top w:val="none" w:sz="0" w:space="0" w:color="auto"/>
        <w:left w:val="none" w:sz="0" w:space="0" w:color="auto"/>
        <w:bottom w:val="none" w:sz="0" w:space="0" w:color="auto"/>
        <w:right w:val="none" w:sz="0" w:space="0" w:color="auto"/>
      </w:divBdr>
    </w:div>
    <w:div w:id="2071927452">
      <w:bodyDiv w:val="1"/>
      <w:marLeft w:val="0"/>
      <w:marRight w:val="0"/>
      <w:marTop w:val="0"/>
      <w:marBottom w:val="0"/>
      <w:divBdr>
        <w:top w:val="none" w:sz="0" w:space="0" w:color="auto"/>
        <w:left w:val="none" w:sz="0" w:space="0" w:color="auto"/>
        <w:bottom w:val="none" w:sz="0" w:space="0" w:color="auto"/>
        <w:right w:val="none" w:sz="0" w:space="0" w:color="auto"/>
      </w:divBdr>
    </w:div>
    <w:div w:id="2113547437">
      <w:bodyDiv w:val="1"/>
      <w:marLeft w:val="0"/>
      <w:marRight w:val="0"/>
      <w:marTop w:val="0"/>
      <w:marBottom w:val="0"/>
      <w:divBdr>
        <w:top w:val="none" w:sz="0" w:space="0" w:color="auto"/>
        <w:left w:val="none" w:sz="0" w:space="0" w:color="auto"/>
        <w:bottom w:val="none" w:sz="0" w:space="0" w:color="auto"/>
        <w:right w:val="none" w:sz="0" w:space="0" w:color="auto"/>
      </w:divBdr>
    </w:div>
    <w:div w:id="2129740544">
      <w:bodyDiv w:val="1"/>
      <w:marLeft w:val="0"/>
      <w:marRight w:val="0"/>
      <w:marTop w:val="0"/>
      <w:marBottom w:val="0"/>
      <w:divBdr>
        <w:top w:val="none" w:sz="0" w:space="0" w:color="auto"/>
        <w:left w:val="none" w:sz="0" w:space="0" w:color="auto"/>
        <w:bottom w:val="none" w:sz="0" w:space="0" w:color="auto"/>
        <w:right w:val="none" w:sz="0" w:space="0" w:color="auto"/>
      </w:divBdr>
    </w:div>
    <w:div w:id="2133472207">
      <w:bodyDiv w:val="1"/>
      <w:marLeft w:val="0"/>
      <w:marRight w:val="0"/>
      <w:marTop w:val="0"/>
      <w:marBottom w:val="0"/>
      <w:divBdr>
        <w:top w:val="none" w:sz="0" w:space="0" w:color="auto"/>
        <w:left w:val="none" w:sz="0" w:space="0" w:color="auto"/>
        <w:bottom w:val="none" w:sz="0" w:space="0" w:color="auto"/>
        <w:right w:val="none" w:sz="0" w:space="0" w:color="auto"/>
      </w:divBdr>
    </w:div>
    <w:div w:id="21425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image" Target="media/image18.emf"/><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4.png"/><Relationship Id="rId29" Type="http://schemas.openxmlformats.org/officeDocument/2006/relationships/image" Target="media/image13.jpeg"/><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image" Target="media/image1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ducation.vic.gov.au\share\HESG\Projects\PEU\TMIPU\Ad%20hoc%20Requests\2013%20requests\J1980%20-%20VET%20Participation%20rate%20by%20jurisdiction-2012\J1980%20-%20VET%20participation%20rate%20by%20jurisdiction%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ucation.vic.gov.au\share\HESG\Projects\PEU\TMIPU\Reporting\Training%20Market%20Quarterly%20Reports\J1932%20-%20Training%20Market%20Quarterly%20Report%20Q2%202013\Responsiveness\Responsiveness%20charts%20Q2%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09078240\Documents\Q2%202013%20report\Revised%20Q2%202013%20report_RPL%20and%20subsidy%20bands_D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8295958619207701E-2"/>
          <c:y val="0.16021613039110899"/>
          <c:w val="0.91165047351537198"/>
          <c:h val="0.74280353844658298"/>
        </c:manualLayout>
      </c:layout>
      <c:barChart>
        <c:barDir val="col"/>
        <c:grouping val="clustered"/>
        <c:varyColors val="0"/>
        <c:ser>
          <c:idx val="3"/>
          <c:order val="0"/>
          <c:spPr>
            <a:solidFill>
              <a:schemeClr val="accent3">
                <a:lumMod val="75000"/>
              </a:schemeClr>
            </a:solidFill>
          </c:spPr>
          <c:invertIfNegative val="0"/>
          <c:cat>
            <c:strRef>
              <c:f>Sheet1!$L$23:$L$31</c:f>
              <c:strCache>
                <c:ptCount val="9"/>
                <c:pt idx="0">
                  <c:v>Vic</c:v>
                </c:pt>
                <c:pt idx="1">
                  <c:v>NT</c:v>
                </c:pt>
                <c:pt idx="2">
                  <c:v>Tas</c:v>
                </c:pt>
                <c:pt idx="3">
                  <c:v>SA</c:v>
                </c:pt>
                <c:pt idx="4">
                  <c:v>Australia</c:v>
                </c:pt>
                <c:pt idx="5">
                  <c:v>NSW</c:v>
                </c:pt>
                <c:pt idx="6">
                  <c:v>ACT</c:v>
                </c:pt>
                <c:pt idx="7">
                  <c:v>WA</c:v>
                </c:pt>
                <c:pt idx="8">
                  <c:v>Qld</c:v>
                </c:pt>
              </c:strCache>
            </c:strRef>
          </c:cat>
          <c:val>
            <c:numRef>
              <c:f>Sheet1!$M$23:$M$31</c:f>
              <c:numCache>
                <c:formatCode>0.0%</c:formatCode>
                <c:ptCount val="9"/>
                <c:pt idx="0">
                  <c:v>0.16722931849012199</c:v>
                </c:pt>
                <c:pt idx="1">
                  <c:v>0.141413351460936</c:v>
                </c:pt>
                <c:pt idx="2">
                  <c:v>0.12781170368359901</c:v>
                </c:pt>
                <c:pt idx="3">
                  <c:v>0.127397989035933</c:v>
                </c:pt>
                <c:pt idx="4">
                  <c:v>0.12501892274342999</c:v>
                </c:pt>
                <c:pt idx="5">
                  <c:v>0.120278237142385</c:v>
                </c:pt>
                <c:pt idx="6">
                  <c:v>0.1115126484254</c:v>
                </c:pt>
                <c:pt idx="7">
                  <c:v>9.8855792087116395E-2</c:v>
                </c:pt>
                <c:pt idx="8">
                  <c:v>9.3485346931122495E-2</c:v>
                </c:pt>
              </c:numCache>
            </c:numRef>
          </c:val>
        </c:ser>
        <c:dLbls>
          <c:showLegendKey val="0"/>
          <c:showVal val="0"/>
          <c:showCatName val="0"/>
          <c:showSerName val="0"/>
          <c:showPercent val="0"/>
          <c:showBubbleSize val="0"/>
        </c:dLbls>
        <c:gapWidth val="66"/>
        <c:axId val="198917504"/>
        <c:axId val="198952064"/>
      </c:barChart>
      <c:catAx>
        <c:axId val="198917504"/>
        <c:scaling>
          <c:orientation val="minMax"/>
        </c:scaling>
        <c:delete val="0"/>
        <c:axPos val="b"/>
        <c:numFmt formatCode="General" sourceLinked="0"/>
        <c:majorTickMark val="out"/>
        <c:minorTickMark val="none"/>
        <c:tickLblPos val="nextTo"/>
        <c:crossAx val="198952064"/>
        <c:crosses val="autoZero"/>
        <c:auto val="1"/>
        <c:lblAlgn val="ctr"/>
        <c:lblOffset val="100"/>
        <c:noMultiLvlLbl val="0"/>
      </c:catAx>
      <c:valAx>
        <c:axId val="198952064"/>
        <c:scaling>
          <c:orientation val="minMax"/>
        </c:scaling>
        <c:delete val="0"/>
        <c:axPos val="l"/>
        <c:majorGridlines>
          <c:spPr>
            <a:ln>
              <a:noFill/>
            </a:ln>
          </c:spPr>
        </c:majorGridlines>
        <c:numFmt formatCode="0%" sourceLinked="0"/>
        <c:majorTickMark val="out"/>
        <c:minorTickMark val="none"/>
        <c:tickLblPos val="nextTo"/>
        <c:crossAx val="198917504"/>
        <c:crosses val="autoZero"/>
        <c:crossBetween val="between"/>
      </c:valAx>
      <c:spPr>
        <a:noFill/>
        <a:ln>
          <a:noFill/>
        </a:ln>
      </c:spPr>
    </c:plotArea>
    <c:plotVisOnly val="1"/>
    <c:dispBlanksAs val="gap"/>
    <c:showDLblsOverMax val="0"/>
  </c:chart>
  <c:spPr>
    <a:noFill/>
    <a:ln>
      <a:noFill/>
    </a:ln>
  </c:spPr>
  <c:txPr>
    <a:bodyPr/>
    <a:lstStyle/>
    <a:p>
      <a:pPr>
        <a:defRPr sz="1000"/>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AU" sz="1200"/>
              <a:t>Percentage of government subsidised enrolments in specialised or skill shorgage occupations</a:t>
            </a:r>
            <a:endParaRPr lang="en-AU" sz="1800" b="0" i="0" u="none" strike="noStrike" baseline="0">
              <a:effectLst/>
            </a:endParaRPr>
          </a:p>
        </c:rich>
      </c:tx>
      <c:layout/>
      <c:overlay val="0"/>
    </c:title>
    <c:autoTitleDeleted val="0"/>
    <c:plotArea>
      <c:layout>
        <c:manualLayout>
          <c:layoutTarget val="inner"/>
          <c:xMode val="edge"/>
          <c:yMode val="edge"/>
          <c:x val="3.05555555555556E-2"/>
          <c:y val="0.144545836948967"/>
          <c:w val="0.93888888888888899"/>
          <c:h val="0.73947450159969996"/>
        </c:manualLayout>
      </c:layout>
      <c:barChart>
        <c:barDir val="col"/>
        <c:grouping val="stack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'Responsiveness category'!$O$18:$W$18</c:f>
              <c:strCache>
                <c:ptCount val="9"/>
                <c:pt idx="0">
                  <c:v>2008</c:v>
                </c:pt>
                <c:pt idx="1">
                  <c:v>2009</c:v>
                </c:pt>
                <c:pt idx="2">
                  <c:v>2010</c:v>
                </c:pt>
                <c:pt idx="3">
                  <c:v>2011</c:v>
                </c:pt>
                <c:pt idx="4">
                  <c:v>2012</c:v>
                </c:pt>
                <c:pt idx="6">
                  <c:v>Q2 2011</c:v>
                </c:pt>
                <c:pt idx="7">
                  <c:v>Q2 2012</c:v>
                </c:pt>
                <c:pt idx="8">
                  <c:v>Q2 2013</c:v>
                </c:pt>
              </c:strCache>
            </c:strRef>
          </c:cat>
          <c:val>
            <c:numRef>
              <c:f>'Responsiveness category'!$O$19:$W$19</c:f>
              <c:numCache>
                <c:formatCode>0%</c:formatCode>
                <c:ptCount val="9"/>
                <c:pt idx="0">
                  <c:v>0.33027399989134198</c:v>
                </c:pt>
                <c:pt idx="1">
                  <c:v>0.35892533920779102</c:v>
                </c:pt>
                <c:pt idx="2">
                  <c:v>0.34514491032189099</c:v>
                </c:pt>
                <c:pt idx="3">
                  <c:v>0.30950751853382402</c:v>
                </c:pt>
                <c:pt idx="4">
                  <c:v>0.32211685893872199</c:v>
                </c:pt>
                <c:pt idx="6">
                  <c:v>0.353451425787494</c:v>
                </c:pt>
                <c:pt idx="7">
                  <c:v>0.31214924794326998</c:v>
                </c:pt>
                <c:pt idx="8">
                  <c:v>0.40375954642199202</c:v>
                </c:pt>
              </c:numCache>
            </c:numRef>
          </c:val>
        </c:ser>
        <c:dLbls>
          <c:showLegendKey val="0"/>
          <c:showVal val="1"/>
          <c:showCatName val="0"/>
          <c:showSerName val="0"/>
          <c:showPercent val="0"/>
          <c:showBubbleSize val="0"/>
        </c:dLbls>
        <c:gapWidth val="34"/>
        <c:overlap val="100"/>
        <c:axId val="200660480"/>
        <c:axId val="200663424"/>
      </c:barChart>
      <c:catAx>
        <c:axId val="200660480"/>
        <c:scaling>
          <c:orientation val="minMax"/>
        </c:scaling>
        <c:delete val="0"/>
        <c:axPos val="b"/>
        <c:numFmt formatCode="General" sourceLinked="0"/>
        <c:majorTickMark val="none"/>
        <c:minorTickMark val="none"/>
        <c:tickLblPos val="nextTo"/>
        <c:txPr>
          <a:bodyPr/>
          <a:lstStyle/>
          <a:p>
            <a:pPr>
              <a:defRPr sz="1000"/>
            </a:pPr>
            <a:endParaRPr lang="en-US"/>
          </a:p>
        </c:txPr>
        <c:crossAx val="200663424"/>
        <c:crosses val="autoZero"/>
        <c:auto val="1"/>
        <c:lblAlgn val="ctr"/>
        <c:lblOffset val="100"/>
        <c:noMultiLvlLbl val="0"/>
      </c:catAx>
      <c:valAx>
        <c:axId val="200663424"/>
        <c:scaling>
          <c:orientation val="minMax"/>
          <c:max val="0.4"/>
        </c:scaling>
        <c:delete val="1"/>
        <c:axPos val="l"/>
        <c:numFmt formatCode="0%" sourceLinked="1"/>
        <c:majorTickMark val="out"/>
        <c:minorTickMark val="none"/>
        <c:tickLblPos val="nextTo"/>
        <c:crossAx val="200660480"/>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AU" sz="1400"/>
              <a:t>RPL by training subsidy band - completed</a:t>
            </a:r>
            <a:r>
              <a:rPr lang="en-AU" sz="1400" baseline="0"/>
              <a:t> modules only</a:t>
            </a:r>
            <a:endParaRPr lang="en-AU" sz="1400"/>
          </a:p>
          <a:p>
            <a:pPr>
              <a:defRPr/>
            </a:pPr>
            <a:r>
              <a:rPr lang="en-AU" sz="1100" b="0"/>
              <a:t>Government</a:t>
            </a:r>
            <a:r>
              <a:rPr lang="en-AU" sz="1100" b="0" baseline="0"/>
              <a:t> subsidised Hours in </a:t>
            </a:r>
            <a:r>
              <a:rPr lang="en-AU" sz="1100" b="0"/>
              <a:t>accredited</a:t>
            </a:r>
            <a:r>
              <a:rPr lang="en-AU" sz="1100" b="0" baseline="0"/>
              <a:t> industry specific qualifications</a:t>
            </a:r>
            <a:endParaRPr lang="en-AU" sz="1100" b="0"/>
          </a:p>
        </c:rich>
      </c:tx>
      <c:overlay val="0"/>
    </c:title>
    <c:autoTitleDeleted val="0"/>
    <c:plotArea>
      <c:layout>
        <c:manualLayout>
          <c:layoutTarget val="inner"/>
          <c:xMode val="edge"/>
          <c:yMode val="edge"/>
          <c:x val="0.28955802156854699"/>
          <c:y val="0.29350934430542902"/>
          <c:w val="0.63172874763711495"/>
          <c:h val="0.59348564218626099"/>
        </c:manualLayout>
      </c:layout>
      <c:barChart>
        <c:barDir val="bar"/>
        <c:grouping val="stacked"/>
        <c:varyColors val="0"/>
        <c:ser>
          <c:idx val="0"/>
          <c:order val="0"/>
          <c:tx>
            <c:strRef>
              <c:f>'RPL and Band A vs rest table'!$C$19</c:f>
              <c:strCache>
                <c:ptCount val="1"/>
                <c:pt idx="0">
                  <c:v>Other module outcomes</c:v>
                </c:pt>
              </c:strCache>
            </c:strRef>
          </c:tx>
          <c:invertIfNegative val="0"/>
          <c:cat>
            <c:multiLvlStrRef>
              <c:f>'RPL and Band A vs rest table'!$A$20:$B$25</c:f>
              <c:multiLvlStrCache>
                <c:ptCount val="6"/>
                <c:lvl>
                  <c:pt idx="0">
                    <c:v>Band A and apprenticeships</c:v>
                  </c:pt>
                  <c:pt idx="1">
                    <c:v>Bands B to E</c:v>
                  </c:pt>
                  <c:pt idx="2">
                    <c:v>Band A and apprenticeships</c:v>
                  </c:pt>
                  <c:pt idx="3">
                    <c:v>Bands B to E</c:v>
                  </c:pt>
                  <c:pt idx="4">
                    <c:v>Band A and apprenticeships</c:v>
                  </c:pt>
                  <c:pt idx="5">
                    <c:v>Bands B to E</c:v>
                  </c:pt>
                </c:lvl>
                <c:lvl>
                  <c:pt idx="0">
                    <c:v>Q2 2011</c:v>
                  </c:pt>
                  <c:pt idx="2">
                    <c:v>Q2 2012</c:v>
                  </c:pt>
                  <c:pt idx="4">
                    <c:v>Q2 2013</c:v>
                  </c:pt>
                </c:lvl>
              </c:multiLvlStrCache>
            </c:multiLvlStrRef>
          </c:cat>
          <c:val>
            <c:numRef>
              <c:f>'RPL and Band A vs rest table'!$C$20:$C$25</c:f>
              <c:numCache>
                <c:formatCode>#,##0</c:formatCode>
                <c:ptCount val="6"/>
                <c:pt idx="0">
                  <c:v>4.8520369999999993</c:v>
                </c:pt>
                <c:pt idx="1">
                  <c:v>27.158332000000001</c:v>
                </c:pt>
                <c:pt idx="2">
                  <c:v>5.5297210000000003</c:v>
                </c:pt>
                <c:pt idx="3">
                  <c:v>40.903657000000003</c:v>
                </c:pt>
                <c:pt idx="4">
                  <c:v>5.3111469999999974</c:v>
                </c:pt>
                <c:pt idx="5">
                  <c:v>34.663338000000003</c:v>
                </c:pt>
              </c:numCache>
            </c:numRef>
          </c:val>
        </c:ser>
        <c:ser>
          <c:idx val="1"/>
          <c:order val="1"/>
          <c:tx>
            <c:strRef>
              <c:f>'RPL and Band A vs rest table'!$D$19</c:f>
              <c:strCache>
                <c:ptCount val="1"/>
                <c:pt idx="0">
                  <c:v>RPL or RCC</c:v>
                </c:pt>
              </c:strCache>
            </c:strRef>
          </c:tx>
          <c:invertIfNegative val="0"/>
          <c:dLbls>
            <c:dLbl>
              <c:idx val="0"/>
              <c:layout>
                <c:manualLayout>
                  <c:x val="3.6269430051813503E-2"/>
                  <c:y val="7.1177535041293698E-7"/>
                </c:manualLayout>
              </c:layout>
              <c:tx>
                <c:rich>
                  <a:bodyPr/>
                  <a:lstStyle/>
                  <a:p>
                    <a:r>
                      <a:rPr lang="en-US"/>
                      <a:t>9% RPL</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1813471502590698E-2"/>
                  <c:y val="2.3725845013764599E-7"/>
                </c:manualLayout>
              </c:layout>
              <c:tx>
                <c:rich>
                  <a:bodyPr/>
                  <a:lstStyle/>
                  <a:p>
                    <a:r>
                      <a:rPr lang="en-US"/>
                      <a:t>9%</a:t>
                    </a:r>
                    <a:r>
                      <a:rPr lang="en-US" baseline="0"/>
                      <a:t> RPL</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9050086355786E-2"/>
                  <c:y val="9.4903380055058205E-7"/>
                </c:manualLayout>
              </c:layout>
              <c:tx>
                <c:rich>
                  <a:bodyPr/>
                  <a:lstStyle/>
                  <a:p>
                    <a:r>
                      <a:rPr lang="en-US"/>
                      <a:t>13%</a:t>
                    </a:r>
                    <a:r>
                      <a:rPr lang="en-US" baseline="0"/>
                      <a:t> RPL</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9447186977275597E-2"/>
                  <c:y val="1.4235507008258699E-6"/>
                </c:manualLayout>
              </c:layout>
              <c:tx>
                <c:rich>
                  <a:bodyPr/>
                  <a:lstStyle/>
                  <a:p>
                    <a:r>
                      <a:rPr lang="en-US"/>
                      <a:t>14% RPL</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0449050086355802E-2"/>
                  <c:y val="9.4903380055058205E-7"/>
                </c:manualLayout>
              </c:layout>
              <c:tx>
                <c:rich>
                  <a:bodyPr/>
                  <a:lstStyle/>
                  <a:p>
                    <a:pPr>
                      <a:defRPr sz="1100" b="1">
                        <a:solidFill>
                          <a:srgbClr val="C00000"/>
                        </a:solidFill>
                      </a:defRPr>
                    </a:pPr>
                    <a:r>
                      <a:rPr lang="en-US">
                        <a:solidFill>
                          <a:srgbClr val="C00000"/>
                        </a:solidFill>
                      </a:rPr>
                      <a:t>40%</a:t>
                    </a:r>
                    <a:r>
                      <a:rPr lang="en-US" baseline="0">
                        <a:solidFill>
                          <a:srgbClr val="C00000"/>
                        </a:solidFill>
                      </a:rPr>
                      <a:t> RPL</a:t>
                    </a:r>
                    <a:endParaRPr lang="en-US">
                      <a:solidFill>
                        <a:srgbClr val="C00000"/>
                      </a:solidFill>
                    </a:endParaRPr>
                  </a:p>
                </c:rich>
              </c:tx>
              <c:spPr/>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97236614853195E-2"/>
                  <c:y val="2.3725845013764599E-7"/>
                </c:manualLayout>
              </c:layout>
              <c:tx>
                <c:rich>
                  <a:bodyPr/>
                  <a:lstStyle/>
                  <a:p>
                    <a:r>
                      <a:rPr lang="en-US"/>
                      <a:t>3% RPL</a:t>
                    </a:r>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'RPL and Band A vs rest table'!$A$20:$B$25</c:f>
              <c:multiLvlStrCache>
                <c:ptCount val="6"/>
                <c:lvl>
                  <c:pt idx="0">
                    <c:v>Band A and apprenticeships</c:v>
                  </c:pt>
                  <c:pt idx="1">
                    <c:v>Bands B to E</c:v>
                  </c:pt>
                  <c:pt idx="2">
                    <c:v>Band A and apprenticeships</c:v>
                  </c:pt>
                  <c:pt idx="3">
                    <c:v>Bands B to E</c:v>
                  </c:pt>
                  <c:pt idx="4">
                    <c:v>Band A and apprenticeships</c:v>
                  </c:pt>
                  <c:pt idx="5">
                    <c:v>Bands B to E</c:v>
                  </c:pt>
                </c:lvl>
                <c:lvl>
                  <c:pt idx="0">
                    <c:v>Q2 2011</c:v>
                  </c:pt>
                  <c:pt idx="2">
                    <c:v>Q2 2012</c:v>
                  </c:pt>
                  <c:pt idx="4">
                    <c:v>Q2 2013</c:v>
                  </c:pt>
                </c:lvl>
              </c:multiLvlStrCache>
            </c:multiLvlStrRef>
          </c:cat>
          <c:val>
            <c:numRef>
              <c:f>'RPL and Band A vs rest table'!$D$20:$D$25</c:f>
              <c:numCache>
                <c:formatCode>#,##0</c:formatCode>
                <c:ptCount val="6"/>
                <c:pt idx="0">
                  <c:v>0.49313899999999999</c:v>
                </c:pt>
                <c:pt idx="1">
                  <c:v>2.6972269999999932</c:v>
                </c:pt>
                <c:pt idx="2">
                  <c:v>0.83492599999999995</c:v>
                </c:pt>
                <c:pt idx="3">
                  <c:v>6.5206650000000117</c:v>
                </c:pt>
                <c:pt idx="4">
                  <c:v>3.585891999999999</c:v>
                </c:pt>
                <c:pt idx="5">
                  <c:v>0.96748599999999996</c:v>
                </c:pt>
              </c:numCache>
            </c:numRef>
          </c:val>
        </c:ser>
        <c:dLbls>
          <c:showLegendKey val="0"/>
          <c:showVal val="0"/>
          <c:showCatName val="0"/>
          <c:showSerName val="0"/>
          <c:showPercent val="0"/>
          <c:showBubbleSize val="0"/>
        </c:dLbls>
        <c:gapWidth val="75"/>
        <c:overlap val="100"/>
        <c:axId val="200772224"/>
        <c:axId val="200790400"/>
      </c:barChart>
      <c:catAx>
        <c:axId val="200772224"/>
        <c:scaling>
          <c:orientation val="maxMin"/>
        </c:scaling>
        <c:delete val="0"/>
        <c:axPos val="l"/>
        <c:numFmt formatCode="General" sourceLinked="0"/>
        <c:majorTickMark val="none"/>
        <c:minorTickMark val="none"/>
        <c:tickLblPos val="nextTo"/>
        <c:txPr>
          <a:bodyPr/>
          <a:lstStyle/>
          <a:p>
            <a:pPr>
              <a:defRPr sz="1000" b="1"/>
            </a:pPr>
            <a:endParaRPr lang="en-US"/>
          </a:p>
        </c:txPr>
        <c:crossAx val="200790400"/>
        <c:crosses val="autoZero"/>
        <c:auto val="1"/>
        <c:lblAlgn val="ctr"/>
        <c:lblOffset val="100"/>
        <c:noMultiLvlLbl val="0"/>
      </c:catAx>
      <c:valAx>
        <c:axId val="200790400"/>
        <c:scaling>
          <c:orientation val="minMax"/>
        </c:scaling>
        <c:delete val="0"/>
        <c:axPos val="t"/>
        <c:majorGridlines>
          <c:spPr>
            <a:ln>
              <a:prstDash val="sysDot"/>
            </a:ln>
          </c:spPr>
        </c:majorGridlines>
        <c:title>
          <c:tx>
            <c:rich>
              <a:bodyPr/>
              <a:lstStyle/>
              <a:p>
                <a:pPr>
                  <a:defRPr sz="1100" b="1"/>
                </a:pPr>
                <a:r>
                  <a:rPr lang="en-AU" sz="1050" b="1"/>
                  <a:t>Student contact hours (millions)</a:t>
                </a:r>
              </a:p>
            </c:rich>
          </c:tx>
          <c:overlay val="0"/>
        </c:title>
        <c:numFmt formatCode="#,##0" sourceLinked="1"/>
        <c:majorTickMark val="none"/>
        <c:minorTickMark val="none"/>
        <c:tickLblPos val="nextTo"/>
        <c:spPr>
          <a:ln w="9525">
            <a:noFill/>
          </a:ln>
        </c:spPr>
        <c:txPr>
          <a:bodyPr/>
          <a:lstStyle/>
          <a:p>
            <a:pPr>
              <a:defRPr sz="1000" b="1"/>
            </a:pPr>
            <a:endParaRPr lang="en-US"/>
          </a:p>
        </c:txPr>
        <c:crossAx val="200772224"/>
        <c:crosses val="autoZero"/>
        <c:crossBetween val="between"/>
      </c:valAx>
    </c:plotArea>
    <c:legend>
      <c:legendPos val="b"/>
      <c:overlay val="0"/>
      <c:txPr>
        <a:bodyPr/>
        <a:lstStyle/>
        <a:p>
          <a:pPr>
            <a:defRPr sz="1200" b="1"/>
          </a:pPr>
          <a:endParaRPr lang="en-US"/>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0.16794</cdr:x>
      <cdr:y>0.02564</cdr:y>
    </cdr:from>
    <cdr:to>
      <cdr:x>0.36031</cdr:x>
      <cdr:y>0.17949</cdr:y>
    </cdr:to>
    <cdr:sp macro="" textlink="">
      <cdr:nvSpPr>
        <cdr:cNvPr id="2" name="Rectangular Callout 1"/>
        <cdr:cNvSpPr/>
      </cdr:nvSpPr>
      <cdr:spPr>
        <a:xfrm xmlns:a="http://schemas.openxmlformats.org/drawingml/2006/main">
          <a:off x="967153" y="79130"/>
          <a:ext cx="1107831" cy="474786"/>
        </a:xfrm>
        <a:prstGeom xmlns:a="http://schemas.openxmlformats.org/drawingml/2006/main" prst="wedgeRectCallout">
          <a:avLst>
            <a:gd name="adj1" fmla="val -80836"/>
            <a:gd name="adj2" fmla="val 58854"/>
          </a:avLst>
        </a:prstGeom>
        <a:solidFill xmlns:a="http://schemas.openxmlformats.org/drawingml/2006/main">
          <a:schemeClr val="accent3">
            <a:lumMod val="40000"/>
            <a:lumOff val="6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en-US" sz="800">
              <a:solidFill>
                <a:schemeClr val="accent3">
                  <a:lumMod val="50000"/>
                </a:schemeClr>
              </a:solidFill>
            </a:rPr>
            <a:t>634</a:t>
          </a:r>
          <a:r>
            <a:rPr lang="en-US" sz="800" baseline="0">
              <a:solidFill>
                <a:schemeClr val="accent3">
                  <a:lumMod val="50000"/>
                </a:schemeClr>
              </a:solidFill>
            </a:rPr>
            <a:t>, 000 students in VET (AQF and non-AQF courses of study)</a:t>
          </a:r>
          <a:endParaRPr lang="en-US" sz="800">
            <a:solidFill>
              <a:schemeClr val="accent3">
                <a:lumMod val="50000"/>
              </a:schemeClr>
            </a:solidFill>
          </a:endParaRPr>
        </a:p>
      </cdr:txBody>
    </cdr:sp>
  </cdr:relSizeAnchor>
  <cdr:relSizeAnchor xmlns:cdr="http://schemas.openxmlformats.org/drawingml/2006/chartDrawing">
    <cdr:from>
      <cdr:x>0.5554</cdr:x>
      <cdr:y>0.13612</cdr:y>
    </cdr:from>
    <cdr:to>
      <cdr:x>0.74777</cdr:x>
      <cdr:y>0.28997</cdr:y>
    </cdr:to>
    <cdr:sp macro="" textlink="">
      <cdr:nvSpPr>
        <cdr:cNvPr id="4" name="Rectangular Callout 3"/>
        <cdr:cNvSpPr/>
      </cdr:nvSpPr>
      <cdr:spPr>
        <a:xfrm xmlns:a="http://schemas.openxmlformats.org/drawingml/2006/main">
          <a:off x="3198446" y="420077"/>
          <a:ext cx="1107831" cy="474786"/>
        </a:xfrm>
        <a:prstGeom xmlns:a="http://schemas.openxmlformats.org/drawingml/2006/main" prst="wedgeRectCallout">
          <a:avLst>
            <a:gd name="adj1" fmla="val -18931"/>
            <a:gd name="adj2" fmla="val 118113"/>
          </a:avLst>
        </a:prstGeom>
        <a:solidFill xmlns:a="http://schemas.openxmlformats.org/drawingml/2006/main">
          <a:schemeClr val="accent3">
            <a:lumMod val="40000"/>
            <a:lumOff val="6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p xmlns:a="http://schemas.openxmlformats.org/drawingml/2006/main">
          <a:r>
            <a:rPr lang="en-AU" sz="800">
              <a:solidFill>
                <a:schemeClr val="accent3">
                  <a:lumMod val="50000"/>
                </a:schemeClr>
              </a:solidFill>
            </a:rPr>
            <a:t>581, 000 </a:t>
          </a:r>
          <a:r>
            <a:rPr lang="en-AU" sz="800" baseline="0">
              <a:solidFill>
                <a:schemeClr val="accent3">
                  <a:lumMod val="50000"/>
                </a:schemeClr>
              </a:solidFill>
            </a:rPr>
            <a:t> students in VET (AQF and non-AQF courses of study)</a:t>
          </a:r>
          <a:endParaRPr lang="en-AU" sz="800">
            <a:solidFill>
              <a:schemeClr val="accent3">
                <a:lumMod val="50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f1e22bdf-3d18-4ee3-a232-8974cf02f396</TermId>
        </TermInfo>
      </Terms>
    </a319977fc8504e09982f090ae1d7c602>
    <TaxCatchAll xmlns="cb9114c1-daad-44dd-acad-30f4246641f2">
      <Value>96</Value>
      <Value>94</Value>
      <Value>107</Value>
      <Value>128</Value>
    </TaxCatchAll>
    <DEECD_Expired xmlns="http://schemas.microsoft.com/sharepoint/v3">false</DEECD_Expired>
    <DEECD_Keywords xmlns="http://schemas.microsoft.com/sharepoint/v3" xsi:nil="true"/>
    <DEECD_Description xmlns="http://schemas.microsoft.com/sharepoint/v3">A summary of Victorian training market performance in the second quarter of 2013 following the introduction of the student entitlement system.</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2389F-1471-49AA-986A-1699566054E5}"/>
</file>

<file path=customXml/itemProps2.xml><?xml version="1.0" encoding="utf-8"?>
<ds:datastoreItem xmlns:ds="http://schemas.openxmlformats.org/officeDocument/2006/customXml" ds:itemID="{9BD25A90-D816-46A2-A3E8-55063665845E}"/>
</file>

<file path=customXml/itemProps3.xml><?xml version="1.0" encoding="utf-8"?>
<ds:datastoreItem xmlns:ds="http://schemas.openxmlformats.org/officeDocument/2006/customXml" ds:itemID="{38291C42-47DF-4C27-B4E8-2B4924B8443E}"/>
</file>

<file path=customXml/itemProps4.xml><?xml version="1.0" encoding="utf-8"?>
<ds:datastoreItem xmlns:ds="http://schemas.openxmlformats.org/officeDocument/2006/customXml" ds:itemID="{F0127AD7-45D6-4B59-800A-5036F88BF6D7}"/>
</file>

<file path=docProps/app.xml><?xml version="1.0" encoding="utf-8"?>
<Properties xmlns="http://schemas.openxmlformats.org/officeDocument/2006/extended-properties" xmlns:vt="http://schemas.openxmlformats.org/officeDocument/2006/docPropsVTypes">
  <Template>Normal.dotm</Template>
  <TotalTime>38</TotalTime>
  <Pages>60</Pages>
  <Words>14765</Words>
  <Characters>82102</Characters>
  <Application>Microsoft Office Word</Application>
  <DocSecurity>0</DocSecurity>
  <Lines>684</Lines>
  <Paragraphs>193</Paragraphs>
  <ScaleCrop>false</ScaleCrop>
  <HeadingPairs>
    <vt:vector size="2" baseType="variant">
      <vt:variant>
        <vt:lpstr>Title</vt:lpstr>
      </vt:variant>
      <vt:variant>
        <vt:i4>1</vt:i4>
      </vt:variant>
    </vt:vector>
  </HeadingPairs>
  <TitlesOfParts>
    <vt:vector size="1" baseType="lpstr">
      <vt:lpstr>Report</vt:lpstr>
    </vt:vector>
  </TitlesOfParts>
  <Company>DEECD</Company>
  <LinksUpToDate>false</LinksUpToDate>
  <CharactersWithSpaces>96674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Home</dc:creator>
  <cp:lastModifiedBy>Miller, Peter A</cp:lastModifiedBy>
  <cp:revision>14</cp:revision>
  <cp:lastPrinted>2013-09-10T04:57:00Z</cp:lastPrinted>
  <dcterms:created xsi:type="dcterms:W3CDTF">2013-09-10T04:09:00Z</dcterms:created>
  <dcterms:modified xsi:type="dcterms:W3CDTF">2013-09-13T02:55:00Z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PublishingExpirationDate">
    <vt:lpwstr/>
  </property>
  <property fmtid="{D5CDD505-2E9C-101B-9397-08002B2CF9AE}" pid="6" name="PublishingStartDate">
    <vt:lpwstr/>
  </property>
  <property fmtid="{D5CDD505-2E9C-101B-9397-08002B2CF9AE}" pid="7" name="Visible">
    <vt:lpwstr>1</vt:lpwstr>
  </property>
  <property fmtid="{D5CDD505-2E9C-101B-9397-08002B2CF9AE}" pid="8" name="FooterText_Name">
    <vt:lpwstr>Victorian Training Market Quarterly Report</vt:lpwstr>
  </property>
  <property fmtid="{D5CDD505-2E9C-101B-9397-08002B2CF9AE}" pid="9" name="FooterText_Period">
    <vt:lpwstr>Q3 2012</vt:lpwstr>
  </property>
  <property fmtid="{D5CDD505-2E9C-101B-9397-08002B2CF9AE}" pid="10" name="DEECD_Author">
    <vt:lpwstr>94;#Education|5232e41c-5101-41fe-b638-7d41d1371531</vt:lpwstr>
  </property>
  <property fmtid="{D5CDD505-2E9C-101B-9397-08002B2CF9AE}" pid="11" name="DEECD_SubjectCategory">
    <vt:lpwstr>96;#Administration|6dd5b576-1960-4eea-bf7a-adeffddbbc25</vt:lpwstr>
  </property>
  <property fmtid="{D5CDD505-2E9C-101B-9397-08002B2CF9AE}" pid="12" name="DEECD_ItemType">
    <vt:lpwstr>107;#Report|f1e22bdf-3d18-4ee3-a232-8974cf02f396</vt:lpwstr>
  </property>
  <property fmtid="{D5CDD505-2E9C-101B-9397-08002B2CF9AE}" pid="13" name="DEECD_Audience">
    <vt:lpwstr>128;#Training Providers|4678ec9c-7948-40c9-b14d-b0149fe9985e</vt:lpwstr>
  </property>
</Properties>
</file>