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0AC7" w:rsidRDefault="00310AC7" w:rsidP="00310AC7">
      <w:pPr>
        <w:rPr>
          <w:b/>
          <w:sz w:val="28"/>
          <w:szCs w:val="28"/>
        </w:rPr>
      </w:pPr>
      <w:r w:rsidRPr="001E15D0">
        <w:rPr>
          <w:b/>
          <w:noProof/>
          <w:sz w:val="28"/>
          <w:szCs w:val="28"/>
          <w:lang w:eastAsia="en-AU"/>
        </w:rPr>
        <mc:AlternateContent>
          <mc:Choice Requires="wps">
            <w:drawing>
              <wp:anchor distT="0" distB="0" distL="114300" distR="114300" simplePos="0" relativeHeight="251659264" behindDoc="0" locked="0" layoutInCell="1" allowOverlap="1" wp14:anchorId="16E63D65" wp14:editId="19CE06AA">
                <wp:simplePos x="0" y="0"/>
                <wp:positionH relativeFrom="column">
                  <wp:posOffset>4929643</wp:posOffset>
                </wp:positionH>
                <wp:positionV relativeFrom="paragraph">
                  <wp:posOffset>-367665</wp:posOffset>
                </wp:positionV>
                <wp:extent cx="1160890" cy="970059"/>
                <wp:effectExtent l="0" t="0" r="127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970059"/>
                        </a:xfrm>
                        <a:prstGeom prst="rect">
                          <a:avLst/>
                        </a:prstGeom>
                        <a:solidFill>
                          <a:srgbClr val="FFFFFF"/>
                        </a:solidFill>
                        <a:ln w="9525">
                          <a:noFill/>
                          <a:miter lim="800000"/>
                          <a:headEnd/>
                          <a:tailEnd/>
                        </a:ln>
                      </wps:spPr>
                      <wps:txbx>
                        <w:txbxContent>
                          <w:p w:rsidR="0020032A" w:rsidRDefault="0020032A" w:rsidP="00310AC7">
                            <w:r>
                              <w:rPr>
                                <w:b/>
                                <w:noProof/>
                                <w:sz w:val="28"/>
                                <w:szCs w:val="28"/>
                                <w:lang w:eastAsia="en-AU"/>
                              </w:rPr>
                              <w:drawing>
                                <wp:inline distT="0" distB="0" distL="0" distR="0" wp14:anchorId="26980993" wp14:editId="31B41575">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E63D65" id="_x0000_t202" coordsize="21600,21600" o:spt="202" path="m,l,21600r21600,l21600,xe">
                <v:stroke joinstyle="miter"/>
                <v:path gradientshapeok="t" o:connecttype="rect"/>
              </v:shapetype>
              <v:shape id="Text Box 2" o:spid="_x0000_s1026" type="#_x0000_t202" style="position:absolute;margin-left:388.15pt;margin-top:-28.95pt;width:91.4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" stroked="f">
                <v:textbox>
                  <w:txbxContent>
                    <w:p w:rsidR="0020032A" w:rsidRDefault="0020032A" w:rsidP="00310AC7">
                      <w:r>
                        <w:rPr>
                          <w:b/>
                          <w:noProof/>
                          <w:sz w:val="28"/>
                          <w:szCs w:val="28"/>
                          <w:lang w:eastAsia="en-AU"/>
                        </w:rPr>
                        <w:drawing>
                          <wp:inline distT="0" distB="0" distL="0" distR="0" wp14:anchorId="26980993" wp14:editId="31B41575">
                            <wp:extent cx="1065365" cy="996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e_logo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365" cy="996116"/>
                                    </a:xfrm>
                                    <a:prstGeom prst="rect">
                                      <a:avLst/>
                                    </a:prstGeom>
                                  </pic:spPr>
                                </pic:pic>
                              </a:graphicData>
                            </a:graphic>
                          </wp:inline>
                        </w:drawing>
                      </w:r>
                    </w:p>
                  </w:txbxContent>
                </v:textbox>
              </v:shape>
            </w:pict>
          </mc:Fallback>
        </mc:AlternateContent>
      </w:r>
      <w:r>
        <w:rPr>
          <w:b/>
          <w:sz w:val="28"/>
          <w:szCs w:val="28"/>
        </w:rPr>
        <w:t xml:space="preserve">Advice to providers to support targeting pre-accredited delivery </w:t>
      </w:r>
      <w:r>
        <w:rPr>
          <w:b/>
          <w:sz w:val="28"/>
          <w:szCs w:val="28"/>
        </w:rPr>
        <w:br/>
        <w:t>to priority learner groups</w:t>
      </w:r>
    </w:p>
    <w:p w:rsidR="00310AC7" w:rsidRDefault="00310AC7" w:rsidP="00310AC7">
      <w:pPr>
        <w:rPr>
          <w:b/>
          <w:sz w:val="28"/>
          <w:szCs w:val="28"/>
        </w:rPr>
      </w:pPr>
      <w:r>
        <w:rPr>
          <w:b/>
          <w:sz w:val="28"/>
          <w:szCs w:val="28"/>
        </w:rPr>
        <w:t>Southern Metropolitan</w:t>
      </w:r>
      <w:r w:rsidRPr="00EE3BC1">
        <w:rPr>
          <w:b/>
          <w:sz w:val="28"/>
          <w:szCs w:val="28"/>
        </w:rPr>
        <w:t xml:space="preserve"> Regional Council</w:t>
      </w:r>
      <w:r>
        <w:rPr>
          <w:b/>
          <w:sz w:val="28"/>
          <w:szCs w:val="28"/>
        </w:rPr>
        <w:t xml:space="preserve"> area</w:t>
      </w:r>
    </w:p>
    <w:tbl>
      <w:tblPr>
        <w:tblStyle w:val="TableGrid"/>
        <w:tblW w:w="0" w:type="auto"/>
        <w:tblInd w:w="108" w:type="dxa"/>
        <w:tblLook w:val="04A0" w:firstRow="1" w:lastRow="0" w:firstColumn="1" w:lastColumn="0" w:noHBand="0" w:noVBand="1"/>
      </w:tblPr>
      <w:tblGrid>
        <w:gridCol w:w="8908"/>
      </w:tblGrid>
      <w:tr w:rsidR="00FF0D97" w:rsidRPr="002E7DA4" w:rsidTr="00155300">
        <w:tc>
          <w:tcPr>
            <w:tcW w:w="8908" w:type="dxa"/>
            <w:shd w:val="clear" w:color="auto" w:fill="000000" w:themeFill="text1"/>
          </w:tcPr>
          <w:p w:rsidR="00FF0D97" w:rsidRPr="002E7DA4" w:rsidRDefault="00FF0D97" w:rsidP="00B0574A">
            <w:pPr>
              <w:rPr>
                <w:b/>
                <w:color w:val="0000FF"/>
              </w:rPr>
            </w:pPr>
            <w:r w:rsidRPr="002E7DA4">
              <w:rPr>
                <w:b/>
                <w:color w:val="FFFFFF" w:themeColor="background1"/>
              </w:rPr>
              <w:t>REGIONAL CONTEXT</w:t>
            </w:r>
          </w:p>
        </w:tc>
      </w:tr>
      <w:tr w:rsidR="00FF0D97" w:rsidRPr="002E7DA4" w:rsidTr="00155300">
        <w:trPr>
          <w:trHeight w:val="90"/>
        </w:trPr>
        <w:tc>
          <w:tcPr>
            <w:tcW w:w="8908" w:type="dxa"/>
          </w:tcPr>
          <w:p w:rsidR="0067003A" w:rsidRPr="00583A8E" w:rsidRDefault="0067003A" w:rsidP="00583A8E">
            <w:pPr>
              <w:spacing w:after="120" w:line="240" w:lineRule="auto"/>
              <w:rPr>
                <w:b/>
                <w:i/>
              </w:rPr>
            </w:pPr>
            <w:r w:rsidRPr="00583A8E">
              <w:rPr>
                <w:b/>
                <w:i/>
              </w:rPr>
              <w:t>Demographic and Geographic observations</w:t>
            </w:r>
          </w:p>
          <w:p w:rsidR="0095251D" w:rsidRPr="002E7DA4" w:rsidRDefault="0095251D" w:rsidP="00583A8E">
            <w:pPr>
              <w:spacing w:after="120" w:line="240" w:lineRule="auto"/>
              <w:contextualSpacing/>
            </w:pPr>
            <w:r w:rsidRPr="002E7DA4">
              <w:t>The region is geographically, culturally and economically diverse. It includes:</w:t>
            </w:r>
          </w:p>
          <w:p w:rsidR="0095251D" w:rsidRPr="002E7DA4" w:rsidRDefault="0095251D" w:rsidP="00583A8E">
            <w:pPr>
              <w:pStyle w:val="ListParagraph"/>
              <w:numPr>
                <w:ilvl w:val="0"/>
                <w:numId w:val="5"/>
              </w:numPr>
              <w:spacing w:after="120" w:line="240" w:lineRule="auto"/>
            </w:pPr>
            <w:r w:rsidRPr="002E7DA4">
              <w:t>areas of relative prosperity and affluence and other areas of relative poverty</w:t>
            </w:r>
          </w:p>
          <w:p w:rsidR="0095251D" w:rsidRPr="002E7DA4" w:rsidRDefault="0095251D" w:rsidP="00583A8E">
            <w:pPr>
              <w:pStyle w:val="ListParagraph"/>
              <w:numPr>
                <w:ilvl w:val="0"/>
                <w:numId w:val="5"/>
              </w:numPr>
              <w:spacing w:after="120" w:line="240" w:lineRule="auto"/>
            </w:pPr>
            <w:r w:rsidRPr="002E7DA4">
              <w:t>long established areas where the population is ageing and areas of rapid growth and youthful populations</w:t>
            </w:r>
          </w:p>
          <w:p w:rsidR="0095251D" w:rsidRPr="002E7DA4" w:rsidRDefault="0095251D" w:rsidP="00583A8E">
            <w:pPr>
              <w:pStyle w:val="ListParagraph"/>
              <w:numPr>
                <w:ilvl w:val="0"/>
                <w:numId w:val="5"/>
              </w:numPr>
              <w:spacing w:after="120" w:line="240" w:lineRule="auto"/>
            </w:pPr>
            <w:r w:rsidRPr="002E7DA4">
              <w:t>urban areas which are densely populated and well connected, and semi-rural area with sparse populations</w:t>
            </w:r>
          </w:p>
          <w:p w:rsidR="005F2DC9" w:rsidRPr="002E7DA4" w:rsidRDefault="0095251D" w:rsidP="00583A8E">
            <w:pPr>
              <w:pStyle w:val="ListParagraph"/>
              <w:numPr>
                <w:ilvl w:val="0"/>
                <w:numId w:val="5"/>
              </w:numPr>
              <w:spacing w:after="120" w:line="240" w:lineRule="auto"/>
            </w:pPr>
            <w:r w:rsidRPr="002E7DA4">
              <w:t>rich cultural diversity in pockets of the region</w:t>
            </w:r>
          </w:p>
          <w:p w:rsidR="00A47FBA" w:rsidRPr="002E7DA4" w:rsidRDefault="00A47FBA" w:rsidP="00583A8E">
            <w:pPr>
              <w:spacing w:after="120" w:line="240" w:lineRule="auto"/>
            </w:pPr>
            <w:r w:rsidRPr="002E7DA4">
              <w:t>Greater Dandenong is the most disadvantaged LGA in Victoria</w:t>
            </w:r>
            <w:r w:rsidR="00583A8E">
              <w:t xml:space="preserve">. The unemployment rate is over 20 per cent and the area has multiple complex issues - </w:t>
            </w:r>
            <w:r w:rsidR="00583A8E" w:rsidRPr="002E7DA4">
              <w:t>generational unemploy</w:t>
            </w:r>
            <w:r w:rsidR="00583A8E">
              <w:t>ment</w:t>
            </w:r>
            <w:r w:rsidR="00583A8E" w:rsidRPr="002E7DA4">
              <w:t>, cultural barriers and asylum seekers with limited English and employability skills</w:t>
            </w:r>
          </w:p>
          <w:p w:rsidR="00A47FBA" w:rsidRPr="002E7DA4" w:rsidRDefault="008E4726" w:rsidP="00583A8E">
            <w:pPr>
              <w:spacing w:after="120" w:line="240" w:lineRule="auto"/>
            </w:pPr>
            <w:r w:rsidRPr="002E7DA4">
              <w:t xml:space="preserve">Youth unemployment is high in the outer fringes of the region – Dandenong, Frankston and </w:t>
            </w:r>
            <w:r w:rsidR="00583A8E">
              <w:t xml:space="preserve">the </w:t>
            </w:r>
            <w:r w:rsidRPr="002E7DA4">
              <w:t>Mornington Peninsula</w:t>
            </w:r>
          </w:p>
          <w:p w:rsidR="00852CAB" w:rsidRPr="002E7DA4" w:rsidRDefault="00852CAB" w:rsidP="00583A8E">
            <w:pPr>
              <w:spacing w:after="120" w:line="240" w:lineRule="auto"/>
            </w:pPr>
            <w:r w:rsidRPr="002E7DA4">
              <w:t xml:space="preserve">Dramatic population growth </w:t>
            </w:r>
            <w:r w:rsidR="00583A8E">
              <w:t xml:space="preserve">is occurring </w:t>
            </w:r>
            <w:r w:rsidRPr="002E7DA4">
              <w:t xml:space="preserve">in some areas </w:t>
            </w:r>
            <w:r w:rsidR="00D23F67" w:rsidRPr="002E7DA4">
              <w:t>particularly</w:t>
            </w:r>
            <w:r w:rsidRPr="002E7DA4">
              <w:t xml:space="preserve"> Casey and Cardinia</w:t>
            </w:r>
          </w:p>
          <w:p w:rsidR="00D23F67" w:rsidRPr="002E7DA4" w:rsidRDefault="00D23F67" w:rsidP="00583A8E">
            <w:pPr>
              <w:spacing w:after="120" w:line="240" w:lineRule="auto"/>
            </w:pPr>
            <w:r w:rsidRPr="002E7DA4">
              <w:t xml:space="preserve">Both Casey and Cardinia have also experienced increased numbers of new arrivals and CALD residents. </w:t>
            </w:r>
          </w:p>
          <w:p w:rsidR="00852CAB" w:rsidRPr="002E7DA4" w:rsidRDefault="00583A8E" w:rsidP="00583A8E">
            <w:pPr>
              <w:spacing w:after="120" w:line="240" w:lineRule="auto"/>
            </w:pPr>
            <w:r w:rsidRPr="00583A8E">
              <w:t>Kingston, Glen Eira, Bayside and Stonnington</w:t>
            </w:r>
            <w:r w:rsidRPr="002E7DA4">
              <w:t xml:space="preserve"> </w:t>
            </w:r>
            <w:r w:rsidR="008E4726" w:rsidRPr="002E7DA4">
              <w:t>have ageing communities</w:t>
            </w:r>
            <w:r>
              <w:t xml:space="preserve">. </w:t>
            </w:r>
            <w:r w:rsidR="00E00341" w:rsidRPr="002E7DA4">
              <w:t xml:space="preserve">Plan Melbourne / Plan Melbourne Refresh is leading to </w:t>
            </w:r>
            <w:r w:rsidR="00BE5A26" w:rsidRPr="002E7DA4">
              <w:t xml:space="preserve">extensive apartment </w:t>
            </w:r>
            <w:r w:rsidR="001D6FDF" w:rsidRPr="002E7DA4">
              <w:t>development, which</w:t>
            </w:r>
            <w:r w:rsidR="00C86D16" w:rsidRPr="002E7DA4">
              <w:t xml:space="preserve"> may</w:t>
            </w:r>
            <w:r w:rsidR="00BE5A26" w:rsidRPr="002E7DA4">
              <w:t xml:space="preserve"> change this</w:t>
            </w:r>
            <w:r w:rsidR="00D23F67" w:rsidRPr="002E7DA4">
              <w:t>.</w:t>
            </w:r>
          </w:p>
          <w:p w:rsidR="00166884" w:rsidRPr="00583A8E" w:rsidRDefault="00166884" w:rsidP="00583A8E">
            <w:pPr>
              <w:spacing w:after="120" w:line="240" w:lineRule="auto"/>
              <w:rPr>
                <w:i/>
              </w:rPr>
            </w:pPr>
            <w:r w:rsidRPr="002E7DA4">
              <w:t xml:space="preserve">This region includes </w:t>
            </w:r>
            <w:r w:rsidR="00583A8E">
              <w:t>H</w:t>
            </w:r>
            <w:r w:rsidRPr="002E7DA4">
              <w:t xml:space="preserve">igh rise </w:t>
            </w:r>
            <w:r w:rsidR="00583A8E" w:rsidRPr="002E7DA4">
              <w:t xml:space="preserve">public housing </w:t>
            </w:r>
            <w:r w:rsidRPr="002E7DA4">
              <w:t xml:space="preserve">estates </w:t>
            </w:r>
            <w:r w:rsidR="00583A8E">
              <w:t xml:space="preserve">are a feature </w:t>
            </w:r>
            <w:r w:rsidRPr="002E7DA4">
              <w:t>in Port Phillip, Bayside and Stonnington, as well as other estates in Frankston and Mornington</w:t>
            </w:r>
            <w:r w:rsidR="00A47FBA" w:rsidRPr="002E7DA4">
              <w:t xml:space="preserve"> Peninsula LGAs.</w:t>
            </w:r>
          </w:p>
          <w:p w:rsidR="0067003A" w:rsidRPr="00583A8E" w:rsidRDefault="0067003A" w:rsidP="00583A8E">
            <w:pPr>
              <w:spacing w:after="120" w:line="240" w:lineRule="auto"/>
              <w:rPr>
                <w:b/>
                <w:i/>
              </w:rPr>
            </w:pPr>
            <w:r w:rsidRPr="00583A8E">
              <w:rPr>
                <w:b/>
                <w:i/>
              </w:rPr>
              <w:t>Economic</w:t>
            </w:r>
            <w:r w:rsidR="00583A8E" w:rsidRPr="00583A8E">
              <w:rPr>
                <w:b/>
                <w:i/>
              </w:rPr>
              <w:t xml:space="preserve"> factors</w:t>
            </w:r>
          </w:p>
          <w:p w:rsidR="0095251D" w:rsidRPr="002E7DA4" w:rsidRDefault="0095251D" w:rsidP="00155300">
            <w:pPr>
              <w:spacing w:after="120" w:line="240" w:lineRule="auto"/>
            </w:pPr>
            <w:r w:rsidRPr="002E7DA4">
              <w:t xml:space="preserve">The South East of Melbourne </w:t>
            </w:r>
            <w:r w:rsidR="00A55548" w:rsidRPr="002E7DA4">
              <w:t xml:space="preserve">is </w:t>
            </w:r>
            <w:r w:rsidR="005F2DC9" w:rsidRPr="002E7DA4">
              <w:t>one of Melbourne’s</w:t>
            </w:r>
            <w:r w:rsidR="00583A8E">
              <w:t xml:space="preserve"> key manufacturing hubs.</w:t>
            </w:r>
            <w:r w:rsidR="00A55548" w:rsidRPr="002E7DA4">
              <w:t xml:space="preserve"> </w:t>
            </w:r>
            <w:r w:rsidR="005F2DC9" w:rsidRPr="002E7DA4">
              <w:t>Manufacturing generally has declined although there</w:t>
            </w:r>
            <w:r w:rsidR="00E00341" w:rsidRPr="002E7DA4">
              <w:t xml:space="preserve"> are </w:t>
            </w:r>
            <w:r w:rsidR="005F2DC9" w:rsidRPr="002E7DA4">
              <w:t xml:space="preserve">still some large organisations delivering products for local and overseas consumption. The Cities of Greater Dandenong and Kingston </w:t>
            </w:r>
            <w:r w:rsidR="00C8722A" w:rsidRPr="002E7DA4">
              <w:t>are the centres of</w:t>
            </w:r>
            <w:r w:rsidR="005F2DC9" w:rsidRPr="002E7DA4">
              <w:t xml:space="preserve"> manufacturing </w:t>
            </w:r>
            <w:r w:rsidR="00C8722A" w:rsidRPr="002E7DA4">
              <w:t>in South East Melbourne</w:t>
            </w:r>
            <w:r w:rsidR="005F2DC9" w:rsidRPr="002E7DA4">
              <w:t>.</w:t>
            </w:r>
          </w:p>
          <w:p w:rsidR="00852CAB" w:rsidRPr="002E7DA4" w:rsidRDefault="00C8722A" w:rsidP="00155300">
            <w:pPr>
              <w:spacing w:after="120" w:line="240" w:lineRule="auto"/>
            </w:pPr>
            <w:r w:rsidRPr="002E7DA4">
              <w:t>Skilled workers have the capacity to move across jobs</w:t>
            </w:r>
            <w:r w:rsidR="00583A8E">
              <w:t xml:space="preserve">, but </w:t>
            </w:r>
            <w:r w:rsidR="00E00341" w:rsidRPr="002E7DA4">
              <w:t>those who lack good literacy, numeracy, I</w:t>
            </w:r>
            <w:r w:rsidR="00C86D16">
              <w:t>T</w:t>
            </w:r>
            <w:r w:rsidR="007118EF">
              <w:t xml:space="preserve"> </w:t>
            </w:r>
            <w:r w:rsidR="00E00341" w:rsidRPr="002E7DA4">
              <w:t xml:space="preserve">and generic employment skills will struggle to find new jobs. </w:t>
            </w:r>
          </w:p>
          <w:p w:rsidR="00852CAB" w:rsidRPr="002E7DA4" w:rsidRDefault="00852CAB" w:rsidP="00155300">
            <w:pPr>
              <w:spacing w:after="120" w:line="240" w:lineRule="auto"/>
            </w:pPr>
            <w:r w:rsidRPr="002E7DA4">
              <w:t xml:space="preserve">There </w:t>
            </w:r>
            <w:r w:rsidR="00583A8E">
              <w:t>are</w:t>
            </w:r>
            <w:r w:rsidRPr="002E7DA4">
              <w:t xml:space="preserve"> significant numbers of </w:t>
            </w:r>
            <w:r w:rsidR="00583A8E" w:rsidRPr="002E7DA4">
              <w:t xml:space="preserve">part-time </w:t>
            </w:r>
            <w:r w:rsidRPr="002E7DA4">
              <w:t xml:space="preserve">workers </w:t>
            </w:r>
            <w:r w:rsidR="00D23F67" w:rsidRPr="002E7DA4">
              <w:t>who seek full-time employment</w:t>
            </w:r>
            <w:r w:rsidR="00583A8E">
              <w:t>.</w:t>
            </w:r>
          </w:p>
          <w:p w:rsidR="00BC5CD4" w:rsidRPr="002E7DA4" w:rsidRDefault="00852CAB" w:rsidP="00155300">
            <w:pPr>
              <w:spacing w:after="120" w:line="240" w:lineRule="auto"/>
            </w:pPr>
            <w:r w:rsidRPr="002E7DA4">
              <w:t xml:space="preserve">Employers are constantly emphasising the importance of employability skills. In many </w:t>
            </w:r>
            <w:r w:rsidR="008E4726" w:rsidRPr="002E7DA4">
              <w:t>situations,</w:t>
            </w:r>
            <w:r w:rsidRPr="002E7DA4">
              <w:t xml:space="preserve"> they are prepared to train people in the vocational skills necessary for their jobs if the individual has the employability skills they require</w:t>
            </w:r>
            <w:r w:rsidR="00583A8E">
              <w:t>. This presents an opportunity for Learn Local programs.</w:t>
            </w:r>
            <w:r w:rsidR="00BC5CD4" w:rsidRPr="002E7DA4">
              <w:t xml:space="preserve"> </w:t>
            </w:r>
          </w:p>
          <w:p w:rsidR="00C8722A" w:rsidRPr="002E7DA4" w:rsidRDefault="00C8722A" w:rsidP="00155300">
            <w:pPr>
              <w:spacing w:after="120" w:line="240" w:lineRule="auto"/>
            </w:pPr>
            <w:r w:rsidRPr="002E7DA4">
              <w:t>There are significant numbers of CALD residents with limited language skills, capability and confidence</w:t>
            </w:r>
            <w:r w:rsidR="00583A8E">
              <w:t xml:space="preserve"> who </w:t>
            </w:r>
            <w:r w:rsidR="00852CAB" w:rsidRPr="002E7DA4">
              <w:t xml:space="preserve">struggle to find suitable employment. Therefore </w:t>
            </w:r>
            <w:r w:rsidR="001D4493">
              <w:t>‘</w:t>
            </w:r>
            <w:r w:rsidR="00852CAB" w:rsidRPr="002E7DA4">
              <w:t>English as an additional language</w:t>
            </w:r>
            <w:r w:rsidR="001D4493">
              <w:t>’</w:t>
            </w:r>
            <w:r w:rsidR="00852CAB" w:rsidRPr="002E7DA4">
              <w:t xml:space="preserve"> training is highly sought after in the region, specifically in Greater Dandenong, Casey, Kingston and more recently Cardinia.</w:t>
            </w:r>
          </w:p>
          <w:p w:rsidR="00C8722A" w:rsidRPr="00155300" w:rsidRDefault="00BC5CD4" w:rsidP="00583A8E">
            <w:pPr>
              <w:pStyle w:val="ListParagraph"/>
              <w:spacing w:after="120" w:line="240" w:lineRule="auto"/>
              <w:ind w:left="0"/>
              <w:contextualSpacing w:val="0"/>
              <w:rPr>
                <w:b/>
                <w:i/>
              </w:rPr>
            </w:pPr>
            <w:r w:rsidRPr="00155300">
              <w:rPr>
                <w:b/>
                <w:i/>
              </w:rPr>
              <w:t>Government Initiatives</w:t>
            </w:r>
            <w:r w:rsidR="001A76CC" w:rsidRPr="00155300">
              <w:rPr>
                <w:b/>
                <w:i/>
              </w:rPr>
              <w:t xml:space="preserve"> and supports</w:t>
            </w:r>
          </w:p>
          <w:p w:rsidR="008E4726" w:rsidRPr="002E7DA4" w:rsidRDefault="008E4726" w:rsidP="00155300">
            <w:pPr>
              <w:spacing w:after="120" w:line="240" w:lineRule="auto"/>
            </w:pPr>
            <w:r w:rsidRPr="002E7DA4">
              <w:t xml:space="preserve">There are a significant number of </w:t>
            </w:r>
            <w:r w:rsidR="00EB705B" w:rsidRPr="002E7DA4">
              <w:t xml:space="preserve">recent </w:t>
            </w:r>
            <w:r w:rsidR="00FF0D97" w:rsidRPr="002E7DA4">
              <w:t>State and Federal government initiatives</w:t>
            </w:r>
            <w:r w:rsidR="00BC5CD4" w:rsidRPr="002E7DA4">
              <w:t xml:space="preserve"> relating to t</w:t>
            </w:r>
            <w:r w:rsidR="001A76CC" w:rsidRPr="002E7DA4">
              <w:t>he unemployed, disengaged youth (</w:t>
            </w:r>
            <w:r w:rsidR="00B75422" w:rsidRPr="002E7DA4">
              <w:t>e.g.</w:t>
            </w:r>
            <w:r w:rsidR="001A76CC" w:rsidRPr="002E7DA4">
              <w:t xml:space="preserve"> Reconnect, Navigator</w:t>
            </w:r>
            <w:r w:rsidR="000712CD">
              <w:t>, improved resourcing of schools</w:t>
            </w:r>
            <w:r w:rsidR="001A76CC" w:rsidRPr="002E7DA4">
              <w:t>), disability (</w:t>
            </w:r>
            <w:r w:rsidR="00C86D16" w:rsidRPr="002E7DA4">
              <w:t>NDIS) and</w:t>
            </w:r>
            <w:r w:rsidR="001A76CC" w:rsidRPr="002E7DA4">
              <w:t xml:space="preserve"> victims of domestic violence (</w:t>
            </w:r>
            <w:r w:rsidR="00B75422" w:rsidRPr="002E7DA4">
              <w:t>e.g.</w:t>
            </w:r>
            <w:r w:rsidR="00EB705B" w:rsidRPr="002E7DA4">
              <w:t xml:space="preserve"> Safety and Support Hubs)</w:t>
            </w:r>
            <w:r w:rsidRPr="002E7DA4">
              <w:t xml:space="preserve"> </w:t>
            </w:r>
            <w:r w:rsidR="00155300">
              <w:t xml:space="preserve">which provide </w:t>
            </w:r>
            <w:r w:rsidR="00155300">
              <w:lastRenderedPageBreak/>
              <w:t>opportunities for</w:t>
            </w:r>
            <w:r w:rsidRPr="002E7DA4">
              <w:t xml:space="preserve"> Learn Local</w:t>
            </w:r>
            <w:r w:rsidR="00155300">
              <w:t xml:space="preserve"> organisations who are able to </w:t>
            </w:r>
            <w:r w:rsidR="00EB705B" w:rsidRPr="002E7DA4">
              <w:t>work in partnership with these initiatives and/or modify their services in response to them.</w:t>
            </w:r>
          </w:p>
          <w:p w:rsidR="00FF0D97" w:rsidRPr="00155300" w:rsidRDefault="00F630F2" w:rsidP="00155300">
            <w:pPr>
              <w:spacing w:after="120" w:line="240" w:lineRule="auto"/>
              <w:jc w:val="both"/>
              <w:rPr>
                <w:b/>
                <w:u w:val="single"/>
              </w:rPr>
            </w:pPr>
            <w:r>
              <w:t xml:space="preserve">The </w:t>
            </w:r>
            <w:r w:rsidR="00155300">
              <w:t xml:space="preserve">cessation of the </w:t>
            </w:r>
            <w:r>
              <w:t xml:space="preserve">Workplace English Language and Literacy program (WELL) has led to a </w:t>
            </w:r>
            <w:r w:rsidR="00155300">
              <w:t>training</w:t>
            </w:r>
            <w:r>
              <w:t xml:space="preserve"> gap for vulnerable migrant and low literacy workers</w:t>
            </w:r>
            <w:r w:rsidR="00155300">
              <w:t>, which pre-accredited programs may be able to address</w:t>
            </w:r>
            <w:r>
              <w:t>.</w:t>
            </w:r>
          </w:p>
          <w:p w:rsidR="00155300" w:rsidRPr="00155300" w:rsidRDefault="00155300" w:rsidP="00155300">
            <w:pPr>
              <w:spacing w:after="120" w:line="240" w:lineRule="auto"/>
            </w:pPr>
            <w:r>
              <w:t>Implementing</w:t>
            </w:r>
            <w:r w:rsidR="00AF3D25" w:rsidRPr="002E7DA4">
              <w:t xml:space="preserve"> the Royal Commission into Family Violence recommendations</w:t>
            </w:r>
            <w:r w:rsidR="00AF3D25">
              <w:t xml:space="preserve"> will have a significant impact on victims of domestic </w:t>
            </w:r>
            <w:r w:rsidR="001D6FDF">
              <w:t xml:space="preserve">violence </w:t>
            </w:r>
            <w:r>
              <w:t>offers</w:t>
            </w:r>
            <w:r w:rsidR="00AF3D25">
              <w:t xml:space="preserve"> </w:t>
            </w:r>
            <w:r w:rsidR="00AF3D25" w:rsidRPr="002E7DA4">
              <w:t>opportunities for Learn Locals to work more closely with other agencies to support this cohort.</w:t>
            </w:r>
          </w:p>
        </w:tc>
      </w:tr>
    </w:tbl>
    <w:p w:rsidR="00C86B39" w:rsidRDefault="00C86B39" w:rsidP="00FF0D97"/>
    <w:p w:rsidR="00155300" w:rsidRDefault="00155300" w:rsidP="00706C43">
      <w:pPr>
        <w:spacing w:after="160" w:line="259" w:lineRule="auto"/>
        <w:sectPr w:rsidR="00155300" w:rsidSect="005265BD">
          <w:footerReference w:type="default" r:id="rId11"/>
          <w:pgSz w:w="11906" w:h="16838"/>
          <w:pgMar w:top="993" w:right="1440" w:bottom="993" w:left="1440" w:header="708" w:footer="421" w:gutter="0"/>
          <w:cols w:space="708"/>
          <w:docGrid w:linePitch="360"/>
        </w:sectPr>
      </w:pPr>
    </w:p>
    <w:p w:rsidR="00155300" w:rsidRDefault="00155300" w:rsidP="00706C43">
      <w:pPr>
        <w:spacing w:after="160" w:line="259" w:lineRule="auto"/>
      </w:pPr>
      <w:r>
        <w:lastRenderedPageBreak/>
        <w:t>The data below indicates how effectively pre-accredited delivery in 2015 (latest publicly available data) was targeting priority groups</w:t>
      </w:r>
    </w:p>
    <w:p w:rsidR="00DE4FC1" w:rsidRDefault="00DE4FC1" w:rsidP="00706C43">
      <w:pPr>
        <w:spacing w:after="160" w:line="259" w:lineRule="auto"/>
      </w:pPr>
    </w:p>
    <w:p w:rsidR="00DE4FC1" w:rsidRDefault="00DE4FC1" w:rsidP="00706C43">
      <w:pPr>
        <w:spacing w:after="160" w:line="259" w:lineRule="auto"/>
        <w:sectPr w:rsidR="00DE4FC1" w:rsidSect="00DE4FC1">
          <w:pgSz w:w="16838" w:h="11906" w:orient="landscape"/>
          <w:pgMar w:top="993" w:right="993" w:bottom="1440" w:left="993" w:header="708" w:footer="421" w:gutter="0"/>
          <w:cols w:space="708"/>
          <w:docGrid w:linePitch="360"/>
        </w:sectPr>
      </w:pPr>
      <w:r>
        <w:object w:dxaOrig="12677" w:dyaOrig="8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75pt;height:427.5pt" o:ole="">
            <v:imagedata r:id="rId12" o:title=""/>
          </v:shape>
          <o:OLEObject Type="Embed" ProgID="Excel.Sheet.12" ShapeID="_x0000_i1025" DrawAspect="Content" ObjectID="_1564919132" r:id="rId13"/>
        </w:object>
      </w:r>
    </w:p>
    <w:p w:rsidR="00AF67DB" w:rsidRPr="0014451A" w:rsidRDefault="00AF67DB" w:rsidP="00AF67DB">
      <w:pPr>
        <w:rPr>
          <w:b/>
          <w:sz w:val="24"/>
        </w:rPr>
      </w:pPr>
      <w:r>
        <w:rPr>
          <w:b/>
          <w:sz w:val="24"/>
        </w:rPr>
        <w:lastRenderedPageBreak/>
        <w:t>Additional i</w:t>
      </w:r>
      <w:r w:rsidRPr="0014451A">
        <w:rPr>
          <w:b/>
          <w:sz w:val="24"/>
        </w:rPr>
        <w:t>nformation on individual priority groups</w:t>
      </w:r>
    </w:p>
    <w:tbl>
      <w:tblPr>
        <w:tblStyle w:val="TableGrid"/>
        <w:tblW w:w="0" w:type="auto"/>
        <w:tblInd w:w="108" w:type="dxa"/>
        <w:tblLook w:val="04A0" w:firstRow="1" w:lastRow="0" w:firstColumn="1" w:lastColumn="0" w:noHBand="0" w:noVBand="1"/>
      </w:tblPr>
      <w:tblGrid>
        <w:gridCol w:w="8908"/>
      </w:tblGrid>
      <w:tr w:rsidR="00FF0D97" w:rsidRPr="002E7DA4" w:rsidTr="00564E08">
        <w:tc>
          <w:tcPr>
            <w:tcW w:w="8908" w:type="dxa"/>
            <w:shd w:val="clear" w:color="auto" w:fill="000000" w:themeFill="text1"/>
          </w:tcPr>
          <w:p w:rsidR="00FF0D97" w:rsidRPr="002E7DA4" w:rsidRDefault="00AF67DB" w:rsidP="00B0574A">
            <w:pPr>
              <w:rPr>
                <w:b/>
              </w:rPr>
            </w:pPr>
            <w:r>
              <w:rPr>
                <w:b/>
              </w:rPr>
              <w:t>YOUNG MOTHERS, WOMEN RETURNING TO WORK AND WOMEN WHO HAVE EXPEREINCED FAMILY VIOLENCE</w:t>
            </w:r>
          </w:p>
        </w:tc>
      </w:tr>
      <w:tr w:rsidR="00FF0D97" w:rsidRPr="002E7DA4" w:rsidTr="00564E08">
        <w:tc>
          <w:tcPr>
            <w:tcW w:w="8908" w:type="dxa"/>
          </w:tcPr>
          <w:p w:rsidR="009351D3" w:rsidRPr="002E7DA4" w:rsidRDefault="001C0DCA" w:rsidP="00251325">
            <w:pPr>
              <w:spacing w:after="120" w:line="240" w:lineRule="auto"/>
            </w:pPr>
            <w:r w:rsidRPr="002E7DA4">
              <w:t>W</w:t>
            </w:r>
            <w:r w:rsidR="002C14CE" w:rsidRPr="002E7DA4">
              <w:t>hile w</w:t>
            </w:r>
            <w:r w:rsidR="00FF0D97" w:rsidRPr="002E7DA4">
              <w:t>omen are accessing pre-accredited delivery across Southern Metropolitan region</w:t>
            </w:r>
            <w:r w:rsidR="009363C4" w:rsidRPr="002E7DA4">
              <w:t xml:space="preserve"> in significant numbers</w:t>
            </w:r>
            <w:r w:rsidR="002C14CE" w:rsidRPr="002E7DA4">
              <w:t>, it is not clear what percentage would be classified as vulnerable.</w:t>
            </w:r>
            <w:r w:rsidR="00251325">
              <w:t xml:space="preserve"> </w:t>
            </w:r>
            <w:r w:rsidR="00247CE5" w:rsidRPr="002E7DA4">
              <w:t xml:space="preserve">CALD women in the </w:t>
            </w:r>
            <w:r w:rsidR="00251325">
              <w:t>LGAs</w:t>
            </w:r>
            <w:r w:rsidR="00247CE5" w:rsidRPr="002E7DA4">
              <w:t xml:space="preserve"> of Greater Dandenong, Casey and Cardinia are enrolled in English as add</w:t>
            </w:r>
            <w:r w:rsidR="00046DD0" w:rsidRPr="002E7DA4">
              <w:t>itional language (EAL) programs and definitely fit the vulnerable category.</w:t>
            </w:r>
            <w:r w:rsidR="00251325">
              <w:t xml:space="preserve"> </w:t>
            </w:r>
            <w:r w:rsidR="009351D3" w:rsidRPr="002E7DA4">
              <w:t xml:space="preserve">It is less clear in other </w:t>
            </w:r>
            <w:r w:rsidR="00251325">
              <w:t>LGAs</w:t>
            </w:r>
            <w:r w:rsidR="009351D3" w:rsidRPr="002E7DA4">
              <w:t xml:space="preserve"> about the status of the women accessing pre-accredited programs.</w:t>
            </w:r>
          </w:p>
          <w:p w:rsidR="001C0DCA" w:rsidRPr="002E7DA4" w:rsidRDefault="009351D3" w:rsidP="00251325">
            <w:pPr>
              <w:spacing w:after="120" w:line="240" w:lineRule="auto"/>
            </w:pPr>
            <w:r w:rsidRPr="002E7DA4">
              <w:t>Organisations that successfully engage vulnerable women have set up their services targeting women as learners</w:t>
            </w:r>
            <w:r w:rsidR="00251325">
              <w:t xml:space="preserve">. </w:t>
            </w:r>
          </w:p>
          <w:p w:rsidR="001C0DCA" w:rsidRPr="002E7DA4" w:rsidRDefault="001C0DCA" w:rsidP="00251325">
            <w:pPr>
              <w:pStyle w:val="CommentText"/>
              <w:spacing w:after="120"/>
              <w:rPr>
                <w:sz w:val="22"/>
                <w:szCs w:val="22"/>
              </w:rPr>
            </w:pPr>
            <w:r w:rsidRPr="002E7DA4">
              <w:rPr>
                <w:sz w:val="22"/>
                <w:szCs w:val="22"/>
              </w:rPr>
              <w:t>Learn Local organisations in the growth corridors of Cas</w:t>
            </w:r>
            <w:r w:rsidR="00247CE5" w:rsidRPr="002E7DA4">
              <w:rPr>
                <w:sz w:val="22"/>
                <w:szCs w:val="22"/>
              </w:rPr>
              <w:t xml:space="preserve">ey and Cardinia will continue to experience significant demand from women seeking to improve their skills. </w:t>
            </w:r>
          </w:p>
          <w:p w:rsidR="00FF0D97" w:rsidRPr="002E7DA4" w:rsidRDefault="00247CE5" w:rsidP="00251325">
            <w:pPr>
              <w:pStyle w:val="CommentText"/>
              <w:spacing w:after="120"/>
              <w:rPr>
                <w:sz w:val="22"/>
                <w:szCs w:val="22"/>
              </w:rPr>
            </w:pPr>
            <w:r w:rsidRPr="002E7DA4">
              <w:rPr>
                <w:sz w:val="22"/>
                <w:szCs w:val="22"/>
              </w:rPr>
              <w:t xml:space="preserve">In the City of Greater </w:t>
            </w:r>
            <w:r w:rsidR="009351D3" w:rsidRPr="002E7DA4">
              <w:rPr>
                <w:sz w:val="22"/>
                <w:szCs w:val="22"/>
              </w:rPr>
              <w:t>Dandenong,</w:t>
            </w:r>
            <w:r w:rsidRPr="002E7DA4">
              <w:rPr>
                <w:sz w:val="22"/>
                <w:szCs w:val="22"/>
              </w:rPr>
              <w:t xml:space="preserve"> there is </w:t>
            </w:r>
            <w:r w:rsidR="009351D3" w:rsidRPr="002E7DA4">
              <w:rPr>
                <w:sz w:val="22"/>
                <w:szCs w:val="22"/>
              </w:rPr>
              <w:t xml:space="preserve">high </w:t>
            </w:r>
            <w:r w:rsidRPr="002E7DA4">
              <w:rPr>
                <w:sz w:val="22"/>
                <w:szCs w:val="22"/>
              </w:rPr>
              <w:t>demand from women from a CALD background for English as an additional language followed by vocational and employment skills.</w:t>
            </w:r>
          </w:p>
        </w:tc>
      </w:tr>
    </w:tbl>
    <w:p w:rsidR="00712A7C" w:rsidRDefault="00712A7C"/>
    <w:tbl>
      <w:tblPr>
        <w:tblStyle w:val="TableGrid"/>
        <w:tblW w:w="0" w:type="auto"/>
        <w:tblInd w:w="108" w:type="dxa"/>
        <w:tblLook w:val="04A0" w:firstRow="1" w:lastRow="0" w:firstColumn="1" w:lastColumn="0" w:noHBand="0" w:noVBand="1"/>
      </w:tblPr>
      <w:tblGrid>
        <w:gridCol w:w="8908"/>
      </w:tblGrid>
      <w:tr w:rsidR="00FF0D97" w:rsidRPr="002E7DA4" w:rsidTr="00564E08">
        <w:tc>
          <w:tcPr>
            <w:tcW w:w="8908" w:type="dxa"/>
            <w:shd w:val="clear" w:color="auto" w:fill="000000" w:themeFill="text1"/>
          </w:tcPr>
          <w:p w:rsidR="00FF0D97" w:rsidRPr="002E7DA4" w:rsidRDefault="00251325" w:rsidP="00B0574A">
            <w:pPr>
              <w:rPr>
                <w:b/>
              </w:rPr>
            </w:pPr>
            <w:r>
              <w:rPr>
                <w:b/>
              </w:rPr>
              <w:t>CULTURALLY AND LINGUISTICALLY DIVERSE LEARNERS</w:t>
            </w:r>
          </w:p>
        </w:tc>
      </w:tr>
      <w:tr w:rsidR="00FF0D97" w:rsidRPr="002E7DA4" w:rsidTr="00564E08">
        <w:tc>
          <w:tcPr>
            <w:tcW w:w="8908" w:type="dxa"/>
          </w:tcPr>
          <w:p w:rsidR="00251325" w:rsidRPr="002E7DA4" w:rsidRDefault="00EB52F3" w:rsidP="007E577E">
            <w:pPr>
              <w:spacing w:after="120" w:line="240" w:lineRule="auto"/>
              <w:ind w:left="6"/>
            </w:pPr>
            <w:r w:rsidRPr="002E7DA4">
              <w:t xml:space="preserve">Approximately 40% of </w:t>
            </w:r>
            <w:r w:rsidR="007A45F5">
              <w:t xml:space="preserve">pre-accredited </w:t>
            </w:r>
            <w:r w:rsidRPr="002E7DA4">
              <w:t>delivery in Southern Metropolitan Region is in language and literacy.  A large percentage of this delivery supports the CALD cohort.</w:t>
            </w:r>
            <w:r w:rsidR="00251325">
              <w:t xml:space="preserve"> </w:t>
            </w:r>
            <w:r w:rsidR="00251325" w:rsidRPr="002E7DA4">
              <w:t xml:space="preserve">The </w:t>
            </w:r>
            <w:r w:rsidR="00251325">
              <w:t>LGAs</w:t>
            </w:r>
            <w:r w:rsidR="00251325" w:rsidRPr="002E7DA4">
              <w:t xml:space="preserve"> with high CALD population numbers are: City of Greater Dandenong (new arrivals, asylum seekers and refugees), Casey, Cardinia (both </w:t>
            </w:r>
            <w:r w:rsidR="00251325">
              <w:t>LGAs</w:t>
            </w:r>
            <w:r w:rsidR="00251325" w:rsidRPr="002E7DA4">
              <w:t xml:space="preserve"> have growing CALD communities), Kingston, Port Phillip and Stonnington (older CALD communities).</w:t>
            </w:r>
            <w:r w:rsidR="00251325">
              <w:t xml:space="preserve"> Growth in delivery can be expected in these LGAs</w:t>
            </w:r>
          </w:p>
          <w:p w:rsidR="009021D8" w:rsidRPr="002E7DA4" w:rsidRDefault="009021D8" w:rsidP="00251325">
            <w:pPr>
              <w:spacing w:after="120" w:line="240" w:lineRule="auto"/>
            </w:pPr>
            <w:r w:rsidRPr="002E7DA4">
              <w:t xml:space="preserve">Delivery of programs to CALD learners is very much dependent on the capacity of the Learn Local to engage and deliver programs appropriate to the cohort.  This cohort of learners is generally very well serviced in the area of English as an additional language.  </w:t>
            </w:r>
          </w:p>
          <w:p w:rsidR="009021D8" w:rsidRPr="002E7DA4" w:rsidRDefault="009021D8" w:rsidP="00251325">
            <w:pPr>
              <w:spacing w:after="120" w:line="240" w:lineRule="auto"/>
            </w:pPr>
            <w:r w:rsidRPr="002E7DA4">
              <w:t>Ideally, Learn Locals should</w:t>
            </w:r>
            <w:r w:rsidR="00046DD0" w:rsidRPr="002E7DA4">
              <w:t xml:space="preserve"> consider the</w:t>
            </w:r>
            <w:r w:rsidRPr="002E7DA4">
              <w:t xml:space="preserve"> deliver</w:t>
            </w:r>
            <w:r w:rsidR="00046DD0" w:rsidRPr="002E7DA4">
              <w:t>y of</w:t>
            </w:r>
            <w:r w:rsidRPr="002E7DA4">
              <w:t xml:space="preserve"> vocational </w:t>
            </w:r>
            <w:r w:rsidR="00046DD0" w:rsidRPr="002E7DA4">
              <w:t xml:space="preserve">courses </w:t>
            </w:r>
            <w:r w:rsidRPr="002E7DA4">
              <w:t xml:space="preserve">with EAL assistance embedded within </w:t>
            </w:r>
            <w:r w:rsidR="00B94DF3" w:rsidRPr="002E7DA4">
              <w:t>the program</w:t>
            </w:r>
          </w:p>
          <w:p w:rsidR="00FF0D97" w:rsidRPr="002E7DA4" w:rsidRDefault="00251325" w:rsidP="00251325">
            <w:pPr>
              <w:spacing w:after="120" w:line="240" w:lineRule="auto"/>
            </w:pPr>
            <w:r>
              <w:t xml:space="preserve">Changes in manufacturing sector employment in </w:t>
            </w:r>
            <w:r w:rsidR="000D3849" w:rsidRPr="002E7DA4">
              <w:t xml:space="preserve">Greater Dandenong, Casey and Cardinia could see a number of longer-term </w:t>
            </w:r>
            <w:r>
              <w:t>culturally and linguistically diverse</w:t>
            </w:r>
            <w:r w:rsidR="000D3849" w:rsidRPr="002E7DA4">
              <w:t xml:space="preserve"> residents </w:t>
            </w:r>
            <w:r>
              <w:t>with l</w:t>
            </w:r>
            <w:r w:rsidRPr="002E7DA4">
              <w:t xml:space="preserve">anguage </w:t>
            </w:r>
            <w:r w:rsidR="00276448">
              <w:t>and l</w:t>
            </w:r>
            <w:r w:rsidRPr="002E7DA4">
              <w:t xml:space="preserve">iteracy and digital literacy needs </w:t>
            </w:r>
            <w:r w:rsidR="000D3849" w:rsidRPr="002E7DA4">
              <w:t>retrenched.</w:t>
            </w:r>
          </w:p>
        </w:tc>
      </w:tr>
    </w:tbl>
    <w:p w:rsidR="00712A7C" w:rsidRDefault="00712A7C" w:rsidP="00FF0D97"/>
    <w:tbl>
      <w:tblPr>
        <w:tblStyle w:val="TableGrid"/>
        <w:tblW w:w="0" w:type="auto"/>
        <w:tblInd w:w="108" w:type="dxa"/>
        <w:tblLook w:val="04A0" w:firstRow="1" w:lastRow="0" w:firstColumn="1" w:lastColumn="0" w:noHBand="0" w:noVBand="1"/>
      </w:tblPr>
      <w:tblGrid>
        <w:gridCol w:w="8908"/>
      </w:tblGrid>
      <w:tr w:rsidR="00276448" w:rsidRPr="002E7DA4" w:rsidTr="00276448">
        <w:tc>
          <w:tcPr>
            <w:tcW w:w="8908" w:type="dxa"/>
            <w:shd w:val="clear" w:color="auto" w:fill="000000" w:themeFill="text1"/>
          </w:tcPr>
          <w:p w:rsidR="00276448" w:rsidRPr="00EB5D28" w:rsidRDefault="00276448" w:rsidP="00276448">
            <w:pPr>
              <w:rPr>
                <w:b/>
              </w:rPr>
            </w:pPr>
            <w:r>
              <w:rPr>
                <w:b/>
              </w:rPr>
              <w:t>PEOPLE WITH DISABILITY</w:t>
            </w:r>
          </w:p>
        </w:tc>
      </w:tr>
      <w:tr w:rsidR="00FF0D97" w:rsidRPr="002E7DA4" w:rsidTr="00276448">
        <w:trPr>
          <w:trHeight w:val="132"/>
        </w:trPr>
        <w:tc>
          <w:tcPr>
            <w:tcW w:w="8908" w:type="dxa"/>
          </w:tcPr>
          <w:p w:rsidR="001A52B3" w:rsidRPr="002E7DA4" w:rsidRDefault="000D612B" w:rsidP="007E577E">
            <w:pPr>
              <w:spacing w:after="120" w:line="240" w:lineRule="auto"/>
            </w:pPr>
            <w:r w:rsidRPr="002E7DA4">
              <w:t xml:space="preserve">The disability cohort in Southern Metropolitan region is receiving a significant percentage of pre-accredited training across all </w:t>
            </w:r>
            <w:r w:rsidR="00251325">
              <w:t>LGAs</w:t>
            </w:r>
            <w:r w:rsidRPr="002E7DA4">
              <w:t xml:space="preserve">. </w:t>
            </w:r>
            <w:r w:rsidR="001A52B3" w:rsidRPr="002E7DA4">
              <w:t xml:space="preserve">The 2016 data indicates that approximately one third of students have a disability across the Southern region.  </w:t>
            </w:r>
          </w:p>
          <w:p w:rsidR="000D612B" w:rsidRPr="002E7DA4" w:rsidRDefault="000D612B" w:rsidP="007E577E">
            <w:pPr>
              <w:spacing w:after="120" w:line="240" w:lineRule="auto"/>
            </w:pPr>
            <w:r w:rsidRPr="002E7DA4">
              <w:t xml:space="preserve">This is particularly clear in Frankston (40%) and Stonnington (55%). Stonnington </w:t>
            </w:r>
            <w:r w:rsidR="002D39FE" w:rsidRPr="002E7DA4">
              <w:t xml:space="preserve">has </w:t>
            </w:r>
            <w:r w:rsidRPr="002E7DA4">
              <w:t xml:space="preserve">a high percentage of public housing, and high level of disability provision. </w:t>
            </w:r>
          </w:p>
          <w:p w:rsidR="001A52B3" w:rsidRPr="002E7DA4" w:rsidRDefault="001A52B3" w:rsidP="007E577E">
            <w:pPr>
              <w:spacing w:after="120" w:line="240" w:lineRule="auto"/>
            </w:pPr>
            <w:r w:rsidRPr="002E7DA4">
              <w:t>The LGAs that have a much lower percentage of disability learners compared to disability population include Casey (5%), Frankston (7%), Glen Eira (4%), Kingston (5%</w:t>
            </w:r>
            <w:r w:rsidR="00024582" w:rsidRPr="002E7DA4">
              <w:t>) and Mornington Peninsula (6%), and there are trends indicating that the numbers are decreasing</w:t>
            </w:r>
            <w:r w:rsidR="00CE5F90">
              <w:t>.</w:t>
            </w:r>
            <w:r w:rsidRPr="002E7DA4">
              <w:t xml:space="preserve"> </w:t>
            </w:r>
          </w:p>
          <w:p w:rsidR="001F73F1" w:rsidRPr="002E7DA4" w:rsidRDefault="001F73F1" w:rsidP="007E577E">
            <w:pPr>
              <w:spacing w:after="120" w:line="240" w:lineRule="auto"/>
            </w:pPr>
            <w:r w:rsidRPr="002E7DA4">
              <w:t xml:space="preserve">The NDIS has </w:t>
            </w:r>
            <w:r w:rsidR="007A45F5">
              <w:t>c</w:t>
            </w:r>
            <w:r w:rsidRPr="002E7DA4">
              <w:t xml:space="preserve">apacity funding for skill building, training, learning, capacity building, and reaching for full potential. </w:t>
            </w:r>
            <w:r w:rsidR="00024582" w:rsidRPr="002E7DA4">
              <w:t xml:space="preserve"> There will be opportunities for Learn Locals to operate within the NDIS arrangements.  This might include fee for service or access to pre-accredited training.</w:t>
            </w:r>
          </w:p>
          <w:p w:rsidR="001F73F1" w:rsidRPr="002E7DA4" w:rsidRDefault="0028754E" w:rsidP="007E577E">
            <w:pPr>
              <w:spacing w:after="120" w:line="240" w:lineRule="auto"/>
            </w:pPr>
            <w:r w:rsidRPr="002E7DA4">
              <w:lastRenderedPageBreak/>
              <w:t>T</w:t>
            </w:r>
            <w:r w:rsidR="001F73F1" w:rsidRPr="002E7DA4">
              <w:t>he NDIS can fund a range of post-school supports to assist young people with disabilities to move into employment or other options. NDIS supports may include assistance across a range of life areas such as social and community participation, building life skills, mobility or communication technology, further study or finding and maintaining a job.</w:t>
            </w:r>
          </w:p>
          <w:p w:rsidR="007A45F5" w:rsidRPr="002E7DA4" w:rsidRDefault="001F73F1" w:rsidP="007E577E">
            <w:pPr>
              <w:spacing w:after="120" w:line="240" w:lineRule="auto"/>
            </w:pPr>
            <w:r w:rsidRPr="002E7DA4">
              <w:t>Disability Employment Providers can count pre-accredited programs as an ‘accepted activity’ for several categories of unemployed</w:t>
            </w:r>
            <w:r w:rsidR="007A45F5">
              <w:t xml:space="preserve"> clients</w:t>
            </w:r>
            <w:r w:rsidRPr="002E7DA4">
              <w:t xml:space="preserve">, </w:t>
            </w:r>
            <w:r w:rsidR="007A45F5">
              <w:t>again providing opportunities for Learn Local</w:t>
            </w:r>
            <w:r w:rsidR="0035777D">
              <w:t>s.</w:t>
            </w:r>
          </w:p>
        </w:tc>
      </w:tr>
    </w:tbl>
    <w:p w:rsidR="0035157F" w:rsidRDefault="0035157F" w:rsidP="00881563">
      <w:pPr>
        <w:spacing w:line="240" w:lineRule="auto"/>
      </w:pPr>
    </w:p>
    <w:tbl>
      <w:tblPr>
        <w:tblStyle w:val="TableGrid"/>
        <w:tblW w:w="0" w:type="auto"/>
        <w:tblInd w:w="108" w:type="dxa"/>
        <w:tblLook w:val="04A0" w:firstRow="1" w:lastRow="0" w:firstColumn="1" w:lastColumn="0" w:noHBand="0" w:noVBand="1"/>
      </w:tblPr>
      <w:tblGrid>
        <w:gridCol w:w="8908"/>
      </w:tblGrid>
      <w:tr w:rsidR="007A5470" w:rsidRPr="002E7DA4" w:rsidTr="00CF169D">
        <w:tc>
          <w:tcPr>
            <w:tcW w:w="8908" w:type="dxa"/>
            <w:shd w:val="clear" w:color="auto" w:fill="000000" w:themeFill="text1"/>
          </w:tcPr>
          <w:p w:rsidR="007A5470" w:rsidRPr="002E7DA4" w:rsidRDefault="007A45F5" w:rsidP="007A5470">
            <w:pPr>
              <w:rPr>
                <w:b/>
              </w:rPr>
            </w:pPr>
            <w:r>
              <w:rPr>
                <w:b/>
              </w:rPr>
              <w:t>YOUNG PEOPLE (15 -19) DISENGAGED FROM WORK AND/OR SCHOOL</w:t>
            </w:r>
          </w:p>
        </w:tc>
      </w:tr>
      <w:tr w:rsidR="007A5470" w:rsidRPr="002E7DA4" w:rsidTr="003C101A">
        <w:trPr>
          <w:trHeight w:val="3495"/>
        </w:trPr>
        <w:tc>
          <w:tcPr>
            <w:tcW w:w="8908" w:type="dxa"/>
            <w:tcBorders>
              <w:top w:val="nil"/>
            </w:tcBorders>
            <w:shd w:val="clear" w:color="auto" w:fill="FFFFFF" w:themeFill="background1"/>
          </w:tcPr>
          <w:p w:rsidR="002D1665" w:rsidRPr="002E7DA4" w:rsidRDefault="002D1665" w:rsidP="0035777D">
            <w:pPr>
              <w:spacing w:after="120" w:line="240" w:lineRule="auto"/>
            </w:pPr>
            <w:r w:rsidRPr="002E7DA4">
              <w:t xml:space="preserve">Services to disengaged young people are very patchy across the Southern Metropolitan area. </w:t>
            </w:r>
            <w:r w:rsidR="001A76CC" w:rsidRPr="002E7DA4">
              <w:t>There are a large number of government funded youth initiatives operating</w:t>
            </w:r>
            <w:r w:rsidR="00CE5F90">
              <w:t xml:space="preserve"> across the region including but not limited to </w:t>
            </w:r>
            <w:r w:rsidR="001A76CC" w:rsidRPr="002E7DA4">
              <w:t>Navigator and Reconnect which</w:t>
            </w:r>
            <w:r w:rsidR="00CE5F90">
              <w:t xml:space="preserve"> provide support for disengaged young people or early school leavers to engage in education and training.  </w:t>
            </w:r>
          </w:p>
          <w:p w:rsidR="002D1665" w:rsidRPr="002E7DA4" w:rsidRDefault="002D1665" w:rsidP="0035777D">
            <w:pPr>
              <w:spacing w:after="120" w:line="240" w:lineRule="auto"/>
            </w:pPr>
            <w:r w:rsidRPr="002E7DA4">
              <w:t>Delivery is generally strong in Casey, Frankston, Greater Dandenong, Mornington Peninsula and Port Phillip</w:t>
            </w:r>
            <w:r w:rsidR="007A45F5">
              <w:t>, which</w:t>
            </w:r>
            <w:r w:rsidRPr="002E7DA4">
              <w:t xml:space="preserve"> corresponds with locations of the organisations that have chosen to direct their services to youth. Most of these organisations are RTOs and so pre-accredited funding supports pathways into accredited delivery and senior secondary certificates. </w:t>
            </w:r>
          </w:p>
          <w:p w:rsidR="007A45F5" w:rsidRDefault="002D1665" w:rsidP="0035777D">
            <w:pPr>
              <w:spacing w:after="120" w:line="240" w:lineRule="auto"/>
            </w:pPr>
            <w:r w:rsidRPr="002E7DA4">
              <w:t>Ideally a stronger response to disengaged youth is required in Cardinia where there is a significant population increase</w:t>
            </w:r>
          </w:p>
          <w:p w:rsidR="00564E08" w:rsidRPr="003C101A" w:rsidRDefault="005D2F86" w:rsidP="0035777D">
            <w:pPr>
              <w:spacing w:after="120" w:line="240" w:lineRule="auto"/>
              <w:rPr>
                <w:rFonts w:cs="Times New Roman"/>
              </w:rPr>
            </w:pPr>
            <w:r w:rsidRPr="002E7DA4">
              <w:rPr>
                <w:rFonts w:cs="Arial"/>
              </w:rPr>
              <w:t>Young people are often unaware of the availabi</w:t>
            </w:r>
            <w:r w:rsidR="003C101A">
              <w:rPr>
                <w:rFonts w:cs="Arial"/>
              </w:rPr>
              <w:t>lity of pre-accredited training</w:t>
            </w:r>
            <w:r w:rsidR="000712CD">
              <w:t xml:space="preserve"> </w:t>
            </w:r>
          </w:p>
        </w:tc>
      </w:tr>
    </w:tbl>
    <w:p w:rsidR="00712A7C" w:rsidRDefault="00712A7C"/>
    <w:tbl>
      <w:tblPr>
        <w:tblStyle w:val="TableGrid"/>
        <w:tblW w:w="0" w:type="auto"/>
        <w:tblInd w:w="108" w:type="dxa"/>
        <w:tblLook w:val="04A0" w:firstRow="1" w:lastRow="0" w:firstColumn="1" w:lastColumn="0" w:noHBand="0" w:noVBand="1"/>
      </w:tblPr>
      <w:tblGrid>
        <w:gridCol w:w="8908"/>
      </w:tblGrid>
      <w:tr w:rsidR="003C101A" w:rsidRPr="002E7DA4" w:rsidTr="007A5470">
        <w:tc>
          <w:tcPr>
            <w:tcW w:w="8908" w:type="dxa"/>
            <w:shd w:val="clear" w:color="auto" w:fill="000000" w:themeFill="text1"/>
          </w:tcPr>
          <w:p w:rsidR="003C101A" w:rsidRDefault="003C101A" w:rsidP="003C101A">
            <w:r w:rsidRPr="00BE275C">
              <w:rPr>
                <w:b/>
              </w:rPr>
              <w:t xml:space="preserve">EARLY SCHOOL LEAVERS </w:t>
            </w:r>
          </w:p>
        </w:tc>
      </w:tr>
      <w:tr w:rsidR="007A5470" w:rsidRPr="002E7DA4" w:rsidTr="00667BF8">
        <w:tc>
          <w:tcPr>
            <w:tcW w:w="8908" w:type="dxa"/>
          </w:tcPr>
          <w:p w:rsidR="007A5470" w:rsidRPr="002E7DA4" w:rsidRDefault="007A5470" w:rsidP="003C101A">
            <w:pPr>
              <w:spacing w:after="120" w:line="240" w:lineRule="auto"/>
            </w:pPr>
            <w:r w:rsidRPr="002E7DA4">
              <w:t xml:space="preserve">Delivery to Early School Leavers is on the low side across Southern Metropolitan Region particularly in the </w:t>
            </w:r>
            <w:r w:rsidR="00251325">
              <w:t>LGAs</w:t>
            </w:r>
            <w:r w:rsidRPr="002E7DA4">
              <w:t xml:space="preserve"> of Casey, Frankston and Kingston. </w:t>
            </w:r>
            <w:r w:rsidR="003C101A">
              <w:t>It</w:t>
            </w:r>
            <w:r w:rsidR="008930D1" w:rsidRPr="002E7DA4">
              <w:t xml:space="preserve"> would be desirable for there to be</w:t>
            </w:r>
            <w:r w:rsidRPr="002E7DA4">
              <w:t xml:space="preserve"> an increase</w:t>
            </w:r>
            <w:r w:rsidR="008930D1" w:rsidRPr="002E7DA4">
              <w:t>d participation of</w:t>
            </w:r>
            <w:r w:rsidR="000712CD">
              <w:t xml:space="preserve"> </w:t>
            </w:r>
            <w:r w:rsidRPr="002E7DA4">
              <w:t>Early School Leavers in Cardinia, Casey, Frankston and Mornington Peninsula.</w:t>
            </w:r>
          </w:p>
          <w:p w:rsidR="007A5470" w:rsidRPr="002E7DA4" w:rsidRDefault="00AB2361" w:rsidP="003C101A">
            <w:pPr>
              <w:spacing w:after="120" w:line="240" w:lineRule="auto"/>
            </w:pPr>
            <w:r w:rsidRPr="002E7DA4">
              <w:t xml:space="preserve">Those who have not completed year </w:t>
            </w:r>
            <w:r w:rsidR="00F630F2">
              <w:t xml:space="preserve">11 or </w:t>
            </w:r>
            <w:r w:rsidRPr="002E7DA4">
              <w:t>12 (early school leavers) are a difficult group to identify and reach out to in the community.</w:t>
            </w:r>
          </w:p>
          <w:p w:rsidR="007A5470" w:rsidRPr="002E7DA4" w:rsidRDefault="007A5470" w:rsidP="003C101A">
            <w:pPr>
              <w:spacing w:after="120" w:line="240" w:lineRule="auto"/>
            </w:pPr>
            <w:r w:rsidRPr="002E7DA4">
              <w:t>A key driver facing those who lack year 12 or equivalent is the changing face of employment.  More sophisticated work requirements require good levels of literacy and IT</w:t>
            </w:r>
            <w:r w:rsidR="00AB2361" w:rsidRPr="002E7DA4">
              <w:t>, so it increasingly critical that ACFE is able to link with and support this group</w:t>
            </w:r>
            <w:r w:rsidRPr="002E7DA4">
              <w:t>.</w:t>
            </w:r>
          </w:p>
        </w:tc>
      </w:tr>
    </w:tbl>
    <w:p w:rsidR="00C86B39" w:rsidRDefault="00C86B39"/>
    <w:tbl>
      <w:tblPr>
        <w:tblStyle w:val="TableGrid"/>
        <w:tblW w:w="0" w:type="auto"/>
        <w:tblInd w:w="108" w:type="dxa"/>
        <w:tblLook w:val="04A0" w:firstRow="1" w:lastRow="0" w:firstColumn="1" w:lastColumn="0" w:noHBand="0" w:noVBand="1"/>
      </w:tblPr>
      <w:tblGrid>
        <w:gridCol w:w="8908"/>
      </w:tblGrid>
      <w:tr w:rsidR="003C101A" w:rsidTr="00233DF5">
        <w:tc>
          <w:tcPr>
            <w:tcW w:w="8908" w:type="dxa"/>
            <w:shd w:val="clear" w:color="auto" w:fill="000000" w:themeFill="text1"/>
          </w:tcPr>
          <w:p w:rsidR="003C101A" w:rsidRPr="00EB5D28" w:rsidRDefault="003C101A" w:rsidP="00233DF5">
            <w:pPr>
              <w:rPr>
                <w:b/>
              </w:rPr>
            </w:pPr>
            <w:r>
              <w:rPr>
                <w:b/>
              </w:rPr>
              <w:t>INDIGENOUS LEARNERS</w:t>
            </w:r>
          </w:p>
        </w:tc>
      </w:tr>
      <w:tr w:rsidR="00FF0D97" w:rsidRPr="002E7DA4" w:rsidTr="00B0574A">
        <w:tc>
          <w:tcPr>
            <w:tcW w:w="8908" w:type="dxa"/>
          </w:tcPr>
          <w:p w:rsidR="00AE2927" w:rsidRPr="002E7DA4" w:rsidRDefault="00AE2927" w:rsidP="0035777D">
            <w:pPr>
              <w:spacing w:after="120" w:line="240" w:lineRule="auto"/>
            </w:pPr>
            <w:r w:rsidRPr="002E7DA4">
              <w:t xml:space="preserve">There are small communities with </w:t>
            </w:r>
            <w:r w:rsidR="00B138E6">
              <w:t>I</w:t>
            </w:r>
            <w:r w:rsidRPr="002E7DA4">
              <w:t xml:space="preserve">ndigenous residents throughout </w:t>
            </w:r>
            <w:r w:rsidR="005E2B15">
              <w:t>the region</w:t>
            </w:r>
            <w:r w:rsidRPr="002E7DA4">
              <w:t xml:space="preserve"> with slightly larger numbers on the Mornington Peninsula (Western Port), Casey and Frankston.  </w:t>
            </w:r>
          </w:p>
          <w:p w:rsidR="00AE2927" w:rsidRPr="002E7DA4" w:rsidRDefault="00AE2927" w:rsidP="0035777D">
            <w:pPr>
              <w:spacing w:after="120" w:line="240" w:lineRule="auto"/>
            </w:pPr>
            <w:r w:rsidRPr="002E7DA4">
              <w:t>There are significant numbers of learners in Port Phillip due to Ngwala Willumbong Co-op being located there.</w:t>
            </w:r>
          </w:p>
          <w:p w:rsidR="00FF0D97" w:rsidRPr="002E7DA4" w:rsidRDefault="000F1E54" w:rsidP="005E2B15">
            <w:pPr>
              <w:spacing w:after="120" w:line="240" w:lineRule="auto"/>
            </w:pPr>
            <w:r w:rsidRPr="002E7DA4">
              <w:t>Data indicates that there is a need for an increase in delivery in Casey, Frankston, Mornington Peninsula (geographically closely located and with relatively large numbers of indigenous residents).</w:t>
            </w:r>
          </w:p>
        </w:tc>
      </w:tr>
    </w:tbl>
    <w:p w:rsidR="005E2B15" w:rsidRDefault="005E2B15"/>
    <w:p w:rsidR="005E2B15" w:rsidRDefault="005E2B15">
      <w:pPr>
        <w:spacing w:after="160" w:line="259" w:lineRule="auto"/>
      </w:pPr>
      <w:r>
        <w:br w:type="page"/>
      </w:r>
    </w:p>
    <w:p w:rsidR="005E2B15" w:rsidRDefault="005E2B15"/>
    <w:tbl>
      <w:tblPr>
        <w:tblStyle w:val="TableGrid"/>
        <w:tblW w:w="0" w:type="auto"/>
        <w:tblInd w:w="108" w:type="dxa"/>
        <w:tblLook w:val="04A0" w:firstRow="1" w:lastRow="0" w:firstColumn="1" w:lastColumn="0" w:noHBand="0" w:noVBand="1"/>
      </w:tblPr>
      <w:tblGrid>
        <w:gridCol w:w="8908"/>
      </w:tblGrid>
      <w:tr w:rsidR="0035777D" w:rsidTr="00233DF5">
        <w:tc>
          <w:tcPr>
            <w:tcW w:w="8908" w:type="dxa"/>
            <w:shd w:val="clear" w:color="auto" w:fill="000000" w:themeFill="text1"/>
          </w:tcPr>
          <w:p w:rsidR="0035777D" w:rsidRPr="00EB5D28" w:rsidRDefault="0035777D" w:rsidP="00233DF5">
            <w:pPr>
              <w:rPr>
                <w:b/>
              </w:rPr>
            </w:pPr>
            <w:r>
              <w:rPr>
                <w:b/>
              </w:rPr>
              <w:t>UNEMPLOYED PEOPLE</w:t>
            </w:r>
          </w:p>
        </w:tc>
      </w:tr>
      <w:tr w:rsidR="00FF0D97" w:rsidRPr="002E7DA4" w:rsidTr="00881563">
        <w:tc>
          <w:tcPr>
            <w:tcW w:w="8908" w:type="dxa"/>
          </w:tcPr>
          <w:p w:rsidR="00E728C2" w:rsidRPr="001E0A88" w:rsidRDefault="00E728C2" w:rsidP="001E0A88">
            <w:pPr>
              <w:spacing w:after="120" w:line="240" w:lineRule="auto"/>
              <w:rPr>
                <w:rFonts w:eastAsia="Times New Roman" w:cs="Times New Roman"/>
              </w:rPr>
            </w:pPr>
            <w:r w:rsidRPr="001E0A88">
              <w:rPr>
                <w:rFonts w:eastAsia="Times New Roman" w:cs="Times New Roman"/>
              </w:rPr>
              <w:t xml:space="preserve">Labour market conditions in the </w:t>
            </w:r>
            <w:r w:rsidR="005E2B15" w:rsidRPr="001E0A88">
              <w:rPr>
                <w:rFonts w:eastAsia="Times New Roman" w:cs="Times New Roman"/>
              </w:rPr>
              <w:t>region are subdued. The u</w:t>
            </w:r>
            <w:r w:rsidRPr="001E0A88">
              <w:rPr>
                <w:rFonts w:eastAsia="Times New Roman" w:cs="Times New Roman"/>
              </w:rPr>
              <w:t xml:space="preserve">nemployment rate </w:t>
            </w:r>
            <w:r w:rsidR="005E2B15" w:rsidRPr="001E0A88">
              <w:rPr>
                <w:rFonts w:eastAsia="Times New Roman" w:cs="Times New Roman"/>
              </w:rPr>
              <w:t xml:space="preserve">is </w:t>
            </w:r>
            <w:r w:rsidRPr="001E0A88">
              <w:rPr>
                <w:rFonts w:eastAsia="Times New Roman" w:cs="Times New Roman"/>
              </w:rPr>
              <w:t>above state and national rates</w:t>
            </w:r>
            <w:r w:rsidR="005E2B15" w:rsidRPr="001E0A88">
              <w:rPr>
                <w:rFonts w:eastAsia="Times New Roman" w:cs="Times New Roman"/>
              </w:rPr>
              <w:t>, m</w:t>
            </w:r>
            <w:r w:rsidRPr="001E0A88">
              <w:rPr>
                <w:rFonts w:eastAsia="Times New Roman" w:cs="Times New Roman"/>
              </w:rPr>
              <w:t xml:space="preserve">ale full-time employment </w:t>
            </w:r>
            <w:r w:rsidR="005E2B15" w:rsidRPr="001E0A88">
              <w:rPr>
                <w:rFonts w:eastAsia="Times New Roman" w:cs="Times New Roman"/>
              </w:rPr>
              <w:t xml:space="preserve">is </w:t>
            </w:r>
            <w:r w:rsidRPr="001E0A88">
              <w:rPr>
                <w:rFonts w:eastAsia="Times New Roman" w:cs="Times New Roman"/>
              </w:rPr>
              <w:t xml:space="preserve">declining </w:t>
            </w:r>
            <w:r w:rsidR="005E2B15" w:rsidRPr="001E0A88">
              <w:rPr>
                <w:rFonts w:eastAsia="Times New Roman" w:cs="Times New Roman"/>
              </w:rPr>
              <w:t>and j</w:t>
            </w:r>
            <w:r w:rsidRPr="001E0A88">
              <w:rPr>
                <w:rFonts w:eastAsia="Times New Roman" w:cs="Times New Roman"/>
              </w:rPr>
              <w:t>ob applicant numbers</w:t>
            </w:r>
            <w:r w:rsidR="005E2B15" w:rsidRPr="001E0A88">
              <w:rPr>
                <w:rFonts w:eastAsia="Times New Roman" w:cs="Times New Roman"/>
              </w:rPr>
              <w:t xml:space="preserve"> are</w:t>
            </w:r>
            <w:r w:rsidRPr="001E0A88">
              <w:rPr>
                <w:rFonts w:eastAsia="Times New Roman" w:cs="Times New Roman"/>
              </w:rPr>
              <w:t xml:space="preserve"> increasing </w:t>
            </w:r>
          </w:p>
          <w:p w:rsidR="00E728C2" w:rsidRPr="001E0A88" w:rsidRDefault="00E728C2" w:rsidP="001E0A88">
            <w:pPr>
              <w:spacing w:after="120" w:line="240" w:lineRule="auto"/>
              <w:rPr>
                <w:rFonts w:eastAsia="Times New Roman" w:cs="Times New Roman"/>
              </w:rPr>
            </w:pPr>
            <w:r w:rsidRPr="001E0A88">
              <w:rPr>
                <w:rFonts w:eastAsia="Times New Roman" w:cs="Times New Roman"/>
              </w:rPr>
              <w:t>Challenges for the region</w:t>
            </w:r>
            <w:r w:rsidR="005E2B15" w:rsidRPr="001E0A88">
              <w:rPr>
                <w:rFonts w:eastAsia="Times New Roman" w:cs="Times New Roman"/>
              </w:rPr>
              <w:t xml:space="preserve"> include the transition in available employment from lower skilled manufacturing to the services sector or to higher skilled jobs in manufacturing, addressing low levels of English proficiency and supporting workforce participation by migrants</w:t>
            </w:r>
          </w:p>
          <w:p w:rsidR="00E728C2" w:rsidRPr="001E0A88" w:rsidRDefault="005E2B15" w:rsidP="001E0A88">
            <w:pPr>
              <w:spacing w:after="120" w:line="240" w:lineRule="auto"/>
              <w:rPr>
                <w:rFonts w:eastAsia="Times New Roman" w:cs="Times New Roman"/>
              </w:rPr>
            </w:pPr>
            <w:r w:rsidRPr="001E0A88">
              <w:rPr>
                <w:rFonts w:eastAsia="Times New Roman" w:cs="Times New Roman"/>
              </w:rPr>
              <w:t xml:space="preserve">Learn Local organisations should increase </w:t>
            </w:r>
            <w:r w:rsidRPr="001E0A88">
              <w:t>their provision of programs focussing on the job ready skills – employability skills, English proficiency, etc.</w:t>
            </w:r>
          </w:p>
          <w:p w:rsidR="00E728C2" w:rsidRPr="001E0A88" w:rsidRDefault="00E728C2" w:rsidP="001E0A88">
            <w:pPr>
              <w:spacing w:after="120" w:line="240" w:lineRule="auto"/>
            </w:pPr>
            <w:r w:rsidRPr="001E0A88">
              <w:t xml:space="preserve">Job </w:t>
            </w:r>
            <w:r w:rsidR="001E0A88" w:rsidRPr="001E0A88">
              <w:t>Active providers</w:t>
            </w:r>
            <w:r w:rsidRPr="001E0A88">
              <w:t xml:space="preserve"> and Disability Employment Providers can now count pre-accredited programs as an ‘accepted activity’ for several categories of unemployed, thus the potential for LLOs to locate and deliver programs to unemployed people has increased. </w:t>
            </w:r>
          </w:p>
          <w:p w:rsidR="009A252E" w:rsidRPr="001E0A88" w:rsidRDefault="009A252E" w:rsidP="001E0A88">
            <w:pPr>
              <w:spacing w:after="120" w:line="240" w:lineRule="auto"/>
            </w:pPr>
            <w:r w:rsidRPr="001E0A88">
              <w:t>Bayside</w:t>
            </w:r>
            <w:r w:rsidR="001E0A88" w:rsidRPr="001E0A88">
              <w:t>, Mornington Peninsula, Port Phillip and Stonnington currently have pre-accredited delivery to unemployed people that is an appropriate response to the demand and should be maintained.</w:t>
            </w:r>
          </w:p>
          <w:p w:rsidR="001E0A88" w:rsidRPr="001E0A88" w:rsidRDefault="001E0A88" w:rsidP="001E0A88">
            <w:pPr>
              <w:spacing w:after="120" w:line="240" w:lineRule="auto"/>
            </w:pPr>
            <w:r w:rsidRPr="001E0A88">
              <w:t xml:space="preserve">Increases in provision to this cohort are desirable in </w:t>
            </w:r>
            <w:r w:rsidR="009A252E" w:rsidRPr="001E0A88">
              <w:t>Cardinia</w:t>
            </w:r>
            <w:r w:rsidRPr="001E0A88">
              <w:t>, Frankston, Glen Eira, and Kingston. The City of Greater Dandenong is highly disadvantaged and the need for additional programs is clear. There is a critical need to increase engagement with the large number of unemployed people in the City of Casey.</w:t>
            </w:r>
          </w:p>
          <w:p w:rsidR="001E0A88" w:rsidRDefault="009A252E" w:rsidP="001E0A88">
            <w:pPr>
              <w:spacing w:after="120" w:line="240" w:lineRule="auto"/>
              <w:rPr>
                <w:rFonts w:eastAsia="Times New Roman" w:cs="Times New Roman"/>
              </w:rPr>
            </w:pPr>
            <w:r w:rsidRPr="002E7DA4">
              <w:rPr>
                <w:rFonts w:eastAsia="Times New Roman" w:cs="Times New Roman"/>
              </w:rPr>
              <w:t xml:space="preserve">There is a need </w:t>
            </w:r>
            <w:r w:rsidR="00384359" w:rsidRPr="002E7DA4">
              <w:rPr>
                <w:rFonts w:eastAsia="Times New Roman" w:cs="Times New Roman"/>
              </w:rPr>
              <w:t xml:space="preserve">for LLOs to work with relevant </w:t>
            </w:r>
            <w:r w:rsidR="00D860DC" w:rsidRPr="002E7DA4">
              <w:rPr>
                <w:rFonts w:eastAsia="Times New Roman" w:cs="Times New Roman"/>
              </w:rPr>
              <w:t>industries and</w:t>
            </w:r>
            <w:r w:rsidR="00384359" w:rsidRPr="002E7DA4">
              <w:rPr>
                <w:rFonts w:eastAsia="Times New Roman" w:cs="Times New Roman"/>
              </w:rPr>
              <w:t xml:space="preserve"> agencies to support the </w:t>
            </w:r>
            <w:r w:rsidRPr="002E7DA4">
              <w:rPr>
                <w:rFonts w:eastAsia="Times New Roman" w:cs="Times New Roman"/>
              </w:rPr>
              <w:t>t</w:t>
            </w:r>
            <w:r w:rsidR="00FF0D97" w:rsidRPr="002E7DA4">
              <w:rPr>
                <w:rFonts w:eastAsia="Times New Roman" w:cs="Times New Roman"/>
              </w:rPr>
              <w:t xml:space="preserve">ransition </w:t>
            </w:r>
            <w:r w:rsidRPr="002E7DA4">
              <w:rPr>
                <w:rFonts w:eastAsia="Times New Roman" w:cs="Times New Roman"/>
              </w:rPr>
              <w:t xml:space="preserve">of </w:t>
            </w:r>
            <w:r w:rsidR="00E728C2">
              <w:rPr>
                <w:rFonts w:eastAsia="Times New Roman" w:cs="Times New Roman"/>
              </w:rPr>
              <w:t xml:space="preserve">low-skills </w:t>
            </w:r>
            <w:r w:rsidRPr="002E7DA4">
              <w:rPr>
                <w:rFonts w:eastAsia="Times New Roman" w:cs="Times New Roman"/>
              </w:rPr>
              <w:t xml:space="preserve">workers </w:t>
            </w:r>
            <w:r w:rsidR="00FF0D97" w:rsidRPr="002E7DA4">
              <w:rPr>
                <w:rFonts w:eastAsia="Times New Roman" w:cs="Times New Roman"/>
              </w:rPr>
              <w:t xml:space="preserve">from </w:t>
            </w:r>
            <w:r w:rsidRPr="002E7DA4">
              <w:rPr>
                <w:rFonts w:eastAsia="Times New Roman" w:cs="Times New Roman"/>
              </w:rPr>
              <w:t>the m</w:t>
            </w:r>
            <w:r w:rsidR="00FF0D97" w:rsidRPr="002E7DA4">
              <w:rPr>
                <w:rFonts w:eastAsia="Times New Roman" w:cs="Times New Roman"/>
              </w:rPr>
              <w:t>anuf</w:t>
            </w:r>
            <w:r w:rsidR="00384359" w:rsidRPr="002E7DA4">
              <w:rPr>
                <w:rFonts w:eastAsia="Times New Roman" w:cs="Times New Roman"/>
              </w:rPr>
              <w:t>acturing to the services sector by providing literacy, IT, and generic employability skills.</w:t>
            </w:r>
            <w:r w:rsidR="00E728C2">
              <w:rPr>
                <w:rFonts w:eastAsia="Times New Roman" w:cs="Times New Roman"/>
              </w:rPr>
              <w:t xml:space="preserve">  </w:t>
            </w:r>
          </w:p>
          <w:p w:rsidR="00FF0D97" w:rsidRPr="002E7DA4" w:rsidRDefault="009A252E" w:rsidP="001E0A88">
            <w:pPr>
              <w:spacing w:after="120" w:line="240" w:lineRule="auto"/>
              <w:rPr>
                <w:rFonts w:eastAsia="Times New Roman" w:cs="Times New Roman"/>
              </w:rPr>
            </w:pPr>
            <w:r w:rsidRPr="002E7DA4">
              <w:rPr>
                <w:rFonts w:eastAsia="Times New Roman" w:cs="Times New Roman"/>
              </w:rPr>
              <w:t xml:space="preserve">Feedback from employers is that </w:t>
            </w:r>
            <w:r w:rsidR="00FF0D97" w:rsidRPr="002E7DA4">
              <w:rPr>
                <w:rFonts w:eastAsia="Times New Roman" w:cs="Times New Roman"/>
              </w:rPr>
              <w:t>Job seekers need to be job ready</w:t>
            </w:r>
            <w:r w:rsidRPr="002E7DA4">
              <w:rPr>
                <w:rFonts w:eastAsia="Times New Roman" w:cs="Times New Roman"/>
              </w:rPr>
              <w:t xml:space="preserve"> with current work experience and good employability skills (including English proficiency).</w:t>
            </w:r>
            <w:r w:rsidR="00384359" w:rsidRPr="002E7DA4">
              <w:rPr>
                <w:rFonts w:eastAsia="Times New Roman" w:cs="Times New Roman"/>
              </w:rPr>
              <w:t xml:space="preserve">  This makes a strong case for increased participation of unemployed workers in ACFE programs.</w:t>
            </w:r>
          </w:p>
        </w:tc>
      </w:tr>
    </w:tbl>
    <w:p w:rsidR="00C86B39" w:rsidRDefault="00C86B39"/>
    <w:tbl>
      <w:tblPr>
        <w:tblStyle w:val="TableGrid"/>
        <w:tblW w:w="0" w:type="auto"/>
        <w:tblInd w:w="108" w:type="dxa"/>
        <w:tblLook w:val="04A0" w:firstRow="1" w:lastRow="0" w:firstColumn="1" w:lastColumn="0" w:noHBand="0" w:noVBand="1"/>
      </w:tblPr>
      <w:tblGrid>
        <w:gridCol w:w="8908"/>
      </w:tblGrid>
      <w:tr w:rsidR="00FF0D97" w:rsidRPr="002E7DA4" w:rsidTr="001E0A88">
        <w:tc>
          <w:tcPr>
            <w:tcW w:w="8908" w:type="dxa"/>
            <w:shd w:val="clear" w:color="auto" w:fill="000000" w:themeFill="text1"/>
          </w:tcPr>
          <w:p w:rsidR="00FF0D97" w:rsidRPr="002E7DA4" w:rsidRDefault="00FF0D97" w:rsidP="001059E5">
            <w:pPr>
              <w:rPr>
                <w:b/>
              </w:rPr>
            </w:pPr>
            <w:r w:rsidRPr="002E7DA4">
              <w:rPr>
                <w:b/>
              </w:rPr>
              <w:t>VULNERABLE WORKERS</w:t>
            </w:r>
          </w:p>
        </w:tc>
      </w:tr>
      <w:tr w:rsidR="00FF0D97" w:rsidRPr="002E7DA4" w:rsidTr="001E0A88">
        <w:tc>
          <w:tcPr>
            <w:tcW w:w="8908" w:type="dxa"/>
          </w:tcPr>
          <w:p w:rsidR="005046A4" w:rsidRDefault="001059E5" w:rsidP="001059E5">
            <w:pPr>
              <w:spacing w:after="120" w:line="240" w:lineRule="auto"/>
            </w:pPr>
            <w:r>
              <w:t>T</w:t>
            </w:r>
            <w:r w:rsidR="00855001">
              <w:t xml:space="preserve">he discontinuation of the Federal WELL (Workplace English Language and Literacy) program </w:t>
            </w:r>
            <w:r w:rsidR="005046A4">
              <w:t>has greatly reduced educational provision to these workers, and left a major gap which LLOs should be developing strategies to fill.</w:t>
            </w:r>
          </w:p>
          <w:p w:rsidR="007B33E7" w:rsidRPr="002E7DA4" w:rsidRDefault="001059E5" w:rsidP="001059E5">
            <w:pPr>
              <w:spacing w:after="120" w:line="240" w:lineRule="auto"/>
            </w:pPr>
            <w:r>
              <w:t>Th</w:t>
            </w:r>
            <w:r w:rsidRPr="002E7DA4">
              <w:t>e</w:t>
            </w:r>
            <w:r w:rsidR="007B33E7" w:rsidRPr="002E7DA4">
              <w:t xml:space="preserve"> </w:t>
            </w:r>
            <w:r w:rsidR="005046A4">
              <w:t>LGAs of Casey, Cardinia, Frankston, Greater Dandenong and Kingston have</w:t>
            </w:r>
            <w:r w:rsidR="007B33E7" w:rsidRPr="002E7DA4">
              <w:t xml:space="preserve"> been </w:t>
            </w:r>
            <w:r w:rsidR="005046A4">
              <w:t>the</w:t>
            </w:r>
            <w:r w:rsidR="007B33E7" w:rsidRPr="002E7DA4">
              <w:t xml:space="preserve"> manufacturing hub of </w:t>
            </w:r>
            <w:r w:rsidR="00781E85" w:rsidRPr="002E7DA4">
              <w:t>Victoria</w:t>
            </w:r>
            <w:r w:rsidR="005046A4">
              <w:t>. T</w:t>
            </w:r>
            <w:r w:rsidR="007B33E7" w:rsidRPr="002E7DA4">
              <w:t xml:space="preserve">he closure Ford and Holden, and the imminent closure of Toyota will </w:t>
            </w:r>
            <w:r w:rsidR="00855001">
              <w:t>impact</w:t>
            </w:r>
            <w:r w:rsidR="007B33E7" w:rsidRPr="002E7DA4">
              <w:t xml:space="preserve"> the </w:t>
            </w:r>
            <w:r w:rsidR="00855001">
              <w:t>many</w:t>
            </w:r>
            <w:r w:rsidR="007B33E7" w:rsidRPr="002E7DA4">
              <w:t xml:space="preserve"> vulnerable workers within the region.  Fifty percent of the supply chain industries and sixty percent of the Automotive Supply Chain workers are located in the South East Melbourne region.</w:t>
            </w:r>
            <w:r w:rsidR="005046A4">
              <w:t xml:space="preserve">  </w:t>
            </w:r>
            <w:r w:rsidR="007B33E7" w:rsidRPr="002E7DA4">
              <w:t>The workforce contains a high concentration of long term workers aged 45 and over, with limited English language and digital literacy skills.</w:t>
            </w:r>
          </w:p>
          <w:p w:rsidR="007B33E7" w:rsidRPr="002E7DA4" w:rsidRDefault="005046A4" w:rsidP="001059E5">
            <w:pPr>
              <w:spacing w:after="120" w:line="240" w:lineRule="auto"/>
            </w:pPr>
            <w:r>
              <w:t>Reaching the vulnerable (low English, education and employment skills) workers</w:t>
            </w:r>
            <w:r w:rsidR="007B33E7" w:rsidRPr="002E7DA4">
              <w:t xml:space="preserve"> requires Learn Locals to develop engagement strategies that involve building relationships with employers, Job Actives and industry groups.</w:t>
            </w:r>
          </w:p>
          <w:p w:rsidR="004A6F94" w:rsidRPr="002E7DA4" w:rsidRDefault="001059E5" w:rsidP="007E577E">
            <w:pPr>
              <w:spacing w:after="120" w:line="240" w:lineRule="auto"/>
            </w:pPr>
            <w:r>
              <w:t>Local information indicates that</w:t>
            </w:r>
            <w:r w:rsidR="007B33E7" w:rsidRPr="002E7DA4">
              <w:t xml:space="preserve"> there </w:t>
            </w:r>
            <w:r>
              <w:t xml:space="preserve">are </w:t>
            </w:r>
            <w:r w:rsidR="007B33E7" w:rsidRPr="002E7DA4">
              <w:t xml:space="preserve">significant numbers of employees in this area </w:t>
            </w:r>
            <w:r w:rsidR="00855001">
              <w:t xml:space="preserve">are </w:t>
            </w:r>
            <w:r w:rsidR="007B33E7" w:rsidRPr="002E7DA4">
              <w:t>engaged in part time and casual work</w:t>
            </w:r>
            <w:r w:rsidR="00855001">
              <w:t xml:space="preserve"> rather than full time work.</w:t>
            </w:r>
            <w:r>
              <w:t xml:space="preserve"> Improving the skill levels of these workers may improve their chances of securing more work.</w:t>
            </w:r>
          </w:p>
        </w:tc>
      </w:tr>
    </w:tbl>
    <w:p w:rsidR="00B0574A" w:rsidRPr="002E7DA4" w:rsidRDefault="00B0574A"/>
    <w:sectPr w:rsidR="00B0574A" w:rsidRPr="002E7DA4" w:rsidSect="005265BD">
      <w:pgSz w:w="11906" w:h="16838"/>
      <w:pgMar w:top="993" w:right="1440" w:bottom="993"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58" w:rsidRDefault="006C1258">
      <w:pPr>
        <w:spacing w:after="0" w:line="240" w:lineRule="auto"/>
      </w:pPr>
      <w:r>
        <w:separator/>
      </w:r>
    </w:p>
  </w:endnote>
  <w:endnote w:type="continuationSeparator" w:id="0">
    <w:p w:rsidR="006C1258" w:rsidRDefault="006C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98261"/>
      <w:docPartObj>
        <w:docPartGallery w:val="Page Numbers (Bottom of Page)"/>
        <w:docPartUnique/>
      </w:docPartObj>
    </w:sdtPr>
    <w:sdtEndPr>
      <w:rPr>
        <w:noProof/>
      </w:rPr>
    </w:sdtEndPr>
    <w:sdtContent>
      <w:p w:rsidR="0020032A" w:rsidRDefault="0020032A">
        <w:pPr>
          <w:pStyle w:val="Footer"/>
          <w:jc w:val="right"/>
        </w:pPr>
        <w:r>
          <w:fldChar w:fldCharType="begin"/>
        </w:r>
        <w:r>
          <w:instrText xml:space="preserve"> PAGE   \* MERGEFORMAT </w:instrText>
        </w:r>
        <w:r>
          <w:fldChar w:fldCharType="separate"/>
        </w:r>
        <w:r w:rsidR="00754601">
          <w:rPr>
            <w:noProof/>
          </w:rPr>
          <w:t>1</w:t>
        </w:r>
        <w:r>
          <w:rPr>
            <w:noProof/>
          </w:rPr>
          <w:fldChar w:fldCharType="end"/>
        </w:r>
      </w:p>
    </w:sdtContent>
  </w:sdt>
  <w:p w:rsidR="0020032A" w:rsidRDefault="00200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58" w:rsidRDefault="006C1258">
      <w:pPr>
        <w:spacing w:after="0" w:line="240" w:lineRule="auto"/>
      </w:pPr>
      <w:r>
        <w:separator/>
      </w:r>
    </w:p>
  </w:footnote>
  <w:footnote w:type="continuationSeparator" w:id="0">
    <w:p w:rsidR="006C1258" w:rsidRDefault="006C1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EDA"/>
    <w:multiLevelType w:val="hybridMultilevel"/>
    <w:tmpl w:val="205CC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5080F"/>
    <w:multiLevelType w:val="hybridMultilevel"/>
    <w:tmpl w:val="9D6E2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5F7F"/>
    <w:multiLevelType w:val="hybridMultilevel"/>
    <w:tmpl w:val="F7C87FA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13EC4"/>
    <w:multiLevelType w:val="hybridMultilevel"/>
    <w:tmpl w:val="574A26CA"/>
    <w:lvl w:ilvl="0" w:tplc="0409000F">
      <w:start w:val="1"/>
      <w:numFmt w:val="decimal"/>
      <w:lvlText w:val="%1."/>
      <w:lvlJc w:val="left"/>
      <w:pPr>
        <w:ind w:left="360" w:hanging="360"/>
      </w:pPr>
    </w:lvl>
    <w:lvl w:ilvl="1" w:tplc="0C090001">
      <w:start w:val="1"/>
      <w:numFmt w:val="bullet"/>
      <w:lvlText w:val=""/>
      <w:lvlJc w:val="left"/>
      <w:pPr>
        <w:ind w:left="360" w:hanging="360"/>
      </w:pPr>
      <w:rPr>
        <w:rFonts w:ascii="Symbol" w:hAnsi="Symbol" w:hint="default"/>
      </w:rPr>
    </w:lvl>
    <w:lvl w:ilvl="2" w:tplc="0C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6B3458"/>
    <w:multiLevelType w:val="hybridMultilevel"/>
    <w:tmpl w:val="A808A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945EE"/>
    <w:multiLevelType w:val="hybridMultilevel"/>
    <w:tmpl w:val="FE0E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7D5F"/>
    <w:multiLevelType w:val="hybridMultilevel"/>
    <w:tmpl w:val="E67A9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E21BA0"/>
    <w:multiLevelType w:val="hybridMultilevel"/>
    <w:tmpl w:val="7CE00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4014AC"/>
    <w:multiLevelType w:val="hybridMultilevel"/>
    <w:tmpl w:val="71182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272FF8"/>
    <w:multiLevelType w:val="hybridMultilevel"/>
    <w:tmpl w:val="13921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572A5C"/>
    <w:multiLevelType w:val="hybridMultilevel"/>
    <w:tmpl w:val="8C1C7D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D4096D"/>
    <w:multiLevelType w:val="hybridMultilevel"/>
    <w:tmpl w:val="76F86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CF09CC"/>
    <w:multiLevelType w:val="hybridMultilevel"/>
    <w:tmpl w:val="AD8C7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4D1782"/>
    <w:multiLevelType w:val="hybridMultilevel"/>
    <w:tmpl w:val="2A86B9E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4" w15:restartNumberingAfterBreak="0">
    <w:nsid w:val="219C26F9"/>
    <w:multiLevelType w:val="hybridMultilevel"/>
    <w:tmpl w:val="8D34990C"/>
    <w:lvl w:ilvl="0" w:tplc="0409000F">
      <w:start w:val="1"/>
      <w:numFmt w:val="decimal"/>
      <w:lvlText w:val="%1."/>
      <w:lvlJc w:val="left"/>
      <w:pPr>
        <w:ind w:left="360" w:hanging="360"/>
      </w:pPr>
    </w:lvl>
    <w:lvl w:ilvl="1" w:tplc="0C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6B0BC2"/>
    <w:multiLevelType w:val="hybridMultilevel"/>
    <w:tmpl w:val="A356C0D6"/>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B47497"/>
    <w:multiLevelType w:val="hybridMultilevel"/>
    <w:tmpl w:val="1D6E5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055B87"/>
    <w:multiLevelType w:val="hybridMultilevel"/>
    <w:tmpl w:val="4B705EF6"/>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680F88"/>
    <w:multiLevelType w:val="hybridMultilevel"/>
    <w:tmpl w:val="B26C55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0627EE"/>
    <w:multiLevelType w:val="hybridMultilevel"/>
    <w:tmpl w:val="017AFA5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283FD9"/>
    <w:multiLevelType w:val="hybridMultilevel"/>
    <w:tmpl w:val="74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D3E7C"/>
    <w:multiLevelType w:val="hybridMultilevel"/>
    <w:tmpl w:val="98EC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11B5A"/>
    <w:multiLevelType w:val="hybridMultilevel"/>
    <w:tmpl w:val="B7EA0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346DD9"/>
    <w:multiLevelType w:val="hybridMultilevel"/>
    <w:tmpl w:val="B9CEA1A4"/>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B11495"/>
    <w:multiLevelType w:val="hybridMultilevel"/>
    <w:tmpl w:val="7D6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8422F"/>
    <w:multiLevelType w:val="hybridMultilevel"/>
    <w:tmpl w:val="B172F414"/>
    <w:lvl w:ilvl="0" w:tplc="1960C1D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563989"/>
    <w:multiLevelType w:val="hybridMultilevel"/>
    <w:tmpl w:val="EFFA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7149E4"/>
    <w:multiLevelType w:val="hybridMultilevel"/>
    <w:tmpl w:val="3340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6706B7"/>
    <w:multiLevelType w:val="hybridMultilevel"/>
    <w:tmpl w:val="764E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B7A3D"/>
    <w:multiLevelType w:val="hybridMultilevel"/>
    <w:tmpl w:val="74B477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F5963"/>
    <w:multiLevelType w:val="hybridMultilevel"/>
    <w:tmpl w:val="9274EE02"/>
    <w:lvl w:ilvl="0" w:tplc="12DCEB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D47E5"/>
    <w:multiLevelType w:val="hybridMultilevel"/>
    <w:tmpl w:val="9CF83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F87E2E"/>
    <w:multiLevelType w:val="hybridMultilevel"/>
    <w:tmpl w:val="92345514"/>
    <w:lvl w:ilvl="0" w:tplc="0C090001">
      <w:start w:val="1"/>
      <w:numFmt w:val="bullet"/>
      <w:lvlText w:val=""/>
      <w:lvlJc w:val="left"/>
      <w:pPr>
        <w:ind w:left="720" w:hanging="360"/>
      </w:pPr>
      <w:rPr>
        <w:rFonts w:ascii="Symbol" w:hAnsi="Symbol" w:hint="default"/>
      </w:rPr>
    </w:lvl>
    <w:lvl w:ilvl="1" w:tplc="66E4CBB0">
      <w:numFmt w:val="bullet"/>
      <w:lvlText w:val="•"/>
      <w:lvlJc w:val="left"/>
      <w:pPr>
        <w:ind w:left="1440" w:hanging="360"/>
      </w:pPr>
      <w:rPr>
        <w:rFonts w:ascii="Times" w:eastAsia="Times New Roman" w:hAnsi="Times" w:cs="Times"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C63A1C"/>
    <w:multiLevelType w:val="hybridMultilevel"/>
    <w:tmpl w:val="E48ED1C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CE5143"/>
    <w:multiLevelType w:val="hybridMultilevel"/>
    <w:tmpl w:val="6E0AF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CA2B9C"/>
    <w:multiLevelType w:val="hybridMultilevel"/>
    <w:tmpl w:val="85022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E764A21"/>
    <w:multiLevelType w:val="hybridMultilevel"/>
    <w:tmpl w:val="0FB616CC"/>
    <w:lvl w:ilvl="0" w:tplc="0809000F">
      <w:start w:val="1"/>
      <w:numFmt w:val="decimal"/>
      <w:lvlText w:val="%1."/>
      <w:lvlJc w:val="left"/>
      <w:pPr>
        <w:ind w:left="286" w:hanging="360"/>
      </w:pPr>
    </w:lvl>
    <w:lvl w:ilvl="1" w:tplc="08090019">
      <w:start w:val="1"/>
      <w:numFmt w:val="lowerLetter"/>
      <w:lvlText w:val="%2."/>
      <w:lvlJc w:val="left"/>
      <w:pPr>
        <w:ind w:left="1006" w:hanging="360"/>
      </w:pPr>
    </w:lvl>
    <w:lvl w:ilvl="2" w:tplc="0809001B" w:tentative="1">
      <w:start w:val="1"/>
      <w:numFmt w:val="lowerRoman"/>
      <w:lvlText w:val="%3."/>
      <w:lvlJc w:val="right"/>
      <w:pPr>
        <w:ind w:left="1726" w:hanging="180"/>
      </w:pPr>
    </w:lvl>
    <w:lvl w:ilvl="3" w:tplc="0809000F" w:tentative="1">
      <w:start w:val="1"/>
      <w:numFmt w:val="decimal"/>
      <w:lvlText w:val="%4."/>
      <w:lvlJc w:val="left"/>
      <w:pPr>
        <w:ind w:left="2446" w:hanging="360"/>
      </w:pPr>
    </w:lvl>
    <w:lvl w:ilvl="4" w:tplc="08090019" w:tentative="1">
      <w:start w:val="1"/>
      <w:numFmt w:val="lowerLetter"/>
      <w:lvlText w:val="%5."/>
      <w:lvlJc w:val="left"/>
      <w:pPr>
        <w:ind w:left="3166" w:hanging="360"/>
      </w:pPr>
    </w:lvl>
    <w:lvl w:ilvl="5" w:tplc="0809001B" w:tentative="1">
      <w:start w:val="1"/>
      <w:numFmt w:val="lowerRoman"/>
      <w:lvlText w:val="%6."/>
      <w:lvlJc w:val="right"/>
      <w:pPr>
        <w:ind w:left="3886" w:hanging="180"/>
      </w:pPr>
    </w:lvl>
    <w:lvl w:ilvl="6" w:tplc="0809000F" w:tentative="1">
      <w:start w:val="1"/>
      <w:numFmt w:val="decimal"/>
      <w:lvlText w:val="%7."/>
      <w:lvlJc w:val="left"/>
      <w:pPr>
        <w:ind w:left="4606" w:hanging="360"/>
      </w:pPr>
    </w:lvl>
    <w:lvl w:ilvl="7" w:tplc="08090019" w:tentative="1">
      <w:start w:val="1"/>
      <w:numFmt w:val="lowerLetter"/>
      <w:lvlText w:val="%8."/>
      <w:lvlJc w:val="left"/>
      <w:pPr>
        <w:ind w:left="5326" w:hanging="360"/>
      </w:pPr>
    </w:lvl>
    <w:lvl w:ilvl="8" w:tplc="0809001B" w:tentative="1">
      <w:start w:val="1"/>
      <w:numFmt w:val="lowerRoman"/>
      <w:lvlText w:val="%9."/>
      <w:lvlJc w:val="right"/>
      <w:pPr>
        <w:ind w:left="6046" w:hanging="180"/>
      </w:pPr>
    </w:lvl>
  </w:abstractNum>
  <w:abstractNum w:abstractNumId="37" w15:restartNumberingAfterBreak="0">
    <w:nsid w:val="56D733BB"/>
    <w:multiLevelType w:val="hybridMultilevel"/>
    <w:tmpl w:val="A216A758"/>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5E0E9D"/>
    <w:multiLevelType w:val="hybridMultilevel"/>
    <w:tmpl w:val="6E0AF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4C234E"/>
    <w:multiLevelType w:val="hybridMultilevel"/>
    <w:tmpl w:val="328A2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0E2E2B"/>
    <w:multiLevelType w:val="hybridMultilevel"/>
    <w:tmpl w:val="5A5AA3F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037182"/>
    <w:multiLevelType w:val="hybridMultilevel"/>
    <w:tmpl w:val="A14A098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E3F52"/>
    <w:multiLevelType w:val="hybridMultilevel"/>
    <w:tmpl w:val="618ED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B87C1D"/>
    <w:multiLevelType w:val="hybridMultilevel"/>
    <w:tmpl w:val="5A9A63E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11657C"/>
    <w:multiLevelType w:val="hybridMultilevel"/>
    <w:tmpl w:val="0C8A4B8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BF0D40"/>
    <w:multiLevelType w:val="hybridMultilevel"/>
    <w:tmpl w:val="F08A72B2"/>
    <w:lvl w:ilvl="0" w:tplc="1960C1D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A72997"/>
    <w:multiLevelType w:val="hybridMultilevel"/>
    <w:tmpl w:val="663A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F07B97"/>
    <w:multiLevelType w:val="hybridMultilevel"/>
    <w:tmpl w:val="65E43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7F2F80"/>
    <w:multiLevelType w:val="hybridMultilevel"/>
    <w:tmpl w:val="14FC650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6"/>
  </w:num>
  <w:num w:numId="4">
    <w:abstractNumId w:val="48"/>
  </w:num>
  <w:num w:numId="5">
    <w:abstractNumId w:val="12"/>
  </w:num>
  <w:num w:numId="6">
    <w:abstractNumId w:val="13"/>
  </w:num>
  <w:num w:numId="7">
    <w:abstractNumId w:val="8"/>
  </w:num>
  <w:num w:numId="8">
    <w:abstractNumId w:val="27"/>
  </w:num>
  <w:num w:numId="9">
    <w:abstractNumId w:val="25"/>
  </w:num>
  <w:num w:numId="10">
    <w:abstractNumId w:val="45"/>
  </w:num>
  <w:num w:numId="11">
    <w:abstractNumId w:val="1"/>
  </w:num>
  <w:num w:numId="12">
    <w:abstractNumId w:val="24"/>
  </w:num>
  <w:num w:numId="13">
    <w:abstractNumId w:val="30"/>
  </w:num>
  <w:num w:numId="14">
    <w:abstractNumId w:val="28"/>
  </w:num>
  <w:num w:numId="15">
    <w:abstractNumId w:val="6"/>
  </w:num>
  <w:num w:numId="16">
    <w:abstractNumId w:val="21"/>
  </w:num>
  <w:num w:numId="17">
    <w:abstractNumId w:val="22"/>
  </w:num>
  <w:num w:numId="18">
    <w:abstractNumId w:val="29"/>
  </w:num>
  <w:num w:numId="19">
    <w:abstractNumId w:val="31"/>
  </w:num>
  <w:num w:numId="20">
    <w:abstractNumId w:val="46"/>
  </w:num>
  <w:num w:numId="21">
    <w:abstractNumId w:val="11"/>
  </w:num>
  <w:num w:numId="22">
    <w:abstractNumId w:val="19"/>
  </w:num>
  <w:num w:numId="23">
    <w:abstractNumId w:val="47"/>
  </w:num>
  <w:num w:numId="24">
    <w:abstractNumId w:val="37"/>
  </w:num>
  <w:num w:numId="25">
    <w:abstractNumId w:val="42"/>
  </w:num>
  <w:num w:numId="26">
    <w:abstractNumId w:val="2"/>
  </w:num>
  <w:num w:numId="27">
    <w:abstractNumId w:val="41"/>
  </w:num>
  <w:num w:numId="28">
    <w:abstractNumId w:val="18"/>
  </w:num>
  <w:num w:numId="29">
    <w:abstractNumId w:val="43"/>
  </w:num>
  <w:num w:numId="30">
    <w:abstractNumId w:val="5"/>
  </w:num>
  <w:num w:numId="31">
    <w:abstractNumId w:val="39"/>
  </w:num>
  <w:num w:numId="32">
    <w:abstractNumId w:val="10"/>
  </w:num>
  <w:num w:numId="33">
    <w:abstractNumId w:val="33"/>
  </w:num>
  <w:num w:numId="34">
    <w:abstractNumId w:val="16"/>
  </w:num>
  <w:num w:numId="35">
    <w:abstractNumId w:val="15"/>
  </w:num>
  <w:num w:numId="36">
    <w:abstractNumId w:val="17"/>
  </w:num>
  <w:num w:numId="37">
    <w:abstractNumId w:val="4"/>
  </w:num>
  <w:num w:numId="38">
    <w:abstractNumId w:val="23"/>
  </w:num>
  <w:num w:numId="39">
    <w:abstractNumId w:val="40"/>
  </w:num>
  <w:num w:numId="40">
    <w:abstractNumId w:val="0"/>
  </w:num>
  <w:num w:numId="41">
    <w:abstractNumId w:val="9"/>
  </w:num>
  <w:num w:numId="42">
    <w:abstractNumId w:val="20"/>
  </w:num>
  <w:num w:numId="43">
    <w:abstractNumId w:val="35"/>
  </w:num>
  <w:num w:numId="44">
    <w:abstractNumId w:val="34"/>
  </w:num>
  <w:num w:numId="45">
    <w:abstractNumId w:val="38"/>
  </w:num>
  <w:num w:numId="46">
    <w:abstractNumId w:val="44"/>
  </w:num>
  <w:num w:numId="47">
    <w:abstractNumId w:val="14"/>
  </w:num>
  <w:num w:numId="48">
    <w:abstractNumId w:val="3"/>
  </w:num>
  <w:num w:numId="4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97"/>
    <w:rsid w:val="00002A00"/>
    <w:rsid w:val="00024582"/>
    <w:rsid w:val="00031CD6"/>
    <w:rsid w:val="00046DD0"/>
    <w:rsid w:val="0005228C"/>
    <w:rsid w:val="00066CF7"/>
    <w:rsid w:val="00067867"/>
    <w:rsid w:val="000712CD"/>
    <w:rsid w:val="00082259"/>
    <w:rsid w:val="000A2444"/>
    <w:rsid w:val="000C6DE0"/>
    <w:rsid w:val="000C7720"/>
    <w:rsid w:val="000D03AF"/>
    <w:rsid w:val="000D3849"/>
    <w:rsid w:val="000D612B"/>
    <w:rsid w:val="000F1E54"/>
    <w:rsid w:val="0010546E"/>
    <w:rsid w:val="001059E5"/>
    <w:rsid w:val="001245C1"/>
    <w:rsid w:val="00125234"/>
    <w:rsid w:val="00134879"/>
    <w:rsid w:val="00155300"/>
    <w:rsid w:val="00166884"/>
    <w:rsid w:val="001746DE"/>
    <w:rsid w:val="0018094E"/>
    <w:rsid w:val="001A52B3"/>
    <w:rsid w:val="001A76CC"/>
    <w:rsid w:val="001B1C57"/>
    <w:rsid w:val="001C0DCA"/>
    <w:rsid w:val="001D4493"/>
    <w:rsid w:val="001D6FDF"/>
    <w:rsid w:val="001D7238"/>
    <w:rsid w:val="001E0A88"/>
    <w:rsid w:val="001F73F1"/>
    <w:rsid w:val="001F7443"/>
    <w:rsid w:val="0020032A"/>
    <w:rsid w:val="002134A8"/>
    <w:rsid w:val="00227803"/>
    <w:rsid w:val="002304B7"/>
    <w:rsid w:val="00247CE5"/>
    <w:rsid w:val="00251325"/>
    <w:rsid w:val="002515DA"/>
    <w:rsid w:val="00255144"/>
    <w:rsid w:val="002608F0"/>
    <w:rsid w:val="00276448"/>
    <w:rsid w:val="0028754E"/>
    <w:rsid w:val="002933F2"/>
    <w:rsid w:val="002A36FC"/>
    <w:rsid w:val="002A5F2D"/>
    <w:rsid w:val="002A67F1"/>
    <w:rsid w:val="002C14CE"/>
    <w:rsid w:val="002D1665"/>
    <w:rsid w:val="002D39FE"/>
    <w:rsid w:val="002E2C79"/>
    <w:rsid w:val="002E7DA4"/>
    <w:rsid w:val="00310AC7"/>
    <w:rsid w:val="003257B6"/>
    <w:rsid w:val="00326B78"/>
    <w:rsid w:val="003303AF"/>
    <w:rsid w:val="00332D40"/>
    <w:rsid w:val="00344BC8"/>
    <w:rsid w:val="0035157F"/>
    <w:rsid w:val="0035713E"/>
    <w:rsid w:val="0035777D"/>
    <w:rsid w:val="00384359"/>
    <w:rsid w:val="003928CC"/>
    <w:rsid w:val="003B4F37"/>
    <w:rsid w:val="003C101A"/>
    <w:rsid w:val="003D55B8"/>
    <w:rsid w:val="003D7459"/>
    <w:rsid w:val="003E5363"/>
    <w:rsid w:val="003F0073"/>
    <w:rsid w:val="00402D20"/>
    <w:rsid w:val="0044144F"/>
    <w:rsid w:val="004530CF"/>
    <w:rsid w:val="004564F4"/>
    <w:rsid w:val="00465F01"/>
    <w:rsid w:val="004710AE"/>
    <w:rsid w:val="00491DCE"/>
    <w:rsid w:val="004A6F94"/>
    <w:rsid w:val="004A7298"/>
    <w:rsid w:val="004E506E"/>
    <w:rsid w:val="004F2D44"/>
    <w:rsid w:val="00503C8E"/>
    <w:rsid w:val="005046A4"/>
    <w:rsid w:val="005165AD"/>
    <w:rsid w:val="005224AE"/>
    <w:rsid w:val="005265BD"/>
    <w:rsid w:val="00532939"/>
    <w:rsid w:val="00564E08"/>
    <w:rsid w:val="00565BDC"/>
    <w:rsid w:val="00566335"/>
    <w:rsid w:val="00573049"/>
    <w:rsid w:val="005806FE"/>
    <w:rsid w:val="00583A8E"/>
    <w:rsid w:val="00596588"/>
    <w:rsid w:val="005D086B"/>
    <w:rsid w:val="005D2F86"/>
    <w:rsid w:val="005E2B15"/>
    <w:rsid w:val="005E7C4B"/>
    <w:rsid w:val="005F2DC9"/>
    <w:rsid w:val="00613281"/>
    <w:rsid w:val="0061602D"/>
    <w:rsid w:val="00642ED3"/>
    <w:rsid w:val="0065240F"/>
    <w:rsid w:val="0065405B"/>
    <w:rsid w:val="006669D8"/>
    <w:rsid w:val="00667BF8"/>
    <w:rsid w:val="0067003A"/>
    <w:rsid w:val="006700C1"/>
    <w:rsid w:val="006C1258"/>
    <w:rsid w:val="006C389B"/>
    <w:rsid w:val="006D01FB"/>
    <w:rsid w:val="006F3C62"/>
    <w:rsid w:val="006F7849"/>
    <w:rsid w:val="00706C43"/>
    <w:rsid w:val="007118EF"/>
    <w:rsid w:val="00712A7C"/>
    <w:rsid w:val="00716CA4"/>
    <w:rsid w:val="007544B0"/>
    <w:rsid w:val="00754601"/>
    <w:rsid w:val="00764EB8"/>
    <w:rsid w:val="0077103C"/>
    <w:rsid w:val="00773C30"/>
    <w:rsid w:val="00781E31"/>
    <w:rsid w:val="00781E85"/>
    <w:rsid w:val="0079122E"/>
    <w:rsid w:val="00797C4C"/>
    <w:rsid w:val="007A3276"/>
    <w:rsid w:val="007A45F5"/>
    <w:rsid w:val="007A5470"/>
    <w:rsid w:val="007A7831"/>
    <w:rsid w:val="007B1557"/>
    <w:rsid w:val="007B33E7"/>
    <w:rsid w:val="007E577E"/>
    <w:rsid w:val="007F6166"/>
    <w:rsid w:val="00821BE0"/>
    <w:rsid w:val="0084350F"/>
    <w:rsid w:val="00852CAB"/>
    <w:rsid w:val="00855001"/>
    <w:rsid w:val="00862EDE"/>
    <w:rsid w:val="0087256C"/>
    <w:rsid w:val="0087734B"/>
    <w:rsid w:val="008813E9"/>
    <w:rsid w:val="00881563"/>
    <w:rsid w:val="00891512"/>
    <w:rsid w:val="008930D1"/>
    <w:rsid w:val="008A499D"/>
    <w:rsid w:val="008B4AC8"/>
    <w:rsid w:val="008B5AA8"/>
    <w:rsid w:val="008B6A6B"/>
    <w:rsid w:val="008D1AD7"/>
    <w:rsid w:val="008D5609"/>
    <w:rsid w:val="008E060D"/>
    <w:rsid w:val="008E4726"/>
    <w:rsid w:val="008F65E0"/>
    <w:rsid w:val="00901B1C"/>
    <w:rsid w:val="009021D8"/>
    <w:rsid w:val="0091344B"/>
    <w:rsid w:val="009351D3"/>
    <w:rsid w:val="009363C4"/>
    <w:rsid w:val="00941108"/>
    <w:rsid w:val="0095251D"/>
    <w:rsid w:val="00990EE3"/>
    <w:rsid w:val="009A252E"/>
    <w:rsid w:val="00A47FBA"/>
    <w:rsid w:val="00A54FC1"/>
    <w:rsid w:val="00A55548"/>
    <w:rsid w:val="00A86BE3"/>
    <w:rsid w:val="00AB2361"/>
    <w:rsid w:val="00AB765E"/>
    <w:rsid w:val="00AC48D8"/>
    <w:rsid w:val="00AD0FC3"/>
    <w:rsid w:val="00AE2927"/>
    <w:rsid w:val="00AF3D25"/>
    <w:rsid w:val="00AF62E3"/>
    <w:rsid w:val="00AF67DB"/>
    <w:rsid w:val="00B0574A"/>
    <w:rsid w:val="00B138E6"/>
    <w:rsid w:val="00B13E04"/>
    <w:rsid w:val="00B25AD4"/>
    <w:rsid w:val="00B36F49"/>
    <w:rsid w:val="00B46189"/>
    <w:rsid w:val="00B65A8E"/>
    <w:rsid w:val="00B73873"/>
    <w:rsid w:val="00B75422"/>
    <w:rsid w:val="00B7638E"/>
    <w:rsid w:val="00B76AA7"/>
    <w:rsid w:val="00B94DF3"/>
    <w:rsid w:val="00BB1D7D"/>
    <w:rsid w:val="00BC403F"/>
    <w:rsid w:val="00BC5CD4"/>
    <w:rsid w:val="00BC75D8"/>
    <w:rsid w:val="00BE0AEF"/>
    <w:rsid w:val="00BE5A26"/>
    <w:rsid w:val="00C07C86"/>
    <w:rsid w:val="00C250BA"/>
    <w:rsid w:val="00C35820"/>
    <w:rsid w:val="00C63717"/>
    <w:rsid w:val="00C86B39"/>
    <w:rsid w:val="00C86D16"/>
    <w:rsid w:val="00C8722A"/>
    <w:rsid w:val="00CC4473"/>
    <w:rsid w:val="00CE5F90"/>
    <w:rsid w:val="00CF169D"/>
    <w:rsid w:val="00D10629"/>
    <w:rsid w:val="00D200A0"/>
    <w:rsid w:val="00D23F67"/>
    <w:rsid w:val="00D27F78"/>
    <w:rsid w:val="00D3476B"/>
    <w:rsid w:val="00D4347B"/>
    <w:rsid w:val="00D860DC"/>
    <w:rsid w:val="00DD49BA"/>
    <w:rsid w:val="00DE4FC1"/>
    <w:rsid w:val="00DE7D29"/>
    <w:rsid w:val="00E00341"/>
    <w:rsid w:val="00E0574E"/>
    <w:rsid w:val="00E27E69"/>
    <w:rsid w:val="00E6141A"/>
    <w:rsid w:val="00E667BC"/>
    <w:rsid w:val="00E728C2"/>
    <w:rsid w:val="00E95171"/>
    <w:rsid w:val="00EB2BFF"/>
    <w:rsid w:val="00EB52F3"/>
    <w:rsid w:val="00EB705B"/>
    <w:rsid w:val="00EC5B8B"/>
    <w:rsid w:val="00EE3E36"/>
    <w:rsid w:val="00EE5913"/>
    <w:rsid w:val="00F02A5B"/>
    <w:rsid w:val="00F031C6"/>
    <w:rsid w:val="00F04046"/>
    <w:rsid w:val="00F239CE"/>
    <w:rsid w:val="00F34381"/>
    <w:rsid w:val="00F5479A"/>
    <w:rsid w:val="00F558DB"/>
    <w:rsid w:val="00F630F2"/>
    <w:rsid w:val="00F76389"/>
    <w:rsid w:val="00F779D0"/>
    <w:rsid w:val="00F86584"/>
    <w:rsid w:val="00F90FC6"/>
    <w:rsid w:val="00F9489B"/>
    <w:rsid w:val="00F97E90"/>
    <w:rsid w:val="00FE26A0"/>
    <w:rsid w:val="00FF0D97"/>
    <w:rsid w:val="00FF49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69E3E0-3C09-4372-8852-04F655AF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D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97"/>
  </w:style>
  <w:style w:type="paragraph" w:styleId="Footer">
    <w:name w:val="footer"/>
    <w:basedOn w:val="Normal"/>
    <w:link w:val="FooterChar"/>
    <w:uiPriority w:val="99"/>
    <w:unhideWhenUsed/>
    <w:rsid w:val="00FF0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97"/>
  </w:style>
  <w:style w:type="paragraph" w:styleId="BalloonText">
    <w:name w:val="Balloon Text"/>
    <w:basedOn w:val="Normal"/>
    <w:link w:val="BalloonTextChar"/>
    <w:uiPriority w:val="99"/>
    <w:semiHidden/>
    <w:unhideWhenUsed/>
    <w:rsid w:val="00FF0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97"/>
    <w:rPr>
      <w:rFonts w:ascii="Tahoma" w:hAnsi="Tahoma" w:cs="Tahoma"/>
      <w:sz w:val="16"/>
      <w:szCs w:val="16"/>
    </w:rPr>
  </w:style>
  <w:style w:type="paragraph" w:styleId="ListParagraph">
    <w:name w:val="List Paragraph"/>
    <w:basedOn w:val="Normal"/>
    <w:link w:val="ListParagraphChar"/>
    <w:uiPriority w:val="34"/>
    <w:qFormat/>
    <w:rsid w:val="00FF0D97"/>
    <w:pPr>
      <w:ind w:left="720"/>
      <w:contextualSpacing/>
    </w:pPr>
  </w:style>
  <w:style w:type="paragraph" w:styleId="CommentText">
    <w:name w:val="annotation text"/>
    <w:basedOn w:val="Normal"/>
    <w:link w:val="CommentTextChar"/>
    <w:uiPriority w:val="99"/>
    <w:unhideWhenUsed/>
    <w:rsid w:val="00FF0D97"/>
    <w:pPr>
      <w:spacing w:line="240" w:lineRule="auto"/>
    </w:pPr>
    <w:rPr>
      <w:sz w:val="20"/>
      <w:szCs w:val="20"/>
    </w:rPr>
  </w:style>
  <w:style w:type="character" w:customStyle="1" w:styleId="CommentTextChar">
    <w:name w:val="Comment Text Char"/>
    <w:basedOn w:val="DefaultParagraphFont"/>
    <w:link w:val="CommentText"/>
    <w:uiPriority w:val="99"/>
    <w:rsid w:val="00FF0D97"/>
    <w:rPr>
      <w:sz w:val="20"/>
      <w:szCs w:val="20"/>
    </w:rPr>
  </w:style>
  <w:style w:type="character" w:customStyle="1" w:styleId="ListParagraphChar">
    <w:name w:val="List Paragraph Char"/>
    <w:basedOn w:val="DefaultParagraphFont"/>
    <w:link w:val="ListParagraph"/>
    <w:uiPriority w:val="34"/>
    <w:locked/>
    <w:rsid w:val="00FF0D97"/>
  </w:style>
  <w:style w:type="character" w:styleId="CommentReference">
    <w:name w:val="annotation reference"/>
    <w:basedOn w:val="DefaultParagraphFont"/>
    <w:uiPriority w:val="99"/>
    <w:semiHidden/>
    <w:unhideWhenUsed/>
    <w:rsid w:val="0044144F"/>
    <w:rPr>
      <w:sz w:val="16"/>
      <w:szCs w:val="16"/>
    </w:rPr>
  </w:style>
  <w:style w:type="paragraph" w:styleId="CommentSubject">
    <w:name w:val="annotation subject"/>
    <w:basedOn w:val="CommentText"/>
    <w:next w:val="CommentText"/>
    <w:link w:val="CommentSubjectChar"/>
    <w:uiPriority w:val="99"/>
    <w:semiHidden/>
    <w:unhideWhenUsed/>
    <w:rsid w:val="0044144F"/>
    <w:rPr>
      <w:b/>
      <w:bCs/>
    </w:rPr>
  </w:style>
  <w:style w:type="character" w:customStyle="1" w:styleId="CommentSubjectChar">
    <w:name w:val="Comment Subject Char"/>
    <w:basedOn w:val="CommentTextChar"/>
    <w:link w:val="CommentSubject"/>
    <w:uiPriority w:val="99"/>
    <w:semiHidden/>
    <w:rsid w:val="0044144F"/>
    <w:rPr>
      <w:b/>
      <w:bCs/>
      <w:sz w:val="20"/>
      <w:szCs w:val="20"/>
    </w:rPr>
  </w:style>
  <w:style w:type="paragraph" w:styleId="Revision">
    <w:name w:val="Revision"/>
    <w:hidden/>
    <w:uiPriority w:val="99"/>
    <w:semiHidden/>
    <w:rsid w:val="00441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2">
      <w:bodyDiv w:val="1"/>
      <w:marLeft w:val="0"/>
      <w:marRight w:val="0"/>
      <w:marTop w:val="0"/>
      <w:marBottom w:val="0"/>
      <w:divBdr>
        <w:top w:val="none" w:sz="0" w:space="0" w:color="auto"/>
        <w:left w:val="none" w:sz="0" w:space="0" w:color="auto"/>
        <w:bottom w:val="none" w:sz="0" w:space="0" w:color="auto"/>
        <w:right w:val="none" w:sz="0" w:space="0" w:color="auto"/>
      </w:divBdr>
    </w:div>
    <w:div w:id="414936532">
      <w:bodyDiv w:val="1"/>
      <w:marLeft w:val="0"/>
      <w:marRight w:val="0"/>
      <w:marTop w:val="0"/>
      <w:marBottom w:val="0"/>
      <w:divBdr>
        <w:top w:val="none" w:sz="0" w:space="0" w:color="auto"/>
        <w:left w:val="none" w:sz="0" w:space="0" w:color="auto"/>
        <w:bottom w:val="none" w:sz="0" w:space="0" w:color="auto"/>
        <w:right w:val="none" w:sz="0" w:space="0" w:color="auto"/>
      </w:divBdr>
    </w:div>
    <w:div w:id="562326607">
      <w:bodyDiv w:val="1"/>
      <w:marLeft w:val="0"/>
      <w:marRight w:val="0"/>
      <w:marTop w:val="0"/>
      <w:marBottom w:val="0"/>
      <w:divBdr>
        <w:top w:val="none" w:sz="0" w:space="0" w:color="auto"/>
        <w:left w:val="none" w:sz="0" w:space="0" w:color="auto"/>
        <w:bottom w:val="none" w:sz="0" w:space="0" w:color="auto"/>
        <w:right w:val="none" w:sz="0" w:space="0" w:color="auto"/>
      </w:divBdr>
    </w:div>
    <w:div w:id="631905728">
      <w:bodyDiv w:val="1"/>
      <w:marLeft w:val="0"/>
      <w:marRight w:val="0"/>
      <w:marTop w:val="0"/>
      <w:marBottom w:val="0"/>
      <w:divBdr>
        <w:top w:val="none" w:sz="0" w:space="0" w:color="auto"/>
        <w:left w:val="none" w:sz="0" w:space="0" w:color="auto"/>
        <w:bottom w:val="none" w:sz="0" w:space="0" w:color="auto"/>
        <w:right w:val="none" w:sz="0" w:space="0" w:color="auto"/>
      </w:divBdr>
    </w:div>
    <w:div w:id="791944156">
      <w:bodyDiv w:val="1"/>
      <w:marLeft w:val="0"/>
      <w:marRight w:val="0"/>
      <w:marTop w:val="0"/>
      <w:marBottom w:val="0"/>
      <w:divBdr>
        <w:top w:val="none" w:sz="0" w:space="0" w:color="auto"/>
        <w:left w:val="none" w:sz="0" w:space="0" w:color="auto"/>
        <w:bottom w:val="none" w:sz="0" w:space="0" w:color="auto"/>
        <w:right w:val="none" w:sz="0" w:space="0" w:color="auto"/>
      </w:divBdr>
    </w:div>
    <w:div w:id="1371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xlsx"/><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2017-04-21T00:00:00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1B96B80-E769-466F-8B80-DC86FBDFBEB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F275553-DDCC-4820-A533-F77B799F66E3}"/>
</file>

<file path=customXml/itemProps4.xml><?xml version="1.0" encoding="utf-8"?>
<ds:datastoreItem xmlns:ds="http://schemas.openxmlformats.org/officeDocument/2006/customXml" ds:itemID="{3E3356EA-0B89-468C-930F-85920AAF4210}"/>
</file>

<file path=customXml/itemProps5.xml><?xml version="1.0" encoding="utf-8"?>
<ds:datastoreItem xmlns:ds="http://schemas.openxmlformats.org/officeDocument/2006/customXml" ds:itemID="{0E446AFF-A5AA-4AD0-B5B5-42342441264A}"/>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Downie, Robyn M</dc:creator>
  <cp:keywords/>
  <dc:description/>
  <cp:lastModifiedBy>Kene, Effie E</cp:lastModifiedBy>
  <cp:revision>2</cp:revision>
  <cp:lastPrinted>2017-05-26T01:03:00Z</cp:lastPrinted>
  <dcterms:created xsi:type="dcterms:W3CDTF">2017-08-22T04:59:00Z</dcterms:created>
  <dcterms:modified xsi:type="dcterms:W3CDTF">2017-08-22T04:59:00Z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