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4D1B9C" w14:textId="77777777" w:rsidR="00EB5376" w:rsidRDefault="00EB5376" w:rsidP="00680504">
      <w:pPr>
        <w:rPr>
          <w:b/>
          <w:sz w:val="28"/>
          <w:szCs w:val="28"/>
        </w:rPr>
      </w:pPr>
      <w:r w:rsidRPr="001E15D0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B6850" wp14:editId="058DC86A">
                <wp:simplePos x="0" y="0"/>
                <wp:positionH relativeFrom="column">
                  <wp:posOffset>4929643</wp:posOffset>
                </wp:positionH>
                <wp:positionV relativeFrom="paragraph">
                  <wp:posOffset>-367665</wp:posOffset>
                </wp:positionV>
                <wp:extent cx="1160890" cy="970059"/>
                <wp:effectExtent l="0" t="0" r="127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0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FEFA" w14:textId="77777777" w:rsidR="00680504" w:rsidRDefault="00680504" w:rsidP="00EB5376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6D0E6F9F" wp14:editId="5DDD0672">
                                  <wp:extent cx="1065365" cy="996116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fe_logo_black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365" cy="99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6B6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15pt;margin-top:-28.95pt;width:91.4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" stroked="f">
                <v:textbox>
                  <w:txbxContent>
                    <w:p w14:paraId="063CFEFA" w14:textId="77777777" w:rsidR="00680504" w:rsidRDefault="00680504" w:rsidP="00EB5376"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6D0E6F9F" wp14:editId="5DDD0672">
                            <wp:extent cx="1065365" cy="996116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fe_logo_black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365" cy="996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Advice to providers to support targeting pre-accredited delivery </w:t>
      </w:r>
      <w:r>
        <w:rPr>
          <w:b/>
          <w:sz w:val="28"/>
          <w:szCs w:val="28"/>
        </w:rPr>
        <w:br/>
        <w:t>to priority learner groups</w:t>
      </w:r>
    </w:p>
    <w:p w14:paraId="4028DB21" w14:textId="784189E0" w:rsidR="00EB5376" w:rsidRDefault="00EB5376" w:rsidP="00EB5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Loddon Mallee</w:t>
      </w:r>
      <w:r w:rsidRPr="00EE3BC1">
        <w:rPr>
          <w:b/>
          <w:sz w:val="28"/>
          <w:szCs w:val="28"/>
        </w:rPr>
        <w:t xml:space="preserve"> Regional Council</w:t>
      </w:r>
      <w:r>
        <w:rPr>
          <w:b/>
          <w:sz w:val="28"/>
          <w:szCs w:val="28"/>
        </w:rPr>
        <w:t xml:space="preserve"> area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B5D28" w14:paraId="6345412C" w14:textId="77777777" w:rsidTr="006413A2">
        <w:tc>
          <w:tcPr>
            <w:tcW w:w="8908" w:type="dxa"/>
            <w:shd w:val="clear" w:color="auto" w:fill="000000" w:themeFill="text1"/>
          </w:tcPr>
          <w:p w14:paraId="557E2459" w14:textId="69052AE9" w:rsidR="00EB5D28" w:rsidRPr="00EB5D28" w:rsidRDefault="00EB5D28">
            <w:pPr>
              <w:rPr>
                <w:b/>
              </w:rPr>
            </w:pPr>
            <w:r w:rsidRPr="00EB5D28">
              <w:rPr>
                <w:b/>
              </w:rPr>
              <w:t>REGIONAL CONTEXT</w:t>
            </w:r>
          </w:p>
        </w:tc>
      </w:tr>
      <w:tr w:rsidR="00EB5D28" w14:paraId="07ABD6CA" w14:textId="77777777" w:rsidTr="006413A2">
        <w:tc>
          <w:tcPr>
            <w:tcW w:w="8908" w:type="dxa"/>
          </w:tcPr>
          <w:p w14:paraId="50917A5F" w14:textId="6945D3D2" w:rsidR="0042255B" w:rsidRDefault="0042255B" w:rsidP="0042255B">
            <w:pPr>
              <w:rPr>
                <w:b/>
              </w:rPr>
            </w:pPr>
          </w:p>
          <w:p w14:paraId="5AD95B1D" w14:textId="6E052689" w:rsidR="00452BA7" w:rsidRDefault="0042255B" w:rsidP="006C110D">
            <w:pPr>
              <w:spacing w:after="120"/>
            </w:pPr>
            <w:r>
              <w:t>The Loddon Mallee Re</w:t>
            </w:r>
            <w:r w:rsidR="00942596">
              <w:t>gional Council covers a geographic</w:t>
            </w:r>
            <w:r>
              <w:t xml:space="preserve"> area from fifty ki</w:t>
            </w:r>
            <w:r w:rsidR="0013405A">
              <w:t>lometres north of Melbourne to North W</w:t>
            </w:r>
            <w:r>
              <w:t xml:space="preserve">estern Victoria and the New South Wales / South Australian borders. </w:t>
            </w:r>
            <w:r w:rsidR="00942596">
              <w:t>There are ten Local Government Areas (LGAs) with provincial centres of</w:t>
            </w:r>
            <w:r>
              <w:t xml:space="preserve"> </w:t>
            </w:r>
            <w:r w:rsidR="00DA6CA1">
              <w:t xml:space="preserve">Gisborne, </w:t>
            </w:r>
            <w:r>
              <w:t>Ben</w:t>
            </w:r>
            <w:r w:rsidR="00942596">
              <w:t xml:space="preserve">digo, Echuca, </w:t>
            </w:r>
            <w:r>
              <w:t>Kerang, Swan Hill</w:t>
            </w:r>
            <w:r w:rsidR="00942596">
              <w:t xml:space="preserve"> and Mildura</w:t>
            </w:r>
            <w:r w:rsidR="006C110D">
              <w:t xml:space="preserve">. </w:t>
            </w:r>
            <w:r w:rsidR="00942596">
              <w:t>Some LGA</w:t>
            </w:r>
            <w:r>
              <w:t xml:space="preserve">s are reliant on their </w:t>
            </w:r>
            <w:r w:rsidR="00833E48">
              <w:t>agricultural and h</w:t>
            </w:r>
            <w:r>
              <w:t>orticultural sec</w:t>
            </w:r>
            <w:r w:rsidR="00833E48">
              <w:t>tors and worry about the long-</w:t>
            </w:r>
            <w:r>
              <w:t>term availability and cost of wate</w:t>
            </w:r>
            <w:r w:rsidR="00833E48">
              <w:t>r. Others are reliant on their hospitality and t</w:t>
            </w:r>
            <w:r>
              <w:t>ourism se</w:t>
            </w:r>
            <w:r w:rsidR="00833E48">
              <w:t>ctors and worry about the long-</w:t>
            </w:r>
            <w:r>
              <w:t>term viability of tourists and visitors commuting to them</w:t>
            </w:r>
            <w:r w:rsidR="006C110D">
              <w:t xml:space="preserve">. </w:t>
            </w:r>
            <w:r w:rsidR="0029124C">
              <w:t xml:space="preserve">All </w:t>
            </w:r>
            <w:r>
              <w:t>are seeking n</w:t>
            </w:r>
            <w:r w:rsidR="0029124C">
              <w:t xml:space="preserve">ew employment opportunities by endeavouring to </w:t>
            </w:r>
            <w:r w:rsidR="00833E48">
              <w:t>attract new i</w:t>
            </w:r>
            <w:r w:rsidR="0029124C">
              <w:t>ndustries to their area</w:t>
            </w:r>
            <w:r w:rsidR="006C110D">
              <w:t xml:space="preserve">. </w:t>
            </w:r>
            <w:r w:rsidR="00942596">
              <w:t xml:space="preserve"> </w:t>
            </w:r>
          </w:p>
          <w:p w14:paraId="2005ECC3" w14:textId="6D87146D" w:rsidR="000E40B1" w:rsidRDefault="00B23706" w:rsidP="006C110D">
            <w:pPr>
              <w:spacing w:after="120"/>
            </w:pPr>
            <w:r>
              <w:t>The Loddon Mallee South</w:t>
            </w:r>
            <w:r w:rsidR="0013405A">
              <w:t>ern R</w:t>
            </w:r>
            <w:r>
              <w:t xml:space="preserve">egion is growing in </w:t>
            </w:r>
            <w:r w:rsidR="00E22E71">
              <w:t>population;</w:t>
            </w:r>
            <w:r>
              <w:t xml:space="preserve"> the economic profile is changing and so is the means of rural production. The uneven distribution of both population and economic growth across the region requires </w:t>
            </w:r>
            <w:r w:rsidR="00CC1B6F">
              <w:t>support</w:t>
            </w:r>
            <w:r>
              <w:t xml:space="preserve"> for smaller </w:t>
            </w:r>
            <w:r w:rsidR="00CC1B6F">
              <w:t>communities</w:t>
            </w:r>
            <w:r w:rsidR="006C110D">
              <w:t xml:space="preserve">. </w:t>
            </w:r>
            <w:r>
              <w:t>Loddon Mallee North</w:t>
            </w:r>
            <w:r w:rsidR="0013405A">
              <w:t>ern Region</w:t>
            </w:r>
            <w:r>
              <w:t xml:space="preserve"> is a renowned food bowl for Australia</w:t>
            </w:r>
            <w:r w:rsidR="006C110D">
              <w:t xml:space="preserve">. </w:t>
            </w:r>
            <w:r>
              <w:t xml:space="preserve">Water </w:t>
            </w:r>
            <w:r w:rsidR="00CC1B6F">
              <w:t>policy</w:t>
            </w:r>
            <w:r>
              <w:t xml:space="preserve"> reform and climate change will continue to impact on the region’s economy.</w:t>
            </w:r>
          </w:p>
          <w:p w14:paraId="20820CD3" w14:textId="2E7E8FED" w:rsidR="008A1901" w:rsidRPr="008A1901" w:rsidRDefault="00452BA7" w:rsidP="006C110D">
            <w:pPr>
              <w:spacing w:after="120"/>
              <w:rPr>
                <w:i/>
              </w:rPr>
            </w:pPr>
            <w:r w:rsidRPr="00452BA7">
              <w:rPr>
                <w:b/>
              </w:rPr>
              <w:t>K</w:t>
            </w:r>
            <w:r w:rsidR="008A1901" w:rsidRPr="00452BA7">
              <w:rPr>
                <w:b/>
              </w:rPr>
              <w:t>ey drivers of change</w:t>
            </w:r>
          </w:p>
          <w:p w14:paraId="4EAC3D3F" w14:textId="77777777" w:rsidR="0042255B" w:rsidRDefault="0042255B" w:rsidP="006C110D">
            <w:pPr>
              <w:spacing w:after="120"/>
            </w:pPr>
            <w:r w:rsidRPr="00F11317">
              <w:rPr>
                <w:b/>
              </w:rPr>
              <w:t>Political</w:t>
            </w:r>
          </w:p>
          <w:p w14:paraId="4F996753" w14:textId="77777777" w:rsidR="005F55C0" w:rsidRDefault="0042255B" w:rsidP="006C110D">
            <w:pPr>
              <w:spacing w:after="120"/>
            </w:pPr>
            <w:r>
              <w:t>Governments are facing increased public pressure to lower unemployme</w:t>
            </w:r>
            <w:r w:rsidR="00452BA7">
              <w:t>nt rates and increase w</w:t>
            </w:r>
            <w:r>
              <w:t xml:space="preserve">orkplace participation rates. </w:t>
            </w:r>
          </w:p>
          <w:p w14:paraId="36D170C0" w14:textId="58087C64" w:rsidR="0042255B" w:rsidRPr="00AD79D8" w:rsidRDefault="0042255B" w:rsidP="006C110D">
            <w:pPr>
              <w:spacing w:after="120"/>
              <w:rPr>
                <w:b/>
              </w:rPr>
            </w:pPr>
            <w:r w:rsidRPr="00AD79D8">
              <w:rPr>
                <w:b/>
              </w:rPr>
              <w:t>Economic</w:t>
            </w:r>
          </w:p>
          <w:p w14:paraId="51801DEC" w14:textId="73F682A2" w:rsidR="00F55A74" w:rsidRDefault="00F55A74" w:rsidP="006C110D">
            <w:pPr>
              <w:spacing w:after="120"/>
            </w:pPr>
            <w:r>
              <w:t>The increasing volatility, complexity and ambiguity of a rapidly changing world, is having a significant impact on the economic landscape</w:t>
            </w:r>
            <w:r w:rsidR="00DA6CA1">
              <w:t xml:space="preserve"> of Loddon Mallee</w:t>
            </w:r>
            <w:r w:rsidR="006C110D">
              <w:t xml:space="preserve">. </w:t>
            </w:r>
          </w:p>
          <w:p w14:paraId="2E63D2C7" w14:textId="3DFCC723" w:rsidR="005B06B4" w:rsidRDefault="005B06B4" w:rsidP="006C110D">
            <w:pPr>
              <w:spacing w:after="120"/>
            </w:pPr>
            <w:r>
              <w:t xml:space="preserve">The north is a renowned food bowl, where fertile soils, warm climate and access to irrigation give the region a competitive advantage in food production and manufacturing. </w:t>
            </w:r>
            <w:r w:rsidR="00E22E71">
              <w:t>Most</w:t>
            </w:r>
            <w:r>
              <w:t xml:space="preserve"> </w:t>
            </w:r>
            <w:r w:rsidR="006C110D">
              <w:t xml:space="preserve">of </w:t>
            </w:r>
            <w:r>
              <w:t xml:space="preserve">the south is made of up </w:t>
            </w:r>
            <w:r w:rsidR="00C43FB0">
              <w:t xml:space="preserve">of </w:t>
            </w:r>
            <w:r>
              <w:t xml:space="preserve">rural land, a </w:t>
            </w:r>
            <w:r w:rsidR="0050062C">
              <w:t>significant propo</w:t>
            </w:r>
            <w:r w:rsidR="00C43FB0">
              <w:t>rtion that</w:t>
            </w:r>
            <w:r>
              <w:t xml:space="preserve"> is used for diverse agricultural productions. The City of Greater</w:t>
            </w:r>
            <w:r w:rsidR="00C43FB0">
              <w:t xml:space="preserve"> Bendigo plays a central role with the provision of </w:t>
            </w:r>
            <w:r>
              <w:t xml:space="preserve">high level services, particularly health and tourism, with easy access for freight and passenger transport. </w:t>
            </w:r>
          </w:p>
          <w:p w14:paraId="0E890371" w14:textId="66DDA977" w:rsidR="005B06B4" w:rsidRDefault="00E22E71" w:rsidP="006C110D">
            <w:pPr>
              <w:spacing w:after="120"/>
            </w:pPr>
            <w:r>
              <w:t>However,</w:t>
            </w:r>
            <w:r w:rsidR="005B06B4">
              <w:t xml:space="preserve"> there are parts of the regi</w:t>
            </w:r>
            <w:r w:rsidR="0050062C">
              <w:t xml:space="preserve">on where growth has been </w:t>
            </w:r>
            <w:r w:rsidR="00C43FB0">
              <w:t>slower, both population and economic, requiring</w:t>
            </w:r>
            <w:r w:rsidR="00FA62BB">
              <w:t xml:space="preserve"> support for smaller communities.</w:t>
            </w:r>
          </w:p>
          <w:p w14:paraId="558F59DA" w14:textId="325B69AF" w:rsidR="0042255B" w:rsidRPr="00AD79D8" w:rsidRDefault="0042255B" w:rsidP="006C110D">
            <w:pPr>
              <w:spacing w:after="120"/>
              <w:rPr>
                <w:b/>
              </w:rPr>
            </w:pPr>
            <w:r w:rsidRPr="00AD79D8">
              <w:rPr>
                <w:b/>
              </w:rPr>
              <w:t>Socio – cultural</w:t>
            </w:r>
            <w:r w:rsidRPr="0079563D">
              <w:t xml:space="preserve"> </w:t>
            </w:r>
          </w:p>
          <w:p w14:paraId="656FD868" w14:textId="6ED3EF00" w:rsidR="0042255B" w:rsidRDefault="0050062C" w:rsidP="006C110D">
            <w:pPr>
              <w:spacing w:after="120"/>
            </w:pPr>
            <w:r>
              <w:t>There is a growing mismatch between skills demanded by fast-changing job markets and the skills possessed by the under-employed, vulnerable workers and the unemployed.</w:t>
            </w:r>
          </w:p>
          <w:p w14:paraId="647CF8C9" w14:textId="2A9F59BC" w:rsidR="0050062C" w:rsidRDefault="001C2C45" w:rsidP="006C110D">
            <w:pPr>
              <w:spacing w:after="120"/>
            </w:pPr>
            <w:r>
              <w:t xml:space="preserve">Half of the Local Government </w:t>
            </w:r>
            <w:r w:rsidR="00404103">
              <w:t xml:space="preserve">Areas have a population under </w:t>
            </w:r>
            <w:r w:rsidR="00DA6CA1">
              <w:t>20,000</w:t>
            </w:r>
            <w:r>
              <w:t>, which creates a thin market</w:t>
            </w:r>
            <w:r w:rsidR="006C110D">
              <w:t xml:space="preserve"> </w:t>
            </w:r>
            <w:r>
              <w:t xml:space="preserve">for the Learn Local providers in these areas; this increases the vulnerability of these organisations. </w:t>
            </w:r>
            <w:r w:rsidR="006C110D">
              <w:t xml:space="preserve"> </w:t>
            </w:r>
            <w:r>
              <w:t xml:space="preserve">Additionally, there is likely to be limited </w:t>
            </w:r>
            <w:r w:rsidR="0074318C">
              <w:t xml:space="preserve">pathways into further </w:t>
            </w:r>
            <w:r>
              <w:t>training and employability opportunities in these sm</w:t>
            </w:r>
            <w:r w:rsidR="0074318C">
              <w:t>aller rural areas.</w:t>
            </w:r>
          </w:p>
          <w:p w14:paraId="7EF7337F" w14:textId="559D3829" w:rsidR="0074318C" w:rsidRDefault="0074318C" w:rsidP="006C110D">
            <w:pPr>
              <w:spacing w:after="120"/>
            </w:pPr>
            <w:r>
              <w:t xml:space="preserve">Loddon Mallee has a significant indigenous population, particularly in Mildura, Greater Bendigo, Swan Hill and Campaspe. </w:t>
            </w:r>
            <w:r w:rsidR="00E22E71">
              <w:t>Similarly,</w:t>
            </w:r>
            <w:r>
              <w:t xml:space="preserve"> there is a substantial population of recently arrived </w:t>
            </w:r>
            <w:r w:rsidR="006C110D">
              <w:t xml:space="preserve">culturally ad linguistically diverse </w:t>
            </w:r>
            <w:r w:rsidR="00603564">
              <w:t>communities across the region, particularly from Myanmar, Northern Africa and the Middle East</w:t>
            </w:r>
            <w:r w:rsidR="006C110D">
              <w:t>.</w:t>
            </w:r>
            <w:r>
              <w:t xml:space="preserve"> The provision of a culturally safe and inclusive Learn Local lea</w:t>
            </w:r>
            <w:r w:rsidR="006C110D">
              <w:t>r</w:t>
            </w:r>
            <w:r>
              <w:t xml:space="preserve">ning environment is paramount to effective engagement </w:t>
            </w:r>
            <w:r w:rsidR="00603564">
              <w:t>with</w:t>
            </w:r>
            <w:r>
              <w:t xml:space="preserve"> these cohort</w:t>
            </w:r>
            <w:r w:rsidR="00603564">
              <w:t>s</w:t>
            </w:r>
            <w:r>
              <w:t xml:space="preserve">. </w:t>
            </w:r>
          </w:p>
          <w:p w14:paraId="03F0428B" w14:textId="29908DE0" w:rsidR="00603564" w:rsidRPr="006413A2" w:rsidRDefault="00603564" w:rsidP="006C110D">
            <w:pPr>
              <w:spacing w:after="120"/>
            </w:pPr>
            <w:r>
              <w:lastRenderedPageBreak/>
              <w:t>With five of Loddon Mallee’s LGAs within the bottom quartile of the SEIFA index, intergenerational disadvantage presents a myriad of challenges for many Learn Locals.</w:t>
            </w:r>
          </w:p>
          <w:p w14:paraId="0ECE0585" w14:textId="77777777" w:rsidR="0042255B" w:rsidRPr="00DF19EA" w:rsidRDefault="0042255B" w:rsidP="006C110D">
            <w:pPr>
              <w:spacing w:after="120"/>
              <w:rPr>
                <w:b/>
              </w:rPr>
            </w:pPr>
            <w:r>
              <w:rPr>
                <w:b/>
              </w:rPr>
              <w:t>Technology</w:t>
            </w:r>
          </w:p>
          <w:p w14:paraId="097E10D8" w14:textId="142BAD39" w:rsidR="0042255B" w:rsidRDefault="00A34127" w:rsidP="006C110D">
            <w:pPr>
              <w:spacing w:after="120"/>
            </w:pPr>
            <w:r>
              <w:t xml:space="preserve">Sweeping digitisation provides </w:t>
            </w:r>
            <w:r w:rsidR="00C43FB0">
              <w:t xml:space="preserve">both </w:t>
            </w:r>
            <w:r>
              <w:t xml:space="preserve">challenges and opportunities </w:t>
            </w:r>
            <w:r w:rsidR="00C43FB0">
              <w:t xml:space="preserve">for </w:t>
            </w:r>
            <w:r>
              <w:t>Learn Local providers</w:t>
            </w:r>
            <w:r w:rsidR="006C110D">
              <w:t xml:space="preserve">. </w:t>
            </w:r>
            <w:r>
              <w:t>Mechani</w:t>
            </w:r>
            <w:r w:rsidR="00833E48">
              <w:t xml:space="preserve">sation is removing </w:t>
            </w:r>
            <w:r w:rsidR="00BD79DF">
              <w:t xml:space="preserve">many </w:t>
            </w:r>
            <w:r w:rsidR="00833E48">
              <w:t xml:space="preserve">workplace </w:t>
            </w:r>
            <w:r w:rsidR="00BD79DF">
              <w:t xml:space="preserve">manual handling skills </w:t>
            </w:r>
            <w:r>
              <w:t xml:space="preserve">and increasing the requirement </w:t>
            </w:r>
            <w:r w:rsidR="00BD79DF">
              <w:t xml:space="preserve">for </w:t>
            </w:r>
            <w:r>
              <w:t xml:space="preserve">workers with digital literacy and technological nous. </w:t>
            </w:r>
            <w:r w:rsidR="0094048D">
              <w:t xml:space="preserve">Learn Local providers will need to </w:t>
            </w:r>
            <w:r w:rsidR="00833E48">
              <w:t xml:space="preserve">be </w:t>
            </w:r>
            <w:r w:rsidR="0094048D">
              <w:t xml:space="preserve">agile to embrace technology and </w:t>
            </w:r>
            <w:r w:rsidR="00761855">
              <w:t>m</w:t>
            </w:r>
            <w:r w:rsidR="00833E48">
              <w:t xml:space="preserve">aximise opportunities for their </w:t>
            </w:r>
            <w:r w:rsidR="00761855">
              <w:t>lea</w:t>
            </w:r>
            <w:r w:rsidR="00833E48">
              <w:t>r</w:t>
            </w:r>
            <w:r w:rsidR="00761855">
              <w:t>ners.</w:t>
            </w:r>
            <w:r w:rsidR="0094048D">
              <w:t xml:space="preserve"> </w:t>
            </w:r>
          </w:p>
          <w:p w14:paraId="3442D6F8" w14:textId="77777777" w:rsidR="0042255B" w:rsidRPr="00BA6C93" w:rsidRDefault="0042255B" w:rsidP="006C110D">
            <w:pPr>
              <w:spacing w:after="120"/>
              <w:rPr>
                <w:b/>
              </w:rPr>
            </w:pPr>
            <w:r>
              <w:rPr>
                <w:b/>
              </w:rPr>
              <w:t>Environmental</w:t>
            </w:r>
          </w:p>
          <w:p w14:paraId="7C7F2C18" w14:textId="0565D3B1" w:rsidR="001E6915" w:rsidRDefault="00FA62BB" w:rsidP="006C110D">
            <w:pPr>
              <w:spacing w:after="120"/>
            </w:pPr>
            <w:r>
              <w:t>With agriculture and horticulture playing a pivotal role in the economy, Loddon Mallee faces increased vulnerability from the impact of climate change</w:t>
            </w:r>
            <w:r w:rsidR="006C110D">
              <w:t xml:space="preserve">. </w:t>
            </w:r>
            <w:r w:rsidR="00BD79DF">
              <w:t>Water management, soil degradation, affordable energy</w:t>
            </w:r>
            <w:r w:rsidR="003D1D10">
              <w:t>,</w:t>
            </w:r>
            <w:r w:rsidR="00BD79DF">
              <w:t xml:space="preserve"> and adapting to extreme </w:t>
            </w:r>
            <w:r w:rsidR="001E6915">
              <w:t>weather events create the environment for solution-focussed approaches</w:t>
            </w:r>
            <w:r w:rsidR="006C110D">
              <w:t xml:space="preserve">. </w:t>
            </w:r>
            <w:r w:rsidR="001E6915">
              <w:t>Innovative problem-solving is urgently required to implement and develop specific action plans to deliver a low-carbon, climate-resilient world</w:t>
            </w:r>
            <w:r w:rsidR="006C110D">
              <w:t xml:space="preserve">. </w:t>
            </w:r>
            <w:r w:rsidR="00404103">
              <w:t xml:space="preserve">The place of pre-accredited STEM focussed literacy and numeracy courses and the accompanying A Frames will be essential. </w:t>
            </w:r>
          </w:p>
          <w:p w14:paraId="4F4791A9" w14:textId="2E301584" w:rsidR="004541B8" w:rsidRPr="00404103" w:rsidRDefault="001E6915" w:rsidP="00EB5376">
            <w:pPr>
              <w:spacing w:after="120"/>
              <w:rPr>
                <w:sz w:val="16"/>
                <w:szCs w:val="16"/>
              </w:rPr>
            </w:pPr>
            <w:r>
              <w:t xml:space="preserve">Partnerships with public-private experts may be needed to build the capacity of providers </w:t>
            </w:r>
            <w:r w:rsidR="00F863A0">
              <w:t>with knowl</w:t>
            </w:r>
            <w:r w:rsidR="0029124C">
              <w:t xml:space="preserve">edge and expertise to build </w:t>
            </w:r>
            <w:r w:rsidR="00F863A0">
              <w:t xml:space="preserve">confidence </w:t>
            </w:r>
            <w:r>
              <w:t>to embrace this area</w:t>
            </w:r>
            <w:r w:rsidR="006C110D">
              <w:t xml:space="preserve">. </w:t>
            </w:r>
            <w:r w:rsidR="00B42A1D">
              <w:t>C</w:t>
            </w:r>
            <w:r w:rsidR="0029124C">
              <w:t xml:space="preserve">onsequently, accredited courses and </w:t>
            </w:r>
            <w:r w:rsidR="00B42A1D">
              <w:t>pathways need to be created that focus o</w:t>
            </w:r>
            <w:r w:rsidR="0029124C">
              <w:t>n innovative problem-solving</w:t>
            </w:r>
            <w:r w:rsidR="00B42A1D">
              <w:t xml:space="preserve"> to implement and develop spe</w:t>
            </w:r>
            <w:r w:rsidR="0029124C">
              <w:t xml:space="preserve">cific action plans to deliver an advanced technology, </w:t>
            </w:r>
            <w:r w:rsidR="00B42A1D">
              <w:t>low-carbon, climate-resilient world.</w:t>
            </w:r>
          </w:p>
        </w:tc>
      </w:tr>
    </w:tbl>
    <w:p w14:paraId="6B7BB26A" w14:textId="77777777" w:rsidR="006C110D" w:rsidRDefault="006C110D">
      <w:pPr>
        <w:sectPr w:rsidR="006C110D" w:rsidSect="000010BE">
          <w:footerReference w:type="default" r:id="rId13"/>
          <w:pgSz w:w="11906" w:h="16838"/>
          <w:pgMar w:top="993" w:right="1440" w:bottom="1134" w:left="1440" w:header="708" w:footer="421" w:gutter="0"/>
          <w:cols w:space="708"/>
          <w:docGrid w:linePitch="360"/>
        </w:sectPr>
      </w:pPr>
    </w:p>
    <w:p w14:paraId="5C374D68" w14:textId="6EB91CF2" w:rsidR="00EB5376" w:rsidRDefault="00EB5376" w:rsidP="00EB5376">
      <w:pPr>
        <w:spacing w:after="160" w:line="259" w:lineRule="auto"/>
      </w:pPr>
      <w:r>
        <w:lastRenderedPageBreak/>
        <w:t>The data below indicates how effectively pre-accredited delivery in 2015 (latest publicly available data) was targeting priority groups</w:t>
      </w:r>
    </w:p>
    <w:p w14:paraId="4E986746" w14:textId="65B7BAF4" w:rsidR="00AF093A" w:rsidRDefault="00AF093A" w:rsidP="00EB5376">
      <w:pPr>
        <w:spacing w:after="160" w:line="259" w:lineRule="auto"/>
      </w:pPr>
      <w:r>
        <w:object w:dxaOrig="13293" w:dyaOrig="8569" w14:anchorId="548C1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428.25pt" o:ole="">
            <v:imagedata r:id="rId14" o:title=""/>
          </v:shape>
          <o:OLEObject Type="Embed" ProgID="Excel.Sheet.12" ShapeID="_x0000_i1025" DrawAspect="Content" ObjectID="_1564984800" r:id="rId15"/>
        </w:object>
      </w:r>
    </w:p>
    <w:p w14:paraId="7F001A50" w14:textId="77777777" w:rsidR="006C110D" w:rsidRDefault="006C110D">
      <w:pPr>
        <w:sectPr w:rsidR="006C110D" w:rsidSect="006C110D">
          <w:pgSz w:w="16838" w:h="11906" w:orient="landscape"/>
          <w:pgMar w:top="1440" w:right="993" w:bottom="1440" w:left="1134" w:header="708" w:footer="421" w:gutter="0"/>
          <w:cols w:space="708"/>
          <w:docGrid w:linePitch="360"/>
        </w:sectPr>
      </w:pPr>
    </w:p>
    <w:p w14:paraId="23A1C666" w14:textId="20052870" w:rsidR="006413A2" w:rsidRPr="00EB5376" w:rsidRDefault="00EB5376">
      <w:pPr>
        <w:rPr>
          <w:b/>
          <w:sz w:val="24"/>
        </w:rPr>
      </w:pPr>
      <w:r>
        <w:rPr>
          <w:b/>
          <w:sz w:val="24"/>
        </w:rPr>
        <w:lastRenderedPageBreak/>
        <w:t>Additional i</w:t>
      </w:r>
      <w:r w:rsidRPr="0014451A">
        <w:rPr>
          <w:b/>
          <w:sz w:val="24"/>
        </w:rPr>
        <w:t>nformation on individual priority groups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36689" w:rsidRPr="00EB5D28" w14:paraId="7D515EDF" w14:textId="77777777" w:rsidTr="006413A2">
        <w:tc>
          <w:tcPr>
            <w:tcW w:w="8908" w:type="dxa"/>
            <w:shd w:val="clear" w:color="auto" w:fill="000000" w:themeFill="text1"/>
          </w:tcPr>
          <w:p w14:paraId="5D96CD5D" w14:textId="79D73901" w:rsidR="00436689" w:rsidRPr="00EB5D28" w:rsidRDefault="00EB5376" w:rsidP="00843F9C">
            <w:pPr>
              <w:rPr>
                <w:b/>
              </w:rPr>
            </w:pPr>
            <w:r>
              <w:rPr>
                <w:b/>
              </w:rPr>
              <w:t>YOUNG MOTHERS, WOMEN RETURNING TO WORK AND WOMEN WHO HAVE EXPEREINCED FAMILY VIOLENCE</w:t>
            </w:r>
          </w:p>
        </w:tc>
      </w:tr>
      <w:tr w:rsidR="00436689" w14:paraId="29E18F2A" w14:textId="77777777" w:rsidTr="006413A2">
        <w:tc>
          <w:tcPr>
            <w:tcW w:w="8908" w:type="dxa"/>
          </w:tcPr>
          <w:p w14:paraId="58FDEF1A" w14:textId="210214F7" w:rsidR="00CA48F3" w:rsidRPr="00EB5376" w:rsidRDefault="00A72CC2" w:rsidP="00EB5376">
            <w:pPr>
              <w:spacing w:after="120"/>
              <w:rPr>
                <w:rFonts w:eastAsia="Times New Roman" w:cs="Times New Roman"/>
              </w:rPr>
            </w:pPr>
            <w:r>
              <w:t>R</w:t>
            </w:r>
            <w:r w:rsidR="00083316">
              <w:t xml:space="preserve">egional intelligence </w:t>
            </w:r>
            <w:r w:rsidR="00D019AF">
              <w:t xml:space="preserve">indicates that </w:t>
            </w:r>
            <w:r w:rsidR="00D019AF" w:rsidRPr="00EB5376">
              <w:rPr>
                <w:rFonts w:eastAsia="Times New Roman" w:cs="Times New Roman"/>
              </w:rPr>
              <w:t xml:space="preserve">women </w:t>
            </w:r>
            <w:r w:rsidR="00C74EA6" w:rsidRPr="00EB5376">
              <w:rPr>
                <w:rFonts w:eastAsia="Times New Roman" w:cs="Times New Roman"/>
              </w:rPr>
              <w:t xml:space="preserve">who are </w:t>
            </w:r>
            <w:r w:rsidR="00EB5376" w:rsidRPr="00EB5376">
              <w:rPr>
                <w:rFonts w:eastAsia="Times New Roman" w:cs="Times New Roman"/>
              </w:rPr>
              <w:t>affected by</w:t>
            </w:r>
            <w:r w:rsidR="00D019AF" w:rsidRPr="00EB5376">
              <w:rPr>
                <w:rFonts w:eastAsia="Times New Roman" w:cs="Times New Roman"/>
              </w:rPr>
              <w:t xml:space="preserve"> family violence</w:t>
            </w:r>
            <w:r w:rsidR="00C74EA6" w:rsidRPr="00EB5376">
              <w:rPr>
                <w:rFonts w:eastAsia="Times New Roman" w:cs="Times New Roman"/>
              </w:rPr>
              <w:t xml:space="preserve"> </w:t>
            </w:r>
            <w:r w:rsidR="00150B92" w:rsidRPr="00EB5376">
              <w:rPr>
                <w:rFonts w:eastAsia="Times New Roman" w:cs="Times New Roman"/>
              </w:rPr>
              <w:t xml:space="preserve">and women returning to </w:t>
            </w:r>
            <w:r w:rsidR="00E22E71" w:rsidRPr="00EB5376">
              <w:rPr>
                <w:rFonts w:eastAsia="Times New Roman" w:cs="Times New Roman"/>
              </w:rPr>
              <w:t>work are</w:t>
            </w:r>
            <w:r w:rsidR="00D019AF" w:rsidRPr="00EB5376">
              <w:rPr>
                <w:rFonts w:eastAsia="Times New Roman" w:cs="Times New Roman"/>
              </w:rPr>
              <w:t xml:space="preserve"> an emerging </w:t>
            </w:r>
            <w:r w:rsidR="0060574F" w:rsidRPr="00EB5376">
              <w:rPr>
                <w:rFonts w:eastAsia="Times New Roman" w:cs="Times New Roman"/>
              </w:rPr>
              <w:t xml:space="preserve">learner </w:t>
            </w:r>
            <w:r w:rsidR="00D019AF" w:rsidRPr="00EB5376">
              <w:rPr>
                <w:rFonts w:eastAsia="Times New Roman" w:cs="Times New Roman"/>
              </w:rPr>
              <w:t xml:space="preserve">sub-group of this </w:t>
            </w:r>
            <w:r w:rsidR="0060574F" w:rsidRPr="00EB5376">
              <w:rPr>
                <w:rFonts w:eastAsia="Times New Roman" w:cs="Times New Roman"/>
              </w:rPr>
              <w:t>cohort</w:t>
            </w:r>
          </w:p>
          <w:p w14:paraId="52DAFFF2" w14:textId="047B359E" w:rsidR="00C74EA6" w:rsidRPr="00C74EA6" w:rsidRDefault="00EB5376" w:rsidP="00EB5376">
            <w:pPr>
              <w:spacing w:after="120"/>
            </w:pPr>
            <w:r w:rsidRPr="00EB5376">
              <w:rPr>
                <w:rFonts w:eastAsia="Times New Roman" w:cs="Times New Roman"/>
              </w:rPr>
              <w:t>Both w</w:t>
            </w:r>
            <w:r w:rsidR="00C74EA6" w:rsidRPr="00EB5376">
              <w:rPr>
                <w:rFonts w:eastAsia="Times New Roman" w:cs="Times New Roman"/>
              </w:rPr>
              <w:t xml:space="preserve">omen </w:t>
            </w:r>
            <w:r w:rsidRPr="00EB5376">
              <w:rPr>
                <w:rFonts w:eastAsia="Times New Roman" w:cs="Times New Roman"/>
              </w:rPr>
              <w:t>affected by</w:t>
            </w:r>
            <w:r w:rsidR="00C74EA6" w:rsidRPr="00EB5376">
              <w:rPr>
                <w:rFonts w:eastAsia="Times New Roman" w:cs="Times New Roman"/>
              </w:rPr>
              <w:t xml:space="preserve"> family violence </w:t>
            </w:r>
            <w:r w:rsidRPr="00EB5376">
              <w:rPr>
                <w:rFonts w:eastAsia="Times New Roman" w:cs="Times New Roman"/>
              </w:rPr>
              <w:t xml:space="preserve">and those returning to work </w:t>
            </w:r>
            <w:r w:rsidR="00C74EA6" w:rsidRPr="00EB5376">
              <w:rPr>
                <w:rFonts w:eastAsia="Times New Roman" w:cs="Times New Roman"/>
              </w:rPr>
              <w:t>may lack the skills and confidence to engage</w:t>
            </w:r>
          </w:p>
          <w:p w14:paraId="171882F6" w14:textId="77777777" w:rsidR="0060574F" w:rsidRPr="00EB5376" w:rsidRDefault="00C74EA6" w:rsidP="00EB5376">
            <w:pPr>
              <w:spacing w:after="120"/>
              <w:rPr>
                <w:rFonts w:eastAsia="Times New Roman" w:cs="Times New Roman"/>
              </w:rPr>
            </w:pPr>
            <w:r w:rsidRPr="00EB5376">
              <w:rPr>
                <w:rFonts w:eastAsia="Times New Roman" w:cs="Times New Roman"/>
              </w:rPr>
              <w:t>Learn Local</w:t>
            </w:r>
            <w:r w:rsidR="00EB5376" w:rsidRPr="00EB5376">
              <w:rPr>
                <w:rFonts w:eastAsia="Times New Roman" w:cs="Times New Roman"/>
              </w:rPr>
              <w:t xml:space="preserve"> organisations should carefully consider whether they have </w:t>
            </w:r>
            <w:r w:rsidRPr="00EB5376">
              <w:rPr>
                <w:rFonts w:eastAsia="Times New Roman" w:cs="Times New Roman"/>
              </w:rPr>
              <w:t>expertise</w:t>
            </w:r>
            <w:r w:rsidR="00150B92" w:rsidRPr="00EB5376">
              <w:rPr>
                <w:rFonts w:eastAsia="Times New Roman" w:cs="Times New Roman"/>
              </w:rPr>
              <w:t xml:space="preserve"> to provide for</w:t>
            </w:r>
            <w:r w:rsidRPr="00EB5376">
              <w:rPr>
                <w:rFonts w:eastAsia="Times New Roman" w:cs="Times New Roman"/>
              </w:rPr>
              <w:t xml:space="preserve"> women experiencing </w:t>
            </w:r>
            <w:r w:rsidR="00EB5376" w:rsidRPr="00EB5376">
              <w:rPr>
                <w:rFonts w:eastAsia="Times New Roman" w:cs="Times New Roman"/>
              </w:rPr>
              <w:t>family violence. Partnering with specialist services may address this issue.</w:t>
            </w:r>
          </w:p>
          <w:p w14:paraId="36B3C6E2" w14:textId="66AC7398" w:rsidR="00EB5376" w:rsidRPr="00EB5376" w:rsidRDefault="00EB5376" w:rsidP="00EB5376">
            <w:pPr>
              <w:spacing w:after="120"/>
              <w:rPr>
                <w:rFonts w:eastAsia="Times New Roman" w:cs="Times New Roman"/>
              </w:rPr>
            </w:pPr>
            <w:r w:rsidRPr="00EB5376">
              <w:rPr>
                <w:rFonts w:eastAsia="Times New Roman" w:cs="Times New Roman"/>
              </w:rPr>
              <w:t xml:space="preserve">Pre-accredited training delivery in 2018 should prioritise both </w:t>
            </w:r>
            <w:r w:rsidRPr="00EB5376">
              <w:rPr>
                <w:rFonts w:eastAsia="Times New Roman" w:cs="Times New Roman"/>
                <w:i/>
              </w:rPr>
              <w:t>women who have been affected by family violence</w:t>
            </w:r>
            <w:r w:rsidRPr="00EB5376">
              <w:rPr>
                <w:rFonts w:eastAsia="Times New Roman" w:cs="Times New Roman"/>
              </w:rPr>
              <w:t xml:space="preserve"> and </w:t>
            </w:r>
            <w:r w:rsidRPr="00EB5376">
              <w:rPr>
                <w:rFonts w:eastAsia="Times New Roman" w:cs="Times New Roman"/>
                <w:i/>
              </w:rPr>
              <w:t xml:space="preserve">women returning to work, </w:t>
            </w:r>
            <w:r w:rsidRPr="00EB5376">
              <w:rPr>
                <w:rFonts w:eastAsia="Times New Roman" w:cs="Times New Roman"/>
              </w:rPr>
              <w:t>and therefore see evidence in delivery of pre-accredited training to these sub-groups in 2018</w:t>
            </w:r>
          </w:p>
        </w:tc>
      </w:tr>
    </w:tbl>
    <w:p w14:paraId="4388F8D4" w14:textId="2C2594B2" w:rsidR="00843F9C" w:rsidRDefault="008944AF" w:rsidP="008944AF">
      <w:pPr>
        <w:tabs>
          <w:tab w:val="left" w:pos="3000"/>
        </w:tabs>
      </w:pP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336FA" w14:paraId="0134C288" w14:textId="77777777" w:rsidTr="00EB5376">
        <w:tc>
          <w:tcPr>
            <w:tcW w:w="8908" w:type="dxa"/>
            <w:shd w:val="clear" w:color="auto" w:fill="000000" w:themeFill="text1"/>
          </w:tcPr>
          <w:p w14:paraId="4AD8FB7D" w14:textId="5CDB54D8" w:rsidR="00A336FA" w:rsidRPr="00EB5D28" w:rsidRDefault="00EB5376" w:rsidP="00A336FA">
            <w:pPr>
              <w:rPr>
                <w:b/>
              </w:rPr>
            </w:pPr>
            <w:r>
              <w:rPr>
                <w:b/>
              </w:rPr>
              <w:t>CULTURALLY AND LINGUISTICALLY DIVERSE LEARNERS</w:t>
            </w:r>
          </w:p>
        </w:tc>
      </w:tr>
      <w:tr w:rsidR="000C3E2D" w14:paraId="28EA895A" w14:textId="77777777" w:rsidTr="00680504">
        <w:trPr>
          <w:trHeight w:val="2731"/>
        </w:trPr>
        <w:tc>
          <w:tcPr>
            <w:tcW w:w="8908" w:type="dxa"/>
          </w:tcPr>
          <w:p w14:paraId="3AC5CCCA" w14:textId="59C4F481" w:rsidR="000C3E2D" w:rsidRDefault="000C3E2D" w:rsidP="000C3E2D">
            <w:pPr>
              <w:spacing w:after="120"/>
            </w:pPr>
            <w:r>
              <w:t xml:space="preserve">Regional intelligence indicates there has been an increase in eligible culturally and linguistically diverse learners in the region, particularly in Greater Bendigo </w:t>
            </w:r>
          </w:p>
          <w:p w14:paraId="04A213AD" w14:textId="77777777" w:rsidR="000C3E2D" w:rsidRPr="000C3E2D" w:rsidRDefault="000C3E2D" w:rsidP="000C3E2D">
            <w:pPr>
              <w:spacing w:after="120"/>
              <w:rPr>
                <w:rFonts w:eastAsia="Times New Roman" w:cs="Times New Roman"/>
              </w:rPr>
            </w:pPr>
            <w:r w:rsidRPr="000C3E2D">
              <w:rPr>
                <w:rFonts w:eastAsia="Times New Roman" w:cs="Times New Roman"/>
              </w:rPr>
              <w:t xml:space="preserve">Investigate the potential for a </w:t>
            </w:r>
            <w:r w:rsidRPr="000C3E2D">
              <w:rPr>
                <w:rFonts w:eastAsia="Times New Roman" w:cs="Times New Roman"/>
                <w:i/>
              </w:rPr>
              <w:t xml:space="preserve">blended learning model </w:t>
            </w:r>
            <w:r w:rsidRPr="000C3E2D">
              <w:rPr>
                <w:rFonts w:eastAsia="Times New Roman" w:cs="Times New Roman"/>
              </w:rPr>
              <w:t>that incorporates both face-to-face and online components to support CALD learners facing barriers such as specific childcare needs or travel barriers</w:t>
            </w:r>
          </w:p>
          <w:p w14:paraId="58D997A8" w14:textId="77777777" w:rsidR="000C3E2D" w:rsidRPr="00F232A6" w:rsidRDefault="000C3E2D" w:rsidP="000C3E2D">
            <w:pPr>
              <w:spacing w:after="120"/>
            </w:pPr>
            <w:r w:rsidRPr="000C3E2D">
              <w:rPr>
                <w:rFonts w:eastAsia="Times New Roman" w:cs="Times New Roman"/>
              </w:rPr>
              <w:t xml:space="preserve">Network/partner with organisations such as </w:t>
            </w:r>
            <w:r>
              <w:t xml:space="preserve">migrant resource centres </w:t>
            </w:r>
            <w:r w:rsidRPr="000C3E2D">
              <w:rPr>
                <w:rFonts w:eastAsia="Times New Roman" w:cs="Times New Roman"/>
              </w:rPr>
              <w:t>that will assist CALD learners to build their skills, confidence and pathways to further education, training and/or employment.</w:t>
            </w:r>
          </w:p>
          <w:p w14:paraId="24B4032D" w14:textId="70AD684C" w:rsidR="000C3E2D" w:rsidRDefault="000C3E2D" w:rsidP="00F232A6"/>
        </w:tc>
      </w:tr>
    </w:tbl>
    <w:p w14:paraId="086B44F7" w14:textId="6C23F609" w:rsidR="00CC6A8A" w:rsidRDefault="00CC6A8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336FA" w14:paraId="67C00C11" w14:textId="77777777" w:rsidTr="00EB5376">
        <w:tc>
          <w:tcPr>
            <w:tcW w:w="8908" w:type="dxa"/>
            <w:shd w:val="clear" w:color="auto" w:fill="000000" w:themeFill="text1"/>
          </w:tcPr>
          <w:p w14:paraId="6965216C" w14:textId="12A28789" w:rsidR="00A336FA" w:rsidRPr="00EB5D28" w:rsidRDefault="000C3E2D" w:rsidP="000C3E2D">
            <w:pPr>
              <w:rPr>
                <w:b/>
              </w:rPr>
            </w:pPr>
            <w:r>
              <w:rPr>
                <w:b/>
              </w:rPr>
              <w:t>LEARNERS WITH</w:t>
            </w:r>
            <w:r w:rsidR="00BA1122">
              <w:rPr>
                <w:b/>
              </w:rPr>
              <w:t xml:space="preserve"> DISABILITY</w:t>
            </w:r>
          </w:p>
        </w:tc>
      </w:tr>
      <w:tr w:rsidR="00A336FA" w14:paraId="239CE166" w14:textId="77777777" w:rsidTr="00EB5376">
        <w:tc>
          <w:tcPr>
            <w:tcW w:w="8908" w:type="dxa"/>
          </w:tcPr>
          <w:p w14:paraId="50ECC0A5" w14:textId="77777777" w:rsidR="000A35FD" w:rsidRPr="008D29B3" w:rsidRDefault="000A35FD" w:rsidP="008D29B3">
            <w:pPr>
              <w:spacing w:after="120"/>
              <w:rPr>
                <w:rFonts w:eastAsia="Times New Roman" w:cs="Times New Roman"/>
              </w:rPr>
            </w:pPr>
            <w:r w:rsidRPr="008D29B3">
              <w:rPr>
                <w:rFonts w:eastAsia="Times New Roman" w:cs="Times New Roman"/>
              </w:rPr>
              <w:t xml:space="preserve">Within this cohort, Regional Council would like provision to prioritise programs tailored to </w:t>
            </w:r>
            <w:r w:rsidRPr="008D29B3">
              <w:rPr>
                <w:rFonts w:eastAsia="Times New Roman" w:cs="Times New Roman"/>
                <w:i/>
              </w:rPr>
              <w:t>people who have experienced mental health issues</w:t>
            </w:r>
            <w:r w:rsidRPr="008D29B3">
              <w:rPr>
                <w:rFonts w:eastAsia="Times New Roman" w:cs="Times New Roman"/>
              </w:rPr>
              <w:t>, and therefore see an increase in delivery of pre-accredited training to this sub-group in 2018.</w:t>
            </w:r>
          </w:p>
          <w:p w14:paraId="5AD0B85E" w14:textId="11AD4D16" w:rsidR="00A72CC2" w:rsidRPr="008D29B3" w:rsidRDefault="00FF4CD5" w:rsidP="008D29B3">
            <w:pPr>
              <w:spacing w:after="120"/>
              <w:rPr>
                <w:rFonts w:eastAsia="Times New Roman" w:cs="Times New Roman"/>
              </w:rPr>
            </w:pPr>
            <w:r>
              <w:t xml:space="preserve">The data indicates </w:t>
            </w:r>
            <w:r w:rsidR="000A35FD">
              <w:t>people with a disability are</w:t>
            </w:r>
            <w:r>
              <w:t xml:space="preserve"> over-</w:t>
            </w:r>
            <w:r w:rsidR="000A35FD">
              <w:t>represented a</w:t>
            </w:r>
            <w:r>
              <w:t>cross the region</w:t>
            </w:r>
          </w:p>
          <w:p w14:paraId="3640D8C0" w14:textId="634E45A5" w:rsidR="0060574F" w:rsidRPr="008D29B3" w:rsidRDefault="008D29B3" w:rsidP="008D29B3">
            <w:pPr>
              <w:spacing w:after="120"/>
              <w:rPr>
                <w:rFonts w:eastAsia="Times New Roman" w:cs="Times New Roman"/>
              </w:rPr>
            </w:pPr>
            <w:r>
              <w:t>Care should be taken to employ appropriately skilled and qualified people to deliver programs to this cohort</w:t>
            </w:r>
          </w:p>
          <w:p w14:paraId="58DFFA94" w14:textId="20B578EE" w:rsidR="00A336FA" w:rsidRPr="008D29B3" w:rsidRDefault="000A35FD" w:rsidP="008D29B3">
            <w:pPr>
              <w:spacing w:after="120"/>
              <w:rPr>
                <w:rFonts w:eastAsia="Times New Roman" w:cs="Times New Roman"/>
              </w:rPr>
            </w:pPr>
            <w:r w:rsidRPr="008D29B3">
              <w:rPr>
                <w:rFonts w:eastAsia="Times New Roman" w:cs="Times New Roman"/>
              </w:rPr>
              <w:t xml:space="preserve">Programs that will assist </w:t>
            </w:r>
            <w:r w:rsidR="008D29B3" w:rsidRPr="008D29B3">
              <w:rPr>
                <w:rFonts w:eastAsia="Times New Roman" w:cs="Times New Roman"/>
              </w:rPr>
              <w:t>learners</w:t>
            </w:r>
            <w:r w:rsidRPr="008D29B3">
              <w:rPr>
                <w:rFonts w:eastAsia="Times New Roman" w:cs="Times New Roman"/>
              </w:rPr>
              <w:t xml:space="preserve"> with disability to pathway into other education or employment are preferred over those with only an engagement or participation focus.</w:t>
            </w:r>
            <w:r w:rsidR="00F015D9" w:rsidRPr="008D29B3">
              <w:rPr>
                <w:rFonts w:eastAsia="Times New Roman" w:cs="Times New Roman"/>
              </w:rPr>
              <w:t xml:space="preserve">  </w:t>
            </w:r>
          </w:p>
        </w:tc>
      </w:tr>
    </w:tbl>
    <w:p w14:paraId="5500227C" w14:textId="126B7D76" w:rsidR="00852DCC" w:rsidRDefault="00852DC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7FA2" w14:paraId="375EE7A2" w14:textId="77777777" w:rsidTr="008D29B3">
        <w:tc>
          <w:tcPr>
            <w:tcW w:w="8908" w:type="dxa"/>
            <w:shd w:val="clear" w:color="auto" w:fill="000000" w:themeFill="text1"/>
          </w:tcPr>
          <w:p w14:paraId="46013519" w14:textId="4F3D60DF" w:rsidR="00597FA2" w:rsidRPr="00EB5D28" w:rsidRDefault="00680504" w:rsidP="00BA1122">
            <w:pPr>
              <w:rPr>
                <w:b/>
              </w:rPr>
            </w:pPr>
            <w:r>
              <w:rPr>
                <w:b/>
              </w:rPr>
              <w:t>YOUNG PEOPLE (15 -19) DISENGAGED FROM WORK AND/OR SCHOOL</w:t>
            </w:r>
          </w:p>
        </w:tc>
      </w:tr>
      <w:tr w:rsidR="00597FA2" w14:paraId="630EA40B" w14:textId="77777777" w:rsidTr="008D29B3">
        <w:tc>
          <w:tcPr>
            <w:tcW w:w="8908" w:type="dxa"/>
          </w:tcPr>
          <w:p w14:paraId="53955686" w14:textId="770C70B6" w:rsidR="009B6481" w:rsidRDefault="00764027" w:rsidP="009B6481">
            <w:pPr>
              <w:spacing w:after="120"/>
            </w:pPr>
            <w:r>
              <w:t xml:space="preserve">The data indicates </w:t>
            </w:r>
            <w:r w:rsidR="009B6481">
              <w:t>little</w:t>
            </w:r>
            <w:r w:rsidR="00817C4F">
              <w:t xml:space="preserve"> or no </w:t>
            </w:r>
            <w:r>
              <w:t>training to</w:t>
            </w:r>
            <w:r w:rsidR="00817C4F">
              <w:t xml:space="preserve"> </w:t>
            </w:r>
            <w:r w:rsidR="009B6481">
              <w:t>this group</w:t>
            </w:r>
            <w:r w:rsidR="00817C4F">
              <w:t xml:space="preserve"> in most LGAs</w:t>
            </w:r>
            <w:r w:rsidR="009B6481">
              <w:t>. The Regional Council is seeking a</w:t>
            </w:r>
            <w:r w:rsidR="009B6481" w:rsidRPr="004B285E">
              <w:t>n increase</w:t>
            </w:r>
            <w:r w:rsidR="009B6481">
              <w:t xml:space="preserve"> in pre-accredited training to disengaged youth (17 years or age and over) across all LGAs with a priority focus on Greater Bendigo, Mount Alexander, Buloke and Loddon. There should be no enrolment of learners who are still enrolled at school</w:t>
            </w:r>
          </w:p>
          <w:p w14:paraId="34A9E9D7" w14:textId="586B8750" w:rsidR="00817C4F" w:rsidRDefault="00E22E71" w:rsidP="009B6481">
            <w:pPr>
              <w:spacing w:after="120"/>
            </w:pPr>
            <w:r>
              <w:t>Apart from</w:t>
            </w:r>
            <w:r w:rsidR="00764027">
              <w:t xml:space="preserve"> Greater Bendigo and </w:t>
            </w:r>
            <w:r w:rsidR="00817C4F">
              <w:t xml:space="preserve">the </w:t>
            </w:r>
            <w:r w:rsidR="00764027">
              <w:t>Macedon Ranges</w:t>
            </w:r>
            <w:r w:rsidR="009B6481">
              <w:t xml:space="preserve"> Shire</w:t>
            </w:r>
            <w:r w:rsidR="00764027">
              <w:t>, the youth demographic is declining</w:t>
            </w:r>
            <w:r w:rsidR="00A72CC2">
              <w:t xml:space="preserve"> in all other LGAs</w:t>
            </w:r>
          </w:p>
          <w:p w14:paraId="204A7246" w14:textId="4D4A6BD4" w:rsidR="000010BE" w:rsidRDefault="00A72CC2" w:rsidP="009B6481">
            <w:pPr>
              <w:spacing w:after="120"/>
            </w:pPr>
            <w:r w:rsidRPr="009B6481">
              <w:rPr>
                <w:rFonts w:cstheme="minorHAnsi"/>
              </w:rPr>
              <w:t>Department of Education and Training staff in Loddon Mallee only support a Re-engagement School Exit Form for a student where the rigoro</w:t>
            </w:r>
            <w:r w:rsidR="008944AF" w:rsidRPr="009B6481">
              <w:rPr>
                <w:rFonts w:cstheme="minorHAnsi"/>
              </w:rPr>
              <w:t>us learning program is in place</w:t>
            </w:r>
            <w:r w:rsidR="009B6481">
              <w:rPr>
                <w:rFonts w:cstheme="minorHAnsi"/>
              </w:rPr>
              <w:t>.</w:t>
            </w:r>
          </w:p>
        </w:tc>
      </w:tr>
    </w:tbl>
    <w:p w14:paraId="5AE72121" w14:textId="77777777" w:rsidR="009B6481" w:rsidRDefault="009B648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7FA2" w14:paraId="3847C510" w14:textId="77777777" w:rsidTr="009B6481">
        <w:tc>
          <w:tcPr>
            <w:tcW w:w="8908" w:type="dxa"/>
            <w:shd w:val="clear" w:color="auto" w:fill="000000" w:themeFill="text1"/>
          </w:tcPr>
          <w:p w14:paraId="69F006F5" w14:textId="3B5BA6C4" w:rsidR="00597FA2" w:rsidRPr="00EB5D28" w:rsidRDefault="0032784A" w:rsidP="00BA1122">
            <w:pPr>
              <w:rPr>
                <w:b/>
              </w:rPr>
            </w:pPr>
            <w:r>
              <w:rPr>
                <w:b/>
              </w:rPr>
              <w:lastRenderedPageBreak/>
              <w:t>EARLY SCHOOL LEAVERS</w:t>
            </w:r>
          </w:p>
        </w:tc>
      </w:tr>
      <w:tr w:rsidR="00597FA2" w14:paraId="15C1729C" w14:textId="77777777" w:rsidTr="009B6481">
        <w:tc>
          <w:tcPr>
            <w:tcW w:w="8908" w:type="dxa"/>
          </w:tcPr>
          <w:p w14:paraId="7C4937E3" w14:textId="48142864" w:rsidR="00DF6260" w:rsidRDefault="0067564E" w:rsidP="0067564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data indicates that </w:t>
            </w:r>
            <w:r w:rsidR="00D35D3E">
              <w:rPr>
                <w:rFonts w:cstheme="minorHAnsi"/>
              </w:rPr>
              <w:t xml:space="preserve">Early School Leavers comprise a significant learner cohort </w:t>
            </w:r>
            <w:r w:rsidR="00E22E71">
              <w:rPr>
                <w:rFonts w:cstheme="minorHAnsi"/>
              </w:rPr>
              <w:t>except for</w:t>
            </w:r>
            <w:r w:rsidR="00D35D3E">
              <w:rPr>
                <w:rFonts w:cstheme="minorHAnsi"/>
              </w:rPr>
              <w:t xml:space="preserve"> Greater Bendigo</w:t>
            </w:r>
            <w:r w:rsidR="009B6481">
              <w:rPr>
                <w:rFonts w:cstheme="minorHAnsi"/>
              </w:rPr>
              <w:t xml:space="preserve">. Increased </w:t>
            </w:r>
            <w:r w:rsidR="009B6481">
              <w:t>pre-accredited training to Early School Leavers in Greater Bendigo is required.</w:t>
            </w:r>
          </w:p>
          <w:p w14:paraId="797ADA13" w14:textId="41BBFEF1" w:rsidR="000540F7" w:rsidRDefault="000540F7" w:rsidP="0067564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Greater Bendigo has secured </w:t>
            </w:r>
            <w:r w:rsidR="00E22E71">
              <w:rPr>
                <w:rFonts w:cstheme="minorHAnsi"/>
              </w:rPr>
              <w:t>several</w:t>
            </w:r>
            <w:r>
              <w:rPr>
                <w:rFonts w:cstheme="minorHAnsi"/>
              </w:rPr>
              <w:t xml:space="preserve"> initiatives that may alternatively cater </w:t>
            </w:r>
            <w:r w:rsidR="006047E9">
              <w:rPr>
                <w:rFonts w:cstheme="minorHAnsi"/>
              </w:rPr>
              <w:t>fo</w:t>
            </w:r>
            <w:r>
              <w:rPr>
                <w:rFonts w:cstheme="minorHAnsi"/>
              </w:rPr>
              <w:t>r early school leavers (</w:t>
            </w:r>
            <w:r w:rsidR="006047E9">
              <w:rPr>
                <w:rFonts w:cstheme="minorHAnsi"/>
              </w:rPr>
              <w:t>Transition to Work, JVEN, Skills and Job Centres and RECONNECT)</w:t>
            </w:r>
          </w:p>
          <w:p w14:paraId="46BA6332" w14:textId="3BACF7C6" w:rsidR="006047E9" w:rsidRDefault="00E22E71" w:rsidP="0067564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Opportunities</w:t>
            </w:r>
            <w:r w:rsidR="006047E9">
              <w:rPr>
                <w:rFonts w:cstheme="minorHAnsi"/>
              </w:rPr>
              <w:t xml:space="preserve"> exist for Learn Locals, to form informal and formal partnerships with key personnel from these </w:t>
            </w:r>
            <w:r>
              <w:rPr>
                <w:rFonts w:cstheme="minorHAnsi"/>
              </w:rPr>
              <w:t>initiatives</w:t>
            </w:r>
          </w:p>
          <w:p w14:paraId="57978FB5" w14:textId="132BDDA0" w:rsidR="00D35D3E" w:rsidRDefault="00E22E71" w:rsidP="0067564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Volatility</w:t>
            </w:r>
            <w:r w:rsidR="00D35D3E">
              <w:rPr>
                <w:rFonts w:cstheme="minorHAnsi"/>
              </w:rPr>
              <w:t xml:space="preserve"> in the agriculture and horticulture sectors</w:t>
            </w:r>
            <w:r w:rsidR="000540F7">
              <w:rPr>
                <w:rFonts w:cstheme="minorHAnsi"/>
              </w:rPr>
              <w:t xml:space="preserve"> across Loddon Mallee,</w:t>
            </w:r>
            <w:r w:rsidR="00D35D3E">
              <w:rPr>
                <w:rFonts w:cstheme="minorHAnsi"/>
              </w:rPr>
              <w:t xml:space="preserve"> combined with the rapidly changing nature of employment (part-time, casual, under-employed) and mechanisation of workplaces may see this cohort growing in the future with the generally lower skill base early school leavers have</w:t>
            </w:r>
            <w:r w:rsidR="009B6481">
              <w:rPr>
                <w:rFonts w:cstheme="minorHAnsi"/>
              </w:rPr>
              <w:t>.</w:t>
            </w:r>
          </w:p>
          <w:p w14:paraId="2C961C1E" w14:textId="4C595775" w:rsidR="00A336FA" w:rsidRDefault="00A336FA" w:rsidP="009B6481">
            <w:pPr>
              <w:pStyle w:val="ListParagraph"/>
            </w:pPr>
          </w:p>
        </w:tc>
      </w:tr>
    </w:tbl>
    <w:p w14:paraId="7964DD35" w14:textId="485A6014" w:rsidR="000010BE" w:rsidRDefault="000010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7FA2" w14:paraId="17951E3E" w14:textId="77777777" w:rsidTr="008D29B3">
        <w:tc>
          <w:tcPr>
            <w:tcW w:w="8908" w:type="dxa"/>
            <w:shd w:val="clear" w:color="auto" w:fill="000000" w:themeFill="text1"/>
          </w:tcPr>
          <w:p w14:paraId="38F7DAE4" w14:textId="3E0894A8" w:rsidR="00597FA2" w:rsidRPr="00EB5D28" w:rsidRDefault="0032784A" w:rsidP="00BA1122">
            <w:pPr>
              <w:rPr>
                <w:b/>
              </w:rPr>
            </w:pPr>
            <w:r>
              <w:rPr>
                <w:b/>
              </w:rPr>
              <w:t>INDIGENOUS</w:t>
            </w:r>
            <w:r w:rsidR="00201BB1">
              <w:rPr>
                <w:b/>
              </w:rPr>
              <w:t xml:space="preserve"> </w:t>
            </w:r>
            <w:r w:rsidR="009B6481">
              <w:rPr>
                <w:b/>
              </w:rPr>
              <w:t>LEARNERS</w:t>
            </w:r>
          </w:p>
        </w:tc>
      </w:tr>
      <w:tr w:rsidR="00597FA2" w14:paraId="52FACB3F" w14:textId="77777777" w:rsidTr="008D29B3">
        <w:tc>
          <w:tcPr>
            <w:tcW w:w="8908" w:type="dxa"/>
          </w:tcPr>
          <w:p w14:paraId="304D4F20" w14:textId="14A69A8A" w:rsidR="00F015E8" w:rsidRPr="009B6481" w:rsidRDefault="009B6481" w:rsidP="009B6481">
            <w:pPr>
              <w:spacing w:after="120"/>
            </w:pPr>
            <w:r w:rsidRPr="009B6481">
              <w:rPr>
                <w:rFonts w:eastAsia="Times New Roman"/>
              </w:rPr>
              <w:t>Engagement</w:t>
            </w:r>
            <w:r w:rsidR="00F015E8" w:rsidRPr="009B6481">
              <w:rPr>
                <w:rFonts w:eastAsia="Times New Roman"/>
              </w:rPr>
              <w:t xml:space="preserve"> with </w:t>
            </w:r>
            <w:r w:rsidR="00E22E71" w:rsidRPr="009B6481">
              <w:rPr>
                <w:rFonts w:eastAsia="Times New Roman"/>
              </w:rPr>
              <w:t>Indigenous</w:t>
            </w:r>
            <w:r w:rsidR="00F015E8" w:rsidRPr="009B6481">
              <w:rPr>
                <w:rFonts w:eastAsia="Times New Roman"/>
              </w:rPr>
              <w:t xml:space="preserve"> Organisations (</w:t>
            </w:r>
            <w:r w:rsidRPr="009B6481">
              <w:rPr>
                <w:rFonts w:eastAsia="Times New Roman"/>
              </w:rPr>
              <w:t xml:space="preserve">for example, </w:t>
            </w:r>
            <w:r w:rsidR="00F015E8" w:rsidRPr="009B6481">
              <w:rPr>
                <w:rFonts w:eastAsia="Times New Roman"/>
              </w:rPr>
              <w:t xml:space="preserve">meeting with community elders and families to explain what is on offer and the benefits) </w:t>
            </w:r>
            <w:r w:rsidRPr="009B6481">
              <w:rPr>
                <w:rFonts w:eastAsia="Times New Roman"/>
              </w:rPr>
              <w:t xml:space="preserve">by </w:t>
            </w:r>
            <w:r w:rsidR="00F015E8" w:rsidRPr="009B6481">
              <w:rPr>
                <w:rFonts w:eastAsia="Times New Roman"/>
              </w:rPr>
              <w:t xml:space="preserve">Learn Local can result in indigenous learners enrolling in </w:t>
            </w:r>
            <w:r w:rsidR="00E22E71" w:rsidRPr="009B6481">
              <w:rPr>
                <w:rFonts w:eastAsia="Times New Roman"/>
              </w:rPr>
              <w:t>pre-accredited</w:t>
            </w:r>
            <w:r w:rsidR="00F015E8" w:rsidRPr="009B6481">
              <w:rPr>
                <w:rFonts w:eastAsia="Times New Roman"/>
              </w:rPr>
              <w:t xml:space="preserve"> training.</w:t>
            </w:r>
          </w:p>
          <w:p w14:paraId="7EAD7FE0" w14:textId="77777777" w:rsidR="009B6481" w:rsidRDefault="009B6481" w:rsidP="009B6481">
            <w:pPr>
              <w:spacing w:after="120"/>
            </w:pPr>
            <w:r>
              <w:t>An increase of pre-accredited training to Indigenous people in Swan Hill where this cohort is under-represented</w:t>
            </w:r>
          </w:p>
          <w:p w14:paraId="56836FB5" w14:textId="17CEA8A0" w:rsidR="009B6481" w:rsidRPr="00F015E8" w:rsidRDefault="009B6481" w:rsidP="009B6481">
            <w:pPr>
              <w:spacing w:after="120"/>
            </w:pPr>
            <w:r>
              <w:t xml:space="preserve">An </w:t>
            </w:r>
            <w:r w:rsidRPr="004B285E">
              <w:t>increase</w:t>
            </w:r>
            <w:r>
              <w:t xml:space="preserve"> of pre-accredited training to Indigenous people in Buloke, Gan</w:t>
            </w:r>
            <w:r w:rsidR="0082548B">
              <w:t>n</w:t>
            </w:r>
            <w:r>
              <w:t>awarra and Loddon where past delivery has been negligible.</w:t>
            </w:r>
          </w:p>
          <w:p w14:paraId="7E606475" w14:textId="70802D95" w:rsidR="00597FA2" w:rsidRDefault="00597FA2" w:rsidP="00201BB1"/>
        </w:tc>
      </w:tr>
    </w:tbl>
    <w:p w14:paraId="187842C5" w14:textId="2AC0F842" w:rsidR="00CC6A8A" w:rsidRDefault="00CC6A8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7FA2" w14:paraId="65AF5A1C" w14:textId="77777777" w:rsidTr="008D29B3">
        <w:tc>
          <w:tcPr>
            <w:tcW w:w="8908" w:type="dxa"/>
            <w:shd w:val="clear" w:color="auto" w:fill="000000" w:themeFill="text1"/>
          </w:tcPr>
          <w:p w14:paraId="7FCFE5C9" w14:textId="7E1CF6B3" w:rsidR="00597FA2" w:rsidRPr="00EB5D28" w:rsidRDefault="0032784A" w:rsidP="001E6915">
            <w:pPr>
              <w:rPr>
                <w:b/>
              </w:rPr>
            </w:pPr>
            <w:r>
              <w:rPr>
                <w:b/>
              </w:rPr>
              <w:t>UNEMPLOYED</w:t>
            </w:r>
            <w:r w:rsidR="009B6481">
              <w:rPr>
                <w:b/>
              </w:rPr>
              <w:t xml:space="preserve"> PEOPLE</w:t>
            </w:r>
          </w:p>
        </w:tc>
      </w:tr>
      <w:tr w:rsidR="00597FA2" w14:paraId="4C8F1270" w14:textId="77777777" w:rsidTr="008D29B3">
        <w:tc>
          <w:tcPr>
            <w:tcW w:w="8908" w:type="dxa"/>
          </w:tcPr>
          <w:p w14:paraId="2B162B9B" w14:textId="00763E73" w:rsidR="00B52C0E" w:rsidRPr="0082548B" w:rsidRDefault="00B52C0E" w:rsidP="0082548B">
            <w:pPr>
              <w:spacing w:after="120"/>
              <w:rPr>
                <w:rFonts w:cstheme="minorHAnsi"/>
              </w:rPr>
            </w:pPr>
            <w:r w:rsidRPr="0082548B">
              <w:rPr>
                <w:rFonts w:cstheme="minorHAnsi"/>
              </w:rPr>
              <w:t>Volatility in the agriculture, horticulture, mining and manufacturing sectors across Loddon Mallee, combined with the rapidly changing nature of employment and mechanisation of workplaces</w:t>
            </w:r>
            <w:r w:rsidR="00DC67E3" w:rsidRPr="0082548B">
              <w:rPr>
                <w:rFonts w:cstheme="minorHAnsi"/>
              </w:rPr>
              <w:t xml:space="preserve"> has resulted in an increase in the unemployment rate (2016 census data will provide current numbers)</w:t>
            </w:r>
          </w:p>
          <w:p w14:paraId="4223C83B" w14:textId="77777777" w:rsidR="00DC67E3" w:rsidRDefault="00DC67E3" w:rsidP="0082548B">
            <w:pPr>
              <w:spacing w:after="120"/>
            </w:pPr>
            <w:r>
              <w:t>F</w:t>
            </w:r>
            <w:r w:rsidR="00B52C0E">
              <w:t xml:space="preserve">ive of Loddon Mallee’s LGAs </w:t>
            </w:r>
            <w:r>
              <w:t xml:space="preserve">are </w:t>
            </w:r>
            <w:r w:rsidR="00B52C0E">
              <w:t>within the bott</w:t>
            </w:r>
            <w:r>
              <w:t>om quartile of the SEIFA index</w:t>
            </w:r>
          </w:p>
          <w:p w14:paraId="1116408B" w14:textId="19191A92" w:rsidR="00B52C0E" w:rsidRPr="00B52C0E" w:rsidRDefault="00DC67E3" w:rsidP="0082548B">
            <w:pPr>
              <w:spacing w:after="120"/>
            </w:pPr>
            <w:r>
              <w:t>I</w:t>
            </w:r>
            <w:r w:rsidR="00B52C0E">
              <w:t>ntergenerational disadvantage presents a myriad of challenges for many Learn Locals</w:t>
            </w:r>
          </w:p>
          <w:p w14:paraId="0C939ACD" w14:textId="33FB506B" w:rsidR="00B52C0E" w:rsidRPr="0082548B" w:rsidRDefault="00B52C0E" w:rsidP="0082548B">
            <w:pPr>
              <w:spacing w:after="120"/>
              <w:rPr>
                <w:rFonts w:cstheme="minorHAnsi"/>
              </w:rPr>
            </w:pPr>
            <w:r w:rsidRPr="0082548B">
              <w:rPr>
                <w:rFonts w:cstheme="minorHAnsi"/>
              </w:rPr>
              <w:t>Accompanying this cohort, mental health issues can emerge as people find themselves in uncharted life situations</w:t>
            </w:r>
            <w:r w:rsidR="00DC67E3" w:rsidRPr="0082548B">
              <w:rPr>
                <w:rFonts w:cstheme="minorHAnsi"/>
              </w:rPr>
              <w:t>, particularly newly unemployed</w:t>
            </w:r>
            <w:r w:rsidRPr="0082548B">
              <w:rPr>
                <w:rFonts w:cstheme="minorHAnsi"/>
              </w:rPr>
              <w:t xml:space="preserve"> (anecdotal data from parts of Loddon Mallee)</w:t>
            </w:r>
          </w:p>
          <w:p w14:paraId="4A341ED1" w14:textId="1F472F97" w:rsidR="0067564E" w:rsidRDefault="0082548B" w:rsidP="0082548B">
            <w:pPr>
              <w:spacing w:after="120"/>
            </w:pPr>
            <w:r>
              <w:t xml:space="preserve">An increase of pre-accredited training to unemployed people in Buloke is needed. </w:t>
            </w:r>
          </w:p>
        </w:tc>
      </w:tr>
    </w:tbl>
    <w:p w14:paraId="04F8EC38" w14:textId="2E860E25" w:rsidR="000010BE" w:rsidRDefault="000010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7FA2" w14:paraId="23067465" w14:textId="77777777" w:rsidTr="008D29B3">
        <w:tc>
          <w:tcPr>
            <w:tcW w:w="8908" w:type="dxa"/>
            <w:shd w:val="clear" w:color="auto" w:fill="000000" w:themeFill="text1"/>
          </w:tcPr>
          <w:p w14:paraId="736FCC88" w14:textId="7C7C7434" w:rsidR="00597FA2" w:rsidRPr="00EB5D28" w:rsidRDefault="0032784A" w:rsidP="001E6915">
            <w:pPr>
              <w:rPr>
                <w:b/>
              </w:rPr>
            </w:pPr>
            <w:r>
              <w:rPr>
                <w:b/>
              </w:rPr>
              <w:t>VULNERABLE WORKERS</w:t>
            </w:r>
          </w:p>
        </w:tc>
      </w:tr>
      <w:tr w:rsidR="00597FA2" w14:paraId="352BA545" w14:textId="77777777" w:rsidTr="008D29B3">
        <w:tc>
          <w:tcPr>
            <w:tcW w:w="8908" w:type="dxa"/>
          </w:tcPr>
          <w:p w14:paraId="760C8A73" w14:textId="413A759F" w:rsidR="0067564E" w:rsidRDefault="0067564E" w:rsidP="0082548B">
            <w:pPr>
              <w:spacing w:after="120"/>
            </w:pPr>
            <w:r>
              <w:t>The data indicates</w:t>
            </w:r>
            <w:r w:rsidR="00707C7C">
              <w:t xml:space="preserve"> most LGAs are not catering for vulnerable worke</w:t>
            </w:r>
            <w:r w:rsidR="00620C8F">
              <w:t>rs; however vulnerable workers may be accommodated within other priority cohorts</w:t>
            </w:r>
          </w:p>
          <w:p w14:paraId="61D5E647" w14:textId="7D317B0F" w:rsidR="00620C8F" w:rsidRDefault="0082548B" w:rsidP="0082548B">
            <w:pPr>
              <w:spacing w:after="120"/>
            </w:pPr>
            <w:r>
              <w:t>E</w:t>
            </w:r>
            <w:r w:rsidR="00CC7603" w:rsidRPr="00821B52">
              <w:t>xtende</w:t>
            </w:r>
            <w:r w:rsidR="00620C8F">
              <w:t>d drought,</w:t>
            </w:r>
            <w:r w:rsidR="00234F53">
              <w:t xml:space="preserve"> workers unable to find employment</w:t>
            </w:r>
            <w:r>
              <w:t xml:space="preserve"> due to workplaces closing, </w:t>
            </w:r>
            <w:r w:rsidR="00620C8F">
              <w:t xml:space="preserve">redundancies, </w:t>
            </w:r>
            <w:r w:rsidR="00234F53">
              <w:t xml:space="preserve">seasonal </w:t>
            </w:r>
            <w:r w:rsidR="00620C8F">
              <w:t xml:space="preserve">employment </w:t>
            </w:r>
            <w:r w:rsidR="00234F53">
              <w:t xml:space="preserve">opportunities, </w:t>
            </w:r>
            <w:r w:rsidR="00620C8F">
              <w:t>often</w:t>
            </w:r>
            <w:r w:rsidR="00CC7603" w:rsidRPr="00821B52">
              <w:t xml:space="preserve"> dependant on the weather factors</w:t>
            </w:r>
            <w:r w:rsidR="00620C8F">
              <w:t>, l</w:t>
            </w:r>
            <w:r w:rsidR="00620C8F" w:rsidRPr="00821B52">
              <w:t>ack of choice</w:t>
            </w:r>
            <w:r w:rsidR="00620C8F">
              <w:t>s</w:t>
            </w:r>
            <w:r w:rsidR="00620C8F" w:rsidRPr="00821B52">
              <w:t xml:space="preserve"> or pathway</w:t>
            </w:r>
            <w:r w:rsidR="00620C8F">
              <w:t>s</w:t>
            </w:r>
            <w:r w:rsidR="00620C8F" w:rsidRPr="00821B52">
              <w:t xml:space="preserve"> in </w:t>
            </w:r>
            <w:r w:rsidR="007745B4" w:rsidRPr="00821B52">
              <w:t xml:space="preserve">small </w:t>
            </w:r>
            <w:r w:rsidR="007745B4">
              <w:t>rural</w:t>
            </w:r>
            <w:r w:rsidR="00620C8F">
              <w:t xml:space="preserve"> </w:t>
            </w:r>
            <w:r w:rsidR="00620C8F" w:rsidRPr="00821B52">
              <w:t>communities</w:t>
            </w:r>
            <w:r>
              <w:t xml:space="preserve"> all generate vulnerability for workers.</w:t>
            </w:r>
          </w:p>
          <w:p w14:paraId="45FA7A1E" w14:textId="2D109B1C" w:rsidR="00620C8F" w:rsidRDefault="0082548B" w:rsidP="0082548B">
            <w:pPr>
              <w:spacing w:after="120"/>
            </w:pPr>
            <w:r>
              <w:t xml:space="preserve">An </w:t>
            </w:r>
            <w:r w:rsidRPr="004B285E">
              <w:t>increase</w:t>
            </w:r>
            <w:r>
              <w:t xml:space="preserve"> of pre-accredited training to Vulnerable Workers is justified across all LGAs, with a priority focus on Central Goldfields, Mount Alexander, Buloke and Loddon where this cohort is under-represented.</w:t>
            </w:r>
          </w:p>
        </w:tc>
      </w:tr>
    </w:tbl>
    <w:p w14:paraId="5198BC25" w14:textId="77777777" w:rsidR="00CC6A8A" w:rsidRDefault="00CC6A8A"/>
    <w:sectPr w:rsidR="00CC6A8A" w:rsidSect="000010BE">
      <w:pgSz w:w="11906" w:h="16838"/>
      <w:pgMar w:top="993" w:right="1440" w:bottom="1134" w:left="144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E6845" w14:textId="77777777" w:rsidR="00E5504E" w:rsidRDefault="00E5504E" w:rsidP="001C54B9">
      <w:pPr>
        <w:spacing w:after="0" w:line="240" w:lineRule="auto"/>
      </w:pPr>
      <w:r>
        <w:separator/>
      </w:r>
    </w:p>
  </w:endnote>
  <w:endnote w:type="continuationSeparator" w:id="0">
    <w:p w14:paraId="40A03CE6" w14:textId="77777777" w:rsidR="00E5504E" w:rsidRDefault="00E5504E" w:rsidP="001C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080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76240" w14:textId="3134FCA5" w:rsidR="00680504" w:rsidRPr="001C54B9" w:rsidRDefault="00680504">
        <w:pPr>
          <w:pStyle w:val="Footer"/>
          <w:jc w:val="right"/>
        </w:pPr>
        <w:r w:rsidRPr="001C54B9">
          <w:fldChar w:fldCharType="begin"/>
        </w:r>
        <w:r w:rsidRPr="001C54B9">
          <w:instrText xml:space="preserve"> PAGE   \* MERGEFORMAT </w:instrText>
        </w:r>
        <w:r w:rsidRPr="001C54B9">
          <w:fldChar w:fldCharType="separate"/>
        </w:r>
        <w:r w:rsidR="00493F26">
          <w:rPr>
            <w:noProof/>
          </w:rPr>
          <w:t>1</w:t>
        </w:r>
        <w:r w:rsidRPr="001C54B9">
          <w:rPr>
            <w:noProof/>
          </w:rPr>
          <w:fldChar w:fldCharType="end"/>
        </w:r>
      </w:p>
    </w:sdtContent>
  </w:sdt>
  <w:p w14:paraId="6060F5E2" w14:textId="77777777" w:rsidR="00680504" w:rsidRDefault="00680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B146" w14:textId="77777777" w:rsidR="00E5504E" w:rsidRDefault="00E5504E" w:rsidP="001C54B9">
      <w:pPr>
        <w:spacing w:after="0" w:line="240" w:lineRule="auto"/>
      </w:pPr>
      <w:r>
        <w:separator/>
      </w:r>
    </w:p>
  </w:footnote>
  <w:footnote w:type="continuationSeparator" w:id="0">
    <w:p w14:paraId="002EC5FF" w14:textId="77777777" w:rsidR="00E5504E" w:rsidRDefault="00E5504E" w:rsidP="001C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7A0"/>
    <w:multiLevelType w:val="hybridMultilevel"/>
    <w:tmpl w:val="7700B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30493"/>
    <w:multiLevelType w:val="hybridMultilevel"/>
    <w:tmpl w:val="3A06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928"/>
    <w:multiLevelType w:val="hybridMultilevel"/>
    <w:tmpl w:val="EDA8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53"/>
    <w:multiLevelType w:val="hybridMultilevel"/>
    <w:tmpl w:val="9670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792"/>
    <w:multiLevelType w:val="hybridMultilevel"/>
    <w:tmpl w:val="852A1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6FC"/>
    <w:multiLevelType w:val="hybridMultilevel"/>
    <w:tmpl w:val="DB721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2A31"/>
    <w:multiLevelType w:val="hybridMultilevel"/>
    <w:tmpl w:val="BC605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1353"/>
    <w:multiLevelType w:val="hybridMultilevel"/>
    <w:tmpl w:val="C3C28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407D"/>
    <w:multiLevelType w:val="hybridMultilevel"/>
    <w:tmpl w:val="C396D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5619"/>
    <w:multiLevelType w:val="hybridMultilevel"/>
    <w:tmpl w:val="0C8A4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694E"/>
    <w:multiLevelType w:val="hybridMultilevel"/>
    <w:tmpl w:val="70DC3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0ABC"/>
    <w:multiLevelType w:val="hybridMultilevel"/>
    <w:tmpl w:val="0432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6EF"/>
    <w:multiLevelType w:val="hybridMultilevel"/>
    <w:tmpl w:val="011E5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533E"/>
    <w:multiLevelType w:val="hybridMultilevel"/>
    <w:tmpl w:val="9FEA84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7F92"/>
    <w:multiLevelType w:val="hybridMultilevel"/>
    <w:tmpl w:val="AD506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2F4B"/>
    <w:multiLevelType w:val="hybridMultilevel"/>
    <w:tmpl w:val="07965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F45"/>
    <w:multiLevelType w:val="hybridMultilevel"/>
    <w:tmpl w:val="95D0B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55709"/>
    <w:multiLevelType w:val="hybridMultilevel"/>
    <w:tmpl w:val="9E2E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522B2"/>
    <w:multiLevelType w:val="hybridMultilevel"/>
    <w:tmpl w:val="8960C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21E6E"/>
    <w:multiLevelType w:val="hybridMultilevel"/>
    <w:tmpl w:val="41526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10A"/>
    <w:multiLevelType w:val="hybridMultilevel"/>
    <w:tmpl w:val="C0CCF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417D3"/>
    <w:multiLevelType w:val="hybridMultilevel"/>
    <w:tmpl w:val="4424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1CB"/>
    <w:multiLevelType w:val="hybridMultilevel"/>
    <w:tmpl w:val="CCC8B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7E2E"/>
    <w:multiLevelType w:val="hybridMultilevel"/>
    <w:tmpl w:val="26DC0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3715"/>
    <w:multiLevelType w:val="hybridMultilevel"/>
    <w:tmpl w:val="576E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1608A"/>
    <w:multiLevelType w:val="hybridMultilevel"/>
    <w:tmpl w:val="02C82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B3CBD"/>
    <w:multiLevelType w:val="hybridMultilevel"/>
    <w:tmpl w:val="8AD0AE7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755E"/>
    <w:multiLevelType w:val="hybridMultilevel"/>
    <w:tmpl w:val="E676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3655"/>
    <w:multiLevelType w:val="hybridMultilevel"/>
    <w:tmpl w:val="524C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7A3D"/>
    <w:multiLevelType w:val="hybridMultilevel"/>
    <w:tmpl w:val="A57059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904193"/>
    <w:multiLevelType w:val="hybridMultilevel"/>
    <w:tmpl w:val="0404732E"/>
    <w:lvl w:ilvl="0" w:tplc="67E4F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5F27614"/>
    <w:multiLevelType w:val="hybridMultilevel"/>
    <w:tmpl w:val="190C2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B68F1"/>
    <w:multiLevelType w:val="hybridMultilevel"/>
    <w:tmpl w:val="66400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051DF"/>
    <w:multiLevelType w:val="hybridMultilevel"/>
    <w:tmpl w:val="53346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30E9"/>
    <w:multiLevelType w:val="hybridMultilevel"/>
    <w:tmpl w:val="418C1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F1183"/>
    <w:multiLevelType w:val="hybridMultilevel"/>
    <w:tmpl w:val="B9F0A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A6A12"/>
    <w:multiLevelType w:val="hybridMultilevel"/>
    <w:tmpl w:val="17243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44860"/>
    <w:multiLevelType w:val="hybridMultilevel"/>
    <w:tmpl w:val="79F2A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B2C19"/>
    <w:multiLevelType w:val="hybridMultilevel"/>
    <w:tmpl w:val="68089A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F4E4B"/>
    <w:multiLevelType w:val="hybridMultilevel"/>
    <w:tmpl w:val="946A1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506B7"/>
    <w:multiLevelType w:val="hybridMultilevel"/>
    <w:tmpl w:val="746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F16FC"/>
    <w:multiLevelType w:val="hybridMultilevel"/>
    <w:tmpl w:val="E06AD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55E7E"/>
    <w:multiLevelType w:val="hybridMultilevel"/>
    <w:tmpl w:val="A77CAFD2"/>
    <w:lvl w:ilvl="0" w:tplc="7A72DB9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A4209C1"/>
    <w:multiLevelType w:val="hybridMultilevel"/>
    <w:tmpl w:val="D0A0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22"/>
  </w:num>
  <w:num w:numId="5">
    <w:abstractNumId w:val="31"/>
  </w:num>
  <w:num w:numId="6">
    <w:abstractNumId w:val="38"/>
  </w:num>
  <w:num w:numId="7">
    <w:abstractNumId w:val="7"/>
  </w:num>
  <w:num w:numId="8">
    <w:abstractNumId w:val="9"/>
  </w:num>
  <w:num w:numId="9">
    <w:abstractNumId w:val="4"/>
  </w:num>
  <w:num w:numId="10">
    <w:abstractNumId w:val="30"/>
  </w:num>
  <w:num w:numId="11">
    <w:abstractNumId w:val="21"/>
  </w:num>
  <w:num w:numId="12">
    <w:abstractNumId w:val="13"/>
  </w:num>
  <w:num w:numId="13">
    <w:abstractNumId w:val="10"/>
  </w:num>
  <w:num w:numId="14">
    <w:abstractNumId w:val="27"/>
  </w:num>
  <w:num w:numId="15">
    <w:abstractNumId w:val="15"/>
  </w:num>
  <w:num w:numId="16">
    <w:abstractNumId w:val="2"/>
  </w:num>
  <w:num w:numId="17">
    <w:abstractNumId w:val="5"/>
  </w:num>
  <w:num w:numId="18">
    <w:abstractNumId w:val="35"/>
  </w:num>
  <w:num w:numId="19">
    <w:abstractNumId w:val="1"/>
  </w:num>
  <w:num w:numId="20">
    <w:abstractNumId w:val="39"/>
  </w:num>
  <w:num w:numId="21">
    <w:abstractNumId w:val="25"/>
  </w:num>
  <w:num w:numId="22">
    <w:abstractNumId w:val="29"/>
  </w:num>
  <w:num w:numId="23">
    <w:abstractNumId w:val="17"/>
  </w:num>
  <w:num w:numId="24">
    <w:abstractNumId w:val="12"/>
  </w:num>
  <w:num w:numId="25">
    <w:abstractNumId w:val="24"/>
  </w:num>
  <w:num w:numId="26">
    <w:abstractNumId w:val="36"/>
  </w:num>
  <w:num w:numId="27">
    <w:abstractNumId w:val="43"/>
  </w:num>
  <w:num w:numId="28">
    <w:abstractNumId w:val="14"/>
  </w:num>
  <w:num w:numId="29">
    <w:abstractNumId w:val="18"/>
  </w:num>
  <w:num w:numId="30">
    <w:abstractNumId w:val="20"/>
  </w:num>
  <w:num w:numId="31">
    <w:abstractNumId w:val="41"/>
  </w:num>
  <w:num w:numId="32">
    <w:abstractNumId w:val="33"/>
  </w:num>
  <w:num w:numId="33">
    <w:abstractNumId w:val="6"/>
  </w:num>
  <w:num w:numId="34">
    <w:abstractNumId w:val="34"/>
  </w:num>
  <w:num w:numId="35">
    <w:abstractNumId w:val="40"/>
  </w:num>
  <w:num w:numId="36">
    <w:abstractNumId w:val="28"/>
  </w:num>
  <w:num w:numId="37">
    <w:abstractNumId w:val="37"/>
  </w:num>
  <w:num w:numId="38">
    <w:abstractNumId w:val="11"/>
  </w:num>
  <w:num w:numId="39">
    <w:abstractNumId w:val="0"/>
  </w:num>
  <w:num w:numId="40">
    <w:abstractNumId w:val="3"/>
  </w:num>
  <w:num w:numId="41">
    <w:abstractNumId w:val="32"/>
  </w:num>
  <w:num w:numId="42">
    <w:abstractNumId w:val="42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28"/>
    <w:rsid w:val="000010BE"/>
    <w:rsid w:val="00025D68"/>
    <w:rsid w:val="00030247"/>
    <w:rsid w:val="00037E21"/>
    <w:rsid w:val="00053C03"/>
    <w:rsid w:val="000540F7"/>
    <w:rsid w:val="00071466"/>
    <w:rsid w:val="00083316"/>
    <w:rsid w:val="00085B82"/>
    <w:rsid w:val="000A35FD"/>
    <w:rsid w:val="000C1813"/>
    <w:rsid w:val="000C3E2D"/>
    <w:rsid w:val="000C7321"/>
    <w:rsid w:val="000E40B1"/>
    <w:rsid w:val="00105A7C"/>
    <w:rsid w:val="00107BA9"/>
    <w:rsid w:val="0013405A"/>
    <w:rsid w:val="00150B92"/>
    <w:rsid w:val="0015724B"/>
    <w:rsid w:val="001838F9"/>
    <w:rsid w:val="00190B2E"/>
    <w:rsid w:val="00196231"/>
    <w:rsid w:val="001C2C45"/>
    <w:rsid w:val="001C54B9"/>
    <w:rsid w:val="001E15D0"/>
    <w:rsid w:val="001E198C"/>
    <w:rsid w:val="001E6915"/>
    <w:rsid w:val="00201BB1"/>
    <w:rsid w:val="00234F53"/>
    <w:rsid w:val="002374BD"/>
    <w:rsid w:val="00257AF3"/>
    <w:rsid w:val="00271CBB"/>
    <w:rsid w:val="0029124C"/>
    <w:rsid w:val="00292CB3"/>
    <w:rsid w:val="002A7690"/>
    <w:rsid w:val="002F09B2"/>
    <w:rsid w:val="00306055"/>
    <w:rsid w:val="003160B8"/>
    <w:rsid w:val="00322D34"/>
    <w:rsid w:val="0032784A"/>
    <w:rsid w:val="003311FA"/>
    <w:rsid w:val="0034756B"/>
    <w:rsid w:val="00360F87"/>
    <w:rsid w:val="0036451E"/>
    <w:rsid w:val="00367AC0"/>
    <w:rsid w:val="003A4C51"/>
    <w:rsid w:val="003B2506"/>
    <w:rsid w:val="003D1D10"/>
    <w:rsid w:val="003D3BDF"/>
    <w:rsid w:val="00404103"/>
    <w:rsid w:val="0042255B"/>
    <w:rsid w:val="00436689"/>
    <w:rsid w:val="00452BA7"/>
    <w:rsid w:val="004541B8"/>
    <w:rsid w:val="004552A9"/>
    <w:rsid w:val="00461C94"/>
    <w:rsid w:val="00480027"/>
    <w:rsid w:val="00493792"/>
    <w:rsid w:val="00493F26"/>
    <w:rsid w:val="004A06DC"/>
    <w:rsid w:val="004B0C0C"/>
    <w:rsid w:val="004B245D"/>
    <w:rsid w:val="004B285E"/>
    <w:rsid w:val="004F178D"/>
    <w:rsid w:val="0050062C"/>
    <w:rsid w:val="00502C6C"/>
    <w:rsid w:val="005123CE"/>
    <w:rsid w:val="00517DAE"/>
    <w:rsid w:val="00553E62"/>
    <w:rsid w:val="00560B53"/>
    <w:rsid w:val="0059377F"/>
    <w:rsid w:val="00597FA2"/>
    <w:rsid w:val="005A4EE6"/>
    <w:rsid w:val="005B06B4"/>
    <w:rsid w:val="005C2B8D"/>
    <w:rsid w:val="005F55C0"/>
    <w:rsid w:val="00603564"/>
    <w:rsid w:val="006047E9"/>
    <w:rsid w:val="0060574F"/>
    <w:rsid w:val="00620C8F"/>
    <w:rsid w:val="00626DFE"/>
    <w:rsid w:val="00634D76"/>
    <w:rsid w:val="006360FF"/>
    <w:rsid w:val="006413A2"/>
    <w:rsid w:val="0067564E"/>
    <w:rsid w:val="00680504"/>
    <w:rsid w:val="0068550C"/>
    <w:rsid w:val="006B62AA"/>
    <w:rsid w:val="006C110D"/>
    <w:rsid w:val="006C61C6"/>
    <w:rsid w:val="006C6613"/>
    <w:rsid w:val="006C6734"/>
    <w:rsid w:val="006E74BA"/>
    <w:rsid w:val="00707C7C"/>
    <w:rsid w:val="007408B9"/>
    <w:rsid w:val="0074318C"/>
    <w:rsid w:val="00753C10"/>
    <w:rsid w:val="00761855"/>
    <w:rsid w:val="00764027"/>
    <w:rsid w:val="007745B4"/>
    <w:rsid w:val="007A4675"/>
    <w:rsid w:val="007B51A4"/>
    <w:rsid w:val="007C49EF"/>
    <w:rsid w:val="008166E3"/>
    <w:rsid w:val="00817C4F"/>
    <w:rsid w:val="00821B52"/>
    <w:rsid w:val="0082548B"/>
    <w:rsid w:val="00833E48"/>
    <w:rsid w:val="00843F9C"/>
    <w:rsid w:val="00852DCC"/>
    <w:rsid w:val="008557DA"/>
    <w:rsid w:val="008944AF"/>
    <w:rsid w:val="008A1901"/>
    <w:rsid w:val="008B6F49"/>
    <w:rsid w:val="008D29B3"/>
    <w:rsid w:val="008E037D"/>
    <w:rsid w:val="009055EA"/>
    <w:rsid w:val="0094048D"/>
    <w:rsid w:val="00940516"/>
    <w:rsid w:val="00942596"/>
    <w:rsid w:val="00980989"/>
    <w:rsid w:val="00986EB9"/>
    <w:rsid w:val="009A22D5"/>
    <w:rsid w:val="009B6481"/>
    <w:rsid w:val="009C0200"/>
    <w:rsid w:val="009F5D15"/>
    <w:rsid w:val="00A141C0"/>
    <w:rsid w:val="00A336FA"/>
    <w:rsid w:val="00A34127"/>
    <w:rsid w:val="00A72CC2"/>
    <w:rsid w:val="00A862FB"/>
    <w:rsid w:val="00A86B0B"/>
    <w:rsid w:val="00AA2E29"/>
    <w:rsid w:val="00AB199F"/>
    <w:rsid w:val="00AF093A"/>
    <w:rsid w:val="00AF2D48"/>
    <w:rsid w:val="00B062BC"/>
    <w:rsid w:val="00B06AAA"/>
    <w:rsid w:val="00B23706"/>
    <w:rsid w:val="00B42A1D"/>
    <w:rsid w:val="00B52C0E"/>
    <w:rsid w:val="00B73DC6"/>
    <w:rsid w:val="00B90BCC"/>
    <w:rsid w:val="00BA1122"/>
    <w:rsid w:val="00BA7962"/>
    <w:rsid w:val="00BD79DF"/>
    <w:rsid w:val="00BF30E0"/>
    <w:rsid w:val="00C303C6"/>
    <w:rsid w:val="00C34F42"/>
    <w:rsid w:val="00C43FB0"/>
    <w:rsid w:val="00C53DFA"/>
    <w:rsid w:val="00C61C4A"/>
    <w:rsid w:val="00C74EA6"/>
    <w:rsid w:val="00CA48F3"/>
    <w:rsid w:val="00CA56AB"/>
    <w:rsid w:val="00CA61CC"/>
    <w:rsid w:val="00CC16A8"/>
    <w:rsid w:val="00CC1B6F"/>
    <w:rsid w:val="00CC4749"/>
    <w:rsid w:val="00CC6A8A"/>
    <w:rsid w:val="00CC7603"/>
    <w:rsid w:val="00D019AF"/>
    <w:rsid w:val="00D35D3E"/>
    <w:rsid w:val="00D40F4E"/>
    <w:rsid w:val="00D51BF1"/>
    <w:rsid w:val="00D763CA"/>
    <w:rsid w:val="00DA6CA1"/>
    <w:rsid w:val="00DC67E3"/>
    <w:rsid w:val="00DE64CF"/>
    <w:rsid w:val="00DF2988"/>
    <w:rsid w:val="00DF6260"/>
    <w:rsid w:val="00E175A1"/>
    <w:rsid w:val="00E22E71"/>
    <w:rsid w:val="00E26D55"/>
    <w:rsid w:val="00E43DFB"/>
    <w:rsid w:val="00E5504E"/>
    <w:rsid w:val="00E602F2"/>
    <w:rsid w:val="00E609A0"/>
    <w:rsid w:val="00E644AB"/>
    <w:rsid w:val="00E71DE0"/>
    <w:rsid w:val="00E76421"/>
    <w:rsid w:val="00EB045E"/>
    <w:rsid w:val="00EB5376"/>
    <w:rsid w:val="00EB5D28"/>
    <w:rsid w:val="00ED3D51"/>
    <w:rsid w:val="00EE3BC1"/>
    <w:rsid w:val="00F003DC"/>
    <w:rsid w:val="00F015D9"/>
    <w:rsid w:val="00F015E8"/>
    <w:rsid w:val="00F232A6"/>
    <w:rsid w:val="00F55A74"/>
    <w:rsid w:val="00F863A0"/>
    <w:rsid w:val="00FA62BB"/>
    <w:rsid w:val="00FA6445"/>
    <w:rsid w:val="00FC30F3"/>
    <w:rsid w:val="00FD5D97"/>
    <w:rsid w:val="00FD7FC8"/>
    <w:rsid w:val="00FE1BC1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98A4"/>
  <w15:docId w15:val="{B8871AAE-1A54-4F84-964B-429A55F8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9"/>
  </w:style>
  <w:style w:type="paragraph" w:styleId="Footer">
    <w:name w:val="footer"/>
    <w:basedOn w:val="Normal"/>
    <w:link w:val="FooterChar"/>
    <w:uiPriority w:val="99"/>
    <w:unhideWhenUsed/>
    <w:rsid w:val="001C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9"/>
  </w:style>
  <w:style w:type="paragraph" w:styleId="BalloonText">
    <w:name w:val="Balloon Text"/>
    <w:basedOn w:val="Normal"/>
    <w:link w:val="BalloonTextChar"/>
    <w:uiPriority w:val="99"/>
    <w:semiHidden/>
    <w:unhideWhenUsed/>
    <w:rsid w:val="001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BB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F2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98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4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62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8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8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2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5298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20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0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92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1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41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76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4" Type="http://schemas.openxmlformats.org/officeDocument/2006/relationships/image" Target="media/image2.emf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8F03F621-1813-4AD0-97EA-311A4214E113}"/>
</file>

<file path=customXml/itemProps2.xml><?xml version="1.0" encoding="utf-8"?>
<ds:datastoreItem xmlns:ds="http://schemas.openxmlformats.org/officeDocument/2006/customXml" ds:itemID="{CE52555F-5A10-4376-AC54-1B88CCD018DC}"/>
</file>

<file path=customXml/itemProps3.xml><?xml version="1.0" encoding="utf-8"?>
<ds:datastoreItem xmlns:ds="http://schemas.openxmlformats.org/officeDocument/2006/customXml" ds:itemID="{24F39457-E50C-4590-AEF0-4A6EC81B4AE0}"/>
</file>

<file path=customXml/itemProps4.xml><?xml version="1.0" encoding="utf-8"?>
<ds:datastoreItem xmlns:ds="http://schemas.openxmlformats.org/officeDocument/2006/customXml" ds:itemID="{D8D41C64-C914-40E0-B86D-F72E12D886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Marinucci, Georgie L</dc:creator>
  <cp:lastModifiedBy>Kene, Effie E</cp:lastModifiedBy>
  <cp:revision>2</cp:revision>
  <cp:lastPrinted>2017-05-16T23:10:00Z</cp:lastPrinted>
  <dcterms:created xsi:type="dcterms:W3CDTF">2017-08-22T23:14:00Z</dcterms:created>
  <dcterms:modified xsi:type="dcterms:W3CDTF">2017-08-22T23:14:00Z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18;#1.7.1 Major Meeting - Strategic Meeting Papers|c71bceb4-83e1-4f1f-a34b-17e5c0aad8b7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2016-11-03T16:28:52.3995358+11:00</vt:lpwstr>
  </property>
  <property fmtid="{D5CDD505-2E9C-101B-9397-08002B2CF9AE}" pid="8" name="RecordPoint_ActiveItemUniqueId">
    <vt:lpwstr>{5bb38f13-65c9-41c9-a99c-b2103a28c4a8}</vt:lpwstr>
  </property>
  <property fmtid="{D5CDD505-2E9C-101B-9397-08002B2CF9AE}" pid="9" name="RecordPoint_ActiveItemWebId">
    <vt:lpwstr>{2448c47a-0c10-4e7b-b9c8-5b12d6d373e0}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{20b046fe-f5e1-44ee-bae0-94893d287677}</vt:lpwstr>
  </property>
  <property fmtid="{D5CDD505-2E9C-101B-9397-08002B2CF9AE}" pid="12" name="RecordPoint_RecordNumberSubmitted">
    <vt:lpwstr>R0000527304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