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01" w:rsidRDefault="007D1201" w:rsidP="007D1201">
      <w:pPr>
        <w:rPr>
          <w:b/>
          <w:sz w:val="28"/>
          <w:szCs w:val="28"/>
        </w:rPr>
      </w:pPr>
      <w:bookmarkStart w:id="0" w:name="_GoBack"/>
      <w:bookmarkEnd w:id="0"/>
      <w:r w:rsidRPr="001E15D0">
        <w:rPr>
          <w:b/>
          <w:noProof/>
          <w:sz w:val="28"/>
          <w:szCs w:val="28"/>
          <w:lang w:eastAsia="en-AU"/>
        </w:rPr>
        <mc:AlternateContent>
          <mc:Choice Requires="wps">
            <w:drawing>
              <wp:anchor distT="0" distB="0" distL="114300" distR="114300" simplePos="0" relativeHeight="251659264" behindDoc="0" locked="0" layoutInCell="1" allowOverlap="1" wp14:anchorId="69315A16" wp14:editId="2559E7DE">
                <wp:simplePos x="0" y="0"/>
                <wp:positionH relativeFrom="column">
                  <wp:posOffset>4929643</wp:posOffset>
                </wp:positionH>
                <wp:positionV relativeFrom="paragraph">
                  <wp:posOffset>-367665</wp:posOffset>
                </wp:positionV>
                <wp:extent cx="1160890" cy="970059"/>
                <wp:effectExtent l="0" t="0" r="127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0" cy="970059"/>
                        </a:xfrm>
                        <a:prstGeom prst="rect">
                          <a:avLst/>
                        </a:prstGeom>
                        <a:solidFill>
                          <a:srgbClr val="FFFFFF"/>
                        </a:solidFill>
                        <a:ln w="9525">
                          <a:noFill/>
                          <a:miter lim="800000"/>
                          <a:headEnd/>
                          <a:tailEnd/>
                        </a:ln>
                      </wps:spPr>
                      <wps:txbx>
                        <w:txbxContent>
                          <w:p w:rsidR="007D1201" w:rsidRDefault="007D1201" w:rsidP="007D1201">
                            <w:r>
                              <w:rPr>
                                <w:b/>
                                <w:noProof/>
                                <w:sz w:val="28"/>
                                <w:szCs w:val="28"/>
                                <w:lang w:eastAsia="en-AU"/>
                              </w:rPr>
                              <w:drawing>
                                <wp:inline distT="0" distB="0" distL="0" distR="0" wp14:anchorId="045C96B9" wp14:editId="6F0EFCD0">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15A16" id="_x0000_t202" coordsize="21600,21600" o:spt="202" path="m,l,21600r21600,l21600,xe">
                <v:stroke joinstyle="miter"/>
                <v:path gradientshapeok="t" o:connecttype="rect"/>
              </v:shapetype>
              <v:shape id="Text Box 2" o:spid="_x0000_s1026" type="#_x0000_t202" style="position:absolute;margin-left:388.15pt;margin-top:-28.95pt;width:91.4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" stroked="f">
                <v:textbox>
                  <w:txbxContent>
                    <w:p w:rsidR="007D1201" w:rsidRDefault="007D1201" w:rsidP="007D1201">
                      <w:r>
                        <w:rPr>
                          <w:b/>
                          <w:noProof/>
                          <w:sz w:val="28"/>
                          <w:szCs w:val="28"/>
                          <w:lang w:eastAsia="en-AU"/>
                        </w:rPr>
                        <w:drawing>
                          <wp:inline distT="0" distB="0" distL="0" distR="0" wp14:anchorId="045C96B9" wp14:editId="6F0EFCD0">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v:textbox>
              </v:shape>
            </w:pict>
          </mc:Fallback>
        </mc:AlternateContent>
      </w:r>
      <w:r>
        <w:rPr>
          <w:b/>
          <w:sz w:val="28"/>
          <w:szCs w:val="28"/>
        </w:rPr>
        <w:t xml:space="preserve">Advice to providers to support targeting pre-accredited delivery </w:t>
      </w:r>
      <w:r>
        <w:rPr>
          <w:b/>
          <w:sz w:val="28"/>
          <w:szCs w:val="28"/>
        </w:rPr>
        <w:br/>
        <w:t>to priority learner groups</w:t>
      </w:r>
    </w:p>
    <w:p w:rsidR="007D1201" w:rsidRDefault="007D1201" w:rsidP="007D1201">
      <w:pPr>
        <w:rPr>
          <w:b/>
          <w:sz w:val="28"/>
          <w:szCs w:val="28"/>
        </w:rPr>
      </w:pPr>
      <w:r>
        <w:rPr>
          <w:b/>
          <w:sz w:val="28"/>
          <w:szCs w:val="28"/>
        </w:rPr>
        <w:t>Eastern Metropolitan</w:t>
      </w:r>
      <w:r w:rsidRPr="00EE3BC1">
        <w:rPr>
          <w:b/>
          <w:sz w:val="28"/>
          <w:szCs w:val="28"/>
        </w:rPr>
        <w:t xml:space="preserve"> Regional Council</w:t>
      </w:r>
      <w:r>
        <w:rPr>
          <w:b/>
          <w:sz w:val="28"/>
          <w:szCs w:val="28"/>
        </w:rPr>
        <w:t xml:space="preserve"> area</w:t>
      </w:r>
    </w:p>
    <w:tbl>
      <w:tblPr>
        <w:tblStyle w:val="TableGrid"/>
        <w:tblW w:w="9498" w:type="dxa"/>
        <w:tblInd w:w="-431" w:type="dxa"/>
        <w:tblLayout w:type="fixed"/>
        <w:tblLook w:val="04A0" w:firstRow="1" w:lastRow="0" w:firstColumn="1" w:lastColumn="0" w:noHBand="0" w:noVBand="1"/>
      </w:tblPr>
      <w:tblGrid>
        <w:gridCol w:w="9498"/>
      </w:tblGrid>
      <w:tr w:rsidR="00EB5D28" w:rsidRPr="0042453A" w:rsidTr="002C2EB1">
        <w:tc>
          <w:tcPr>
            <w:tcW w:w="9498" w:type="dxa"/>
            <w:shd w:val="clear" w:color="auto" w:fill="000000" w:themeFill="text1"/>
          </w:tcPr>
          <w:p w:rsidR="00EB5D28" w:rsidRPr="0042453A" w:rsidRDefault="00EB5D28" w:rsidP="007D1201">
            <w:pPr>
              <w:rPr>
                <w:b/>
              </w:rPr>
            </w:pPr>
            <w:r w:rsidRPr="0042453A">
              <w:rPr>
                <w:b/>
              </w:rPr>
              <w:t>REGIONAL CONTEXT</w:t>
            </w:r>
            <w:r w:rsidR="00201BB1" w:rsidRPr="0042453A">
              <w:rPr>
                <w:b/>
              </w:rPr>
              <w:t xml:space="preserve"> </w:t>
            </w:r>
          </w:p>
        </w:tc>
      </w:tr>
      <w:tr w:rsidR="00EB5D28" w:rsidRPr="0042453A" w:rsidTr="002C2EB1">
        <w:tc>
          <w:tcPr>
            <w:tcW w:w="9498" w:type="dxa"/>
          </w:tcPr>
          <w:p w:rsidR="004A7067" w:rsidRPr="0042453A" w:rsidRDefault="003C1ED4" w:rsidP="003C1ED4">
            <w:pPr>
              <w:jc w:val="both"/>
              <w:rPr>
                <w:rFonts w:eastAsiaTheme="minorEastAsia"/>
                <w:lang w:val="en-US" w:eastAsia="ja-JP"/>
              </w:rPr>
            </w:pPr>
            <w:r w:rsidRPr="0042453A">
              <w:rPr>
                <w:rFonts w:eastAsiaTheme="minorEastAsia"/>
                <w:lang w:val="en-US" w:eastAsia="ja-JP"/>
              </w:rPr>
              <w:t xml:space="preserve">There are a number of </w:t>
            </w:r>
            <w:r w:rsidR="00BF1F82" w:rsidRPr="0042453A">
              <w:rPr>
                <w:rFonts w:eastAsiaTheme="minorEastAsia"/>
                <w:b/>
                <w:lang w:val="en-US" w:eastAsia="ja-JP"/>
              </w:rPr>
              <w:t xml:space="preserve">key change drivers </w:t>
            </w:r>
            <w:r w:rsidR="00BF1F82" w:rsidRPr="0042453A">
              <w:rPr>
                <w:rFonts w:eastAsiaTheme="minorEastAsia"/>
                <w:lang w:val="en-US" w:eastAsia="ja-JP"/>
              </w:rPr>
              <w:t>relevant to the provision of pre-accredited programs</w:t>
            </w:r>
            <w:r w:rsidR="004A7067" w:rsidRPr="0042453A">
              <w:rPr>
                <w:rFonts w:eastAsiaTheme="minorEastAsia"/>
                <w:lang w:val="en-US" w:eastAsia="ja-JP"/>
              </w:rPr>
              <w:t xml:space="preserve"> in </w:t>
            </w:r>
            <w:r w:rsidR="00D17036" w:rsidRPr="0042453A">
              <w:rPr>
                <w:rFonts w:eastAsiaTheme="minorEastAsia"/>
                <w:lang w:val="en-US" w:eastAsia="ja-JP"/>
              </w:rPr>
              <w:t xml:space="preserve">the Eastern Metropolitan Region (EMR) </w:t>
            </w:r>
            <w:r w:rsidR="007D1201" w:rsidRPr="0042453A">
              <w:rPr>
                <w:rFonts w:eastAsiaTheme="minorEastAsia"/>
                <w:lang w:val="en-US" w:eastAsia="ja-JP"/>
              </w:rPr>
              <w:t xml:space="preserve">in </w:t>
            </w:r>
            <w:r w:rsidR="004A7067" w:rsidRPr="0042453A">
              <w:rPr>
                <w:rFonts w:eastAsiaTheme="minorEastAsia"/>
                <w:lang w:val="en-US" w:eastAsia="ja-JP"/>
              </w:rPr>
              <w:t>2018</w:t>
            </w:r>
            <w:r w:rsidR="00B360D2" w:rsidRPr="0042453A">
              <w:rPr>
                <w:rFonts w:eastAsiaTheme="minorEastAsia"/>
                <w:lang w:val="en-US" w:eastAsia="ja-JP"/>
              </w:rPr>
              <w:t>.</w:t>
            </w:r>
          </w:p>
          <w:p w:rsidR="00D17C7D" w:rsidRPr="0042453A" w:rsidRDefault="00D17C7D" w:rsidP="00D17C7D">
            <w:pPr>
              <w:spacing w:before="120" w:after="120"/>
              <w:rPr>
                <w:i/>
              </w:rPr>
            </w:pPr>
            <w:r w:rsidRPr="0042453A">
              <w:rPr>
                <w:i/>
              </w:rPr>
              <w:t>Marrung:  Aboriginal Education Plan 2016-2026</w:t>
            </w:r>
          </w:p>
          <w:p w:rsidR="00D17C7D" w:rsidRPr="0042453A" w:rsidRDefault="00D17C7D" w:rsidP="00D17C7D">
            <w:pPr>
              <w:pStyle w:val="CommentText"/>
              <w:rPr>
                <w:sz w:val="22"/>
                <w:szCs w:val="22"/>
              </w:rPr>
            </w:pPr>
            <w:r w:rsidRPr="0042453A">
              <w:rPr>
                <w:sz w:val="22"/>
                <w:szCs w:val="22"/>
              </w:rPr>
              <w:t xml:space="preserve">Marrung is a 10-year </w:t>
            </w:r>
            <w:r w:rsidR="00E666ED" w:rsidRPr="0042453A">
              <w:rPr>
                <w:sz w:val="22"/>
                <w:szCs w:val="22"/>
              </w:rPr>
              <w:t>plan that</w:t>
            </w:r>
            <w:r w:rsidRPr="0042453A">
              <w:rPr>
                <w:sz w:val="22"/>
                <w:szCs w:val="22"/>
              </w:rPr>
              <w:t xml:space="preserve"> underpins the delivery of Education State reforms to Koorie Victorians and seeks to ensure that all Koorie Victorians have the opportunity to achieve their learning aspirations across early childhood, schools and further education.  </w:t>
            </w:r>
          </w:p>
          <w:p w:rsidR="00D17C7D" w:rsidRPr="0042453A" w:rsidRDefault="00F90BD2" w:rsidP="00D17C7D">
            <w:pPr>
              <w:spacing w:before="120" w:after="120"/>
              <w:rPr>
                <w:i/>
              </w:rPr>
            </w:pPr>
            <w:r w:rsidRPr="0042453A">
              <w:rPr>
                <w:i/>
              </w:rPr>
              <w:t xml:space="preserve">Youth Employment Strategy </w:t>
            </w:r>
          </w:p>
          <w:p w:rsidR="00D17C7D" w:rsidRPr="0042453A" w:rsidRDefault="00D17C7D" w:rsidP="00D17C7D">
            <w:pPr>
              <w:spacing w:before="120" w:after="120"/>
            </w:pPr>
            <w:r w:rsidRPr="0042453A">
              <w:t>A $212 million Youth Transition to Work programme will assist young people who have disengaged from work and study and are at risk of long</w:t>
            </w:r>
            <w:r w:rsidRPr="0042453A">
              <w:rPr>
                <w:rFonts w:ascii="Cambria Math" w:eastAsia="MS Gothic" w:hAnsi="Cambria Math" w:cs="Cambria Math"/>
              </w:rPr>
              <w:t>‑</w:t>
            </w:r>
            <w:r w:rsidRPr="0042453A">
              <w:t xml:space="preserve">term welfare dependence. </w:t>
            </w:r>
          </w:p>
          <w:p w:rsidR="00EF1751" w:rsidRPr="0042453A" w:rsidRDefault="00EF1751" w:rsidP="00EF1751">
            <w:pPr>
              <w:spacing w:before="120" w:after="120"/>
              <w:rPr>
                <w:i/>
              </w:rPr>
            </w:pPr>
            <w:r w:rsidRPr="0042453A">
              <w:rPr>
                <w:i/>
              </w:rPr>
              <w:t>Transition to Work</w:t>
            </w:r>
          </w:p>
          <w:p w:rsidR="00F90BD2" w:rsidRPr="0042453A" w:rsidRDefault="00EF1751" w:rsidP="00EF1751">
            <w:pPr>
              <w:spacing w:before="120" w:after="120"/>
            </w:pPr>
            <w:r w:rsidRPr="0042453A">
              <w:t xml:space="preserve">As part of the Youth Employment Strategy, Transition to Work provides services to support young people aged 15-21 on their journey to employment. </w:t>
            </w:r>
          </w:p>
          <w:p w:rsidR="00EF1751" w:rsidRPr="0042453A" w:rsidRDefault="00F90BD2" w:rsidP="00EF1751">
            <w:pPr>
              <w:spacing w:before="120" w:after="120"/>
              <w:rPr>
                <w:i/>
              </w:rPr>
            </w:pPr>
            <w:r w:rsidRPr="0042453A">
              <w:rPr>
                <w:i/>
              </w:rPr>
              <w:t>Reconnect (</w:t>
            </w:r>
            <w:r w:rsidR="00EF1751" w:rsidRPr="0042453A">
              <w:rPr>
                <w:i/>
              </w:rPr>
              <w:t>2016</w:t>
            </w:r>
            <w:r w:rsidRPr="0042453A">
              <w:rPr>
                <w:i/>
              </w:rPr>
              <w:t xml:space="preserve"> </w:t>
            </w:r>
            <w:r w:rsidR="00EF1751" w:rsidRPr="0042453A">
              <w:rPr>
                <w:i/>
              </w:rPr>
              <w:t>-</w:t>
            </w:r>
            <w:r w:rsidRPr="0042453A">
              <w:rPr>
                <w:i/>
              </w:rPr>
              <w:t xml:space="preserve"> 20</w:t>
            </w:r>
            <w:r w:rsidR="00EF1751" w:rsidRPr="0042453A">
              <w:rPr>
                <w:i/>
              </w:rPr>
              <w:t>18)</w:t>
            </w:r>
          </w:p>
          <w:p w:rsidR="00F90BD2" w:rsidRPr="0042453A" w:rsidRDefault="00EF1751" w:rsidP="00EF1751">
            <w:pPr>
              <w:spacing w:before="120" w:after="120"/>
            </w:pPr>
            <w:r w:rsidRPr="0042453A">
              <w:t>Part of the Back to Work Scheme, the Reconnect program includes $34 million (initial $14m with</w:t>
            </w:r>
            <w:r w:rsidR="00C27084" w:rsidRPr="0042453A">
              <w:t xml:space="preserve"> additional</w:t>
            </w:r>
            <w:r w:rsidRPr="0042453A">
              <w:t xml:space="preserve"> $20m in 2017) for programs with a focus on locating and engaging young people back into education and training through the pro</w:t>
            </w:r>
            <w:r w:rsidR="00F90BD2" w:rsidRPr="0042453A">
              <w:t>vision of wrap-around supports.</w:t>
            </w:r>
          </w:p>
          <w:p w:rsidR="00EF1751" w:rsidRPr="0042453A" w:rsidRDefault="00EF1751" w:rsidP="00EF1751">
            <w:pPr>
              <w:spacing w:before="120" w:after="120"/>
              <w:rPr>
                <w:i/>
              </w:rPr>
            </w:pPr>
            <w:r w:rsidRPr="0042453A">
              <w:rPr>
                <w:i/>
              </w:rPr>
              <w:t>Asylum Seeker VET Progr</w:t>
            </w:r>
            <w:r w:rsidR="00F90BD2" w:rsidRPr="0042453A">
              <w:rPr>
                <w:i/>
              </w:rPr>
              <w:t xml:space="preserve">am </w:t>
            </w:r>
          </w:p>
          <w:p w:rsidR="00EF1751" w:rsidRPr="0042453A" w:rsidRDefault="00EF1751" w:rsidP="00EF1751">
            <w:pPr>
              <w:spacing w:before="120" w:after="120"/>
            </w:pPr>
            <w:r w:rsidRPr="0042453A">
              <w:t xml:space="preserve">The Asylum Seeker VET Program </w:t>
            </w:r>
            <w:r w:rsidR="00750131" w:rsidRPr="0042453A">
              <w:t>now exempts</w:t>
            </w:r>
            <w:r w:rsidRPr="0042453A">
              <w:t xml:space="preserve"> eligible asylum seekers from legislated citizenship/residency criteria for participating in a </w:t>
            </w:r>
            <w:r w:rsidR="000379B2" w:rsidRPr="0042453A">
              <w:t xml:space="preserve">Skills First </w:t>
            </w:r>
            <w:r w:rsidRPr="0042453A">
              <w:t xml:space="preserve">Victorian Training Guarantee course. </w:t>
            </w:r>
            <w:r w:rsidR="00250F3B" w:rsidRPr="0042453A">
              <w:t xml:space="preserve"> This includes a</w:t>
            </w:r>
            <w:r w:rsidRPr="0042453A">
              <w:t xml:space="preserve">sylum seekers holding a Bridging Visa </w:t>
            </w:r>
            <w:r w:rsidR="00CE6B4E" w:rsidRPr="0042453A">
              <w:t>C</w:t>
            </w:r>
            <w:r w:rsidR="00250F3B" w:rsidRPr="0042453A">
              <w:t>lass E (BVE), r</w:t>
            </w:r>
            <w:r w:rsidRPr="0042453A">
              <w:t>efugees with temporary residence who hold Safe Haven Enterprise Visas (SHEV) and Tempor</w:t>
            </w:r>
            <w:r w:rsidR="006A7CE4" w:rsidRPr="0042453A">
              <w:t>ary Protection Visas (TPV).</w:t>
            </w:r>
            <w:r w:rsidR="000379B2" w:rsidRPr="0042453A">
              <w:t xml:space="preserve"> </w:t>
            </w:r>
            <w:r w:rsidR="00250F3B" w:rsidRPr="0042453A">
              <w:t>E</w:t>
            </w:r>
            <w:r w:rsidRPr="0042453A">
              <w:t>ligible asylum seekers will be able to enrol directly with LLO RTOs and TAFE Institutes in a VTG course.</w:t>
            </w:r>
          </w:p>
          <w:p w:rsidR="00AD536C" w:rsidRPr="0042453A" w:rsidRDefault="00AD536C" w:rsidP="00AD536C">
            <w:pPr>
              <w:spacing w:before="120" w:after="120"/>
              <w:rPr>
                <w:i/>
              </w:rPr>
            </w:pPr>
            <w:r w:rsidRPr="0042453A">
              <w:rPr>
                <w:i/>
              </w:rPr>
              <w:t>Jobs Victoria Employment Network (2016</w:t>
            </w:r>
            <w:r w:rsidR="00F90BD2" w:rsidRPr="0042453A">
              <w:rPr>
                <w:i/>
              </w:rPr>
              <w:t xml:space="preserve"> </w:t>
            </w:r>
            <w:r w:rsidRPr="0042453A">
              <w:rPr>
                <w:i/>
              </w:rPr>
              <w:t>–</w:t>
            </w:r>
            <w:r w:rsidR="00F90BD2" w:rsidRPr="0042453A">
              <w:rPr>
                <w:i/>
              </w:rPr>
              <w:t xml:space="preserve"> 20</w:t>
            </w:r>
            <w:r w:rsidRPr="0042453A">
              <w:rPr>
                <w:i/>
              </w:rPr>
              <w:t>17 Budget)</w:t>
            </w:r>
          </w:p>
          <w:p w:rsidR="00F90BD2" w:rsidRPr="0042453A" w:rsidRDefault="00AD536C" w:rsidP="00AD536C">
            <w:pPr>
              <w:spacing w:before="120" w:after="120"/>
            </w:pPr>
            <w:r w:rsidRPr="0042453A">
              <w:t>With $53 million over four years allocated in the 2016-17 Budget, Jobs Victoria will consolidate all Victorian employment services into one system, making it easier for jobseekers to access the help they need to get work.</w:t>
            </w:r>
            <w:r w:rsidR="00E23401" w:rsidRPr="0042453A">
              <w:t>.</w:t>
            </w:r>
          </w:p>
          <w:p w:rsidR="00AD536C" w:rsidRPr="0042453A" w:rsidRDefault="002C0AEC" w:rsidP="00E23401">
            <w:pPr>
              <w:tabs>
                <w:tab w:val="left" w:pos="2610"/>
              </w:tabs>
              <w:spacing w:after="120"/>
              <w:rPr>
                <w:i/>
              </w:rPr>
            </w:pPr>
            <w:r w:rsidRPr="0042453A">
              <w:rPr>
                <w:i/>
              </w:rPr>
              <w:t>National Disability Insurance</w:t>
            </w:r>
            <w:r w:rsidR="00AD536C" w:rsidRPr="0042453A">
              <w:rPr>
                <w:i/>
              </w:rPr>
              <w:t xml:space="preserve"> Scheme</w:t>
            </w:r>
            <w:r w:rsidR="00CE6B4E" w:rsidRPr="0042453A">
              <w:rPr>
                <w:i/>
              </w:rPr>
              <w:t xml:space="preserve"> - 17 July – 30 June (</w:t>
            </w:r>
            <w:r w:rsidR="002A741E" w:rsidRPr="0042453A">
              <w:rPr>
                <w:i/>
              </w:rPr>
              <w:t>Inner and Outer Eastern region)</w:t>
            </w:r>
          </w:p>
          <w:p w:rsidR="002A741E" w:rsidRPr="0042453A" w:rsidRDefault="002A741E" w:rsidP="00E23401">
            <w:pPr>
              <w:spacing w:after="120"/>
              <w:outlineLvl w:val="1"/>
              <w:rPr>
                <w:rFonts w:eastAsia="Times New Roman" w:cs="Arial"/>
                <w:spacing w:val="-5"/>
                <w:lang w:val="en" w:eastAsia="en-AU"/>
              </w:rPr>
            </w:pPr>
            <w:r w:rsidRPr="0042453A">
              <w:rPr>
                <w:rFonts w:eastAsia="Times New Roman" w:cs="Arial"/>
                <w:bCs/>
                <w:spacing w:val="-5"/>
                <w:lang w:val="en" w:eastAsia="en-AU"/>
              </w:rPr>
              <w:t>The National Disability Insurance Scheme (NDIS) is designed to empower people with disability to work towards achievements, to identify the disability related support they need and to choose where they w</w:t>
            </w:r>
            <w:r w:rsidR="009D73E1" w:rsidRPr="0042453A">
              <w:rPr>
                <w:rFonts w:eastAsia="Times New Roman" w:cs="Arial"/>
                <w:bCs/>
                <w:spacing w:val="-5"/>
                <w:lang w:val="en" w:eastAsia="en-AU"/>
              </w:rPr>
              <w:t xml:space="preserve">ould like to buy their supports. </w:t>
            </w:r>
            <w:r w:rsidRPr="0042453A">
              <w:rPr>
                <w:rFonts w:eastAsia="Times New Roman" w:cs="Arial"/>
                <w:spacing w:val="-5"/>
                <w:lang w:val="en" w:eastAsia="en-AU"/>
              </w:rPr>
              <w:t xml:space="preserve">The NDIS is a national no fault insurance scheme designed to change the way that disability services are delivered in Australia. </w:t>
            </w:r>
          </w:p>
          <w:p w:rsidR="0046788B" w:rsidRPr="0042453A" w:rsidRDefault="0046788B" w:rsidP="00E23401">
            <w:pPr>
              <w:spacing w:after="120"/>
              <w:rPr>
                <w:rFonts w:eastAsia="Times New Roman" w:cs="Arial"/>
                <w:spacing w:val="-5"/>
                <w:lang w:val="en" w:eastAsia="en-AU"/>
              </w:rPr>
            </w:pPr>
            <w:r w:rsidRPr="0042453A">
              <w:rPr>
                <w:rFonts w:eastAsia="Times New Roman" w:cs="Arial"/>
                <w:spacing w:val="-5"/>
                <w:lang w:val="en" w:eastAsia="en-AU"/>
              </w:rPr>
              <w:t>People, who are eligible work with the NDIS through a planning process, where they can identify their needs and goals, then develop a plan that identifies the disability related support they require.</w:t>
            </w:r>
          </w:p>
          <w:p w:rsidR="000A461A" w:rsidRPr="000A461A" w:rsidRDefault="000A461A" w:rsidP="000A461A">
            <w:pPr>
              <w:spacing w:after="120"/>
              <w:ind w:left="59"/>
              <w:contextualSpacing/>
              <w:rPr>
                <w:i/>
              </w:rPr>
            </w:pPr>
            <w:r w:rsidRPr="000A461A">
              <w:rPr>
                <w:i/>
              </w:rPr>
              <w:t xml:space="preserve">Victoria’s first creative industries strategy ‘Creative State’. </w:t>
            </w:r>
          </w:p>
          <w:p w:rsidR="000A461A" w:rsidRPr="0042453A" w:rsidRDefault="000A461A" w:rsidP="000A461A">
            <w:pPr>
              <w:spacing w:before="240" w:after="120"/>
              <w:ind w:left="59"/>
            </w:pPr>
            <w:r w:rsidRPr="0042453A">
              <w:t>Given the long-time involvement by Learn Local Organisations in the ‘creative’ environment there seems to be great synergies for accredited course development.</w:t>
            </w:r>
          </w:p>
          <w:p w:rsidR="000A461A" w:rsidRDefault="000A461A" w:rsidP="00E23401">
            <w:pPr>
              <w:spacing w:after="120"/>
              <w:rPr>
                <w:b/>
              </w:rPr>
            </w:pPr>
            <w:r>
              <w:rPr>
                <w:b/>
              </w:rPr>
              <w:br/>
            </w:r>
          </w:p>
          <w:p w:rsidR="00E62C17" w:rsidRPr="0042453A" w:rsidRDefault="00E62C17" w:rsidP="00E23401">
            <w:pPr>
              <w:spacing w:after="120"/>
              <w:rPr>
                <w:b/>
              </w:rPr>
            </w:pPr>
            <w:r w:rsidRPr="0042453A">
              <w:rPr>
                <w:b/>
              </w:rPr>
              <w:lastRenderedPageBreak/>
              <w:t xml:space="preserve">Focuses of </w:t>
            </w:r>
            <w:r w:rsidR="000379B2" w:rsidRPr="0042453A">
              <w:rPr>
                <w:b/>
              </w:rPr>
              <w:t xml:space="preserve">Local Government </w:t>
            </w:r>
          </w:p>
          <w:p w:rsidR="001F2C8C" w:rsidRPr="0042453A" w:rsidRDefault="001F2C8C" w:rsidP="00E23401">
            <w:pPr>
              <w:spacing w:after="120"/>
              <w:rPr>
                <w:b/>
              </w:rPr>
            </w:pPr>
            <w:r w:rsidRPr="0042453A">
              <w:rPr>
                <w:rFonts w:cs="Arial"/>
              </w:rPr>
              <w:t xml:space="preserve">There is a strong focus in Local Government Areas in EMR </w:t>
            </w:r>
            <w:r w:rsidR="00E62C17" w:rsidRPr="0042453A">
              <w:rPr>
                <w:rFonts w:cs="Arial"/>
              </w:rPr>
              <w:t xml:space="preserve">on </w:t>
            </w:r>
            <w:r w:rsidRPr="0042453A">
              <w:rPr>
                <w:rFonts w:cs="Arial"/>
              </w:rPr>
              <w:t>business</w:t>
            </w:r>
            <w:r w:rsidR="00E62C17" w:rsidRPr="0042453A">
              <w:rPr>
                <w:rFonts w:cs="Arial"/>
              </w:rPr>
              <w:t xml:space="preserve"> development</w:t>
            </w:r>
            <w:r w:rsidRPr="0042453A">
              <w:rPr>
                <w:rFonts w:cs="Arial"/>
              </w:rPr>
              <w:t xml:space="preserve"> </w:t>
            </w:r>
            <w:r w:rsidR="00E62C17" w:rsidRPr="0042453A">
              <w:rPr>
                <w:rFonts w:cs="Arial"/>
              </w:rPr>
              <w:t>including</w:t>
            </w:r>
            <w:r w:rsidRPr="0042453A">
              <w:rPr>
                <w:rFonts w:cs="Arial"/>
              </w:rPr>
              <w:t xml:space="preserve"> business precincts, </w:t>
            </w:r>
            <w:r w:rsidR="00BF4F22" w:rsidRPr="0042453A">
              <w:rPr>
                <w:rFonts w:cs="Arial"/>
              </w:rPr>
              <w:t>h</w:t>
            </w:r>
            <w:r w:rsidR="009B670E" w:rsidRPr="0042453A">
              <w:rPr>
                <w:rFonts w:cs="Arial"/>
              </w:rPr>
              <w:t>ome based and start-</w:t>
            </w:r>
            <w:r w:rsidR="00BF4F22" w:rsidRPr="0042453A">
              <w:rPr>
                <w:rFonts w:cs="Arial"/>
              </w:rPr>
              <w:t xml:space="preserve">up businesses and </w:t>
            </w:r>
            <w:r w:rsidRPr="0042453A">
              <w:rPr>
                <w:rFonts w:cs="Arial"/>
              </w:rPr>
              <w:t>tourism in the area.</w:t>
            </w:r>
          </w:p>
          <w:p w:rsidR="00750131" w:rsidRPr="000A461A" w:rsidRDefault="00750131" w:rsidP="00750131">
            <w:pPr>
              <w:autoSpaceDE w:val="0"/>
              <w:autoSpaceDN w:val="0"/>
              <w:adjustRightInd w:val="0"/>
              <w:spacing w:after="120"/>
              <w:rPr>
                <w:rFonts w:cs="Arial"/>
                <w:i/>
              </w:rPr>
            </w:pPr>
            <w:r w:rsidRPr="000A461A">
              <w:rPr>
                <w:rFonts w:cs="Arial"/>
                <w:i/>
              </w:rPr>
              <w:t>City of Boroondara</w:t>
            </w:r>
          </w:p>
          <w:p w:rsidR="00750131" w:rsidRPr="0042453A" w:rsidRDefault="00750131" w:rsidP="00750131">
            <w:pPr>
              <w:autoSpaceDE w:val="0"/>
              <w:autoSpaceDN w:val="0"/>
              <w:adjustRightInd w:val="0"/>
              <w:rPr>
                <w:rFonts w:cs="Arial"/>
              </w:rPr>
            </w:pPr>
            <w:r w:rsidRPr="0042453A">
              <w:rPr>
                <w:rFonts w:cs="Arial"/>
              </w:rPr>
              <w:t>There are 90,500 people employed in 24,000 businesses in four main areas: Professional, Administrative, Managerial and Services (retail and hospitality). There is high growth in home based Start-Up businesses.</w:t>
            </w:r>
          </w:p>
          <w:p w:rsidR="00750131" w:rsidRPr="0042453A" w:rsidRDefault="00750131" w:rsidP="00750131">
            <w:pPr>
              <w:autoSpaceDE w:val="0"/>
              <w:autoSpaceDN w:val="0"/>
              <w:adjustRightInd w:val="0"/>
              <w:spacing w:after="120"/>
              <w:rPr>
                <w:rFonts w:cs="Arial"/>
              </w:rPr>
            </w:pPr>
            <w:r w:rsidRPr="0042453A">
              <w:rPr>
                <w:rFonts w:cs="Arial"/>
              </w:rPr>
              <w:t>Its proximity to the CBD provides opportunities for local businesses to service CBD based businesses through supply chain links, providing essential business services as key inputs to their operations.</w:t>
            </w:r>
          </w:p>
          <w:p w:rsidR="005E76F0" w:rsidRPr="000A461A" w:rsidRDefault="005E76F0" w:rsidP="005E76F0">
            <w:pPr>
              <w:spacing w:after="120"/>
              <w:ind w:left="59"/>
              <w:rPr>
                <w:rFonts w:cs="Arial"/>
                <w:i/>
              </w:rPr>
            </w:pPr>
            <w:r w:rsidRPr="000A461A">
              <w:rPr>
                <w:rFonts w:cs="Arial"/>
                <w:i/>
              </w:rPr>
              <w:t xml:space="preserve">City of Knox </w:t>
            </w:r>
          </w:p>
          <w:p w:rsidR="005E76F0" w:rsidRPr="0042453A" w:rsidRDefault="005E76F0" w:rsidP="005E76F0">
            <w:pPr>
              <w:pStyle w:val="ListParagraph"/>
              <w:numPr>
                <w:ilvl w:val="0"/>
                <w:numId w:val="33"/>
              </w:numPr>
              <w:rPr>
                <w:rFonts w:cs="Arial"/>
              </w:rPr>
            </w:pPr>
            <w:r w:rsidRPr="0042453A">
              <w:rPr>
                <w:rFonts w:cs="Arial"/>
              </w:rPr>
              <w:t>strong secondary, tertiary and industry links providing for the needs of high tech industries</w:t>
            </w:r>
          </w:p>
          <w:p w:rsidR="005E76F0" w:rsidRPr="0042453A" w:rsidRDefault="005E76F0" w:rsidP="005E76F0">
            <w:pPr>
              <w:pStyle w:val="ListParagraph"/>
              <w:numPr>
                <w:ilvl w:val="0"/>
                <w:numId w:val="33"/>
              </w:numPr>
              <w:spacing w:after="120"/>
              <w:rPr>
                <w:rFonts w:cs="Arial"/>
              </w:rPr>
            </w:pPr>
            <w:r w:rsidRPr="0042453A">
              <w:rPr>
                <w:rFonts w:cs="Arial"/>
              </w:rPr>
              <w:t>facilitate linkages between industry and education to identify skills required to meet local employment requirements</w:t>
            </w:r>
          </w:p>
          <w:p w:rsidR="005E76F0" w:rsidRPr="000A461A" w:rsidRDefault="005E76F0" w:rsidP="005E76F0">
            <w:pPr>
              <w:autoSpaceDE w:val="0"/>
              <w:autoSpaceDN w:val="0"/>
              <w:adjustRightInd w:val="0"/>
              <w:spacing w:after="120"/>
              <w:rPr>
                <w:rFonts w:cs="Arial"/>
                <w:i/>
              </w:rPr>
            </w:pPr>
            <w:r w:rsidRPr="000A461A">
              <w:rPr>
                <w:rFonts w:cs="Arial"/>
                <w:i/>
              </w:rPr>
              <w:t>City of Manningham</w:t>
            </w:r>
          </w:p>
          <w:p w:rsidR="005E76F0" w:rsidRPr="0042453A" w:rsidRDefault="005E76F0" w:rsidP="005E76F0">
            <w:pPr>
              <w:autoSpaceDE w:val="0"/>
              <w:autoSpaceDN w:val="0"/>
              <w:adjustRightInd w:val="0"/>
              <w:spacing w:after="120"/>
              <w:ind w:left="59"/>
              <w:rPr>
                <w:rFonts w:cs="Arial"/>
              </w:rPr>
            </w:pPr>
            <w:r w:rsidRPr="0042453A">
              <w:rPr>
                <w:rFonts w:cs="Arial"/>
              </w:rPr>
              <w:t xml:space="preserve">Manningham has a thriving and diverse local economy serviced by more than 12,000 active businesses. The city’s economic profile is characterised by a high proportion of home based and micro businesses and approximately 1,500 commercially rated premises. </w:t>
            </w:r>
          </w:p>
          <w:p w:rsidR="005E76F0" w:rsidRPr="0042453A" w:rsidRDefault="005E76F0" w:rsidP="005E76F0">
            <w:pPr>
              <w:autoSpaceDE w:val="0"/>
              <w:autoSpaceDN w:val="0"/>
              <w:adjustRightInd w:val="0"/>
              <w:ind w:left="59"/>
              <w:rPr>
                <w:rFonts w:cs="Arial"/>
              </w:rPr>
            </w:pPr>
            <w:r w:rsidRPr="0042453A">
              <w:rPr>
                <w:rFonts w:cs="Arial"/>
              </w:rPr>
              <w:t xml:space="preserve">The 4 most commonly registered businesses in Manningham are: </w:t>
            </w:r>
          </w:p>
          <w:p w:rsidR="005E76F0" w:rsidRPr="0042453A" w:rsidRDefault="005E76F0" w:rsidP="005E76F0">
            <w:pPr>
              <w:pStyle w:val="ListParagraph"/>
              <w:numPr>
                <w:ilvl w:val="0"/>
                <w:numId w:val="2"/>
              </w:numPr>
              <w:autoSpaceDE w:val="0"/>
              <w:autoSpaceDN w:val="0"/>
              <w:adjustRightInd w:val="0"/>
              <w:ind w:left="484" w:hanging="425"/>
              <w:rPr>
                <w:rFonts w:cs="Arial"/>
              </w:rPr>
            </w:pPr>
            <w:r w:rsidRPr="0042453A">
              <w:rPr>
                <w:rFonts w:cs="Arial"/>
              </w:rPr>
              <w:t>Professional, Scientific and Technical Services</w:t>
            </w:r>
          </w:p>
          <w:p w:rsidR="005E76F0" w:rsidRPr="0042453A" w:rsidRDefault="005E76F0" w:rsidP="005E76F0">
            <w:pPr>
              <w:pStyle w:val="ListParagraph"/>
              <w:numPr>
                <w:ilvl w:val="0"/>
                <w:numId w:val="2"/>
              </w:numPr>
              <w:autoSpaceDE w:val="0"/>
              <w:autoSpaceDN w:val="0"/>
              <w:adjustRightInd w:val="0"/>
              <w:ind w:left="484" w:hanging="425"/>
              <w:rPr>
                <w:rFonts w:cs="Arial"/>
              </w:rPr>
            </w:pPr>
            <w:r w:rsidRPr="0042453A">
              <w:rPr>
                <w:rFonts w:cs="Arial"/>
              </w:rPr>
              <w:t>Construction</w:t>
            </w:r>
          </w:p>
          <w:p w:rsidR="005E76F0" w:rsidRPr="0042453A" w:rsidRDefault="005E76F0" w:rsidP="005E76F0">
            <w:pPr>
              <w:pStyle w:val="ListParagraph"/>
              <w:numPr>
                <w:ilvl w:val="0"/>
                <w:numId w:val="2"/>
              </w:numPr>
              <w:autoSpaceDE w:val="0"/>
              <w:autoSpaceDN w:val="0"/>
              <w:adjustRightInd w:val="0"/>
              <w:ind w:left="484" w:hanging="425"/>
              <w:rPr>
                <w:rFonts w:cs="Arial"/>
              </w:rPr>
            </w:pPr>
            <w:r w:rsidRPr="0042453A">
              <w:rPr>
                <w:rFonts w:cs="Arial"/>
              </w:rPr>
              <w:t>Rental, Hiring and Real Estate Services</w:t>
            </w:r>
          </w:p>
          <w:p w:rsidR="005E76F0" w:rsidRPr="0042453A" w:rsidRDefault="005E76F0" w:rsidP="005E76F0">
            <w:pPr>
              <w:pStyle w:val="ListParagraph"/>
              <w:numPr>
                <w:ilvl w:val="0"/>
                <w:numId w:val="2"/>
              </w:numPr>
              <w:autoSpaceDE w:val="0"/>
              <w:autoSpaceDN w:val="0"/>
              <w:adjustRightInd w:val="0"/>
              <w:spacing w:after="120"/>
              <w:ind w:left="484" w:hanging="425"/>
              <w:rPr>
                <w:rFonts w:cs="Arial"/>
              </w:rPr>
            </w:pPr>
            <w:r w:rsidRPr="0042453A">
              <w:rPr>
                <w:rFonts w:cs="Arial"/>
              </w:rPr>
              <w:t>Financial and Insurance Services</w:t>
            </w:r>
          </w:p>
          <w:p w:rsidR="005E76F0" w:rsidRPr="0042453A" w:rsidRDefault="005E76F0" w:rsidP="005E76F0">
            <w:pPr>
              <w:autoSpaceDE w:val="0"/>
              <w:autoSpaceDN w:val="0"/>
              <w:adjustRightInd w:val="0"/>
              <w:ind w:left="59"/>
              <w:rPr>
                <w:rFonts w:cs="Arial"/>
              </w:rPr>
            </w:pPr>
            <w:r w:rsidRPr="0042453A">
              <w:rPr>
                <w:rFonts w:cs="Arial"/>
              </w:rPr>
              <w:t>The most common industry sectors in which residents are employed are:</w:t>
            </w:r>
          </w:p>
          <w:p w:rsidR="005E76F0" w:rsidRPr="0042453A" w:rsidRDefault="005E76F0" w:rsidP="005E76F0">
            <w:pPr>
              <w:pStyle w:val="ListParagraph"/>
              <w:numPr>
                <w:ilvl w:val="0"/>
                <w:numId w:val="2"/>
              </w:numPr>
              <w:autoSpaceDE w:val="0"/>
              <w:autoSpaceDN w:val="0"/>
              <w:adjustRightInd w:val="0"/>
              <w:ind w:left="484" w:hanging="425"/>
              <w:rPr>
                <w:rFonts w:cs="Arial"/>
              </w:rPr>
            </w:pPr>
            <w:r w:rsidRPr="0042453A">
              <w:rPr>
                <w:rFonts w:cs="Arial"/>
              </w:rPr>
              <w:t>Retail Trade (6,901 persons or 13.2%)</w:t>
            </w:r>
          </w:p>
          <w:p w:rsidR="005E76F0" w:rsidRPr="0042453A" w:rsidRDefault="005E76F0" w:rsidP="005E76F0">
            <w:pPr>
              <w:pStyle w:val="ListParagraph"/>
              <w:numPr>
                <w:ilvl w:val="0"/>
                <w:numId w:val="2"/>
              </w:numPr>
              <w:autoSpaceDE w:val="0"/>
              <w:autoSpaceDN w:val="0"/>
              <w:adjustRightInd w:val="0"/>
              <w:ind w:left="484" w:hanging="425"/>
              <w:rPr>
                <w:rFonts w:cs="Arial"/>
              </w:rPr>
            </w:pPr>
            <w:r w:rsidRPr="0042453A">
              <w:rPr>
                <w:rFonts w:cs="Arial"/>
              </w:rPr>
              <w:t xml:space="preserve">Health Care and Social Assistance (5,707 persons or 10.9%) </w:t>
            </w:r>
          </w:p>
          <w:p w:rsidR="005E76F0" w:rsidRPr="0042453A" w:rsidRDefault="005E76F0" w:rsidP="005E76F0">
            <w:pPr>
              <w:pStyle w:val="ListParagraph"/>
              <w:numPr>
                <w:ilvl w:val="0"/>
                <w:numId w:val="2"/>
              </w:numPr>
              <w:autoSpaceDE w:val="0"/>
              <w:autoSpaceDN w:val="0"/>
              <w:adjustRightInd w:val="0"/>
              <w:spacing w:after="120"/>
              <w:ind w:left="484" w:hanging="425"/>
              <w:rPr>
                <w:rFonts w:cs="Arial"/>
              </w:rPr>
            </w:pPr>
            <w:r w:rsidRPr="0042453A">
              <w:rPr>
                <w:rFonts w:cs="Arial"/>
              </w:rPr>
              <w:t>Professional, Scientific and Technical Services (5,156 persons or 9.9%)</w:t>
            </w:r>
          </w:p>
          <w:p w:rsidR="0042453A" w:rsidRPr="000A461A" w:rsidRDefault="0042453A" w:rsidP="0042453A">
            <w:pPr>
              <w:pStyle w:val="Heading2"/>
              <w:spacing w:before="0" w:after="120"/>
              <w:ind w:left="59"/>
              <w:outlineLvl w:val="1"/>
              <w:rPr>
                <w:rFonts w:asciiTheme="minorHAnsi" w:hAnsiTheme="minorHAnsi"/>
                <w:b w:val="0"/>
                <w:i/>
                <w:color w:val="auto"/>
                <w:sz w:val="22"/>
                <w:lang w:eastAsia="en-AU"/>
              </w:rPr>
            </w:pPr>
            <w:r w:rsidRPr="000A461A">
              <w:rPr>
                <w:rFonts w:asciiTheme="minorHAnsi" w:hAnsiTheme="minorHAnsi"/>
                <w:b w:val="0"/>
                <w:i/>
                <w:color w:val="auto"/>
                <w:sz w:val="22"/>
                <w:szCs w:val="22"/>
                <w:lang w:eastAsia="en-AU"/>
              </w:rPr>
              <w:t>City of Maroondah</w:t>
            </w:r>
          </w:p>
          <w:p w:rsidR="000A461A" w:rsidRPr="0042453A" w:rsidRDefault="0042453A" w:rsidP="000A461A">
            <w:pPr>
              <w:pStyle w:val="NoSpacing"/>
              <w:spacing w:after="120"/>
              <w:ind w:left="59"/>
              <w:rPr>
                <w:rFonts w:asciiTheme="minorHAnsi" w:hAnsiTheme="minorHAnsi"/>
                <w:sz w:val="22"/>
                <w:lang w:eastAsia="en-AU"/>
              </w:rPr>
            </w:pPr>
            <w:r w:rsidRPr="0042453A">
              <w:rPr>
                <w:rFonts w:asciiTheme="minorHAnsi" w:hAnsiTheme="minorHAnsi"/>
                <w:sz w:val="22"/>
                <w:lang w:eastAsia="en-AU"/>
              </w:rPr>
              <w:t xml:space="preserve">The area is a substantially developed municipality, with an estimated population of 109,575 residents and a similar age structure to the State’s average. There is a diverse mix of living styles from large acreage to apartment style residential development. </w:t>
            </w:r>
            <w:r w:rsidR="000A461A" w:rsidRPr="0042453A">
              <w:rPr>
                <w:rFonts w:asciiTheme="minorHAnsi" w:hAnsiTheme="minorHAnsi"/>
                <w:sz w:val="22"/>
                <w:lang w:eastAsia="en-AU"/>
              </w:rPr>
              <w:t>There is a strong sense of community participation within Maroondah embodied by a large number of committed volunteers.</w:t>
            </w:r>
          </w:p>
          <w:p w:rsidR="0042453A" w:rsidRPr="0042453A" w:rsidRDefault="0042453A" w:rsidP="0042453A">
            <w:pPr>
              <w:pStyle w:val="NoSpacing"/>
              <w:spacing w:after="120"/>
              <w:ind w:left="59"/>
              <w:rPr>
                <w:rFonts w:asciiTheme="minorHAnsi" w:hAnsiTheme="minorHAnsi"/>
                <w:sz w:val="22"/>
                <w:lang w:eastAsia="en-AU"/>
              </w:rPr>
            </w:pPr>
            <w:r w:rsidRPr="0042453A">
              <w:rPr>
                <w:rFonts w:asciiTheme="minorHAnsi" w:hAnsiTheme="minorHAnsi"/>
                <w:sz w:val="22"/>
                <w:lang w:eastAsia="en-AU"/>
              </w:rPr>
              <w:t xml:space="preserve">Cultural diversity is increasing with the highest numbers of recent overseas immigrants arriving from Burma, China, Malaysia, India, Thailand and Iran. </w:t>
            </w:r>
          </w:p>
          <w:p w:rsidR="0042453A" w:rsidRPr="0042453A" w:rsidRDefault="0042453A" w:rsidP="0042453A">
            <w:pPr>
              <w:pStyle w:val="NoSpacing"/>
              <w:spacing w:after="120"/>
              <w:ind w:left="59"/>
              <w:rPr>
                <w:rFonts w:asciiTheme="minorHAnsi" w:hAnsiTheme="minorHAnsi"/>
                <w:sz w:val="22"/>
                <w:lang w:eastAsia="en-AU"/>
              </w:rPr>
            </w:pPr>
            <w:r w:rsidRPr="0042453A">
              <w:rPr>
                <w:rFonts w:asciiTheme="minorHAnsi" w:hAnsiTheme="minorHAnsi"/>
                <w:sz w:val="22"/>
                <w:lang w:eastAsia="en-AU"/>
              </w:rPr>
              <w:t xml:space="preserve">Over 9,000 businesses operate within the City providing employment for almost 37,000 people. The largest industry employers are the manufacturing, retail trade and health care sectors. </w:t>
            </w:r>
          </w:p>
          <w:p w:rsidR="0042453A" w:rsidRPr="0042453A" w:rsidRDefault="0042453A" w:rsidP="0042453A">
            <w:pPr>
              <w:pStyle w:val="NoSpacing"/>
              <w:spacing w:after="120"/>
              <w:ind w:left="59"/>
              <w:rPr>
                <w:rFonts w:asciiTheme="minorHAnsi" w:hAnsiTheme="minorHAnsi"/>
                <w:sz w:val="22"/>
                <w:lang w:eastAsia="en-AU"/>
              </w:rPr>
            </w:pPr>
            <w:r w:rsidRPr="0042453A">
              <w:rPr>
                <w:rFonts w:asciiTheme="minorHAnsi" w:hAnsiTheme="minorHAnsi"/>
                <w:sz w:val="22"/>
                <w:lang w:eastAsia="en-AU"/>
              </w:rPr>
              <w:t>The Bayswater North Employment Precinct is a regional economic hub where many national and international firms have established their headquarters. Maroondah also has major retail centres in Croydon and Ringwood, and a further 21</w:t>
            </w:r>
            <w:r w:rsidR="000A461A">
              <w:rPr>
                <w:rFonts w:asciiTheme="minorHAnsi" w:hAnsiTheme="minorHAnsi"/>
                <w:sz w:val="22"/>
                <w:lang w:eastAsia="en-AU"/>
              </w:rPr>
              <w:t xml:space="preserve"> neighbourhood shopping centres.</w:t>
            </w:r>
          </w:p>
          <w:p w:rsidR="00D332D9" w:rsidRPr="000A461A" w:rsidRDefault="001F2C8C" w:rsidP="005E76F0">
            <w:pPr>
              <w:spacing w:after="120"/>
              <w:rPr>
                <w:rFonts w:cs="Arial"/>
                <w:i/>
              </w:rPr>
            </w:pPr>
            <w:r w:rsidRPr="000A461A">
              <w:rPr>
                <w:rFonts w:cs="Arial"/>
                <w:i/>
              </w:rPr>
              <w:t xml:space="preserve">City of Monash </w:t>
            </w:r>
          </w:p>
          <w:p w:rsidR="001F2C8C" w:rsidRPr="0042453A" w:rsidRDefault="001F2C8C" w:rsidP="00E62C17">
            <w:pPr>
              <w:pStyle w:val="ListParagraph"/>
              <w:numPr>
                <w:ilvl w:val="0"/>
                <w:numId w:val="32"/>
              </w:numPr>
              <w:autoSpaceDE w:val="0"/>
              <w:autoSpaceDN w:val="0"/>
              <w:adjustRightInd w:val="0"/>
              <w:rPr>
                <w:rFonts w:cs="Arial"/>
                <w:bCs/>
              </w:rPr>
            </w:pPr>
            <w:r w:rsidRPr="0042453A">
              <w:rPr>
                <w:rFonts w:cs="Arial"/>
                <w:bCs/>
              </w:rPr>
              <w:t>Facilitat</w:t>
            </w:r>
            <w:r w:rsidR="00E62C17" w:rsidRPr="0042453A">
              <w:rPr>
                <w:rFonts w:cs="Arial"/>
                <w:bCs/>
              </w:rPr>
              <w:t>ing</w:t>
            </w:r>
            <w:r w:rsidRPr="0042453A">
              <w:rPr>
                <w:rFonts w:cs="Arial"/>
                <w:bCs/>
              </w:rPr>
              <w:t xml:space="preserve"> relevant training and educational workshops </w:t>
            </w:r>
          </w:p>
          <w:p w:rsidR="00750131" w:rsidRPr="0042453A" w:rsidRDefault="00750131" w:rsidP="00E62C17">
            <w:pPr>
              <w:pStyle w:val="ListParagraph"/>
              <w:numPr>
                <w:ilvl w:val="0"/>
                <w:numId w:val="32"/>
              </w:numPr>
              <w:autoSpaceDE w:val="0"/>
              <w:autoSpaceDN w:val="0"/>
              <w:adjustRightInd w:val="0"/>
              <w:rPr>
                <w:rFonts w:cs="Arial"/>
                <w:bCs/>
              </w:rPr>
            </w:pPr>
            <w:r w:rsidRPr="0042453A">
              <w:rPr>
                <w:rFonts w:cs="Arial"/>
                <w:bCs/>
              </w:rPr>
              <w:t>Build on relationships with local educational providers and business to assist in creating pathways for students and existing employees in work experience and accreditation</w:t>
            </w:r>
          </w:p>
          <w:p w:rsidR="00750131" w:rsidRDefault="00750131" w:rsidP="00E62C17">
            <w:pPr>
              <w:pStyle w:val="ListParagraph"/>
              <w:numPr>
                <w:ilvl w:val="0"/>
                <w:numId w:val="32"/>
              </w:numPr>
              <w:autoSpaceDE w:val="0"/>
              <w:autoSpaceDN w:val="0"/>
              <w:adjustRightInd w:val="0"/>
              <w:rPr>
                <w:rFonts w:cs="Arial"/>
                <w:bCs/>
              </w:rPr>
            </w:pPr>
            <w:r w:rsidRPr="0042453A">
              <w:rPr>
                <w:rFonts w:cs="Arial"/>
                <w:bCs/>
              </w:rPr>
              <w:t>Strengthen partnerships with government agencies, local education providers and the Monash Enterprise Centre to facilitate training programs for start-up businesses and assist businesses to grow</w:t>
            </w:r>
          </w:p>
          <w:p w:rsidR="0042453A" w:rsidRPr="0042453A" w:rsidRDefault="0042453A" w:rsidP="0042453A">
            <w:pPr>
              <w:pStyle w:val="ListParagraph"/>
              <w:autoSpaceDE w:val="0"/>
              <w:autoSpaceDN w:val="0"/>
              <w:adjustRightInd w:val="0"/>
              <w:ind w:left="360"/>
              <w:rPr>
                <w:rFonts w:cs="Arial"/>
                <w:bCs/>
              </w:rPr>
            </w:pPr>
          </w:p>
          <w:p w:rsidR="00CE6B4E" w:rsidRPr="0042453A" w:rsidRDefault="00750131" w:rsidP="005E76F0">
            <w:pPr>
              <w:autoSpaceDE w:val="0"/>
              <w:autoSpaceDN w:val="0"/>
              <w:adjustRightInd w:val="0"/>
              <w:spacing w:after="240"/>
              <w:rPr>
                <w:rFonts w:cs="Arial"/>
              </w:rPr>
            </w:pPr>
            <w:r w:rsidRPr="0042453A">
              <w:rPr>
                <w:rFonts w:cs="Arial"/>
              </w:rPr>
              <w:t>With over</w:t>
            </w:r>
            <w:r w:rsidR="001F2C8C" w:rsidRPr="0042453A">
              <w:rPr>
                <w:rFonts w:cs="Arial"/>
              </w:rPr>
              <w:t xml:space="preserve"> 12</w:t>
            </w:r>
            <w:r w:rsidRPr="0042453A">
              <w:rPr>
                <w:rFonts w:cs="Arial"/>
              </w:rPr>
              <w:t>0</w:t>
            </w:r>
            <w:r w:rsidR="001F2C8C" w:rsidRPr="0042453A">
              <w:rPr>
                <w:rFonts w:cs="Arial"/>
              </w:rPr>
              <w:t>,</w:t>
            </w:r>
            <w:r w:rsidRPr="0042453A">
              <w:rPr>
                <w:rFonts w:cs="Arial"/>
              </w:rPr>
              <w:t>000</w:t>
            </w:r>
            <w:r w:rsidR="001F2C8C" w:rsidRPr="0042453A">
              <w:rPr>
                <w:rFonts w:cs="Arial"/>
              </w:rPr>
              <w:t xml:space="preserve"> people employed in Monash based-businesses, </w:t>
            </w:r>
            <w:r w:rsidRPr="0042453A">
              <w:rPr>
                <w:rFonts w:cs="Arial"/>
              </w:rPr>
              <w:t xml:space="preserve">it is </w:t>
            </w:r>
            <w:r w:rsidR="001F2C8C" w:rsidRPr="0042453A">
              <w:rPr>
                <w:rFonts w:cs="Arial"/>
              </w:rPr>
              <w:t xml:space="preserve">the largest employment </w:t>
            </w:r>
            <w:r w:rsidR="001F2C8C" w:rsidRPr="0042453A">
              <w:rPr>
                <w:rFonts w:cs="Arial"/>
              </w:rPr>
              <w:lastRenderedPageBreak/>
              <w:t xml:space="preserve">destination outside the </w:t>
            </w:r>
            <w:r w:rsidRPr="0042453A">
              <w:rPr>
                <w:rFonts w:cs="Arial"/>
              </w:rPr>
              <w:t xml:space="preserve">Melbourne </w:t>
            </w:r>
            <w:r w:rsidR="001F2C8C" w:rsidRPr="0042453A">
              <w:rPr>
                <w:rFonts w:cs="Arial"/>
              </w:rPr>
              <w:t xml:space="preserve">CBD. These businesses are a mixture of small, medium and large business and various shopping strips and retail complexes. </w:t>
            </w:r>
            <w:r w:rsidR="00F90BD2" w:rsidRPr="0042453A">
              <w:rPr>
                <w:rFonts w:cs="Arial"/>
              </w:rPr>
              <w:t xml:space="preserve">Over 80% of </w:t>
            </w:r>
            <w:r w:rsidRPr="0042453A">
              <w:rPr>
                <w:rFonts w:cs="Arial"/>
              </w:rPr>
              <w:t xml:space="preserve">Monash-based </w:t>
            </w:r>
            <w:r w:rsidR="00F90BD2" w:rsidRPr="0042453A">
              <w:rPr>
                <w:rFonts w:cs="Arial"/>
              </w:rPr>
              <w:t>businesses</w:t>
            </w:r>
            <w:r w:rsidR="00B05960" w:rsidRPr="0042453A">
              <w:rPr>
                <w:rFonts w:cs="Arial"/>
              </w:rPr>
              <w:t xml:space="preserve"> </w:t>
            </w:r>
            <w:r w:rsidR="00F90BD2" w:rsidRPr="0042453A">
              <w:rPr>
                <w:rFonts w:cs="Arial"/>
              </w:rPr>
              <w:t xml:space="preserve">are </w:t>
            </w:r>
            <w:r w:rsidR="00B05960" w:rsidRPr="0042453A">
              <w:rPr>
                <w:rFonts w:cs="Arial"/>
              </w:rPr>
              <w:t xml:space="preserve">run </w:t>
            </w:r>
            <w:r w:rsidR="001F2C8C" w:rsidRPr="0042453A">
              <w:rPr>
                <w:rFonts w:cs="Arial"/>
              </w:rPr>
              <w:t xml:space="preserve">by a sole owner/operator or </w:t>
            </w:r>
            <w:r w:rsidR="0042453A">
              <w:rPr>
                <w:rFonts w:cs="Arial"/>
              </w:rPr>
              <w:t>are</w:t>
            </w:r>
            <w:r w:rsidR="001F2C8C" w:rsidRPr="0042453A">
              <w:rPr>
                <w:rFonts w:cs="Arial"/>
              </w:rPr>
              <w:t xml:space="preserve"> micro business</w:t>
            </w:r>
            <w:r w:rsidR="0042453A">
              <w:rPr>
                <w:rFonts w:cs="Arial"/>
              </w:rPr>
              <w:t>es</w:t>
            </w:r>
            <w:r w:rsidR="001F2C8C" w:rsidRPr="0042453A">
              <w:rPr>
                <w:rFonts w:cs="Arial"/>
              </w:rPr>
              <w:t xml:space="preserve"> </w:t>
            </w:r>
            <w:r w:rsidR="00E23401" w:rsidRPr="0042453A">
              <w:rPr>
                <w:rFonts w:cs="Arial"/>
              </w:rPr>
              <w:t xml:space="preserve">employing four people or </w:t>
            </w:r>
            <w:r w:rsidR="0042453A">
              <w:rPr>
                <w:rFonts w:cs="Arial"/>
              </w:rPr>
              <w:t>l</w:t>
            </w:r>
            <w:r w:rsidR="00E23401" w:rsidRPr="0042453A">
              <w:rPr>
                <w:rFonts w:cs="Arial"/>
              </w:rPr>
              <w:t xml:space="preserve">ess. </w:t>
            </w:r>
          </w:p>
          <w:p w:rsidR="000A461A" w:rsidRPr="000A461A" w:rsidRDefault="000A461A" w:rsidP="000A461A">
            <w:pPr>
              <w:pStyle w:val="Heading2"/>
              <w:spacing w:before="0" w:after="120"/>
              <w:ind w:left="59"/>
              <w:outlineLvl w:val="1"/>
              <w:rPr>
                <w:rFonts w:asciiTheme="minorHAnsi" w:hAnsiTheme="minorHAnsi"/>
                <w:b w:val="0"/>
                <w:i/>
                <w:color w:val="auto"/>
                <w:sz w:val="22"/>
                <w:szCs w:val="22"/>
                <w:lang w:eastAsia="en-AU"/>
              </w:rPr>
            </w:pPr>
            <w:r w:rsidRPr="000A461A">
              <w:rPr>
                <w:rFonts w:asciiTheme="minorHAnsi" w:hAnsiTheme="minorHAnsi"/>
                <w:b w:val="0"/>
                <w:i/>
                <w:color w:val="auto"/>
                <w:sz w:val="22"/>
                <w:szCs w:val="22"/>
                <w:lang w:eastAsia="en-AU"/>
              </w:rPr>
              <w:t xml:space="preserve">City of Whitehorse </w:t>
            </w:r>
          </w:p>
          <w:p w:rsidR="000A461A" w:rsidRPr="0042453A" w:rsidRDefault="000A461A" w:rsidP="000A461A">
            <w:pPr>
              <w:pStyle w:val="CommentText"/>
              <w:spacing w:after="120"/>
              <w:ind w:left="59"/>
              <w:rPr>
                <w:sz w:val="22"/>
                <w:szCs w:val="22"/>
              </w:rPr>
            </w:pPr>
            <w:r w:rsidRPr="0042453A">
              <w:rPr>
                <w:rFonts w:cs="Arial"/>
                <w:sz w:val="22"/>
                <w:szCs w:val="22"/>
              </w:rPr>
              <w:t xml:space="preserve">As part of the objective to build skilled people and businesses, Council is proposing to </w:t>
            </w:r>
            <w:r w:rsidRPr="0042453A">
              <w:rPr>
                <w:sz w:val="22"/>
                <w:szCs w:val="22"/>
              </w:rPr>
              <w:t>Help business grow and prosper by</w:t>
            </w:r>
          </w:p>
          <w:p w:rsidR="000A461A" w:rsidRPr="0042453A" w:rsidRDefault="000A461A" w:rsidP="000A461A">
            <w:pPr>
              <w:pStyle w:val="CommentText"/>
              <w:numPr>
                <w:ilvl w:val="0"/>
                <w:numId w:val="34"/>
              </w:numPr>
              <w:spacing w:after="120"/>
              <w:rPr>
                <w:sz w:val="22"/>
                <w:szCs w:val="22"/>
              </w:rPr>
            </w:pPr>
            <w:r w:rsidRPr="0042453A">
              <w:rPr>
                <w:sz w:val="22"/>
                <w:szCs w:val="22"/>
              </w:rPr>
              <w:t>leveraging the major institutions in Whitehorse (education &amp; health providers) to develop specialised, knowledge intensive businesses in Whitehorse by stakeholder engagement and promoting courses and seminars that will be of benefit to business in Whitehorse</w:t>
            </w:r>
          </w:p>
          <w:p w:rsidR="000A461A" w:rsidRPr="0042453A" w:rsidRDefault="000A461A" w:rsidP="000A461A">
            <w:pPr>
              <w:pStyle w:val="CommentText"/>
              <w:numPr>
                <w:ilvl w:val="0"/>
                <w:numId w:val="34"/>
              </w:numPr>
              <w:spacing w:after="120"/>
              <w:rPr>
                <w:sz w:val="22"/>
                <w:szCs w:val="22"/>
              </w:rPr>
            </w:pPr>
            <w:r w:rsidRPr="0042453A">
              <w:rPr>
                <w:sz w:val="22"/>
                <w:szCs w:val="22"/>
              </w:rPr>
              <w:t>ensuring businesses can access the skills needed to grow and prosper through</w:t>
            </w:r>
          </w:p>
          <w:p w:rsidR="000A461A" w:rsidRPr="0042453A" w:rsidRDefault="000A461A" w:rsidP="000A461A">
            <w:pPr>
              <w:pStyle w:val="CommentText"/>
              <w:numPr>
                <w:ilvl w:val="1"/>
                <w:numId w:val="34"/>
              </w:numPr>
              <w:spacing w:after="120"/>
              <w:contextualSpacing/>
              <w:rPr>
                <w:sz w:val="22"/>
                <w:szCs w:val="22"/>
              </w:rPr>
            </w:pPr>
            <w:r w:rsidRPr="0042453A">
              <w:rPr>
                <w:sz w:val="22"/>
                <w:szCs w:val="22"/>
              </w:rPr>
              <w:t>identifying areas of labour skills and shortages</w:t>
            </w:r>
          </w:p>
          <w:p w:rsidR="000A461A" w:rsidRPr="0042453A" w:rsidRDefault="000A461A" w:rsidP="000A461A">
            <w:pPr>
              <w:pStyle w:val="CommentText"/>
              <w:numPr>
                <w:ilvl w:val="1"/>
                <w:numId w:val="34"/>
              </w:numPr>
              <w:spacing w:after="120"/>
              <w:contextualSpacing/>
              <w:rPr>
                <w:sz w:val="22"/>
                <w:szCs w:val="22"/>
              </w:rPr>
            </w:pPr>
            <w:r>
              <w:rPr>
                <w:sz w:val="22"/>
                <w:szCs w:val="22"/>
              </w:rPr>
              <w:t>a</w:t>
            </w:r>
            <w:r w:rsidRPr="0042453A">
              <w:rPr>
                <w:sz w:val="22"/>
                <w:szCs w:val="22"/>
              </w:rPr>
              <w:t>dvertise relevant skills development and training opportunities to local businesses</w:t>
            </w:r>
          </w:p>
          <w:p w:rsidR="000A461A" w:rsidRPr="0042453A" w:rsidRDefault="000A461A" w:rsidP="000A461A">
            <w:pPr>
              <w:pStyle w:val="CommentText"/>
              <w:numPr>
                <w:ilvl w:val="1"/>
                <w:numId w:val="34"/>
              </w:numPr>
              <w:spacing w:after="120"/>
              <w:contextualSpacing/>
              <w:rPr>
                <w:sz w:val="22"/>
                <w:szCs w:val="22"/>
              </w:rPr>
            </w:pPr>
            <w:r>
              <w:rPr>
                <w:sz w:val="22"/>
                <w:szCs w:val="22"/>
              </w:rPr>
              <w:t>s</w:t>
            </w:r>
            <w:r w:rsidRPr="0042453A">
              <w:rPr>
                <w:sz w:val="22"/>
                <w:szCs w:val="22"/>
              </w:rPr>
              <w:t>hare online resources regarding training and skill development opportunities in council’s communication material to businesses</w:t>
            </w:r>
          </w:p>
          <w:p w:rsidR="001F2C8C" w:rsidRPr="000A461A" w:rsidRDefault="005E76F0" w:rsidP="00F30E0A">
            <w:pPr>
              <w:spacing w:after="120"/>
              <w:ind w:left="59"/>
              <w:rPr>
                <w:rFonts w:cs="Arial"/>
                <w:i/>
              </w:rPr>
            </w:pPr>
            <w:r w:rsidRPr="000A461A">
              <w:rPr>
                <w:rFonts w:cs="Arial"/>
                <w:i/>
              </w:rPr>
              <w:t xml:space="preserve">Shire of </w:t>
            </w:r>
            <w:r w:rsidR="005F4763" w:rsidRPr="000A461A">
              <w:rPr>
                <w:rFonts w:cs="Arial"/>
                <w:i/>
              </w:rPr>
              <w:t xml:space="preserve">Yarra Ranges  </w:t>
            </w:r>
          </w:p>
          <w:p w:rsidR="00650972" w:rsidRPr="0042453A" w:rsidRDefault="005F4763" w:rsidP="00F30E0A">
            <w:pPr>
              <w:ind w:left="59"/>
              <w:rPr>
                <w:rFonts w:cs="Arial"/>
              </w:rPr>
            </w:pPr>
            <w:r w:rsidRPr="0042453A">
              <w:rPr>
                <w:rFonts w:cs="Arial"/>
              </w:rPr>
              <w:t xml:space="preserve">Yarra Ranges </w:t>
            </w:r>
            <w:r w:rsidR="005E76F0" w:rsidRPr="0042453A">
              <w:rPr>
                <w:rFonts w:cs="Arial"/>
              </w:rPr>
              <w:t>identifies</w:t>
            </w:r>
            <w:r w:rsidRPr="0042453A">
              <w:rPr>
                <w:rFonts w:cs="Arial"/>
              </w:rPr>
              <w:t xml:space="preserve"> </w:t>
            </w:r>
            <w:r w:rsidR="005E76F0" w:rsidRPr="0042453A">
              <w:rPr>
                <w:rFonts w:cs="Arial"/>
              </w:rPr>
              <w:t>some</w:t>
            </w:r>
            <w:r w:rsidRPr="0042453A">
              <w:rPr>
                <w:rFonts w:cs="Arial"/>
              </w:rPr>
              <w:t xml:space="preserve"> of its key drivers of community wellbeing as</w:t>
            </w:r>
            <w:r w:rsidR="00A20D17" w:rsidRPr="0042453A">
              <w:rPr>
                <w:rFonts w:cs="Arial"/>
              </w:rPr>
              <w:t>:</w:t>
            </w:r>
          </w:p>
          <w:p w:rsidR="00A20D17" w:rsidRPr="0042453A" w:rsidRDefault="005F4763" w:rsidP="00481BC4">
            <w:pPr>
              <w:pStyle w:val="ListParagraph"/>
              <w:numPr>
                <w:ilvl w:val="0"/>
                <w:numId w:val="24"/>
              </w:numPr>
              <w:ind w:left="342" w:hanging="283"/>
              <w:rPr>
                <w:rFonts w:cs="Arial"/>
              </w:rPr>
            </w:pPr>
            <w:r w:rsidRPr="0042453A">
              <w:rPr>
                <w:rFonts w:cs="Arial"/>
              </w:rPr>
              <w:t xml:space="preserve">providing support to key community organisations including neighbourhood houses to deliver high quality learning programs that lead to sustainable </w:t>
            </w:r>
            <w:r w:rsidR="00D332D9" w:rsidRPr="0042453A">
              <w:rPr>
                <w:rFonts w:cs="Arial"/>
              </w:rPr>
              <w:t>employment outcomes and,</w:t>
            </w:r>
          </w:p>
          <w:p w:rsidR="005E76F0" w:rsidRPr="0042453A" w:rsidRDefault="00A20D17" w:rsidP="00481BC4">
            <w:pPr>
              <w:pStyle w:val="ListParagraph"/>
              <w:numPr>
                <w:ilvl w:val="0"/>
                <w:numId w:val="2"/>
              </w:numPr>
              <w:ind w:left="342" w:hanging="283"/>
              <w:rPr>
                <w:rFonts w:cs="Arial"/>
              </w:rPr>
            </w:pPr>
            <w:r w:rsidRPr="0042453A">
              <w:rPr>
                <w:rFonts w:cs="Arial"/>
              </w:rPr>
              <w:t>developing partnerships through constructive, collaborative working relationships between government, industry associations and neighbourhood houses that support sustainable growth for the region</w:t>
            </w:r>
          </w:p>
          <w:p w:rsidR="00E727E9" w:rsidRPr="0042453A" w:rsidRDefault="005E76F0" w:rsidP="005E76F0">
            <w:pPr>
              <w:pStyle w:val="ListParagraph"/>
              <w:numPr>
                <w:ilvl w:val="0"/>
                <w:numId w:val="2"/>
              </w:numPr>
              <w:ind w:left="342" w:hanging="283"/>
              <w:rPr>
                <w:rFonts w:cs="Arial"/>
              </w:rPr>
            </w:pPr>
            <w:r w:rsidRPr="0042453A">
              <w:rPr>
                <w:rFonts w:cs="Arial"/>
              </w:rPr>
              <w:t>increase mechanisms that support the integration of business ownership of young people and culturally and linguistically diverse communities</w:t>
            </w:r>
            <w:r w:rsidR="00A20D17" w:rsidRPr="0042453A">
              <w:rPr>
                <w:rFonts w:cs="Arial"/>
              </w:rPr>
              <w:t>.</w:t>
            </w:r>
          </w:p>
          <w:p w:rsidR="0042453A" w:rsidRDefault="0042453A" w:rsidP="00F30E0A">
            <w:pPr>
              <w:pStyle w:val="Heading2"/>
              <w:spacing w:before="0" w:after="120"/>
              <w:ind w:left="59"/>
              <w:outlineLvl w:val="1"/>
              <w:rPr>
                <w:rFonts w:asciiTheme="minorHAnsi" w:hAnsiTheme="minorHAnsi"/>
                <w:b w:val="0"/>
                <w:color w:val="auto"/>
                <w:sz w:val="22"/>
                <w:szCs w:val="22"/>
                <w:lang w:eastAsia="en-AU"/>
              </w:rPr>
            </w:pPr>
          </w:p>
          <w:p w:rsidR="00DF2988" w:rsidRPr="000A461A" w:rsidRDefault="00CB7962" w:rsidP="00F30E0A">
            <w:pPr>
              <w:pStyle w:val="CommentText"/>
              <w:ind w:left="59"/>
              <w:rPr>
                <w:rFonts w:cs="Arial"/>
                <w:b/>
                <w:sz w:val="22"/>
                <w:szCs w:val="22"/>
              </w:rPr>
            </w:pPr>
            <w:r w:rsidRPr="000A461A">
              <w:rPr>
                <w:rFonts w:cs="Arial"/>
                <w:b/>
                <w:sz w:val="22"/>
                <w:szCs w:val="22"/>
              </w:rPr>
              <w:t>Broader demographic changes</w:t>
            </w:r>
          </w:p>
          <w:p w:rsidR="009B670E" w:rsidRPr="0042453A" w:rsidRDefault="00D17C7D" w:rsidP="00F30E0A">
            <w:pPr>
              <w:spacing w:after="120"/>
              <w:ind w:left="59"/>
              <w:rPr>
                <w:rFonts w:eastAsia="Times New Roman" w:cs="Arial"/>
                <w:szCs w:val="24"/>
                <w:lang w:val="en" w:eastAsia="en-AU"/>
              </w:rPr>
            </w:pPr>
            <w:r w:rsidRPr="0042453A">
              <w:rPr>
                <w:rFonts w:eastAsia="Times New Roman" w:cs="Arial"/>
                <w:szCs w:val="24"/>
                <w:lang w:val="en" w:eastAsia="en-AU"/>
              </w:rPr>
              <w:t xml:space="preserve">The percentage of the population aged 65 and over is </w:t>
            </w:r>
            <w:r w:rsidR="000A461A">
              <w:rPr>
                <w:rFonts w:eastAsia="Times New Roman" w:cs="Arial"/>
                <w:szCs w:val="24"/>
                <w:lang w:val="en" w:eastAsia="en-AU"/>
              </w:rPr>
              <w:t>growing</w:t>
            </w:r>
            <w:r w:rsidRPr="0042453A">
              <w:rPr>
                <w:rFonts w:eastAsia="Times New Roman" w:cs="Arial"/>
                <w:szCs w:val="24"/>
                <w:lang w:val="en" w:eastAsia="en-AU"/>
              </w:rPr>
              <w:t>.</w:t>
            </w:r>
            <w:r w:rsidR="00D332D9" w:rsidRPr="0042453A">
              <w:rPr>
                <w:rFonts w:eastAsia="Times New Roman" w:cs="Arial"/>
                <w:szCs w:val="24"/>
                <w:lang w:val="en" w:eastAsia="en-AU"/>
              </w:rPr>
              <w:t xml:space="preserve"> </w:t>
            </w:r>
            <w:r w:rsidRPr="0042453A">
              <w:rPr>
                <w:rFonts w:eastAsia="Times New Roman" w:cs="Arial"/>
                <w:szCs w:val="24"/>
                <w:lang w:val="en" w:eastAsia="en-AU"/>
              </w:rPr>
              <w:t>Residents of Eastern region have the highest life expectancies in Victoria</w:t>
            </w:r>
            <w:r w:rsidR="00E727E9" w:rsidRPr="0042453A">
              <w:rPr>
                <w:rFonts w:eastAsia="Times New Roman" w:cs="Arial"/>
                <w:szCs w:val="24"/>
                <w:lang w:val="en" w:eastAsia="en-AU"/>
              </w:rPr>
              <w:t>.</w:t>
            </w:r>
            <w:r w:rsidRPr="0042453A">
              <w:rPr>
                <w:rFonts w:eastAsia="Times New Roman" w:cs="Arial"/>
                <w:szCs w:val="24"/>
                <w:lang w:val="en" w:eastAsia="en-AU"/>
              </w:rPr>
              <w:t xml:space="preserve"> </w:t>
            </w:r>
          </w:p>
          <w:p w:rsidR="00D36E4B" w:rsidRPr="0042453A" w:rsidRDefault="00D17C7D" w:rsidP="00F30E0A">
            <w:pPr>
              <w:spacing w:after="120"/>
              <w:ind w:left="59"/>
              <w:rPr>
                <w:rFonts w:eastAsia="Times New Roman" w:cs="Arial"/>
                <w:szCs w:val="24"/>
                <w:lang w:val="en" w:eastAsia="en-AU"/>
              </w:rPr>
            </w:pPr>
            <w:r w:rsidRPr="0042453A">
              <w:rPr>
                <w:rFonts w:eastAsia="Times New Roman" w:cs="Arial"/>
                <w:szCs w:val="24"/>
                <w:lang w:val="en" w:eastAsia="en-AU"/>
              </w:rPr>
              <w:t xml:space="preserve">Over 26% speak a language other than English at home, with Mandarin the most common language. </w:t>
            </w:r>
            <w:r w:rsidR="00D36E4B" w:rsidRPr="0042453A">
              <w:rPr>
                <w:sz w:val="20"/>
                <w:szCs w:val="20"/>
              </w:rPr>
              <w:t xml:space="preserve"> </w:t>
            </w:r>
          </w:p>
          <w:p w:rsidR="00CB7962" w:rsidRPr="0042453A" w:rsidRDefault="00CB7962" w:rsidP="00F30E0A">
            <w:pPr>
              <w:pStyle w:val="Default"/>
              <w:ind w:left="59"/>
              <w:rPr>
                <w:rFonts w:asciiTheme="minorHAnsi" w:hAnsiTheme="minorHAnsi"/>
                <w:color w:val="auto"/>
                <w:sz w:val="22"/>
                <w:szCs w:val="22"/>
              </w:rPr>
            </w:pPr>
            <w:r w:rsidRPr="0042453A">
              <w:rPr>
                <w:rFonts w:asciiTheme="minorHAnsi" w:hAnsiTheme="minorHAnsi"/>
                <w:b/>
                <w:color w:val="auto"/>
                <w:sz w:val="22"/>
                <w:szCs w:val="22"/>
              </w:rPr>
              <w:t>Employment observations</w:t>
            </w:r>
            <w:r w:rsidRPr="0042453A">
              <w:rPr>
                <w:rFonts w:asciiTheme="minorHAnsi" w:hAnsiTheme="minorHAnsi"/>
                <w:color w:val="auto"/>
                <w:sz w:val="22"/>
                <w:szCs w:val="22"/>
              </w:rPr>
              <w:t>:</w:t>
            </w:r>
          </w:p>
          <w:p w:rsidR="00A336FA" w:rsidRPr="0042453A" w:rsidRDefault="00563832" w:rsidP="002C2EB1">
            <w:pPr>
              <w:pStyle w:val="Default"/>
              <w:numPr>
                <w:ilvl w:val="0"/>
                <w:numId w:val="2"/>
              </w:numPr>
              <w:spacing w:after="60"/>
              <w:ind w:left="315" w:hanging="284"/>
              <w:rPr>
                <w:rFonts w:asciiTheme="minorHAnsi" w:hAnsiTheme="minorHAnsi"/>
                <w:color w:val="auto"/>
                <w:sz w:val="22"/>
                <w:szCs w:val="22"/>
              </w:rPr>
            </w:pPr>
            <w:r w:rsidRPr="0042453A">
              <w:rPr>
                <w:rFonts w:asciiTheme="minorHAnsi" w:hAnsiTheme="minorHAnsi"/>
                <w:color w:val="auto"/>
                <w:sz w:val="22"/>
                <w:szCs w:val="22"/>
              </w:rPr>
              <w:t>Jobs are increasingly being advertised for people with social media and customer engagement skills.</w:t>
            </w:r>
          </w:p>
          <w:p w:rsidR="00CB7962" w:rsidRPr="0042453A" w:rsidRDefault="00563832" w:rsidP="002C2EB1">
            <w:pPr>
              <w:pStyle w:val="ListParagraph"/>
              <w:numPr>
                <w:ilvl w:val="0"/>
                <w:numId w:val="2"/>
              </w:numPr>
              <w:spacing w:after="120"/>
              <w:ind w:left="315" w:hanging="284"/>
              <w:rPr>
                <w:rFonts w:cs="Arial"/>
              </w:rPr>
            </w:pPr>
            <w:r w:rsidRPr="0042453A">
              <w:rPr>
                <w:rFonts w:cs="Arial"/>
              </w:rPr>
              <w:t>Finding employment after gaining qualifications is an issue for some in the regio</w:t>
            </w:r>
            <w:r w:rsidR="003C1ED4" w:rsidRPr="0042453A">
              <w:rPr>
                <w:rFonts w:cs="Arial"/>
              </w:rPr>
              <w:t>n</w:t>
            </w:r>
            <w:r w:rsidRPr="0042453A">
              <w:rPr>
                <w:rFonts w:cs="Arial"/>
              </w:rPr>
              <w:t>.</w:t>
            </w:r>
          </w:p>
          <w:p w:rsidR="00481BC4" w:rsidRPr="0042453A" w:rsidRDefault="00481BC4" w:rsidP="002C2EB1">
            <w:pPr>
              <w:spacing w:after="120"/>
              <w:ind w:left="59"/>
              <w:contextualSpacing/>
            </w:pPr>
          </w:p>
        </w:tc>
      </w:tr>
    </w:tbl>
    <w:p w:rsidR="002C2EB1" w:rsidRDefault="002C2EB1"/>
    <w:p w:rsidR="00800DB4" w:rsidRDefault="00800DB4">
      <w:pPr>
        <w:sectPr w:rsidR="00800DB4" w:rsidSect="000010BE">
          <w:footerReference w:type="default" r:id="rId13"/>
          <w:pgSz w:w="11906" w:h="16838"/>
          <w:pgMar w:top="993" w:right="1440" w:bottom="1134" w:left="1440" w:header="708" w:footer="421" w:gutter="0"/>
          <w:cols w:space="708"/>
          <w:docGrid w:linePitch="360"/>
        </w:sectPr>
      </w:pPr>
    </w:p>
    <w:p w:rsidR="00800DB4" w:rsidRDefault="00800DB4"/>
    <w:p w:rsidR="002F2E9E" w:rsidRDefault="002F2E9E">
      <w:r>
        <w:t>The data below indicates how effectively pre-accredited delivery in 2015 (latest publicly available data) was targeting priority groups</w:t>
      </w:r>
    </w:p>
    <w:p w:rsidR="002F2E9E" w:rsidRDefault="002F2E9E">
      <w:pPr>
        <w:sectPr w:rsidR="002F2E9E" w:rsidSect="00800DB4">
          <w:pgSz w:w="16838" w:h="11906" w:orient="landscape"/>
          <w:pgMar w:top="1440" w:right="993" w:bottom="1440" w:left="1134" w:header="708" w:footer="421" w:gutter="0"/>
          <w:cols w:space="708"/>
          <w:docGrid w:linePitch="360"/>
        </w:sectPr>
      </w:pPr>
      <w:r>
        <w:object w:dxaOrig="12521" w:dyaOrig="6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25pt;height:341.25pt" o:ole="">
            <v:imagedata r:id="rId14" o:title=""/>
          </v:shape>
          <o:OLEObject Type="Embed" ProgID="Excel.Sheet.12" ShapeID="_x0000_i1025" DrawAspect="Content" ObjectID="_1564918637" r:id="rId15"/>
        </w:object>
      </w:r>
    </w:p>
    <w:p w:rsidR="002C2EB1" w:rsidRPr="0014451A" w:rsidRDefault="00800DB4" w:rsidP="002C2EB1">
      <w:pPr>
        <w:rPr>
          <w:b/>
          <w:sz w:val="24"/>
        </w:rPr>
      </w:pPr>
      <w:r>
        <w:rPr>
          <w:b/>
          <w:sz w:val="24"/>
        </w:rPr>
        <w:lastRenderedPageBreak/>
        <w:t>Additional i</w:t>
      </w:r>
      <w:r w:rsidR="002C2EB1" w:rsidRPr="0014451A">
        <w:rPr>
          <w:b/>
          <w:sz w:val="24"/>
        </w:rPr>
        <w:t>nformation on individual priority groups</w:t>
      </w:r>
    </w:p>
    <w:tbl>
      <w:tblPr>
        <w:tblStyle w:val="TableGrid"/>
        <w:tblW w:w="9498" w:type="dxa"/>
        <w:tblInd w:w="-431" w:type="dxa"/>
        <w:tblLook w:val="04A0" w:firstRow="1" w:lastRow="0" w:firstColumn="1" w:lastColumn="0" w:noHBand="0" w:noVBand="1"/>
      </w:tblPr>
      <w:tblGrid>
        <w:gridCol w:w="9498"/>
      </w:tblGrid>
      <w:tr w:rsidR="00436689" w:rsidRPr="00EB5D28" w:rsidTr="002C2EB1">
        <w:tc>
          <w:tcPr>
            <w:tcW w:w="9498" w:type="dxa"/>
            <w:shd w:val="clear" w:color="auto" w:fill="000000" w:themeFill="text1"/>
          </w:tcPr>
          <w:p w:rsidR="00436689" w:rsidRPr="00EB5D28" w:rsidRDefault="002C2EB1" w:rsidP="00436689">
            <w:pPr>
              <w:rPr>
                <w:b/>
              </w:rPr>
            </w:pPr>
            <w:r>
              <w:rPr>
                <w:b/>
              </w:rPr>
              <w:t>YOUNG MOTHERS, WOMEN RETURNING TO WORK AND WOMEN WHO HAVE EXPEREINCED FAMILY VIOLENCE</w:t>
            </w:r>
          </w:p>
        </w:tc>
      </w:tr>
      <w:tr w:rsidR="00436689" w:rsidTr="002C2EB1">
        <w:tc>
          <w:tcPr>
            <w:tcW w:w="9498" w:type="dxa"/>
          </w:tcPr>
          <w:p w:rsidR="000D14B5" w:rsidRDefault="0042453A" w:rsidP="002C2EB1">
            <w:pPr>
              <w:pStyle w:val="CommentText"/>
              <w:spacing w:before="120" w:after="120"/>
              <w:rPr>
                <w:sz w:val="22"/>
                <w:szCs w:val="22"/>
              </w:rPr>
            </w:pPr>
            <w:r w:rsidRPr="002C2EB1">
              <w:rPr>
                <w:rFonts w:cstheme="minorHAnsi"/>
                <w:sz w:val="22"/>
                <w:szCs w:val="22"/>
              </w:rPr>
              <w:t>Women make up 51% of the population in the EMR region and 69% of the pre-accredited learners across the regio</w:t>
            </w:r>
            <w:r w:rsidR="002C2EB1">
              <w:rPr>
                <w:rFonts w:cstheme="minorHAnsi"/>
                <w:sz w:val="22"/>
                <w:szCs w:val="22"/>
              </w:rPr>
              <w:t>n</w:t>
            </w:r>
            <w:r w:rsidRPr="002C2EB1">
              <w:rPr>
                <w:rFonts w:cstheme="minorHAnsi"/>
                <w:sz w:val="22"/>
                <w:szCs w:val="22"/>
              </w:rPr>
              <w:t>. Manningham, Monash, Maroondah and Whitehorse are all 70% and over.</w:t>
            </w:r>
            <w:r w:rsidR="002C2EB1">
              <w:rPr>
                <w:rFonts w:cstheme="minorHAnsi"/>
                <w:sz w:val="22"/>
                <w:szCs w:val="22"/>
              </w:rPr>
              <w:t xml:space="preserve"> </w:t>
            </w:r>
            <w:r w:rsidR="00FE3F8B" w:rsidRPr="002C2EB1">
              <w:rPr>
                <w:sz w:val="22"/>
                <w:szCs w:val="22"/>
              </w:rPr>
              <w:t xml:space="preserve">The data appears to indicate that provision to this cohort is meeting needs in each LGA. </w:t>
            </w:r>
          </w:p>
          <w:p w:rsidR="002C2EB1" w:rsidRDefault="002C2EB1" w:rsidP="002C2EB1">
            <w:pPr>
              <w:pStyle w:val="CommentText"/>
              <w:spacing w:after="120"/>
              <w:rPr>
                <w:sz w:val="22"/>
                <w:szCs w:val="22"/>
              </w:rPr>
            </w:pPr>
            <w:r>
              <w:rPr>
                <w:sz w:val="22"/>
                <w:szCs w:val="22"/>
              </w:rPr>
              <w:t>P</w:t>
            </w:r>
            <w:r w:rsidR="00FE3F8B" w:rsidRPr="002C2EB1">
              <w:rPr>
                <w:sz w:val="22"/>
                <w:szCs w:val="22"/>
              </w:rPr>
              <w:t xml:space="preserve">rograms focussing on home based or start-up businesses could cater to this cohort in </w:t>
            </w:r>
            <w:r w:rsidR="00E054AE" w:rsidRPr="002C2EB1">
              <w:rPr>
                <w:sz w:val="22"/>
                <w:szCs w:val="22"/>
              </w:rPr>
              <w:t xml:space="preserve">the future given the proliferation of </w:t>
            </w:r>
            <w:r w:rsidR="00E666ED" w:rsidRPr="002C2EB1">
              <w:rPr>
                <w:sz w:val="22"/>
                <w:szCs w:val="22"/>
              </w:rPr>
              <w:t>these businesses</w:t>
            </w:r>
            <w:r w:rsidR="00FE3F8B" w:rsidRPr="002C2EB1">
              <w:rPr>
                <w:sz w:val="22"/>
                <w:szCs w:val="22"/>
              </w:rPr>
              <w:t xml:space="preserve"> across most of the EMR. The downturn of manufacturing would also indicate that many </w:t>
            </w:r>
            <w:r w:rsidR="00E666ED" w:rsidRPr="002C2EB1">
              <w:rPr>
                <w:sz w:val="22"/>
                <w:szCs w:val="22"/>
              </w:rPr>
              <w:t>might</w:t>
            </w:r>
            <w:r w:rsidR="00FE3F8B" w:rsidRPr="002C2EB1">
              <w:rPr>
                <w:sz w:val="22"/>
                <w:szCs w:val="22"/>
              </w:rPr>
              <w:t xml:space="preserve"> need to upskill into a di</w:t>
            </w:r>
            <w:r w:rsidR="00E054AE" w:rsidRPr="002C2EB1">
              <w:rPr>
                <w:sz w:val="22"/>
                <w:szCs w:val="22"/>
              </w:rPr>
              <w:t xml:space="preserve">fferent occupation. </w:t>
            </w:r>
          </w:p>
          <w:p w:rsidR="00FE3F8B" w:rsidRPr="002C2EB1" w:rsidRDefault="002C2EB1" w:rsidP="002C2EB1">
            <w:pPr>
              <w:pStyle w:val="CommentText"/>
              <w:spacing w:after="120"/>
              <w:rPr>
                <w:sz w:val="22"/>
                <w:szCs w:val="22"/>
              </w:rPr>
            </w:pPr>
            <w:r>
              <w:rPr>
                <w:sz w:val="22"/>
                <w:szCs w:val="22"/>
              </w:rPr>
              <w:t xml:space="preserve">Some local government areas are developing strategies to position </w:t>
            </w:r>
            <w:r w:rsidR="00E054AE" w:rsidRPr="002C2EB1">
              <w:rPr>
                <w:sz w:val="22"/>
                <w:szCs w:val="22"/>
              </w:rPr>
              <w:t xml:space="preserve">the EMR as an </w:t>
            </w:r>
            <w:r w:rsidR="00FE3F8B" w:rsidRPr="002C2EB1">
              <w:rPr>
                <w:sz w:val="22"/>
                <w:szCs w:val="22"/>
              </w:rPr>
              <w:t>innovati</w:t>
            </w:r>
            <w:r w:rsidR="00E054AE" w:rsidRPr="002C2EB1">
              <w:rPr>
                <w:sz w:val="22"/>
                <w:szCs w:val="22"/>
              </w:rPr>
              <w:t xml:space="preserve">on and tourist destination. This could </w:t>
            </w:r>
            <w:r w:rsidR="00FE3F8B" w:rsidRPr="002C2EB1">
              <w:rPr>
                <w:sz w:val="22"/>
                <w:szCs w:val="22"/>
              </w:rPr>
              <w:t xml:space="preserve">provide </w:t>
            </w:r>
            <w:r w:rsidR="00E054AE" w:rsidRPr="002C2EB1">
              <w:rPr>
                <w:sz w:val="22"/>
                <w:szCs w:val="22"/>
              </w:rPr>
              <w:t xml:space="preserve">a variety of training </w:t>
            </w:r>
            <w:r w:rsidR="00FE3F8B" w:rsidRPr="002C2EB1">
              <w:rPr>
                <w:sz w:val="22"/>
                <w:szCs w:val="22"/>
              </w:rPr>
              <w:t xml:space="preserve">opportunities </w:t>
            </w:r>
            <w:r w:rsidR="00E054AE" w:rsidRPr="002C2EB1">
              <w:rPr>
                <w:sz w:val="22"/>
                <w:szCs w:val="22"/>
              </w:rPr>
              <w:t xml:space="preserve">for LLOs to engage </w:t>
            </w:r>
            <w:r w:rsidR="00FE3F8B" w:rsidRPr="002C2EB1">
              <w:rPr>
                <w:sz w:val="22"/>
                <w:szCs w:val="22"/>
              </w:rPr>
              <w:t>women</w:t>
            </w:r>
            <w:r w:rsidR="00E054AE" w:rsidRPr="002C2EB1">
              <w:rPr>
                <w:sz w:val="22"/>
                <w:szCs w:val="22"/>
              </w:rPr>
              <w:t xml:space="preserve"> to meet these emerging needs</w:t>
            </w:r>
            <w:r w:rsidR="00FE3F8B" w:rsidRPr="002C2EB1">
              <w:rPr>
                <w:sz w:val="22"/>
                <w:szCs w:val="22"/>
              </w:rPr>
              <w:t>.</w:t>
            </w:r>
          </w:p>
          <w:p w:rsidR="002C2EB1" w:rsidRPr="00FE3F8B" w:rsidRDefault="002C2EB1" w:rsidP="002C2EB1">
            <w:r>
              <w:t>Start-up businesses are attracting women returning to work and /or retraining. Tasters in this area would be beneficial.</w:t>
            </w:r>
          </w:p>
          <w:p w:rsidR="00C34215" w:rsidRPr="00FE3F8B" w:rsidRDefault="00C34215" w:rsidP="00FE3F8B">
            <w:pPr>
              <w:pStyle w:val="CommentText"/>
              <w:rPr>
                <w:sz w:val="22"/>
                <w:szCs w:val="22"/>
              </w:rPr>
            </w:pPr>
          </w:p>
        </w:tc>
      </w:tr>
    </w:tbl>
    <w:p w:rsidR="00FE3C76" w:rsidRDefault="00FE3C76"/>
    <w:tbl>
      <w:tblPr>
        <w:tblStyle w:val="TableGrid"/>
        <w:tblW w:w="9498" w:type="dxa"/>
        <w:tblInd w:w="-431" w:type="dxa"/>
        <w:tblLook w:val="04A0" w:firstRow="1" w:lastRow="0" w:firstColumn="1" w:lastColumn="0" w:noHBand="0" w:noVBand="1"/>
      </w:tblPr>
      <w:tblGrid>
        <w:gridCol w:w="9498"/>
      </w:tblGrid>
      <w:tr w:rsidR="00A336FA" w:rsidTr="002C2EB1">
        <w:tc>
          <w:tcPr>
            <w:tcW w:w="9498" w:type="dxa"/>
            <w:shd w:val="clear" w:color="auto" w:fill="000000" w:themeFill="text1"/>
          </w:tcPr>
          <w:p w:rsidR="00A336FA" w:rsidRPr="00EB5D28" w:rsidRDefault="002C2EB1" w:rsidP="00A336FA">
            <w:pPr>
              <w:rPr>
                <w:b/>
              </w:rPr>
            </w:pPr>
            <w:r>
              <w:rPr>
                <w:b/>
              </w:rPr>
              <w:t>CULTURALLY AND LINGUISTICALLY DIVERSE LEARNERS</w:t>
            </w:r>
          </w:p>
        </w:tc>
      </w:tr>
      <w:tr w:rsidR="000F664F" w:rsidTr="002C2EB1">
        <w:tc>
          <w:tcPr>
            <w:tcW w:w="9498" w:type="dxa"/>
          </w:tcPr>
          <w:p w:rsidR="0042453A" w:rsidRPr="00880654" w:rsidRDefault="0042453A" w:rsidP="003A7F98">
            <w:pPr>
              <w:rPr>
                <w:rFonts w:cstheme="minorHAnsi"/>
              </w:rPr>
            </w:pPr>
            <w:r>
              <w:rPr>
                <w:rFonts w:cstheme="minorHAnsi"/>
              </w:rPr>
              <w:t xml:space="preserve">CALD learners make up 28 </w:t>
            </w:r>
            <w:r w:rsidRPr="0076272D">
              <w:rPr>
                <w:rFonts w:cstheme="minorHAnsi"/>
              </w:rPr>
              <w:t>% of the pop</w:t>
            </w:r>
            <w:r>
              <w:rPr>
                <w:rFonts w:cstheme="minorHAnsi"/>
              </w:rPr>
              <w:t>ulation in the EMR region and 32</w:t>
            </w:r>
            <w:r w:rsidRPr="0076272D">
              <w:rPr>
                <w:rFonts w:cstheme="minorHAnsi"/>
              </w:rPr>
              <w:t>% of the pre-accredited learners across t</w:t>
            </w:r>
            <w:r>
              <w:rPr>
                <w:rFonts w:cstheme="minorHAnsi"/>
              </w:rPr>
              <w:t>he region</w:t>
            </w:r>
            <w:r w:rsidR="002C2EB1">
              <w:rPr>
                <w:rFonts w:cstheme="minorHAnsi"/>
              </w:rPr>
              <w:t>.</w:t>
            </w:r>
          </w:p>
          <w:p w:rsidR="002C2EB1" w:rsidRDefault="003B5AC6" w:rsidP="003A7F98">
            <w:pPr>
              <w:spacing w:before="120"/>
            </w:pPr>
            <w:r w:rsidRPr="00D06931">
              <w:rPr>
                <w:rFonts w:cstheme="minorHAnsi"/>
              </w:rPr>
              <w:t>CALD learners</w:t>
            </w:r>
            <w:r w:rsidR="000F664F" w:rsidRPr="00D06931">
              <w:rPr>
                <w:rFonts w:cstheme="minorHAnsi"/>
              </w:rPr>
              <w:t xml:space="preserve"> in </w:t>
            </w:r>
            <w:r w:rsidRPr="00D06931">
              <w:rPr>
                <w:rFonts w:cstheme="minorHAnsi"/>
              </w:rPr>
              <w:t xml:space="preserve">the </w:t>
            </w:r>
            <w:r w:rsidR="000F664F" w:rsidRPr="00D06931">
              <w:rPr>
                <w:rFonts w:cstheme="minorHAnsi"/>
              </w:rPr>
              <w:t>Eastern Metro</w:t>
            </w:r>
            <w:r w:rsidRPr="00D06931">
              <w:rPr>
                <w:rFonts w:cstheme="minorHAnsi"/>
              </w:rPr>
              <w:t>politan region are well represented in</w:t>
            </w:r>
            <w:r w:rsidR="00530861" w:rsidRPr="00D06931">
              <w:rPr>
                <w:rFonts w:cstheme="minorHAnsi"/>
              </w:rPr>
              <w:t xml:space="preserve"> </w:t>
            </w:r>
            <w:r w:rsidRPr="00D06931">
              <w:rPr>
                <w:rFonts w:cstheme="minorHAnsi"/>
              </w:rPr>
              <w:t>pre-accredited training</w:t>
            </w:r>
            <w:r w:rsidR="000F664F" w:rsidRPr="00D06931">
              <w:rPr>
                <w:rFonts w:cstheme="minorHAnsi"/>
              </w:rPr>
              <w:t xml:space="preserve"> except </w:t>
            </w:r>
            <w:r w:rsidRPr="00D06931">
              <w:rPr>
                <w:rFonts w:cstheme="minorHAnsi"/>
              </w:rPr>
              <w:t xml:space="preserve">in </w:t>
            </w:r>
            <w:r w:rsidR="000F664F" w:rsidRPr="00D06931">
              <w:rPr>
                <w:rFonts w:cstheme="minorHAnsi"/>
              </w:rPr>
              <w:t>Knox and Manningham</w:t>
            </w:r>
            <w:r w:rsidR="009C687F" w:rsidRPr="00D06931">
              <w:rPr>
                <w:rFonts w:cstheme="minorHAnsi"/>
              </w:rPr>
              <w:t xml:space="preserve">. </w:t>
            </w:r>
            <w:r w:rsidR="002C2EB1">
              <w:t>Manningham Economic Development Team is interested in engaging with the Chinese Business community.</w:t>
            </w:r>
          </w:p>
          <w:p w:rsidR="002C2EB1" w:rsidRDefault="002C2EB1" w:rsidP="003A7F98">
            <w:pPr>
              <w:spacing w:before="120" w:after="120"/>
            </w:pPr>
            <w:r>
              <w:t>The Chinese Business Community is interested in building greater sustainability of businesses through the professional development of its community.</w:t>
            </w:r>
          </w:p>
          <w:p w:rsidR="00D06931" w:rsidRPr="003C7373" w:rsidRDefault="00FC496D" w:rsidP="003A7F98">
            <w:pPr>
              <w:spacing w:after="120"/>
              <w:rPr>
                <w:rFonts w:cstheme="minorHAnsi"/>
                <w:sz w:val="18"/>
                <w:szCs w:val="18"/>
              </w:rPr>
            </w:pPr>
            <w:r>
              <w:t>E</w:t>
            </w:r>
            <w:r w:rsidR="002C2EB1">
              <w:t xml:space="preserve">ngage with Economic Development Teams to develop niche-training to meet </w:t>
            </w:r>
            <w:r>
              <w:t xml:space="preserve">local </w:t>
            </w:r>
            <w:r w:rsidR="002C2EB1">
              <w:t>training needs</w:t>
            </w:r>
            <w:r>
              <w:t xml:space="preserve"> and where possible</w:t>
            </w:r>
            <w:r w:rsidR="002C2EB1">
              <w:t xml:space="preserve"> become the preferred provider of this training</w:t>
            </w:r>
          </w:p>
        </w:tc>
      </w:tr>
    </w:tbl>
    <w:p w:rsidR="001E713A" w:rsidRDefault="001E713A"/>
    <w:tbl>
      <w:tblPr>
        <w:tblStyle w:val="TableGrid"/>
        <w:tblW w:w="9498" w:type="dxa"/>
        <w:tblInd w:w="-431" w:type="dxa"/>
        <w:tblLook w:val="04A0" w:firstRow="1" w:lastRow="0" w:firstColumn="1" w:lastColumn="0" w:noHBand="0" w:noVBand="1"/>
      </w:tblPr>
      <w:tblGrid>
        <w:gridCol w:w="9498"/>
      </w:tblGrid>
      <w:tr w:rsidR="00A336FA" w:rsidTr="002C2EB1">
        <w:tc>
          <w:tcPr>
            <w:tcW w:w="9498" w:type="dxa"/>
            <w:shd w:val="clear" w:color="auto" w:fill="000000" w:themeFill="text1"/>
          </w:tcPr>
          <w:p w:rsidR="00A336FA" w:rsidRPr="00EB5D28" w:rsidRDefault="00FC496D" w:rsidP="00A336FA">
            <w:pPr>
              <w:rPr>
                <w:b/>
              </w:rPr>
            </w:pPr>
            <w:r>
              <w:rPr>
                <w:b/>
              </w:rPr>
              <w:t>PEOPLE WITH DISABILITY</w:t>
            </w:r>
          </w:p>
        </w:tc>
      </w:tr>
      <w:tr w:rsidR="006E5826" w:rsidTr="002C2EB1">
        <w:tc>
          <w:tcPr>
            <w:tcW w:w="9498" w:type="dxa"/>
          </w:tcPr>
          <w:p w:rsidR="001E713A" w:rsidRPr="00E673FD" w:rsidRDefault="001E713A" w:rsidP="001E713A">
            <w:pPr>
              <w:rPr>
                <w:rFonts w:cstheme="minorHAnsi"/>
                <w:b/>
              </w:rPr>
            </w:pPr>
            <w:r>
              <w:rPr>
                <w:rFonts w:cstheme="minorHAnsi"/>
              </w:rPr>
              <w:t xml:space="preserve">The disability cohort constitutes 1.9 </w:t>
            </w:r>
            <w:r w:rsidRPr="0076272D">
              <w:rPr>
                <w:rFonts w:cstheme="minorHAnsi"/>
              </w:rPr>
              <w:t>% of the pop</w:t>
            </w:r>
            <w:r>
              <w:rPr>
                <w:rFonts w:cstheme="minorHAnsi"/>
              </w:rPr>
              <w:t>ulation in the EMR region and 29</w:t>
            </w:r>
            <w:r w:rsidRPr="0076272D">
              <w:rPr>
                <w:rFonts w:cstheme="minorHAnsi"/>
              </w:rPr>
              <w:t>% of the pre-accredited learners across t</w:t>
            </w:r>
            <w:r>
              <w:rPr>
                <w:rFonts w:cstheme="minorHAnsi"/>
              </w:rPr>
              <w:t xml:space="preserve">he region </w:t>
            </w:r>
            <w:r w:rsidR="00FC496D">
              <w:rPr>
                <w:rFonts w:cstheme="minorHAnsi"/>
              </w:rPr>
              <w:t>–</w:t>
            </w:r>
            <w:r>
              <w:rPr>
                <w:rFonts w:cstheme="minorHAnsi"/>
              </w:rPr>
              <w:t xml:space="preserve"> equal to the Victorian average.</w:t>
            </w:r>
            <w:r w:rsidRPr="0076272D">
              <w:rPr>
                <w:rFonts w:cstheme="minorHAnsi"/>
              </w:rPr>
              <w:t xml:space="preserve"> </w:t>
            </w:r>
          </w:p>
          <w:p w:rsidR="001E713A" w:rsidRDefault="001E713A" w:rsidP="00E673FD">
            <w:pPr>
              <w:rPr>
                <w:rFonts w:cstheme="minorHAnsi"/>
              </w:rPr>
            </w:pPr>
          </w:p>
          <w:p w:rsidR="00C34215" w:rsidRDefault="006E5826" w:rsidP="00337D3D">
            <w:pPr>
              <w:rPr>
                <w:rFonts w:cstheme="minorHAnsi"/>
              </w:rPr>
            </w:pPr>
            <w:r w:rsidRPr="00113A29">
              <w:rPr>
                <w:rFonts w:cstheme="minorHAnsi"/>
              </w:rPr>
              <w:t xml:space="preserve">The NDIS will become available in the Inner Eastern and Outer Eastern Melbourne regions from 1 November 2017. </w:t>
            </w:r>
            <w:r w:rsidR="00FC496D">
              <w:rPr>
                <w:rFonts w:cstheme="minorHAnsi"/>
              </w:rPr>
              <w:t xml:space="preserve">Ensuring that </w:t>
            </w:r>
            <w:r w:rsidR="00FC496D" w:rsidRPr="00113A29">
              <w:rPr>
                <w:rFonts w:cstheme="minorHAnsi"/>
              </w:rPr>
              <w:t>NDIS Local Area Coordina</w:t>
            </w:r>
            <w:r w:rsidR="00FC496D">
              <w:rPr>
                <w:rFonts w:cstheme="minorHAnsi"/>
              </w:rPr>
              <w:t xml:space="preserve">tors </w:t>
            </w:r>
            <w:r w:rsidR="003A7F98" w:rsidRPr="00113A29">
              <w:rPr>
                <w:rFonts w:cstheme="minorHAnsi"/>
              </w:rPr>
              <w:t>are aware of LLO community based training opportunities when coordinating individual plans</w:t>
            </w:r>
            <w:r w:rsidR="00E673FD" w:rsidRPr="00113A29">
              <w:rPr>
                <w:rFonts w:cstheme="minorHAnsi"/>
              </w:rPr>
              <w:t>.</w:t>
            </w:r>
          </w:p>
          <w:p w:rsidR="00CB1A70" w:rsidRPr="003C7373" w:rsidRDefault="00CB1A70" w:rsidP="00337D3D">
            <w:pPr>
              <w:rPr>
                <w:rFonts w:cstheme="minorHAnsi"/>
                <w:sz w:val="18"/>
                <w:szCs w:val="18"/>
              </w:rPr>
            </w:pPr>
          </w:p>
        </w:tc>
      </w:tr>
    </w:tbl>
    <w:p w:rsidR="00113A29" w:rsidRDefault="00113A29"/>
    <w:tbl>
      <w:tblPr>
        <w:tblStyle w:val="TableGrid"/>
        <w:tblW w:w="9498" w:type="dxa"/>
        <w:tblInd w:w="-431" w:type="dxa"/>
        <w:tblLook w:val="04A0" w:firstRow="1" w:lastRow="0" w:firstColumn="1" w:lastColumn="0" w:noHBand="0" w:noVBand="1"/>
      </w:tblPr>
      <w:tblGrid>
        <w:gridCol w:w="9498"/>
      </w:tblGrid>
      <w:tr w:rsidR="003A7F98" w:rsidRPr="007A482D" w:rsidTr="002C2EB1">
        <w:tc>
          <w:tcPr>
            <w:tcW w:w="9498" w:type="dxa"/>
            <w:shd w:val="clear" w:color="auto" w:fill="000000" w:themeFill="text1"/>
          </w:tcPr>
          <w:p w:rsidR="003A7F98" w:rsidRPr="007A482D" w:rsidRDefault="003A7F98" w:rsidP="003A7F98">
            <w:pPr>
              <w:rPr>
                <w:b/>
              </w:rPr>
            </w:pPr>
            <w:r w:rsidRPr="007A482D">
              <w:rPr>
                <w:b/>
              </w:rPr>
              <w:t>YOUNG PEOPLE (15 -19) DISENGAGED FROM WORK AND/OR SCHOOL</w:t>
            </w:r>
          </w:p>
        </w:tc>
      </w:tr>
      <w:tr w:rsidR="00597FA2" w:rsidRPr="007A482D" w:rsidTr="002C2EB1">
        <w:tc>
          <w:tcPr>
            <w:tcW w:w="9498" w:type="dxa"/>
          </w:tcPr>
          <w:p w:rsidR="008E15C1" w:rsidRPr="007A482D" w:rsidRDefault="008E15C1" w:rsidP="00FE3C76">
            <w:pPr>
              <w:spacing w:before="120" w:after="120"/>
              <w:rPr>
                <w:rFonts w:cs="Arial"/>
              </w:rPr>
            </w:pPr>
            <w:r w:rsidRPr="007A482D">
              <w:rPr>
                <w:rFonts w:cs="Arial"/>
              </w:rPr>
              <w:t xml:space="preserve">The EMR average </w:t>
            </w:r>
            <w:r w:rsidR="003B5AC6" w:rsidRPr="007A482D">
              <w:rPr>
                <w:rFonts w:cs="Arial"/>
              </w:rPr>
              <w:t xml:space="preserve">for this cohort </w:t>
            </w:r>
            <w:r w:rsidRPr="007A482D">
              <w:rPr>
                <w:rFonts w:cs="Arial"/>
              </w:rPr>
              <w:t xml:space="preserve">is 1.8% </w:t>
            </w:r>
            <w:r w:rsidR="00463468" w:rsidRPr="007A482D">
              <w:rPr>
                <w:rFonts w:cs="Arial"/>
              </w:rPr>
              <w:t xml:space="preserve">against </w:t>
            </w:r>
            <w:r w:rsidRPr="007A482D">
              <w:rPr>
                <w:rFonts w:cs="Arial"/>
              </w:rPr>
              <w:t>the Victorian average</w:t>
            </w:r>
            <w:r w:rsidR="00463468" w:rsidRPr="007A482D">
              <w:rPr>
                <w:rFonts w:cs="Arial"/>
              </w:rPr>
              <w:t xml:space="preserve"> of 4.4%</w:t>
            </w:r>
            <w:r w:rsidR="00FE3C76" w:rsidRPr="007A482D">
              <w:rPr>
                <w:rFonts w:cs="Arial"/>
              </w:rPr>
              <w:t>.</w:t>
            </w:r>
          </w:p>
          <w:p w:rsidR="00B815B2" w:rsidRPr="007A482D" w:rsidRDefault="008E15C1" w:rsidP="00FE3C76">
            <w:pPr>
              <w:spacing w:after="120"/>
              <w:rPr>
                <w:rFonts w:cs="Arial"/>
              </w:rPr>
            </w:pPr>
            <w:r w:rsidRPr="007A482D">
              <w:rPr>
                <w:rFonts w:cs="Arial"/>
              </w:rPr>
              <w:t xml:space="preserve">Provision across all LGAs in the region is above the </w:t>
            </w:r>
            <w:r w:rsidR="00463468" w:rsidRPr="007A482D">
              <w:rPr>
                <w:rFonts w:cs="Arial"/>
              </w:rPr>
              <w:t>population percentages with t</w:t>
            </w:r>
            <w:r w:rsidR="00BF1F82" w:rsidRPr="007A482D">
              <w:rPr>
                <w:rFonts w:cs="Arial"/>
              </w:rPr>
              <w:t xml:space="preserve">he exception of Maroondah. The </w:t>
            </w:r>
            <w:r w:rsidR="00463468" w:rsidRPr="007A482D">
              <w:rPr>
                <w:rFonts w:cs="Arial"/>
              </w:rPr>
              <w:t>baseline data above indicates that Knox and Yarra Ranges capture significantly high levels of disengaged youth in pre accredited training.</w:t>
            </w:r>
            <w:r w:rsidR="00603592" w:rsidRPr="007A482D">
              <w:rPr>
                <w:rFonts w:cs="Arial"/>
              </w:rPr>
              <w:t xml:space="preserve"> </w:t>
            </w:r>
          </w:p>
          <w:p w:rsidR="00C259D5" w:rsidRPr="007A482D" w:rsidRDefault="007837F9" w:rsidP="00FE3C76">
            <w:pPr>
              <w:spacing w:after="120"/>
              <w:rPr>
                <w:rFonts w:cs="Arial"/>
              </w:rPr>
            </w:pPr>
            <w:r w:rsidRPr="007A482D">
              <w:rPr>
                <w:rFonts w:cs="Arial"/>
              </w:rPr>
              <w:t xml:space="preserve">The focus of the government initiatives identified in the context statement for EMR </w:t>
            </w:r>
            <w:r w:rsidR="00EE4ADC" w:rsidRPr="007A482D">
              <w:rPr>
                <w:rFonts w:cs="Arial"/>
              </w:rPr>
              <w:t>may impact on future training needs of this cohort in the following ways:</w:t>
            </w:r>
          </w:p>
          <w:p w:rsidR="00EE4ADC" w:rsidRPr="007A482D" w:rsidRDefault="00EE4ADC" w:rsidP="00EE4ADC">
            <w:pPr>
              <w:pStyle w:val="ListParagraph"/>
              <w:numPr>
                <w:ilvl w:val="0"/>
                <w:numId w:val="15"/>
              </w:numPr>
              <w:rPr>
                <w:rFonts w:cs="Arial"/>
              </w:rPr>
            </w:pPr>
            <w:r w:rsidRPr="007A482D">
              <w:rPr>
                <w:rFonts w:cs="Arial"/>
              </w:rPr>
              <w:t xml:space="preserve">Developing </w:t>
            </w:r>
            <w:r w:rsidR="00A9081C" w:rsidRPr="007A482D">
              <w:rPr>
                <w:rFonts w:cs="Arial"/>
              </w:rPr>
              <w:t xml:space="preserve">region wide </w:t>
            </w:r>
            <w:r w:rsidRPr="007A482D">
              <w:rPr>
                <w:rFonts w:cs="Arial"/>
              </w:rPr>
              <w:t>strategies</w:t>
            </w:r>
            <w:r w:rsidR="00A9081C" w:rsidRPr="007A482D">
              <w:rPr>
                <w:rFonts w:cs="Arial"/>
              </w:rPr>
              <w:t xml:space="preserve"> to ensure that each s</w:t>
            </w:r>
            <w:r w:rsidR="00881722" w:rsidRPr="007A482D">
              <w:rPr>
                <w:rFonts w:cs="Arial"/>
              </w:rPr>
              <w:t>trategy is understood and potential</w:t>
            </w:r>
            <w:r w:rsidR="00A9081C" w:rsidRPr="007A482D">
              <w:rPr>
                <w:rFonts w:cs="Arial"/>
              </w:rPr>
              <w:t xml:space="preserve"> learners are identified and provided with programs that ensure pathways and achieve the </w:t>
            </w:r>
            <w:r w:rsidR="00A9081C" w:rsidRPr="007A482D">
              <w:rPr>
                <w:rFonts w:cs="Arial"/>
              </w:rPr>
              <w:lastRenderedPageBreak/>
              <w:t>desired outcomes.</w:t>
            </w:r>
          </w:p>
          <w:p w:rsidR="00A9081C" w:rsidRPr="007A482D" w:rsidRDefault="00A9081C" w:rsidP="00EE4ADC">
            <w:pPr>
              <w:pStyle w:val="ListParagraph"/>
              <w:numPr>
                <w:ilvl w:val="0"/>
                <w:numId w:val="15"/>
              </w:numPr>
              <w:rPr>
                <w:rFonts w:cs="Arial"/>
              </w:rPr>
            </w:pPr>
            <w:r w:rsidRPr="007A482D">
              <w:rPr>
                <w:rFonts w:cs="Arial"/>
              </w:rPr>
              <w:t xml:space="preserve">Working with the NEVR Regional Marrung </w:t>
            </w:r>
            <w:r w:rsidR="006B67B5" w:rsidRPr="007A482D">
              <w:rPr>
                <w:rFonts w:cs="Arial"/>
              </w:rPr>
              <w:t>P</w:t>
            </w:r>
            <w:r w:rsidRPr="007A482D">
              <w:rPr>
                <w:rFonts w:cs="Arial"/>
              </w:rPr>
              <w:t xml:space="preserve">artnership </w:t>
            </w:r>
            <w:r w:rsidR="006B67B5" w:rsidRPr="007A482D">
              <w:rPr>
                <w:rFonts w:cs="Arial"/>
              </w:rPr>
              <w:t>G</w:t>
            </w:r>
            <w:r w:rsidRPr="007A482D">
              <w:rPr>
                <w:rFonts w:cs="Arial"/>
              </w:rPr>
              <w:t>roup to dev</w:t>
            </w:r>
            <w:r w:rsidR="006B67B5" w:rsidRPr="007A482D">
              <w:rPr>
                <w:rFonts w:cs="Arial"/>
              </w:rPr>
              <w:t>elop programs to strengthen pathways into post compulsory education and ascertain program content.</w:t>
            </w:r>
          </w:p>
          <w:p w:rsidR="004924E3" w:rsidRPr="007A482D" w:rsidRDefault="006B67B5" w:rsidP="00201BB1">
            <w:pPr>
              <w:pStyle w:val="ListParagraph"/>
              <w:numPr>
                <w:ilvl w:val="0"/>
                <w:numId w:val="15"/>
              </w:numPr>
              <w:rPr>
                <w:rFonts w:cs="Arial"/>
              </w:rPr>
            </w:pPr>
            <w:r w:rsidRPr="007A482D">
              <w:rPr>
                <w:rFonts w:cs="Arial"/>
              </w:rPr>
              <w:t>Work ready programs and transition to work programs be moderated to match industry needs and share good practice in engagement strategies and program content.</w:t>
            </w:r>
          </w:p>
          <w:p w:rsidR="007C7FD4" w:rsidRPr="007A482D" w:rsidRDefault="007C7FD4" w:rsidP="004924E3">
            <w:pPr>
              <w:rPr>
                <w:rFonts w:ascii="Arial" w:hAnsi="Arial" w:cs="Arial"/>
                <w:sz w:val="20"/>
              </w:rPr>
            </w:pPr>
          </w:p>
        </w:tc>
      </w:tr>
    </w:tbl>
    <w:p w:rsidR="004924E3" w:rsidRDefault="004924E3"/>
    <w:tbl>
      <w:tblPr>
        <w:tblStyle w:val="TableGrid"/>
        <w:tblW w:w="9498" w:type="dxa"/>
        <w:tblInd w:w="-431" w:type="dxa"/>
        <w:tblLook w:val="04A0" w:firstRow="1" w:lastRow="0" w:firstColumn="1" w:lastColumn="0" w:noHBand="0" w:noVBand="1"/>
      </w:tblPr>
      <w:tblGrid>
        <w:gridCol w:w="9498"/>
      </w:tblGrid>
      <w:tr w:rsidR="00597FA2" w:rsidTr="002C2EB1">
        <w:tc>
          <w:tcPr>
            <w:tcW w:w="9498" w:type="dxa"/>
            <w:shd w:val="clear" w:color="auto" w:fill="000000" w:themeFill="text1"/>
          </w:tcPr>
          <w:p w:rsidR="00597FA2" w:rsidRPr="00EB5D28" w:rsidRDefault="0032784A" w:rsidP="003A7F98">
            <w:pPr>
              <w:rPr>
                <w:b/>
              </w:rPr>
            </w:pPr>
            <w:r>
              <w:rPr>
                <w:b/>
              </w:rPr>
              <w:t>EARLY SCHOOL LEAVERS</w:t>
            </w:r>
            <w:r w:rsidR="00201BB1">
              <w:rPr>
                <w:b/>
              </w:rPr>
              <w:t xml:space="preserve"> </w:t>
            </w:r>
          </w:p>
        </w:tc>
      </w:tr>
      <w:tr w:rsidR="00597FA2" w:rsidTr="002C2EB1">
        <w:tc>
          <w:tcPr>
            <w:tcW w:w="9498" w:type="dxa"/>
          </w:tcPr>
          <w:p w:rsidR="00597FA2" w:rsidRDefault="00D16EEA" w:rsidP="003A7F98">
            <w:pPr>
              <w:spacing w:after="120"/>
            </w:pPr>
            <w:r>
              <w:t>With the move to a knowledge economy there will be potentially more people requiring upskilling or the acquisition of skills to gain new employment.</w:t>
            </w:r>
          </w:p>
          <w:p w:rsidR="00FE3C76" w:rsidRDefault="008341A0" w:rsidP="003A7F98">
            <w:pPr>
              <w:spacing w:after="120"/>
            </w:pPr>
            <w:r>
              <w:t xml:space="preserve">Developing partnerships with Jobs Victoria to assist the people affected by the downturn in manufacturing would </w:t>
            </w:r>
            <w:r w:rsidR="003A7F98">
              <w:t>support</w:t>
            </w:r>
            <w:r>
              <w:t xml:space="preserve"> engagement of this cohort.</w:t>
            </w:r>
          </w:p>
          <w:p w:rsidR="00A336FA" w:rsidRDefault="008341A0" w:rsidP="003A7F98">
            <w:pPr>
              <w:spacing w:after="120"/>
            </w:pPr>
            <w:r>
              <w:t>The development of specific and localised training programs that match the identified needs of each of the LGA</w:t>
            </w:r>
            <w:r w:rsidR="003A7F98">
              <w:t>’</w:t>
            </w:r>
            <w:r>
              <w:t>s Economic Development Strategies would enable ret</w:t>
            </w:r>
            <w:r w:rsidR="003A7F98">
              <w:t>r</w:t>
            </w:r>
            <w:r>
              <w:t>aining that would result in an employme</w:t>
            </w:r>
            <w:r w:rsidR="00FE3C76">
              <w:t>nt opportunity for this cohort.</w:t>
            </w:r>
          </w:p>
        </w:tc>
      </w:tr>
    </w:tbl>
    <w:p w:rsidR="002A0CDF" w:rsidRDefault="002A0CDF"/>
    <w:tbl>
      <w:tblPr>
        <w:tblStyle w:val="TableGrid"/>
        <w:tblW w:w="9498" w:type="dxa"/>
        <w:tblInd w:w="-431" w:type="dxa"/>
        <w:tblLook w:val="04A0" w:firstRow="1" w:lastRow="0" w:firstColumn="1" w:lastColumn="0" w:noHBand="0" w:noVBand="1"/>
      </w:tblPr>
      <w:tblGrid>
        <w:gridCol w:w="9498"/>
      </w:tblGrid>
      <w:tr w:rsidR="00597FA2" w:rsidTr="002C2EB1">
        <w:tc>
          <w:tcPr>
            <w:tcW w:w="9498" w:type="dxa"/>
            <w:shd w:val="clear" w:color="auto" w:fill="000000" w:themeFill="text1"/>
          </w:tcPr>
          <w:p w:rsidR="00597FA2" w:rsidRPr="00EB5D28" w:rsidRDefault="0032784A" w:rsidP="007A482D">
            <w:pPr>
              <w:rPr>
                <w:b/>
              </w:rPr>
            </w:pPr>
            <w:r>
              <w:rPr>
                <w:b/>
              </w:rPr>
              <w:t>INDIGENOUS</w:t>
            </w:r>
            <w:r w:rsidR="00201BB1">
              <w:rPr>
                <w:b/>
              </w:rPr>
              <w:t xml:space="preserve"> </w:t>
            </w:r>
            <w:r w:rsidR="007A482D">
              <w:rPr>
                <w:b/>
              </w:rPr>
              <w:t xml:space="preserve"> LEARNERS</w:t>
            </w:r>
          </w:p>
        </w:tc>
      </w:tr>
      <w:tr w:rsidR="00597FA2" w:rsidTr="002C2EB1">
        <w:tc>
          <w:tcPr>
            <w:tcW w:w="9498" w:type="dxa"/>
          </w:tcPr>
          <w:p w:rsidR="00D40880" w:rsidRDefault="00D40880" w:rsidP="007A482D">
            <w:pPr>
              <w:spacing w:before="120" w:after="120"/>
              <w:rPr>
                <w:rFonts w:cstheme="minorHAnsi"/>
              </w:rPr>
            </w:pPr>
            <w:r>
              <w:rPr>
                <w:rFonts w:cstheme="minorHAnsi"/>
              </w:rPr>
              <w:t xml:space="preserve">This cohort constitutes 0.3 </w:t>
            </w:r>
            <w:r w:rsidRPr="0076272D">
              <w:rPr>
                <w:rFonts w:cstheme="minorHAnsi"/>
              </w:rPr>
              <w:t>% of the population in t</w:t>
            </w:r>
            <w:r>
              <w:rPr>
                <w:rFonts w:cstheme="minorHAnsi"/>
              </w:rPr>
              <w:t>he EMR region and 0.5</w:t>
            </w:r>
            <w:r w:rsidRPr="0076272D">
              <w:rPr>
                <w:rFonts w:cstheme="minorHAnsi"/>
              </w:rPr>
              <w:t>% of the pre-accredited learners across t</w:t>
            </w:r>
            <w:r>
              <w:rPr>
                <w:rFonts w:cstheme="minorHAnsi"/>
              </w:rPr>
              <w:t>he region that is below</w:t>
            </w:r>
            <w:r w:rsidRPr="0076272D">
              <w:rPr>
                <w:rFonts w:cstheme="minorHAnsi"/>
              </w:rPr>
              <w:t xml:space="preserve"> th</w:t>
            </w:r>
            <w:r>
              <w:rPr>
                <w:rFonts w:cstheme="minorHAnsi"/>
              </w:rPr>
              <w:t>e Victorian average of 1.9</w:t>
            </w:r>
            <w:r w:rsidRPr="0076272D">
              <w:rPr>
                <w:rFonts w:cstheme="minorHAnsi"/>
              </w:rPr>
              <w:t>%. The range acr</w:t>
            </w:r>
            <w:r>
              <w:rPr>
                <w:rFonts w:cstheme="minorHAnsi"/>
              </w:rPr>
              <w:t xml:space="preserve">oss the region varies </w:t>
            </w:r>
            <w:r w:rsidR="003A7F98">
              <w:rPr>
                <w:rFonts w:cstheme="minorHAnsi"/>
              </w:rPr>
              <w:t>from</w:t>
            </w:r>
            <w:r>
              <w:rPr>
                <w:rFonts w:cstheme="minorHAnsi"/>
              </w:rPr>
              <w:t xml:space="preserve"> 0.0% to 2.0</w:t>
            </w:r>
            <w:r w:rsidRPr="0076272D">
              <w:rPr>
                <w:rFonts w:cstheme="minorHAnsi"/>
              </w:rPr>
              <w:t>%.</w:t>
            </w:r>
            <w:r>
              <w:rPr>
                <w:rFonts w:cstheme="minorHAnsi"/>
              </w:rPr>
              <w:t xml:space="preserve"> Provision in all LGAs provision is above the cohort population rates except for Manningham and Maroondah.</w:t>
            </w:r>
          </w:p>
          <w:p w:rsidR="008759CB" w:rsidRPr="00214396" w:rsidRDefault="008759CB" w:rsidP="007A482D">
            <w:pPr>
              <w:spacing w:before="120" w:after="120"/>
              <w:rPr>
                <w:rFonts w:eastAsia="Times New Roman" w:cstheme="minorHAnsi"/>
                <w:lang w:eastAsia="en-AU"/>
              </w:rPr>
            </w:pPr>
            <w:r w:rsidRPr="00214396">
              <w:rPr>
                <w:rFonts w:eastAsia="Times New Roman" w:cstheme="minorHAnsi"/>
                <w:lang w:eastAsia="en-AU"/>
              </w:rPr>
              <w:t>The Indigenous popu</w:t>
            </w:r>
            <w:r w:rsidR="00100E8F" w:rsidRPr="00214396">
              <w:rPr>
                <w:rFonts w:eastAsia="Times New Roman" w:cstheme="minorHAnsi"/>
                <w:lang w:eastAsia="en-AU"/>
              </w:rPr>
              <w:t xml:space="preserve">lation in EMR </w:t>
            </w:r>
            <w:r w:rsidRPr="00214396">
              <w:rPr>
                <w:rFonts w:eastAsia="Times New Roman" w:cstheme="minorHAnsi"/>
                <w:lang w:eastAsia="en-AU"/>
              </w:rPr>
              <w:t xml:space="preserve">is represented in pre-accredited training </w:t>
            </w:r>
            <w:r w:rsidR="00100E8F" w:rsidRPr="00214396">
              <w:rPr>
                <w:rFonts w:eastAsia="Times New Roman" w:cstheme="minorHAnsi"/>
                <w:lang w:eastAsia="en-AU"/>
              </w:rPr>
              <w:t xml:space="preserve">above the population </w:t>
            </w:r>
            <w:r w:rsidRPr="00214396">
              <w:rPr>
                <w:rFonts w:eastAsia="Times New Roman" w:cstheme="minorHAnsi"/>
                <w:lang w:eastAsia="en-AU"/>
              </w:rPr>
              <w:t xml:space="preserve">except </w:t>
            </w:r>
            <w:r w:rsidR="00100E8F" w:rsidRPr="00214396">
              <w:rPr>
                <w:rFonts w:eastAsia="Times New Roman" w:cstheme="minorHAnsi"/>
                <w:lang w:eastAsia="en-AU"/>
              </w:rPr>
              <w:t xml:space="preserve">for </w:t>
            </w:r>
            <w:r w:rsidR="00E666ED" w:rsidRPr="00214396">
              <w:rPr>
                <w:rFonts w:eastAsia="Times New Roman" w:cstheme="minorHAnsi"/>
                <w:lang w:eastAsia="en-AU"/>
              </w:rPr>
              <w:t>Manningham that</w:t>
            </w:r>
            <w:r w:rsidR="00100E8F" w:rsidRPr="00214396">
              <w:rPr>
                <w:rFonts w:eastAsia="Times New Roman" w:cstheme="minorHAnsi"/>
                <w:lang w:eastAsia="en-AU"/>
              </w:rPr>
              <w:t xml:space="preserve"> is 0%.</w:t>
            </w:r>
          </w:p>
          <w:p w:rsidR="00F34580" w:rsidRDefault="000A0265" w:rsidP="007A482D">
            <w:pPr>
              <w:spacing w:after="120"/>
              <w:rPr>
                <w:rFonts w:eastAsia="Times New Roman" w:cstheme="minorHAnsi"/>
                <w:lang w:eastAsia="en-AU"/>
              </w:rPr>
            </w:pPr>
            <w:r w:rsidRPr="00214396">
              <w:rPr>
                <w:rFonts w:eastAsia="Times New Roman" w:cstheme="minorHAnsi"/>
                <w:lang w:eastAsia="en-AU"/>
              </w:rPr>
              <w:t>Yarra Ranges has a higher rate of participation as there are providers who proactively engage the cohort</w:t>
            </w:r>
            <w:r w:rsidR="00214396">
              <w:rPr>
                <w:rFonts w:eastAsia="Times New Roman" w:cstheme="minorHAnsi"/>
                <w:lang w:eastAsia="en-AU"/>
              </w:rPr>
              <w:t>.</w:t>
            </w:r>
          </w:p>
          <w:p w:rsidR="00214396" w:rsidRDefault="00214396" w:rsidP="007A482D">
            <w:pPr>
              <w:spacing w:after="120"/>
            </w:pPr>
            <w:r>
              <w:rPr>
                <w:rFonts w:eastAsia="Times New Roman" w:cstheme="minorHAnsi"/>
                <w:lang w:eastAsia="en-AU"/>
              </w:rPr>
              <w:t>The Marrung Aboriginal Education Plan behoves all training organisations to provide Koorie learners with the opportunity to achieve their learning aspirations. LLOs can provide training opportunities for Koorie youth and adults as initial pathways into accredited training in the region.</w:t>
            </w:r>
          </w:p>
        </w:tc>
      </w:tr>
    </w:tbl>
    <w:p w:rsidR="00D40880" w:rsidRDefault="00D40880"/>
    <w:p w:rsidR="00D40880" w:rsidRDefault="00D40880"/>
    <w:tbl>
      <w:tblPr>
        <w:tblStyle w:val="TableGrid"/>
        <w:tblW w:w="9498" w:type="dxa"/>
        <w:tblInd w:w="-431" w:type="dxa"/>
        <w:tblLook w:val="04A0" w:firstRow="1" w:lastRow="0" w:firstColumn="1" w:lastColumn="0" w:noHBand="0" w:noVBand="1"/>
      </w:tblPr>
      <w:tblGrid>
        <w:gridCol w:w="9498"/>
      </w:tblGrid>
      <w:tr w:rsidR="00597FA2" w:rsidTr="002C2EB1">
        <w:tc>
          <w:tcPr>
            <w:tcW w:w="9498" w:type="dxa"/>
            <w:shd w:val="clear" w:color="auto" w:fill="000000" w:themeFill="text1"/>
          </w:tcPr>
          <w:p w:rsidR="00597FA2" w:rsidRPr="00EB5D28" w:rsidRDefault="0032784A" w:rsidP="007A482D">
            <w:pPr>
              <w:rPr>
                <w:b/>
              </w:rPr>
            </w:pPr>
            <w:r>
              <w:rPr>
                <w:b/>
              </w:rPr>
              <w:t>UNEMPLOYED</w:t>
            </w:r>
            <w:r w:rsidR="00201BB1">
              <w:rPr>
                <w:b/>
              </w:rPr>
              <w:t xml:space="preserve"> </w:t>
            </w:r>
            <w:r w:rsidR="007A482D">
              <w:rPr>
                <w:b/>
              </w:rPr>
              <w:t>PEOPLE</w:t>
            </w:r>
          </w:p>
        </w:tc>
      </w:tr>
      <w:tr w:rsidR="00597FA2" w:rsidTr="002C2EB1">
        <w:tc>
          <w:tcPr>
            <w:tcW w:w="9498" w:type="dxa"/>
          </w:tcPr>
          <w:p w:rsidR="00D40880" w:rsidRDefault="00D40880" w:rsidP="007A482D">
            <w:pPr>
              <w:spacing w:after="120"/>
              <w:rPr>
                <w:rFonts w:cs="Arial"/>
              </w:rPr>
            </w:pPr>
            <w:r>
              <w:rPr>
                <w:rFonts w:cstheme="minorHAnsi"/>
              </w:rPr>
              <w:t xml:space="preserve">This cohort constitutes 3.7 </w:t>
            </w:r>
            <w:r w:rsidRPr="0076272D">
              <w:rPr>
                <w:rFonts w:cstheme="minorHAnsi"/>
              </w:rPr>
              <w:t>% of the population in t</w:t>
            </w:r>
            <w:r>
              <w:rPr>
                <w:rFonts w:cstheme="minorHAnsi"/>
              </w:rPr>
              <w:t>he EMR region and 27</w:t>
            </w:r>
            <w:r w:rsidRPr="0076272D">
              <w:rPr>
                <w:rFonts w:cstheme="minorHAnsi"/>
              </w:rPr>
              <w:t>% of the pre-accredited learners across t</w:t>
            </w:r>
            <w:r>
              <w:rPr>
                <w:rFonts w:cstheme="minorHAnsi"/>
              </w:rPr>
              <w:t>he region that is below</w:t>
            </w:r>
            <w:r w:rsidRPr="0076272D">
              <w:rPr>
                <w:rFonts w:cstheme="minorHAnsi"/>
              </w:rPr>
              <w:t xml:space="preserve"> th</w:t>
            </w:r>
            <w:r>
              <w:rPr>
                <w:rFonts w:cstheme="minorHAnsi"/>
              </w:rPr>
              <w:t>e Victorian average of 32</w:t>
            </w:r>
            <w:r w:rsidRPr="0076272D">
              <w:rPr>
                <w:rFonts w:cstheme="minorHAnsi"/>
              </w:rPr>
              <w:t>%. The range acr</w:t>
            </w:r>
            <w:r>
              <w:rPr>
                <w:rFonts w:cstheme="minorHAnsi"/>
              </w:rPr>
              <w:t>oss the region varies between 21% to 36</w:t>
            </w:r>
            <w:r w:rsidRPr="0076272D">
              <w:rPr>
                <w:rFonts w:cstheme="minorHAnsi"/>
              </w:rPr>
              <w:t>%</w:t>
            </w:r>
            <w:r>
              <w:rPr>
                <w:rFonts w:cstheme="minorHAnsi"/>
              </w:rPr>
              <w:t xml:space="preserve"> against a population range of between 3.1 -4.5%</w:t>
            </w:r>
            <w:r w:rsidRPr="0076272D">
              <w:rPr>
                <w:rFonts w:cstheme="minorHAnsi"/>
              </w:rPr>
              <w:t>.</w:t>
            </w:r>
            <w:r>
              <w:rPr>
                <w:rFonts w:cstheme="minorHAnsi"/>
              </w:rPr>
              <w:t xml:space="preserve"> Provision is above the cohort population rates in all LGAs.</w:t>
            </w:r>
          </w:p>
          <w:p w:rsidR="000010BE" w:rsidRDefault="00214396" w:rsidP="007A482D">
            <w:pPr>
              <w:spacing w:after="120"/>
              <w:rPr>
                <w:rFonts w:cs="Arial"/>
              </w:rPr>
            </w:pPr>
            <w:r>
              <w:rPr>
                <w:rFonts w:cs="Arial"/>
              </w:rPr>
              <w:t xml:space="preserve">Provision </w:t>
            </w:r>
            <w:r w:rsidR="00BF4AC0">
              <w:rPr>
                <w:rFonts w:cs="Arial"/>
              </w:rPr>
              <w:t>to this cohort in 2015-2016 has been relatively stable except for a &lt;5% decrease in Monash and Yarra Ranges</w:t>
            </w:r>
            <w:r w:rsidR="00B7248B">
              <w:rPr>
                <w:rFonts w:cs="Arial"/>
              </w:rPr>
              <w:t>.</w:t>
            </w:r>
          </w:p>
          <w:p w:rsidR="007A482D" w:rsidRDefault="007A482D" w:rsidP="007A482D">
            <w:r>
              <w:t>The development of specific and localised training programs that match the identified needs of the Workforce Training Innovation Fund in the region would also enable retraining that would result in an employment opportunity for this cohort.</w:t>
            </w:r>
          </w:p>
          <w:p w:rsidR="007A482D" w:rsidRDefault="007A482D" w:rsidP="007A482D"/>
          <w:p w:rsidR="007A482D" w:rsidRPr="00AB59A0" w:rsidRDefault="007A482D" w:rsidP="007A482D">
            <w:r>
              <w:t xml:space="preserve">LLOs should consider </w:t>
            </w:r>
            <w:r w:rsidRPr="00354A8E">
              <w:rPr>
                <w:rFonts w:cs="Arial"/>
              </w:rPr>
              <w:t>build</w:t>
            </w:r>
            <w:r>
              <w:rPr>
                <w:rFonts w:cs="Arial"/>
              </w:rPr>
              <w:t>ing</w:t>
            </w:r>
            <w:r w:rsidRPr="00354A8E">
              <w:rPr>
                <w:rFonts w:cs="Arial"/>
              </w:rPr>
              <w:t xml:space="preserve"> much closer relationships and where possible alliances with each of the seven </w:t>
            </w:r>
            <w:r>
              <w:rPr>
                <w:rFonts w:cs="Arial"/>
              </w:rPr>
              <w:t xml:space="preserve"> </w:t>
            </w:r>
            <w:r w:rsidRPr="00354A8E">
              <w:rPr>
                <w:rFonts w:cs="Arial"/>
              </w:rPr>
              <w:t>LGA Economic Development Units</w:t>
            </w:r>
          </w:p>
          <w:p w:rsidR="00A336FA" w:rsidRPr="001B7D87" w:rsidRDefault="00A336FA" w:rsidP="007A482D">
            <w:pPr>
              <w:spacing w:after="120"/>
              <w:rPr>
                <w:rFonts w:cs="Arial"/>
              </w:rPr>
            </w:pPr>
          </w:p>
        </w:tc>
      </w:tr>
    </w:tbl>
    <w:p w:rsidR="001B7D87" w:rsidRDefault="001B7D87"/>
    <w:tbl>
      <w:tblPr>
        <w:tblStyle w:val="TableGrid"/>
        <w:tblW w:w="0" w:type="auto"/>
        <w:tblInd w:w="-431" w:type="dxa"/>
        <w:tblLook w:val="04A0" w:firstRow="1" w:lastRow="0" w:firstColumn="1" w:lastColumn="0" w:noHBand="0" w:noVBand="1"/>
      </w:tblPr>
      <w:tblGrid>
        <w:gridCol w:w="9447"/>
      </w:tblGrid>
      <w:tr w:rsidR="00597FA2" w:rsidTr="002C2EB1">
        <w:tc>
          <w:tcPr>
            <w:tcW w:w="9447" w:type="dxa"/>
            <w:shd w:val="clear" w:color="auto" w:fill="000000" w:themeFill="text1"/>
          </w:tcPr>
          <w:p w:rsidR="00597FA2" w:rsidRPr="00EB5D28" w:rsidRDefault="00597FA2" w:rsidP="00AB50EF">
            <w:pPr>
              <w:rPr>
                <w:b/>
              </w:rPr>
            </w:pPr>
            <w:r>
              <w:rPr>
                <w:b/>
              </w:rPr>
              <w:lastRenderedPageBreak/>
              <w:t xml:space="preserve">H:  </w:t>
            </w:r>
            <w:r w:rsidR="0032784A">
              <w:rPr>
                <w:b/>
              </w:rPr>
              <w:t>PRIORITY COHORT NEEDS – VULNERABLE WORKERS</w:t>
            </w:r>
            <w:r w:rsidR="00201BB1">
              <w:rPr>
                <w:b/>
              </w:rPr>
              <w:t xml:space="preserve"> (max 1 page)</w:t>
            </w:r>
          </w:p>
        </w:tc>
      </w:tr>
      <w:tr w:rsidR="00597FA2" w:rsidTr="002C2EB1">
        <w:tc>
          <w:tcPr>
            <w:tcW w:w="9447" w:type="dxa"/>
          </w:tcPr>
          <w:p w:rsidR="00D40880" w:rsidRPr="00382104" w:rsidRDefault="00D40880" w:rsidP="007A482D">
            <w:pPr>
              <w:spacing w:before="120" w:after="120"/>
              <w:rPr>
                <w:rFonts w:cstheme="minorHAnsi"/>
                <w:b/>
              </w:rPr>
            </w:pPr>
            <w:r>
              <w:rPr>
                <w:rFonts w:cstheme="minorHAnsi"/>
              </w:rPr>
              <w:t>This cohort constitutes 2.6</w:t>
            </w:r>
            <w:r w:rsidRPr="0076272D">
              <w:rPr>
                <w:rFonts w:cstheme="minorHAnsi"/>
              </w:rPr>
              <w:t>% of the population in t</w:t>
            </w:r>
            <w:r>
              <w:rPr>
                <w:rFonts w:cstheme="minorHAnsi"/>
              </w:rPr>
              <w:t xml:space="preserve">he EMR region and 2.6 </w:t>
            </w:r>
            <w:r w:rsidRPr="0076272D">
              <w:rPr>
                <w:rFonts w:cstheme="minorHAnsi"/>
              </w:rPr>
              <w:t>% of the pre-accredited learners across t</w:t>
            </w:r>
            <w:r>
              <w:rPr>
                <w:rFonts w:cstheme="minorHAnsi"/>
              </w:rPr>
              <w:t>he region that is below</w:t>
            </w:r>
            <w:r w:rsidRPr="0076272D">
              <w:rPr>
                <w:rFonts w:cstheme="minorHAnsi"/>
              </w:rPr>
              <w:t xml:space="preserve"> th</w:t>
            </w:r>
            <w:r>
              <w:rPr>
                <w:rFonts w:cstheme="minorHAnsi"/>
              </w:rPr>
              <w:t>e Victorian average of 3.7</w:t>
            </w:r>
            <w:r w:rsidRPr="0076272D">
              <w:rPr>
                <w:rFonts w:cstheme="minorHAnsi"/>
              </w:rPr>
              <w:t>%. The range acr</w:t>
            </w:r>
            <w:r>
              <w:rPr>
                <w:rFonts w:cstheme="minorHAnsi"/>
              </w:rPr>
              <w:t>oss the region varies between 1.5% to 4.0</w:t>
            </w:r>
            <w:r w:rsidRPr="0076272D">
              <w:rPr>
                <w:rFonts w:cstheme="minorHAnsi"/>
              </w:rPr>
              <w:t>%</w:t>
            </w:r>
            <w:r>
              <w:rPr>
                <w:rFonts w:cstheme="minorHAnsi"/>
              </w:rPr>
              <w:t xml:space="preserve"> against a population range of 0.8%- 4.6%</w:t>
            </w:r>
            <w:r w:rsidRPr="0076272D">
              <w:rPr>
                <w:rFonts w:cstheme="minorHAnsi"/>
              </w:rPr>
              <w:t>.</w:t>
            </w:r>
            <w:r>
              <w:rPr>
                <w:rFonts w:cstheme="minorHAnsi"/>
              </w:rPr>
              <w:t xml:space="preserve"> Provision in all LGAs provision is below the cohort population rates except for Boroondara, Manningham and Whitehorse.</w:t>
            </w:r>
          </w:p>
          <w:p w:rsidR="00D40880" w:rsidRDefault="00D40880" w:rsidP="007A482D">
            <w:pPr>
              <w:spacing w:after="120"/>
              <w:rPr>
                <w:rFonts w:cs="Arial"/>
              </w:rPr>
            </w:pPr>
            <w:r>
              <w:t>What is particularly striking is the increase in provision to vulnerable worker between 2015 and 2016 in all but two LGAs. Boroondara was exceptional, increasing provision by nearly sixfold. Monash provided no training to vulnerable workers in 2016.</w:t>
            </w:r>
          </w:p>
          <w:p w:rsidR="00382104" w:rsidRPr="00214396" w:rsidRDefault="00382104" w:rsidP="007A482D">
            <w:pPr>
              <w:spacing w:after="120"/>
              <w:rPr>
                <w:rFonts w:cs="Arial"/>
              </w:rPr>
            </w:pPr>
            <w:r>
              <w:rPr>
                <w:rFonts w:cs="Arial"/>
              </w:rPr>
              <w:t>Provision to this cohort in 2015-2016 has been relatively stable except for</w:t>
            </w:r>
            <w:r w:rsidR="00B7248B">
              <w:rPr>
                <w:rFonts w:cs="Arial"/>
              </w:rPr>
              <w:t xml:space="preserve"> an approximately 100% increase in Boroondara, Maroondah</w:t>
            </w:r>
            <w:r>
              <w:rPr>
                <w:rFonts w:cs="Arial"/>
              </w:rPr>
              <w:t xml:space="preserve"> a</w:t>
            </w:r>
            <w:r w:rsidR="00B7248B">
              <w:rPr>
                <w:rFonts w:cs="Arial"/>
              </w:rPr>
              <w:t xml:space="preserve">nd Yarra Ranges. </w:t>
            </w:r>
          </w:p>
          <w:p w:rsidR="00B7248B" w:rsidRPr="00382104" w:rsidRDefault="00B7248B" w:rsidP="007A482D">
            <w:r>
              <w:t>With the move to a knowledge economy there will be potentially more people requiring upskilling or the acquisition of skills to gain new employment.</w:t>
            </w:r>
          </w:p>
          <w:p w:rsidR="00B7248B" w:rsidRDefault="00B7248B" w:rsidP="007A482D">
            <w:pPr>
              <w:pStyle w:val="ListParagraph"/>
              <w:numPr>
                <w:ilvl w:val="0"/>
                <w:numId w:val="19"/>
              </w:numPr>
            </w:pPr>
            <w:r>
              <w:t>Programs funded in 2018 would need to incorporate Reconnect programs, particularly the older bracket as specified in the guidelines. Developing partnerships with Jobs Victoria to assist the people who have been affected by the downturn in manufacturing would benefit engagement of this cohort.</w:t>
            </w:r>
          </w:p>
          <w:p w:rsidR="00B7248B" w:rsidRPr="00B7248B" w:rsidRDefault="00B7248B" w:rsidP="007A482D">
            <w:pPr>
              <w:pStyle w:val="ListParagraph"/>
              <w:numPr>
                <w:ilvl w:val="0"/>
                <w:numId w:val="19"/>
              </w:numPr>
            </w:pPr>
            <w:r>
              <w:t>The development of specific and localised training programs that match the identified needs of the Workforce Training Innovation Fund in the region would also enable retaining that would result in an employment opportunity for this cohort.</w:t>
            </w:r>
          </w:p>
          <w:p w:rsidR="00B7248B" w:rsidRPr="00B7248B" w:rsidRDefault="00B7248B" w:rsidP="007A482D">
            <w:pPr>
              <w:numPr>
                <w:ilvl w:val="0"/>
                <w:numId w:val="19"/>
              </w:numPr>
              <w:spacing w:after="120"/>
              <w:contextualSpacing/>
              <w:rPr>
                <w:rFonts w:cs="Arial"/>
              </w:rPr>
            </w:pPr>
            <w:r w:rsidRPr="00354A8E">
              <w:rPr>
                <w:rFonts w:cs="Arial"/>
              </w:rPr>
              <w:t>Developing region wide strategies to ensure that each st</w:t>
            </w:r>
            <w:r>
              <w:rPr>
                <w:rFonts w:cs="Arial"/>
              </w:rPr>
              <w:t xml:space="preserve">rategy is understood and potential </w:t>
            </w:r>
            <w:r w:rsidRPr="00354A8E">
              <w:rPr>
                <w:rFonts w:cs="Arial"/>
              </w:rPr>
              <w:t>learners are identified and provided with programs that ensure pathways and achieve the desired outcomes.</w:t>
            </w:r>
          </w:p>
          <w:p w:rsidR="00B7248B" w:rsidRPr="002C0AEC" w:rsidRDefault="00E666ED" w:rsidP="007A482D">
            <w:pPr>
              <w:numPr>
                <w:ilvl w:val="0"/>
                <w:numId w:val="19"/>
              </w:numPr>
              <w:spacing w:after="120"/>
              <w:contextualSpacing/>
              <w:rPr>
                <w:rFonts w:cs="Arial"/>
              </w:rPr>
            </w:pPr>
            <w:r w:rsidRPr="00354A8E">
              <w:rPr>
                <w:rFonts w:cs="Arial"/>
              </w:rPr>
              <w:t>Moderate work ready programs and transition to work programs</w:t>
            </w:r>
            <w:r w:rsidR="00B7248B" w:rsidRPr="00354A8E">
              <w:rPr>
                <w:rFonts w:cs="Arial"/>
              </w:rPr>
              <w:t xml:space="preserve"> to match industry needs and share good practice in engagement strategies and program content.</w:t>
            </w:r>
          </w:p>
          <w:p w:rsidR="00B7248B" w:rsidRDefault="00B7248B" w:rsidP="007A482D">
            <w:pPr>
              <w:numPr>
                <w:ilvl w:val="0"/>
                <w:numId w:val="19"/>
              </w:numPr>
              <w:spacing w:after="120"/>
              <w:contextualSpacing/>
              <w:rPr>
                <w:rFonts w:cs="Arial"/>
              </w:rPr>
            </w:pPr>
            <w:r w:rsidRPr="002C0AEC">
              <w:rPr>
                <w:rFonts w:cs="Arial"/>
                <w:i/>
              </w:rPr>
              <w:t>The Engagement with Stakeholders in the Eastern Metropolitan report</w:t>
            </w:r>
            <w:r>
              <w:rPr>
                <w:rFonts w:cs="Arial"/>
              </w:rPr>
              <w:t xml:space="preserve"> (EMR Council 2016</w:t>
            </w:r>
            <w:r w:rsidR="00B15C32">
              <w:rPr>
                <w:rFonts w:cs="Arial"/>
              </w:rPr>
              <w:t>) clearly</w:t>
            </w:r>
            <w:r>
              <w:rPr>
                <w:rFonts w:cs="Arial"/>
              </w:rPr>
              <w:t xml:space="preserve"> </w:t>
            </w:r>
            <w:r w:rsidR="00B15C32">
              <w:rPr>
                <w:rFonts w:cs="Arial"/>
              </w:rPr>
              <w:t xml:space="preserve">demonstrates </w:t>
            </w:r>
            <w:r w:rsidR="00B15C32" w:rsidRPr="00354A8E">
              <w:rPr>
                <w:rFonts w:cs="Arial"/>
              </w:rPr>
              <w:t>the</w:t>
            </w:r>
            <w:r w:rsidRPr="00354A8E">
              <w:rPr>
                <w:rFonts w:cs="Arial"/>
              </w:rPr>
              <w:t xml:space="preserve"> EMR LLO network needs to build much closer relationships and where possible alliances with each of the seven LGA Economic Development Units</w:t>
            </w:r>
          </w:p>
          <w:p w:rsidR="00A336FA" w:rsidRPr="001B7D87" w:rsidRDefault="00B7248B" w:rsidP="007A482D">
            <w:pPr>
              <w:numPr>
                <w:ilvl w:val="0"/>
                <w:numId w:val="19"/>
              </w:numPr>
              <w:contextualSpacing/>
              <w:rPr>
                <w:rFonts w:cs="Arial"/>
              </w:rPr>
            </w:pPr>
            <w:r w:rsidRPr="00382104">
              <w:rPr>
                <w:rFonts w:cs="Arial"/>
              </w:rPr>
              <w:t xml:space="preserve">Information in relation to what appears to be the low number the number of unemployed people participating in pre-accredited training should be provided to determine if </w:t>
            </w:r>
            <w:r w:rsidRPr="00354A8E">
              <w:t>is due to unemployed people availing of other job ready opportunities, or ineligibility to participate in pre-accredited training.</w:t>
            </w:r>
          </w:p>
        </w:tc>
      </w:tr>
      <w:tr w:rsidR="00597FA2" w:rsidTr="002C2EB1">
        <w:tc>
          <w:tcPr>
            <w:tcW w:w="9447" w:type="dxa"/>
            <w:shd w:val="clear" w:color="auto" w:fill="A6A6A6" w:themeFill="background1" w:themeFillShade="A6"/>
          </w:tcPr>
          <w:p w:rsidR="00597FA2" w:rsidRPr="00EB5D28" w:rsidRDefault="00597FA2" w:rsidP="007A482D">
            <w:pPr>
              <w:rPr>
                <w:b/>
              </w:rPr>
            </w:pPr>
            <w:r w:rsidRPr="00EB5D28">
              <w:rPr>
                <w:b/>
              </w:rPr>
              <w:t>Suggested responses and actions</w:t>
            </w:r>
          </w:p>
        </w:tc>
      </w:tr>
      <w:tr w:rsidR="00597FA2" w:rsidTr="002C2EB1">
        <w:tc>
          <w:tcPr>
            <w:tcW w:w="9447" w:type="dxa"/>
          </w:tcPr>
          <w:p w:rsidR="00B7248B" w:rsidRDefault="00B7248B" w:rsidP="007A482D">
            <w:pPr>
              <w:spacing w:before="120" w:after="120"/>
            </w:pPr>
            <w:r>
              <w:t>With the move to a knowledge economy there will be potentially more people requiring upskilling or the acquisition of skills to gain new employment.</w:t>
            </w:r>
          </w:p>
          <w:p w:rsidR="00B7248B" w:rsidRDefault="00B7248B" w:rsidP="007A482D">
            <w:pPr>
              <w:spacing w:after="120"/>
            </w:pPr>
            <w:r>
              <w:t>Programs funded in 2018 would need to incorporate Reconnect programs, particularly the older bracket as specified in the guidelines. Developing partnerships with Jobs Victoria to assist the people who have been affected by the downturn in manufacturing would benefit engagement of this cohort.</w:t>
            </w:r>
          </w:p>
          <w:p w:rsidR="00A336FA" w:rsidRDefault="00B7248B" w:rsidP="007A482D">
            <w:pPr>
              <w:spacing w:after="120"/>
            </w:pPr>
            <w:r>
              <w:t>The development of specific and localised training programs that match the identified needs of each of the LGAs Economic Development Strategies in the region would also enable retaining that would result in an employment opportunity for this cohort.</w:t>
            </w:r>
          </w:p>
        </w:tc>
      </w:tr>
    </w:tbl>
    <w:p w:rsidR="00C631C5" w:rsidRDefault="00C631C5" w:rsidP="00D40880"/>
    <w:sectPr w:rsidR="00C631C5" w:rsidSect="000010BE">
      <w:pgSz w:w="11906" w:h="16838"/>
      <w:pgMar w:top="993" w:right="1440" w:bottom="1134" w:left="144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68" w:rsidRDefault="009D2568" w:rsidP="001C54B9">
      <w:pPr>
        <w:spacing w:after="0" w:line="240" w:lineRule="auto"/>
      </w:pPr>
      <w:r>
        <w:separator/>
      </w:r>
    </w:p>
  </w:endnote>
  <w:endnote w:type="continuationSeparator" w:id="0">
    <w:p w:rsidR="009D2568" w:rsidRDefault="009D2568" w:rsidP="001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080341"/>
      <w:docPartObj>
        <w:docPartGallery w:val="Page Numbers (Bottom of Page)"/>
        <w:docPartUnique/>
      </w:docPartObj>
    </w:sdtPr>
    <w:sdtEndPr>
      <w:rPr>
        <w:noProof/>
      </w:rPr>
    </w:sdtEndPr>
    <w:sdtContent>
      <w:p w:rsidR="007D1201" w:rsidRPr="001C54B9" w:rsidRDefault="007D1201">
        <w:pPr>
          <w:pStyle w:val="Footer"/>
          <w:jc w:val="right"/>
        </w:pPr>
        <w:r w:rsidRPr="001C54B9">
          <w:fldChar w:fldCharType="begin"/>
        </w:r>
        <w:r w:rsidRPr="001C54B9">
          <w:instrText xml:space="preserve"> PAGE   \* MERGEFORMAT </w:instrText>
        </w:r>
        <w:r w:rsidRPr="001C54B9">
          <w:fldChar w:fldCharType="separate"/>
        </w:r>
        <w:r w:rsidR="009A72CB">
          <w:rPr>
            <w:noProof/>
          </w:rPr>
          <w:t>1</w:t>
        </w:r>
        <w:r w:rsidRPr="001C54B9">
          <w:rPr>
            <w:noProof/>
          </w:rPr>
          <w:fldChar w:fldCharType="end"/>
        </w:r>
      </w:p>
    </w:sdtContent>
  </w:sdt>
  <w:p w:rsidR="007D1201" w:rsidRDefault="007D1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68" w:rsidRDefault="009D2568" w:rsidP="001C54B9">
      <w:pPr>
        <w:spacing w:after="0" w:line="240" w:lineRule="auto"/>
      </w:pPr>
      <w:r>
        <w:separator/>
      </w:r>
    </w:p>
  </w:footnote>
  <w:footnote w:type="continuationSeparator" w:id="0">
    <w:p w:rsidR="009D2568" w:rsidRDefault="009D2568" w:rsidP="001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4FA"/>
    <w:multiLevelType w:val="hybridMultilevel"/>
    <w:tmpl w:val="3484020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8C4C35"/>
    <w:multiLevelType w:val="hybridMultilevel"/>
    <w:tmpl w:val="D8E67252"/>
    <w:lvl w:ilvl="0" w:tplc="0C09000B">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32CE1"/>
    <w:multiLevelType w:val="hybridMultilevel"/>
    <w:tmpl w:val="BC6C1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05193E"/>
    <w:multiLevelType w:val="hybridMultilevel"/>
    <w:tmpl w:val="8A56F8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AA407D"/>
    <w:multiLevelType w:val="hybridMultilevel"/>
    <w:tmpl w:val="8B5CC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9C54D0"/>
    <w:multiLevelType w:val="hybridMultilevel"/>
    <w:tmpl w:val="523E9B2E"/>
    <w:lvl w:ilvl="0" w:tplc="0C090001">
      <w:start w:val="1"/>
      <w:numFmt w:val="bullet"/>
      <w:lvlText w:val=""/>
      <w:lvlJc w:val="left"/>
      <w:pPr>
        <w:ind w:left="419" w:hanging="360"/>
      </w:pPr>
      <w:rPr>
        <w:rFonts w:ascii="Symbol" w:hAnsi="Symbol" w:hint="default"/>
      </w:rPr>
    </w:lvl>
    <w:lvl w:ilvl="1" w:tplc="0C090003" w:tentative="1">
      <w:start w:val="1"/>
      <w:numFmt w:val="bullet"/>
      <w:lvlText w:val="o"/>
      <w:lvlJc w:val="left"/>
      <w:pPr>
        <w:ind w:left="1139" w:hanging="360"/>
      </w:pPr>
      <w:rPr>
        <w:rFonts w:ascii="Courier New" w:hAnsi="Courier New" w:cs="Courier New" w:hint="default"/>
      </w:rPr>
    </w:lvl>
    <w:lvl w:ilvl="2" w:tplc="0C090005" w:tentative="1">
      <w:start w:val="1"/>
      <w:numFmt w:val="bullet"/>
      <w:lvlText w:val=""/>
      <w:lvlJc w:val="left"/>
      <w:pPr>
        <w:ind w:left="1859" w:hanging="360"/>
      </w:pPr>
      <w:rPr>
        <w:rFonts w:ascii="Wingdings" w:hAnsi="Wingdings" w:hint="default"/>
      </w:rPr>
    </w:lvl>
    <w:lvl w:ilvl="3" w:tplc="0C090001" w:tentative="1">
      <w:start w:val="1"/>
      <w:numFmt w:val="bullet"/>
      <w:lvlText w:val=""/>
      <w:lvlJc w:val="left"/>
      <w:pPr>
        <w:ind w:left="2579" w:hanging="360"/>
      </w:pPr>
      <w:rPr>
        <w:rFonts w:ascii="Symbol" w:hAnsi="Symbol" w:hint="default"/>
      </w:rPr>
    </w:lvl>
    <w:lvl w:ilvl="4" w:tplc="0C090003" w:tentative="1">
      <w:start w:val="1"/>
      <w:numFmt w:val="bullet"/>
      <w:lvlText w:val="o"/>
      <w:lvlJc w:val="left"/>
      <w:pPr>
        <w:ind w:left="3299" w:hanging="360"/>
      </w:pPr>
      <w:rPr>
        <w:rFonts w:ascii="Courier New" w:hAnsi="Courier New" w:cs="Courier New" w:hint="default"/>
      </w:rPr>
    </w:lvl>
    <w:lvl w:ilvl="5" w:tplc="0C090005" w:tentative="1">
      <w:start w:val="1"/>
      <w:numFmt w:val="bullet"/>
      <w:lvlText w:val=""/>
      <w:lvlJc w:val="left"/>
      <w:pPr>
        <w:ind w:left="4019" w:hanging="360"/>
      </w:pPr>
      <w:rPr>
        <w:rFonts w:ascii="Wingdings" w:hAnsi="Wingdings" w:hint="default"/>
      </w:rPr>
    </w:lvl>
    <w:lvl w:ilvl="6" w:tplc="0C090001" w:tentative="1">
      <w:start w:val="1"/>
      <w:numFmt w:val="bullet"/>
      <w:lvlText w:val=""/>
      <w:lvlJc w:val="left"/>
      <w:pPr>
        <w:ind w:left="4739" w:hanging="360"/>
      </w:pPr>
      <w:rPr>
        <w:rFonts w:ascii="Symbol" w:hAnsi="Symbol" w:hint="default"/>
      </w:rPr>
    </w:lvl>
    <w:lvl w:ilvl="7" w:tplc="0C090003" w:tentative="1">
      <w:start w:val="1"/>
      <w:numFmt w:val="bullet"/>
      <w:lvlText w:val="o"/>
      <w:lvlJc w:val="left"/>
      <w:pPr>
        <w:ind w:left="5459" w:hanging="360"/>
      </w:pPr>
      <w:rPr>
        <w:rFonts w:ascii="Courier New" w:hAnsi="Courier New" w:cs="Courier New" w:hint="default"/>
      </w:rPr>
    </w:lvl>
    <w:lvl w:ilvl="8" w:tplc="0C090005" w:tentative="1">
      <w:start w:val="1"/>
      <w:numFmt w:val="bullet"/>
      <w:lvlText w:val=""/>
      <w:lvlJc w:val="left"/>
      <w:pPr>
        <w:ind w:left="6179" w:hanging="360"/>
      </w:pPr>
      <w:rPr>
        <w:rFonts w:ascii="Wingdings" w:hAnsi="Wingdings" w:hint="default"/>
      </w:rPr>
    </w:lvl>
  </w:abstractNum>
  <w:abstractNum w:abstractNumId="6" w15:restartNumberingAfterBreak="0">
    <w:nsid w:val="23F10958"/>
    <w:multiLevelType w:val="hybridMultilevel"/>
    <w:tmpl w:val="2084D336"/>
    <w:lvl w:ilvl="0" w:tplc="5258887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36B18"/>
    <w:multiLevelType w:val="multilevel"/>
    <w:tmpl w:val="7D76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27F45"/>
    <w:multiLevelType w:val="hybridMultilevel"/>
    <w:tmpl w:val="95D0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BB30C5"/>
    <w:multiLevelType w:val="hybridMultilevel"/>
    <w:tmpl w:val="426A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376E08"/>
    <w:multiLevelType w:val="hybridMultilevel"/>
    <w:tmpl w:val="F4EA80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4B36E65"/>
    <w:multiLevelType w:val="hybridMultilevel"/>
    <w:tmpl w:val="986864DC"/>
    <w:lvl w:ilvl="0" w:tplc="E77073FE">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A9714F"/>
    <w:multiLevelType w:val="multilevel"/>
    <w:tmpl w:val="6CC4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329E9"/>
    <w:multiLevelType w:val="hybridMultilevel"/>
    <w:tmpl w:val="38F43508"/>
    <w:lvl w:ilvl="0" w:tplc="FFFFFFFF">
      <w:start w:val="1"/>
      <w:numFmt w:val="ideographDigit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F87E2E"/>
    <w:multiLevelType w:val="hybridMultilevel"/>
    <w:tmpl w:val="A1107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707D33"/>
    <w:multiLevelType w:val="hybridMultilevel"/>
    <w:tmpl w:val="DCE610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BF4126E"/>
    <w:multiLevelType w:val="hybridMultilevel"/>
    <w:tmpl w:val="704E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EB6887"/>
    <w:multiLevelType w:val="hybridMultilevel"/>
    <w:tmpl w:val="2DBE3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A056B"/>
    <w:multiLevelType w:val="hybridMultilevel"/>
    <w:tmpl w:val="3642034C"/>
    <w:lvl w:ilvl="0" w:tplc="0C090001">
      <w:start w:val="1"/>
      <w:numFmt w:val="bullet"/>
      <w:lvlText w:val=""/>
      <w:lvlJc w:val="left"/>
      <w:pPr>
        <w:ind w:left="419" w:hanging="360"/>
      </w:pPr>
      <w:rPr>
        <w:rFonts w:ascii="Symbol" w:hAnsi="Symbol" w:hint="default"/>
      </w:rPr>
    </w:lvl>
    <w:lvl w:ilvl="1" w:tplc="0C090003">
      <w:start w:val="1"/>
      <w:numFmt w:val="bullet"/>
      <w:lvlText w:val="o"/>
      <w:lvlJc w:val="left"/>
      <w:pPr>
        <w:ind w:left="1139" w:hanging="360"/>
      </w:pPr>
      <w:rPr>
        <w:rFonts w:ascii="Courier New" w:hAnsi="Courier New" w:cs="Courier New" w:hint="default"/>
      </w:rPr>
    </w:lvl>
    <w:lvl w:ilvl="2" w:tplc="0C090005">
      <w:start w:val="1"/>
      <w:numFmt w:val="bullet"/>
      <w:lvlText w:val=""/>
      <w:lvlJc w:val="left"/>
      <w:pPr>
        <w:ind w:left="1859" w:hanging="360"/>
      </w:pPr>
      <w:rPr>
        <w:rFonts w:ascii="Wingdings" w:hAnsi="Wingdings" w:hint="default"/>
      </w:rPr>
    </w:lvl>
    <w:lvl w:ilvl="3" w:tplc="0C090001" w:tentative="1">
      <w:start w:val="1"/>
      <w:numFmt w:val="bullet"/>
      <w:lvlText w:val=""/>
      <w:lvlJc w:val="left"/>
      <w:pPr>
        <w:ind w:left="2579" w:hanging="360"/>
      </w:pPr>
      <w:rPr>
        <w:rFonts w:ascii="Symbol" w:hAnsi="Symbol" w:hint="default"/>
      </w:rPr>
    </w:lvl>
    <w:lvl w:ilvl="4" w:tplc="0C090003" w:tentative="1">
      <w:start w:val="1"/>
      <w:numFmt w:val="bullet"/>
      <w:lvlText w:val="o"/>
      <w:lvlJc w:val="left"/>
      <w:pPr>
        <w:ind w:left="3299" w:hanging="360"/>
      </w:pPr>
      <w:rPr>
        <w:rFonts w:ascii="Courier New" w:hAnsi="Courier New" w:cs="Courier New" w:hint="default"/>
      </w:rPr>
    </w:lvl>
    <w:lvl w:ilvl="5" w:tplc="0C090005" w:tentative="1">
      <w:start w:val="1"/>
      <w:numFmt w:val="bullet"/>
      <w:lvlText w:val=""/>
      <w:lvlJc w:val="left"/>
      <w:pPr>
        <w:ind w:left="4019" w:hanging="360"/>
      </w:pPr>
      <w:rPr>
        <w:rFonts w:ascii="Wingdings" w:hAnsi="Wingdings" w:hint="default"/>
      </w:rPr>
    </w:lvl>
    <w:lvl w:ilvl="6" w:tplc="0C090001" w:tentative="1">
      <w:start w:val="1"/>
      <w:numFmt w:val="bullet"/>
      <w:lvlText w:val=""/>
      <w:lvlJc w:val="left"/>
      <w:pPr>
        <w:ind w:left="4739" w:hanging="360"/>
      </w:pPr>
      <w:rPr>
        <w:rFonts w:ascii="Symbol" w:hAnsi="Symbol" w:hint="default"/>
      </w:rPr>
    </w:lvl>
    <w:lvl w:ilvl="7" w:tplc="0C090003" w:tentative="1">
      <w:start w:val="1"/>
      <w:numFmt w:val="bullet"/>
      <w:lvlText w:val="o"/>
      <w:lvlJc w:val="left"/>
      <w:pPr>
        <w:ind w:left="5459" w:hanging="360"/>
      </w:pPr>
      <w:rPr>
        <w:rFonts w:ascii="Courier New" w:hAnsi="Courier New" w:cs="Courier New" w:hint="default"/>
      </w:rPr>
    </w:lvl>
    <w:lvl w:ilvl="8" w:tplc="0C090005" w:tentative="1">
      <w:start w:val="1"/>
      <w:numFmt w:val="bullet"/>
      <w:lvlText w:val=""/>
      <w:lvlJc w:val="left"/>
      <w:pPr>
        <w:ind w:left="6179" w:hanging="360"/>
      </w:pPr>
      <w:rPr>
        <w:rFonts w:ascii="Wingdings" w:hAnsi="Wingdings" w:hint="default"/>
      </w:rPr>
    </w:lvl>
  </w:abstractNum>
  <w:abstractNum w:abstractNumId="19" w15:restartNumberingAfterBreak="0">
    <w:nsid w:val="55833E92"/>
    <w:multiLevelType w:val="hybridMultilevel"/>
    <w:tmpl w:val="66C0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F91EFF"/>
    <w:multiLevelType w:val="hybridMultilevel"/>
    <w:tmpl w:val="AF528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D02FD"/>
    <w:multiLevelType w:val="hybridMultilevel"/>
    <w:tmpl w:val="44ACEC7E"/>
    <w:lvl w:ilvl="0" w:tplc="5FA6B8F8">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071E51"/>
    <w:multiLevelType w:val="hybridMultilevel"/>
    <w:tmpl w:val="32D6B622"/>
    <w:lvl w:ilvl="0" w:tplc="4E9C496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576531"/>
    <w:multiLevelType w:val="hybridMultilevel"/>
    <w:tmpl w:val="B4D276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3A03F30"/>
    <w:multiLevelType w:val="hybridMultilevel"/>
    <w:tmpl w:val="8A36E234"/>
    <w:lvl w:ilvl="0" w:tplc="4E9C496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C623F4"/>
    <w:multiLevelType w:val="hybridMultilevel"/>
    <w:tmpl w:val="E86E6E44"/>
    <w:lvl w:ilvl="0" w:tplc="4E9C496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836B5B"/>
    <w:multiLevelType w:val="hybridMultilevel"/>
    <w:tmpl w:val="9F8C4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DC4B79"/>
    <w:multiLevelType w:val="hybridMultilevel"/>
    <w:tmpl w:val="B2DFE9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F223E6B"/>
    <w:multiLevelType w:val="hybridMultilevel"/>
    <w:tmpl w:val="8E2E099C"/>
    <w:lvl w:ilvl="0" w:tplc="FD345914">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3121C0"/>
    <w:multiLevelType w:val="hybridMultilevel"/>
    <w:tmpl w:val="F348D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3E783D"/>
    <w:multiLevelType w:val="hybridMultilevel"/>
    <w:tmpl w:val="1BF2909C"/>
    <w:lvl w:ilvl="0" w:tplc="0C090015">
      <w:start w:val="1"/>
      <w:numFmt w:val="upperLetter"/>
      <w:lvlText w:val="%1."/>
      <w:lvlJc w:val="left"/>
      <w:pPr>
        <w:ind w:left="779" w:hanging="360"/>
      </w:pPr>
    </w:lvl>
    <w:lvl w:ilvl="1" w:tplc="0C090019" w:tentative="1">
      <w:start w:val="1"/>
      <w:numFmt w:val="lowerLetter"/>
      <w:lvlText w:val="%2."/>
      <w:lvlJc w:val="left"/>
      <w:pPr>
        <w:ind w:left="1499" w:hanging="360"/>
      </w:pPr>
    </w:lvl>
    <w:lvl w:ilvl="2" w:tplc="0C09001B" w:tentative="1">
      <w:start w:val="1"/>
      <w:numFmt w:val="lowerRoman"/>
      <w:lvlText w:val="%3."/>
      <w:lvlJc w:val="right"/>
      <w:pPr>
        <w:ind w:left="2219" w:hanging="180"/>
      </w:pPr>
    </w:lvl>
    <w:lvl w:ilvl="3" w:tplc="0C09000F" w:tentative="1">
      <w:start w:val="1"/>
      <w:numFmt w:val="decimal"/>
      <w:lvlText w:val="%4."/>
      <w:lvlJc w:val="left"/>
      <w:pPr>
        <w:ind w:left="2939" w:hanging="360"/>
      </w:pPr>
    </w:lvl>
    <w:lvl w:ilvl="4" w:tplc="0C090019" w:tentative="1">
      <w:start w:val="1"/>
      <w:numFmt w:val="lowerLetter"/>
      <w:lvlText w:val="%5."/>
      <w:lvlJc w:val="left"/>
      <w:pPr>
        <w:ind w:left="3659" w:hanging="360"/>
      </w:pPr>
    </w:lvl>
    <w:lvl w:ilvl="5" w:tplc="0C09001B" w:tentative="1">
      <w:start w:val="1"/>
      <w:numFmt w:val="lowerRoman"/>
      <w:lvlText w:val="%6."/>
      <w:lvlJc w:val="right"/>
      <w:pPr>
        <w:ind w:left="4379" w:hanging="180"/>
      </w:pPr>
    </w:lvl>
    <w:lvl w:ilvl="6" w:tplc="0C09000F" w:tentative="1">
      <w:start w:val="1"/>
      <w:numFmt w:val="decimal"/>
      <w:lvlText w:val="%7."/>
      <w:lvlJc w:val="left"/>
      <w:pPr>
        <w:ind w:left="5099" w:hanging="360"/>
      </w:pPr>
    </w:lvl>
    <w:lvl w:ilvl="7" w:tplc="0C090019" w:tentative="1">
      <w:start w:val="1"/>
      <w:numFmt w:val="lowerLetter"/>
      <w:lvlText w:val="%8."/>
      <w:lvlJc w:val="left"/>
      <w:pPr>
        <w:ind w:left="5819" w:hanging="360"/>
      </w:pPr>
    </w:lvl>
    <w:lvl w:ilvl="8" w:tplc="0C09001B" w:tentative="1">
      <w:start w:val="1"/>
      <w:numFmt w:val="lowerRoman"/>
      <w:lvlText w:val="%9."/>
      <w:lvlJc w:val="right"/>
      <w:pPr>
        <w:ind w:left="6539" w:hanging="180"/>
      </w:pPr>
    </w:lvl>
  </w:abstractNum>
  <w:abstractNum w:abstractNumId="31" w15:restartNumberingAfterBreak="0">
    <w:nsid w:val="7E4A28AD"/>
    <w:multiLevelType w:val="hybridMultilevel"/>
    <w:tmpl w:val="B49C4B98"/>
    <w:lvl w:ilvl="0" w:tplc="72081E6C">
      <w:start w:val="1"/>
      <w:numFmt w:val="upperLetter"/>
      <w:lvlText w:val="%1."/>
      <w:lvlJc w:val="left"/>
      <w:pPr>
        <w:ind w:left="779" w:hanging="360"/>
      </w:pPr>
      <w:rPr>
        <w:b/>
      </w:rPr>
    </w:lvl>
    <w:lvl w:ilvl="1" w:tplc="0C090019" w:tentative="1">
      <w:start w:val="1"/>
      <w:numFmt w:val="lowerLetter"/>
      <w:lvlText w:val="%2."/>
      <w:lvlJc w:val="left"/>
      <w:pPr>
        <w:ind w:left="1499" w:hanging="360"/>
      </w:pPr>
    </w:lvl>
    <w:lvl w:ilvl="2" w:tplc="0C09001B" w:tentative="1">
      <w:start w:val="1"/>
      <w:numFmt w:val="lowerRoman"/>
      <w:lvlText w:val="%3."/>
      <w:lvlJc w:val="right"/>
      <w:pPr>
        <w:ind w:left="2219" w:hanging="180"/>
      </w:pPr>
    </w:lvl>
    <w:lvl w:ilvl="3" w:tplc="0C09000F" w:tentative="1">
      <w:start w:val="1"/>
      <w:numFmt w:val="decimal"/>
      <w:lvlText w:val="%4."/>
      <w:lvlJc w:val="left"/>
      <w:pPr>
        <w:ind w:left="2939" w:hanging="360"/>
      </w:pPr>
    </w:lvl>
    <w:lvl w:ilvl="4" w:tplc="0C090019" w:tentative="1">
      <w:start w:val="1"/>
      <w:numFmt w:val="lowerLetter"/>
      <w:lvlText w:val="%5."/>
      <w:lvlJc w:val="left"/>
      <w:pPr>
        <w:ind w:left="3659" w:hanging="360"/>
      </w:pPr>
    </w:lvl>
    <w:lvl w:ilvl="5" w:tplc="0C09001B" w:tentative="1">
      <w:start w:val="1"/>
      <w:numFmt w:val="lowerRoman"/>
      <w:lvlText w:val="%6."/>
      <w:lvlJc w:val="right"/>
      <w:pPr>
        <w:ind w:left="4379" w:hanging="180"/>
      </w:pPr>
    </w:lvl>
    <w:lvl w:ilvl="6" w:tplc="0C09000F" w:tentative="1">
      <w:start w:val="1"/>
      <w:numFmt w:val="decimal"/>
      <w:lvlText w:val="%7."/>
      <w:lvlJc w:val="left"/>
      <w:pPr>
        <w:ind w:left="5099" w:hanging="360"/>
      </w:pPr>
    </w:lvl>
    <w:lvl w:ilvl="7" w:tplc="0C090019" w:tentative="1">
      <w:start w:val="1"/>
      <w:numFmt w:val="lowerLetter"/>
      <w:lvlText w:val="%8."/>
      <w:lvlJc w:val="left"/>
      <w:pPr>
        <w:ind w:left="5819" w:hanging="360"/>
      </w:pPr>
    </w:lvl>
    <w:lvl w:ilvl="8" w:tplc="0C09001B" w:tentative="1">
      <w:start w:val="1"/>
      <w:numFmt w:val="lowerRoman"/>
      <w:lvlText w:val="%9."/>
      <w:lvlJc w:val="right"/>
      <w:pPr>
        <w:ind w:left="6539" w:hanging="180"/>
      </w:pPr>
    </w:lvl>
  </w:abstractNum>
  <w:num w:numId="1">
    <w:abstractNumId w:val="14"/>
  </w:num>
  <w:num w:numId="2">
    <w:abstractNumId w:val="4"/>
  </w:num>
  <w:num w:numId="3">
    <w:abstractNumId w:val="8"/>
  </w:num>
  <w:num w:numId="4">
    <w:abstractNumId w:val="6"/>
  </w:num>
  <w:num w:numId="5">
    <w:abstractNumId w:val="25"/>
  </w:num>
  <w:num w:numId="6">
    <w:abstractNumId w:val="1"/>
  </w:num>
  <w:num w:numId="7">
    <w:abstractNumId w:val="17"/>
  </w:num>
  <w:num w:numId="8">
    <w:abstractNumId w:val="29"/>
  </w:num>
  <w:num w:numId="9">
    <w:abstractNumId w:val="3"/>
  </w:num>
  <w:num w:numId="10">
    <w:abstractNumId w:val="13"/>
  </w:num>
  <w:num w:numId="11">
    <w:abstractNumId w:val="7"/>
  </w:num>
  <w:num w:numId="12">
    <w:abstractNumId w:val="24"/>
  </w:num>
  <w:num w:numId="13">
    <w:abstractNumId w:val="27"/>
  </w:num>
  <w:num w:numId="14">
    <w:abstractNumId w:val="10"/>
  </w:num>
  <w:num w:numId="15">
    <w:abstractNumId w:val="22"/>
  </w:num>
  <w:num w:numId="16">
    <w:abstractNumId w:val="12"/>
  </w:num>
  <w:num w:numId="17">
    <w:abstractNumId w:val="22"/>
  </w:num>
  <w:num w:numId="18">
    <w:abstractNumId w:val="28"/>
  </w:num>
  <w:num w:numId="19">
    <w:abstractNumId w:val="21"/>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9"/>
  </w:num>
  <w:num w:numId="25">
    <w:abstractNumId w:val="19"/>
  </w:num>
  <w:num w:numId="26">
    <w:abstractNumId w:val="16"/>
  </w:num>
  <w:num w:numId="27">
    <w:abstractNumId w:val="23"/>
  </w:num>
  <w:num w:numId="28">
    <w:abstractNumId w:val="30"/>
  </w:num>
  <w:num w:numId="29">
    <w:abstractNumId w:val="31"/>
  </w:num>
  <w:num w:numId="30">
    <w:abstractNumId w:val="2"/>
  </w:num>
  <w:num w:numId="31">
    <w:abstractNumId w:val="11"/>
  </w:num>
  <w:num w:numId="32">
    <w:abstractNumId w:val="26"/>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US" w:vendorID="64" w:dllVersion="6" w:nlCheck="1" w:checkStyle="0"/>
  <w:activeWritingStyle w:appName="MSWord" w:lang="en-AU"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28"/>
    <w:rsid w:val="000010BE"/>
    <w:rsid w:val="00002E8D"/>
    <w:rsid w:val="0001449F"/>
    <w:rsid w:val="000153D1"/>
    <w:rsid w:val="0003432A"/>
    <w:rsid w:val="000379B2"/>
    <w:rsid w:val="00052C22"/>
    <w:rsid w:val="000901DE"/>
    <w:rsid w:val="000A0265"/>
    <w:rsid w:val="000A461A"/>
    <w:rsid w:val="000C7321"/>
    <w:rsid w:val="000D14B5"/>
    <w:rsid w:val="000F664F"/>
    <w:rsid w:val="00100E8F"/>
    <w:rsid w:val="001028E4"/>
    <w:rsid w:val="00113A29"/>
    <w:rsid w:val="00137690"/>
    <w:rsid w:val="00172211"/>
    <w:rsid w:val="00180905"/>
    <w:rsid w:val="00183517"/>
    <w:rsid w:val="001B7D87"/>
    <w:rsid w:val="001C0290"/>
    <w:rsid w:val="001C4C29"/>
    <w:rsid w:val="001C54B9"/>
    <w:rsid w:val="001D5F7D"/>
    <w:rsid w:val="001E15D0"/>
    <w:rsid w:val="001E198C"/>
    <w:rsid w:val="001E713A"/>
    <w:rsid w:val="001F2C8C"/>
    <w:rsid w:val="00201BB1"/>
    <w:rsid w:val="00214396"/>
    <w:rsid w:val="0023090D"/>
    <w:rsid w:val="00237064"/>
    <w:rsid w:val="00250F3B"/>
    <w:rsid w:val="00281271"/>
    <w:rsid w:val="00283F8B"/>
    <w:rsid w:val="002A0CDF"/>
    <w:rsid w:val="002A601D"/>
    <w:rsid w:val="002A741E"/>
    <w:rsid w:val="002C0AEC"/>
    <w:rsid w:val="002C2EB1"/>
    <w:rsid w:val="002D4028"/>
    <w:rsid w:val="002D5F06"/>
    <w:rsid w:val="002D6A99"/>
    <w:rsid w:val="002F2E9E"/>
    <w:rsid w:val="00306055"/>
    <w:rsid w:val="00324336"/>
    <w:rsid w:val="0032784A"/>
    <w:rsid w:val="00334887"/>
    <w:rsid w:val="00337A2A"/>
    <w:rsid w:val="00337D3D"/>
    <w:rsid w:val="00354A8E"/>
    <w:rsid w:val="00356A7A"/>
    <w:rsid w:val="00381F34"/>
    <w:rsid w:val="00382104"/>
    <w:rsid w:val="00385D5A"/>
    <w:rsid w:val="003A7F98"/>
    <w:rsid w:val="003B4EE5"/>
    <w:rsid w:val="003B5963"/>
    <w:rsid w:val="003B5AC6"/>
    <w:rsid w:val="003C1ED4"/>
    <w:rsid w:val="003C347D"/>
    <w:rsid w:val="003C39BE"/>
    <w:rsid w:val="003E1976"/>
    <w:rsid w:val="003F2875"/>
    <w:rsid w:val="004050CA"/>
    <w:rsid w:val="00415109"/>
    <w:rsid w:val="0042453A"/>
    <w:rsid w:val="0042549D"/>
    <w:rsid w:val="00436689"/>
    <w:rsid w:val="00443A2B"/>
    <w:rsid w:val="004517AB"/>
    <w:rsid w:val="0045605F"/>
    <w:rsid w:val="00457627"/>
    <w:rsid w:val="00461FC6"/>
    <w:rsid w:val="00463468"/>
    <w:rsid w:val="0046788B"/>
    <w:rsid w:val="00480027"/>
    <w:rsid w:val="00481BC4"/>
    <w:rsid w:val="00487585"/>
    <w:rsid w:val="004924E3"/>
    <w:rsid w:val="004A7067"/>
    <w:rsid w:val="004B0C0C"/>
    <w:rsid w:val="004B2B63"/>
    <w:rsid w:val="004B6071"/>
    <w:rsid w:val="004B681F"/>
    <w:rsid w:val="004C06AB"/>
    <w:rsid w:val="004E5610"/>
    <w:rsid w:val="004F2E49"/>
    <w:rsid w:val="004F7706"/>
    <w:rsid w:val="00501A77"/>
    <w:rsid w:val="00530861"/>
    <w:rsid w:val="00563832"/>
    <w:rsid w:val="00563BE4"/>
    <w:rsid w:val="00566352"/>
    <w:rsid w:val="00582A86"/>
    <w:rsid w:val="00597FA2"/>
    <w:rsid w:val="005A054E"/>
    <w:rsid w:val="005A4F3C"/>
    <w:rsid w:val="005A7C21"/>
    <w:rsid w:val="005E76F0"/>
    <w:rsid w:val="005F4763"/>
    <w:rsid w:val="00603592"/>
    <w:rsid w:val="0061349E"/>
    <w:rsid w:val="00624E45"/>
    <w:rsid w:val="00626DFE"/>
    <w:rsid w:val="00640471"/>
    <w:rsid w:val="00650972"/>
    <w:rsid w:val="00693391"/>
    <w:rsid w:val="006A7CE4"/>
    <w:rsid w:val="006B67B5"/>
    <w:rsid w:val="006C4520"/>
    <w:rsid w:val="006C4CB3"/>
    <w:rsid w:val="006D0DEF"/>
    <w:rsid w:val="006E5826"/>
    <w:rsid w:val="006F51D9"/>
    <w:rsid w:val="006F7C8B"/>
    <w:rsid w:val="0070599C"/>
    <w:rsid w:val="00716F3D"/>
    <w:rsid w:val="00726EB1"/>
    <w:rsid w:val="00750131"/>
    <w:rsid w:val="007575DC"/>
    <w:rsid w:val="0076272D"/>
    <w:rsid w:val="00762AA4"/>
    <w:rsid w:val="007837F9"/>
    <w:rsid w:val="00784810"/>
    <w:rsid w:val="00785316"/>
    <w:rsid w:val="007A4675"/>
    <w:rsid w:val="007A482D"/>
    <w:rsid w:val="007B58A7"/>
    <w:rsid w:val="007C7FD4"/>
    <w:rsid w:val="007D1201"/>
    <w:rsid w:val="007D3EB8"/>
    <w:rsid w:val="00800DB4"/>
    <w:rsid w:val="00812D47"/>
    <w:rsid w:val="00814D79"/>
    <w:rsid w:val="00816DBB"/>
    <w:rsid w:val="0082658B"/>
    <w:rsid w:val="008341A0"/>
    <w:rsid w:val="008355F8"/>
    <w:rsid w:val="008643DA"/>
    <w:rsid w:val="008759CB"/>
    <w:rsid w:val="00880654"/>
    <w:rsid w:val="00881722"/>
    <w:rsid w:val="008A088E"/>
    <w:rsid w:val="008A367A"/>
    <w:rsid w:val="008D0832"/>
    <w:rsid w:val="008D3EC4"/>
    <w:rsid w:val="008D5DB0"/>
    <w:rsid w:val="008E15C1"/>
    <w:rsid w:val="009055EA"/>
    <w:rsid w:val="00912E41"/>
    <w:rsid w:val="00940516"/>
    <w:rsid w:val="00947D8E"/>
    <w:rsid w:val="00980A45"/>
    <w:rsid w:val="009A72CB"/>
    <w:rsid w:val="009B670E"/>
    <w:rsid w:val="009C19E7"/>
    <w:rsid w:val="009C4E56"/>
    <w:rsid w:val="009C687F"/>
    <w:rsid w:val="009D09A9"/>
    <w:rsid w:val="009D2568"/>
    <w:rsid w:val="009D4A7B"/>
    <w:rsid w:val="009D73E1"/>
    <w:rsid w:val="00A0518A"/>
    <w:rsid w:val="00A15832"/>
    <w:rsid w:val="00A20D17"/>
    <w:rsid w:val="00A336FA"/>
    <w:rsid w:val="00A769B1"/>
    <w:rsid w:val="00A9081C"/>
    <w:rsid w:val="00AA7755"/>
    <w:rsid w:val="00AB50EF"/>
    <w:rsid w:val="00AB59A0"/>
    <w:rsid w:val="00AD536C"/>
    <w:rsid w:val="00AE40BE"/>
    <w:rsid w:val="00AE44C9"/>
    <w:rsid w:val="00AE7BC8"/>
    <w:rsid w:val="00B05960"/>
    <w:rsid w:val="00B10D1E"/>
    <w:rsid w:val="00B147AB"/>
    <w:rsid w:val="00B15C32"/>
    <w:rsid w:val="00B15F6C"/>
    <w:rsid w:val="00B31A8C"/>
    <w:rsid w:val="00B360D2"/>
    <w:rsid w:val="00B558BC"/>
    <w:rsid w:val="00B7248B"/>
    <w:rsid w:val="00B815B2"/>
    <w:rsid w:val="00BB0DF8"/>
    <w:rsid w:val="00BC3D23"/>
    <w:rsid w:val="00BF007D"/>
    <w:rsid w:val="00BF1F82"/>
    <w:rsid w:val="00BF3B72"/>
    <w:rsid w:val="00BF4AC0"/>
    <w:rsid w:val="00BF4F22"/>
    <w:rsid w:val="00C009DE"/>
    <w:rsid w:val="00C259D5"/>
    <w:rsid w:val="00C27084"/>
    <w:rsid w:val="00C34215"/>
    <w:rsid w:val="00C5217F"/>
    <w:rsid w:val="00C631C5"/>
    <w:rsid w:val="00C7671B"/>
    <w:rsid w:val="00C8525E"/>
    <w:rsid w:val="00C85553"/>
    <w:rsid w:val="00C93532"/>
    <w:rsid w:val="00CA56AB"/>
    <w:rsid w:val="00CA61CC"/>
    <w:rsid w:val="00CB19EA"/>
    <w:rsid w:val="00CB1A70"/>
    <w:rsid w:val="00CB7962"/>
    <w:rsid w:val="00CC16A8"/>
    <w:rsid w:val="00CC6A8A"/>
    <w:rsid w:val="00CE6B4E"/>
    <w:rsid w:val="00D026A0"/>
    <w:rsid w:val="00D06931"/>
    <w:rsid w:val="00D16EEA"/>
    <w:rsid w:val="00D17036"/>
    <w:rsid w:val="00D17C7D"/>
    <w:rsid w:val="00D332D9"/>
    <w:rsid w:val="00D36E4B"/>
    <w:rsid w:val="00D40880"/>
    <w:rsid w:val="00D66D07"/>
    <w:rsid w:val="00D763CA"/>
    <w:rsid w:val="00D828DB"/>
    <w:rsid w:val="00D9237B"/>
    <w:rsid w:val="00D93060"/>
    <w:rsid w:val="00DA1257"/>
    <w:rsid w:val="00DA6C1E"/>
    <w:rsid w:val="00DC20C8"/>
    <w:rsid w:val="00DE7F51"/>
    <w:rsid w:val="00DF2988"/>
    <w:rsid w:val="00E054AE"/>
    <w:rsid w:val="00E23401"/>
    <w:rsid w:val="00E33C71"/>
    <w:rsid w:val="00E46EE5"/>
    <w:rsid w:val="00E54A33"/>
    <w:rsid w:val="00E62C17"/>
    <w:rsid w:val="00E666ED"/>
    <w:rsid w:val="00E673FD"/>
    <w:rsid w:val="00E727E9"/>
    <w:rsid w:val="00EA0E68"/>
    <w:rsid w:val="00EB4D61"/>
    <w:rsid w:val="00EB5D28"/>
    <w:rsid w:val="00EE3BC1"/>
    <w:rsid w:val="00EE40FC"/>
    <w:rsid w:val="00EE4ADC"/>
    <w:rsid w:val="00EE517D"/>
    <w:rsid w:val="00EF1751"/>
    <w:rsid w:val="00F0765D"/>
    <w:rsid w:val="00F30E0A"/>
    <w:rsid w:val="00F32196"/>
    <w:rsid w:val="00F34580"/>
    <w:rsid w:val="00F51A62"/>
    <w:rsid w:val="00F532F3"/>
    <w:rsid w:val="00F67441"/>
    <w:rsid w:val="00F84672"/>
    <w:rsid w:val="00F90BD2"/>
    <w:rsid w:val="00F93609"/>
    <w:rsid w:val="00FA4A9E"/>
    <w:rsid w:val="00FC496D"/>
    <w:rsid w:val="00FC77A1"/>
    <w:rsid w:val="00FD544C"/>
    <w:rsid w:val="00FE3C76"/>
    <w:rsid w:val="00FE3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82AB0-9D4D-4A77-B91B-607EC6E7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B670E"/>
    <w:pPr>
      <w:keepNext/>
      <w:keepLines/>
      <w:spacing w:before="200" w:after="0" w:line="240" w:lineRule="auto"/>
      <w:outlineLvl w:val="1"/>
    </w:pPr>
    <w:rPr>
      <w:rFonts w:ascii="Arial" w:eastAsia="Arial" w:hAnsi="Arial" w:cs="Arial"/>
      <w:b/>
      <w:bCs/>
      <w:color w:val="76923C" w:themeColor="accent3"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B9"/>
  </w:style>
  <w:style w:type="paragraph" w:styleId="Footer">
    <w:name w:val="footer"/>
    <w:basedOn w:val="Normal"/>
    <w:link w:val="FooterChar"/>
    <w:uiPriority w:val="99"/>
    <w:unhideWhenUsed/>
    <w:rsid w:val="001C5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B9"/>
  </w:style>
  <w:style w:type="paragraph" w:styleId="BalloonText">
    <w:name w:val="Balloon Text"/>
    <w:basedOn w:val="Normal"/>
    <w:link w:val="BalloonTextChar"/>
    <w:uiPriority w:val="99"/>
    <w:semiHidden/>
    <w:unhideWhenUsed/>
    <w:rsid w:val="001E1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D0"/>
    <w:rPr>
      <w:rFonts w:ascii="Tahoma" w:hAnsi="Tahoma" w:cs="Tahoma"/>
      <w:sz w:val="16"/>
      <w:szCs w:val="16"/>
    </w:rPr>
  </w:style>
  <w:style w:type="paragraph" w:styleId="ListParagraph">
    <w:name w:val="List Paragraph"/>
    <w:basedOn w:val="Normal"/>
    <w:uiPriority w:val="34"/>
    <w:qFormat/>
    <w:rsid w:val="00201BB1"/>
    <w:pPr>
      <w:ind w:left="720"/>
      <w:contextualSpacing/>
    </w:pPr>
  </w:style>
  <w:style w:type="paragraph" w:styleId="CommentText">
    <w:name w:val="annotation text"/>
    <w:basedOn w:val="Normal"/>
    <w:link w:val="CommentTextChar"/>
    <w:uiPriority w:val="99"/>
    <w:unhideWhenUsed/>
    <w:rsid w:val="00DF2988"/>
    <w:pPr>
      <w:spacing w:line="240" w:lineRule="auto"/>
    </w:pPr>
    <w:rPr>
      <w:sz w:val="20"/>
      <w:szCs w:val="20"/>
    </w:rPr>
  </w:style>
  <w:style w:type="character" w:customStyle="1" w:styleId="CommentTextChar">
    <w:name w:val="Comment Text Char"/>
    <w:basedOn w:val="DefaultParagraphFont"/>
    <w:link w:val="CommentText"/>
    <w:uiPriority w:val="99"/>
    <w:rsid w:val="00DF2988"/>
    <w:rPr>
      <w:sz w:val="20"/>
      <w:szCs w:val="20"/>
    </w:rPr>
  </w:style>
  <w:style w:type="paragraph" w:customStyle="1" w:styleId="Default">
    <w:name w:val="Default"/>
    <w:rsid w:val="00D36E4B"/>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B360D2"/>
    <w:rPr>
      <w:i/>
      <w:iCs/>
    </w:rPr>
  </w:style>
  <w:style w:type="paragraph" w:customStyle="1" w:styleId="Pa5">
    <w:name w:val="Pa5"/>
    <w:basedOn w:val="Default"/>
    <w:next w:val="Default"/>
    <w:uiPriority w:val="99"/>
    <w:rsid w:val="00F51A62"/>
    <w:pPr>
      <w:spacing w:line="181" w:lineRule="atLeast"/>
    </w:pPr>
    <w:rPr>
      <w:rFonts w:ascii="Myriad Pro" w:hAnsi="Myriad Pro" w:cstheme="minorBidi"/>
      <w:color w:val="auto"/>
    </w:rPr>
  </w:style>
  <w:style w:type="character" w:customStyle="1" w:styleId="Heading2Char">
    <w:name w:val="Heading 2 Char"/>
    <w:basedOn w:val="DefaultParagraphFont"/>
    <w:link w:val="Heading2"/>
    <w:uiPriority w:val="9"/>
    <w:rsid w:val="009B670E"/>
    <w:rPr>
      <w:rFonts w:ascii="Arial" w:eastAsia="Arial" w:hAnsi="Arial" w:cs="Arial"/>
      <w:b/>
      <w:bCs/>
      <w:color w:val="76923C" w:themeColor="accent3" w:themeShade="BF"/>
      <w:sz w:val="28"/>
      <w:szCs w:val="28"/>
      <w:lang w:val="en-US"/>
    </w:rPr>
  </w:style>
  <w:style w:type="paragraph" w:styleId="NoSpacing">
    <w:name w:val="No Spacing"/>
    <w:link w:val="NoSpacingChar"/>
    <w:uiPriority w:val="1"/>
    <w:qFormat/>
    <w:rsid w:val="009B670E"/>
    <w:pPr>
      <w:spacing w:after="0" w:line="240" w:lineRule="auto"/>
    </w:pPr>
    <w:rPr>
      <w:rFonts w:ascii="Arial" w:eastAsia="Times New Roman" w:hAnsi="Arial" w:cs="Times New Roman"/>
      <w:sz w:val="20"/>
    </w:rPr>
  </w:style>
  <w:style w:type="character" w:customStyle="1" w:styleId="NoSpacingChar">
    <w:name w:val="No Spacing Char"/>
    <w:basedOn w:val="DefaultParagraphFont"/>
    <w:link w:val="NoSpacing"/>
    <w:uiPriority w:val="1"/>
    <w:rsid w:val="009B670E"/>
    <w:rPr>
      <w:rFonts w:ascii="Arial" w:eastAsia="Times New Roman" w:hAnsi="Arial" w:cs="Times New Roman"/>
      <w:sz w:val="20"/>
    </w:rPr>
  </w:style>
  <w:style w:type="character" w:styleId="Hyperlink">
    <w:name w:val="Hyperlink"/>
    <w:basedOn w:val="DefaultParagraphFont"/>
    <w:uiPriority w:val="99"/>
    <w:semiHidden/>
    <w:unhideWhenUsed/>
    <w:rsid w:val="006E5826"/>
    <w:rPr>
      <w:color w:val="0000FF"/>
      <w:u w:val="single"/>
    </w:rPr>
  </w:style>
  <w:style w:type="character" w:customStyle="1" w:styleId="apple-converted-space">
    <w:name w:val="apple-converted-space"/>
    <w:basedOn w:val="DefaultParagraphFont"/>
    <w:rsid w:val="006E5826"/>
  </w:style>
  <w:style w:type="character" w:styleId="CommentReference">
    <w:name w:val="annotation reference"/>
    <w:basedOn w:val="DefaultParagraphFont"/>
    <w:uiPriority w:val="99"/>
    <w:semiHidden/>
    <w:unhideWhenUsed/>
    <w:rsid w:val="000A0265"/>
    <w:rPr>
      <w:sz w:val="16"/>
      <w:szCs w:val="16"/>
    </w:rPr>
  </w:style>
  <w:style w:type="paragraph" w:styleId="CommentSubject">
    <w:name w:val="annotation subject"/>
    <w:basedOn w:val="CommentText"/>
    <w:next w:val="CommentText"/>
    <w:link w:val="CommentSubjectChar"/>
    <w:uiPriority w:val="99"/>
    <w:semiHidden/>
    <w:unhideWhenUsed/>
    <w:rsid w:val="000A0265"/>
    <w:rPr>
      <w:b/>
      <w:bCs/>
    </w:rPr>
  </w:style>
  <w:style w:type="character" w:customStyle="1" w:styleId="CommentSubjectChar">
    <w:name w:val="Comment Subject Char"/>
    <w:basedOn w:val="CommentTextChar"/>
    <w:link w:val="CommentSubject"/>
    <w:uiPriority w:val="99"/>
    <w:semiHidden/>
    <w:rsid w:val="000A0265"/>
    <w:rPr>
      <w:b/>
      <w:bCs/>
      <w:sz w:val="20"/>
      <w:szCs w:val="20"/>
    </w:rPr>
  </w:style>
  <w:style w:type="paragraph" w:customStyle="1" w:styleId="size-161">
    <w:name w:val="size-161"/>
    <w:basedOn w:val="Normal"/>
    <w:rsid w:val="0001449F"/>
    <w:pPr>
      <w:spacing w:before="100" w:beforeAutospacing="1" w:after="100" w:afterAutospacing="1" w:line="360" w:lineRule="atLeast"/>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451">
      <w:bodyDiv w:val="1"/>
      <w:marLeft w:val="0"/>
      <w:marRight w:val="0"/>
      <w:marTop w:val="0"/>
      <w:marBottom w:val="0"/>
      <w:divBdr>
        <w:top w:val="none" w:sz="0" w:space="0" w:color="auto"/>
        <w:left w:val="none" w:sz="0" w:space="0" w:color="auto"/>
        <w:bottom w:val="none" w:sz="0" w:space="0" w:color="auto"/>
        <w:right w:val="none" w:sz="0" w:space="0" w:color="auto"/>
      </w:divBdr>
    </w:div>
    <w:div w:id="113989607">
      <w:bodyDiv w:val="1"/>
      <w:marLeft w:val="0"/>
      <w:marRight w:val="0"/>
      <w:marTop w:val="0"/>
      <w:marBottom w:val="0"/>
      <w:divBdr>
        <w:top w:val="none" w:sz="0" w:space="0" w:color="auto"/>
        <w:left w:val="none" w:sz="0" w:space="0" w:color="auto"/>
        <w:bottom w:val="none" w:sz="0" w:space="0" w:color="auto"/>
        <w:right w:val="none" w:sz="0" w:space="0" w:color="auto"/>
      </w:divBdr>
    </w:div>
    <w:div w:id="290288289">
      <w:bodyDiv w:val="1"/>
      <w:marLeft w:val="0"/>
      <w:marRight w:val="0"/>
      <w:marTop w:val="0"/>
      <w:marBottom w:val="0"/>
      <w:divBdr>
        <w:top w:val="none" w:sz="0" w:space="0" w:color="auto"/>
        <w:left w:val="none" w:sz="0" w:space="0" w:color="auto"/>
        <w:bottom w:val="none" w:sz="0" w:space="0" w:color="auto"/>
        <w:right w:val="none" w:sz="0" w:space="0" w:color="auto"/>
      </w:divBdr>
    </w:div>
    <w:div w:id="754933468">
      <w:bodyDiv w:val="1"/>
      <w:marLeft w:val="0"/>
      <w:marRight w:val="0"/>
      <w:marTop w:val="0"/>
      <w:marBottom w:val="0"/>
      <w:divBdr>
        <w:top w:val="none" w:sz="0" w:space="0" w:color="auto"/>
        <w:left w:val="none" w:sz="0" w:space="0" w:color="auto"/>
        <w:bottom w:val="none" w:sz="0" w:space="0" w:color="auto"/>
        <w:right w:val="none" w:sz="0" w:space="0" w:color="auto"/>
      </w:divBdr>
      <w:divsChild>
        <w:div w:id="1812287174">
          <w:marLeft w:val="0"/>
          <w:marRight w:val="0"/>
          <w:marTop w:val="0"/>
          <w:marBottom w:val="0"/>
          <w:divBdr>
            <w:top w:val="none" w:sz="0" w:space="0" w:color="auto"/>
            <w:left w:val="none" w:sz="0" w:space="0" w:color="auto"/>
            <w:bottom w:val="none" w:sz="0" w:space="0" w:color="auto"/>
            <w:right w:val="none" w:sz="0" w:space="0" w:color="auto"/>
          </w:divBdr>
          <w:divsChild>
            <w:div w:id="475033360">
              <w:marLeft w:val="0"/>
              <w:marRight w:val="0"/>
              <w:marTop w:val="0"/>
              <w:marBottom w:val="0"/>
              <w:divBdr>
                <w:top w:val="none" w:sz="0" w:space="0" w:color="auto"/>
                <w:left w:val="none" w:sz="0" w:space="0" w:color="auto"/>
                <w:bottom w:val="none" w:sz="0" w:space="0" w:color="auto"/>
                <w:right w:val="none" w:sz="0" w:space="0" w:color="auto"/>
              </w:divBdr>
              <w:divsChild>
                <w:div w:id="145779243">
                  <w:marLeft w:val="0"/>
                  <w:marRight w:val="0"/>
                  <w:marTop w:val="0"/>
                  <w:marBottom w:val="0"/>
                  <w:divBdr>
                    <w:top w:val="none" w:sz="0" w:space="0" w:color="auto"/>
                    <w:left w:val="none" w:sz="0" w:space="0" w:color="auto"/>
                    <w:bottom w:val="none" w:sz="0" w:space="0" w:color="auto"/>
                    <w:right w:val="none" w:sz="0" w:space="0" w:color="auto"/>
                  </w:divBdr>
                  <w:divsChild>
                    <w:div w:id="556472061">
                      <w:marLeft w:val="0"/>
                      <w:marRight w:val="0"/>
                      <w:marTop w:val="0"/>
                      <w:marBottom w:val="0"/>
                      <w:divBdr>
                        <w:top w:val="none" w:sz="0" w:space="0" w:color="auto"/>
                        <w:left w:val="none" w:sz="0" w:space="0" w:color="auto"/>
                        <w:bottom w:val="none" w:sz="0" w:space="0" w:color="auto"/>
                        <w:right w:val="none" w:sz="0" w:space="0" w:color="auto"/>
                      </w:divBdr>
                      <w:divsChild>
                        <w:div w:id="26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38728">
      <w:bodyDiv w:val="1"/>
      <w:marLeft w:val="0"/>
      <w:marRight w:val="0"/>
      <w:marTop w:val="0"/>
      <w:marBottom w:val="0"/>
      <w:divBdr>
        <w:top w:val="none" w:sz="0" w:space="0" w:color="auto"/>
        <w:left w:val="none" w:sz="0" w:space="0" w:color="auto"/>
        <w:bottom w:val="none" w:sz="0" w:space="0" w:color="auto"/>
        <w:right w:val="none" w:sz="0" w:space="0" w:color="auto"/>
      </w:divBdr>
    </w:div>
    <w:div w:id="783689307">
      <w:bodyDiv w:val="1"/>
      <w:marLeft w:val="0"/>
      <w:marRight w:val="0"/>
      <w:marTop w:val="0"/>
      <w:marBottom w:val="0"/>
      <w:divBdr>
        <w:top w:val="none" w:sz="0" w:space="0" w:color="auto"/>
        <w:left w:val="none" w:sz="0" w:space="0" w:color="auto"/>
        <w:bottom w:val="none" w:sz="0" w:space="0" w:color="auto"/>
        <w:right w:val="none" w:sz="0" w:space="0" w:color="auto"/>
      </w:divBdr>
    </w:div>
    <w:div w:id="809253700">
      <w:bodyDiv w:val="1"/>
      <w:marLeft w:val="0"/>
      <w:marRight w:val="0"/>
      <w:marTop w:val="0"/>
      <w:marBottom w:val="0"/>
      <w:divBdr>
        <w:top w:val="none" w:sz="0" w:space="0" w:color="auto"/>
        <w:left w:val="none" w:sz="0" w:space="0" w:color="auto"/>
        <w:bottom w:val="none" w:sz="0" w:space="0" w:color="auto"/>
        <w:right w:val="none" w:sz="0" w:space="0" w:color="auto"/>
      </w:divBdr>
      <w:divsChild>
        <w:div w:id="1841890963">
          <w:marLeft w:val="0"/>
          <w:marRight w:val="0"/>
          <w:marTop w:val="0"/>
          <w:marBottom w:val="0"/>
          <w:divBdr>
            <w:top w:val="none" w:sz="0" w:space="0" w:color="auto"/>
            <w:left w:val="none" w:sz="0" w:space="0" w:color="auto"/>
            <w:bottom w:val="none" w:sz="0" w:space="0" w:color="auto"/>
            <w:right w:val="none" w:sz="0" w:space="0" w:color="auto"/>
          </w:divBdr>
          <w:divsChild>
            <w:div w:id="4737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6974">
      <w:bodyDiv w:val="1"/>
      <w:marLeft w:val="0"/>
      <w:marRight w:val="0"/>
      <w:marTop w:val="0"/>
      <w:marBottom w:val="0"/>
      <w:divBdr>
        <w:top w:val="none" w:sz="0" w:space="0" w:color="auto"/>
        <w:left w:val="none" w:sz="0" w:space="0" w:color="auto"/>
        <w:bottom w:val="none" w:sz="0" w:space="0" w:color="auto"/>
        <w:right w:val="none" w:sz="0" w:space="0" w:color="auto"/>
      </w:divBdr>
    </w:div>
    <w:div w:id="957448094">
      <w:bodyDiv w:val="1"/>
      <w:marLeft w:val="0"/>
      <w:marRight w:val="0"/>
      <w:marTop w:val="0"/>
      <w:marBottom w:val="0"/>
      <w:divBdr>
        <w:top w:val="none" w:sz="0" w:space="0" w:color="auto"/>
        <w:left w:val="none" w:sz="0" w:space="0" w:color="auto"/>
        <w:bottom w:val="none" w:sz="0" w:space="0" w:color="auto"/>
        <w:right w:val="none" w:sz="0" w:space="0" w:color="auto"/>
      </w:divBdr>
    </w:div>
    <w:div w:id="965745418">
      <w:bodyDiv w:val="1"/>
      <w:marLeft w:val="0"/>
      <w:marRight w:val="0"/>
      <w:marTop w:val="0"/>
      <w:marBottom w:val="0"/>
      <w:divBdr>
        <w:top w:val="none" w:sz="0" w:space="0" w:color="auto"/>
        <w:left w:val="none" w:sz="0" w:space="0" w:color="auto"/>
        <w:bottom w:val="none" w:sz="0" w:space="0" w:color="auto"/>
        <w:right w:val="none" w:sz="0" w:space="0" w:color="auto"/>
      </w:divBdr>
    </w:div>
    <w:div w:id="1012296763">
      <w:bodyDiv w:val="1"/>
      <w:marLeft w:val="0"/>
      <w:marRight w:val="0"/>
      <w:marTop w:val="0"/>
      <w:marBottom w:val="0"/>
      <w:divBdr>
        <w:top w:val="none" w:sz="0" w:space="0" w:color="auto"/>
        <w:left w:val="none" w:sz="0" w:space="0" w:color="auto"/>
        <w:bottom w:val="none" w:sz="0" w:space="0" w:color="auto"/>
        <w:right w:val="none" w:sz="0" w:space="0" w:color="auto"/>
      </w:divBdr>
    </w:div>
    <w:div w:id="1377851953">
      <w:bodyDiv w:val="1"/>
      <w:marLeft w:val="0"/>
      <w:marRight w:val="0"/>
      <w:marTop w:val="0"/>
      <w:marBottom w:val="0"/>
      <w:divBdr>
        <w:top w:val="none" w:sz="0" w:space="0" w:color="auto"/>
        <w:left w:val="none" w:sz="0" w:space="0" w:color="auto"/>
        <w:bottom w:val="none" w:sz="0" w:space="0" w:color="auto"/>
        <w:right w:val="none" w:sz="0" w:space="0" w:color="auto"/>
      </w:divBdr>
    </w:div>
    <w:div w:id="1423793847">
      <w:bodyDiv w:val="1"/>
      <w:marLeft w:val="0"/>
      <w:marRight w:val="0"/>
      <w:marTop w:val="0"/>
      <w:marBottom w:val="0"/>
      <w:divBdr>
        <w:top w:val="none" w:sz="0" w:space="0" w:color="auto"/>
        <w:left w:val="none" w:sz="0" w:space="0" w:color="auto"/>
        <w:bottom w:val="none" w:sz="0" w:space="0" w:color="auto"/>
        <w:right w:val="none" w:sz="0" w:space="0" w:color="auto"/>
      </w:divBdr>
    </w:div>
    <w:div w:id="1497376307">
      <w:bodyDiv w:val="1"/>
      <w:marLeft w:val="0"/>
      <w:marRight w:val="0"/>
      <w:marTop w:val="0"/>
      <w:marBottom w:val="0"/>
      <w:divBdr>
        <w:top w:val="none" w:sz="0" w:space="0" w:color="auto"/>
        <w:left w:val="none" w:sz="0" w:space="0" w:color="auto"/>
        <w:bottom w:val="none" w:sz="0" w:space="0" w:color="auto"/>
        <w:right w:val="none" w:sz="0" w:space="0" w:color="auto"/>
      </w:divBdr>
    </w:div>
    <w:div w:id="1521511408">
      <w:bodyDiv w:val="1"/>
      <w:marLeft w:val="0"/>
      <w:marRight w:val="0"/>
      <w:marTop w:val="0"/>
      <w:marBottom w:val="0"/>
      <w:divBdr>
        <w:top w:val="none" w:sz="0" w:space="0" w:color="auto"/>
        <w:left w:val="none" w:sz="0" w:space="0" w:color="auto"/>
        <w:bottom w:val="none" w:sz="0" w:space="0" w:color="auto"/>
        <w:right w:val="none" w:sz="0" w:space="0" w:color="auto"/>
      </w:divBdr>
    </w:div>
    <w:div w:id="1648582551">
      <w:bodyDiv w:val="1"/>
      <w:marLeft w:val="0"/>
      <w:marRight w:val="0"/>
      <w:marTop w:val="0"/>
      <w:marBottom w:val="0"/>
      <w:divBdr>
        <w:top w:val="none" w:sz="0" w:space="0" w:color="auto"/>
        <w:left w:val="none" w:sz="0" w:space="0" w:color="auto"/>
        <w:bottom w:val="none" w:sz="0" w:space="0" w:color="auto"/>
        <w:right w:val="none" w:sz="0" w:space="0" w:color="auto"/>
      </w:divBdr>
    </w:div>
    <w:div w:id="1697078816">
      <w:bodyDiv w:val="1"/>
      <w:marLeft w:val="0"/>
      <w:marRight w:val="0"/>
      <w:marTop w:val="0"/>
      <w:marBottom w:val="0"/>
      <w:divBdr>
        <w:top w:val="none" w:sz="0" w:space="0" w:color="auto"/>
        <w:left w:val="none" w:sz="0" w:space="0" w:color="auto"/>
        <w:bottom w:val="none" w:sz="0" w:space="0" w:color="auto"/>
        <w:right w:val="none" w:sz="0" w:space="0" w:color="auto"/>
      </w:divBdr>
    </w:div>
    <w:div w:id="1714883599">
      <w:bodyDiv w:val="1"/>
      <w:marLeft w:val="0"/>
      <w:marRight w:val="0"/>
      <w:marTop w:val="0"/>
      <w:marBottom w:val="0"/>
      <w:divBdr>
        <w:top w:val="none" w:sz="0" w:space="0" w:color="auto"/>
        <w:left w:val="none" w:sz="0" w:space="0" w:color="auto"/>
        <w:bottom w:val="none" w:sz="0" w:space="0" w:color="auto"/>
        <w:right w:val="none" w:sz="0" w:space="0" w:color="auto"/>
      </w:divBdr>
    </w:div>
    <w:div w:id="1925020820">
      <w:bodyDiv w:val="1"/>
      <w:marLeft w:val="0"/>
      <w:marRight w:val="0"/>
      <w:marTop w:val="0"/>
      <w:marBottom w:val="0"/>
      <w:divBdr>
        <w:top w:val="none" w:sz="0" w:space="0" w:color="auto"/>
        <w:left w:val="none" w:sz="0" w:space="0" w:color="auto"/>
        <w:bottom w:val="none" w:sz="0" w:space="0" w:color="auto"/>
        <w:right w:val="none" w:sz="0" w:space="0" w:color="auto"/>
      </w:divBdr>
    </w:div>
    <w:div w:id="1936207216">
      <w:bodyDiv w:val="1"/>
      <w:marLeft w:val="0"/>
      <w:marRight w:val="0"/>
      <w:marTop w:val="0"/>
      <w:marBottom w:val="0"/>
      <w:divBdr>
        <w:top w:val="none" w:sz="0" w:space="0" w:color="auto"/>
        <w:left w:val="none" w:sz="0" w:space="0" w:color="auto"/>
        <w:bottom w:val="none" w:sz="0" w:space="0" w:color="auto"/>
        <w:right w:val="none" w:sz="0" w:space="0" w:color="auto"/>
      </w:divBdr>
    </w:div>
    <w:div w:id="1960409192">
      <w:bodyDiv w:val="1"/>
      <w:marLeft w:val="0"/>
      <w:marRight w:val="0"/>
      <w:marTop w:val="0"/>
      <w:marBottom w:val="0"/>
      <w:divBdr>
        <w:top w:val="none" w:sz="0" w:space="0" w:color="auto"/>
        <w:left w:val="none" w:sz="0" w:space="0" w:color="auto"/>
        <w:bottom w:val="none" w:sz="0" w:space="0" w:color="auto"/>
        <w:right w:val="none" w:sz="0" w:space="0" w:color="auto"/>
      </w:divBdr>
    </w:div>
    <w:div w:id="2033220858">
      <w:bodyDiv w:val="1"/>
      <w:marLeft w:val="0"/>
      <w:marRight w:val="0"/>
      <w:marTop w:val="0"/>
      <w:marBottom w:val="0"/>
      <w:divBdr>
        <w:top w:val="none" w:sz="0" w:space="0" w:color="auto"/>
        <w:left w:val="none" w:sz="0" w:space="0" w:color="auto"/>
        <w:bottom w:val="none" w:sz="0" w:space="0" w:color="auto"/>
        <w:right w:val="none" w:sz="0" w:space="0" w:color="auto"/>
      </w:divBdr>
    </w:div>
    <w:div w:id="21004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14" Type="http://schemas.openxmlformats.org/officeDocument/2006/relationships/image" Target="media/image2.emf"/><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Number xmlns="2448c47a-0c10-4e7b-b9c8-5b12d6d373e0">2016/Development Day</Meeting_x0020_Number>
    <Governance_x0020_Unit xmlns="20b046fe-f5e1-44ee-bae0-94893d287677">ACFE Regional Councils</Governance_x0020_Uni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ocument_x0020_Type xmlns="2448c47a-0c10-4e7b-b9c8-5b12d6d373e0" xsi:nil="true"/>
    <Year xmlns="2448c47a-0c10-4e7b-b9c8-5b12d6d373e0">2015</Year>
    <DET_EDRMS_BusUnitTaxHTField0 xmlns="http://schemas.microsoft.com/Sharepoint/v3">
      <Terms xmlns="http://schemas.microsoft.com/office/infopath/2007/PartnerControls"/>
    </DET_EDRMS_BusUnitTaxHTField0>
    <Provider_x0020_Name xmlns="2448c47a-0c10-4e7b-b9c8-5b12d6d373e0" xsi:nil="true"/>
    <Meeting_x0020_Year xmlns="2448c47a-0c10-4e7b-b9c8-5b12d6d373e0">2016</Meeting_x0020_Year>
    <bqgx xmlns="20b046fe-f5e1-44ee-bae0-94893d287677">
      <UserInfo>
        <DisplayName/>
        <AccountId xsi:nil="true"/>
        <AccountType/>
      </UserInfo>
    </bqgx>
    <Project_x0020_Name xmlns="2448c47a-0c10-4e7b-b9c8-5b12d6d373e0" xsi:nil="true"/>
    <Meeting_x0020_Date xmlns="2448c47a-0c10-4e7b-b9c8-5b12d6d373e0" xsi:nil="true"/>
    <_x0065_st8 xmlns="20b046fe-f5e1-44ee-bae0-94893d287677" xsi:nil="true"/>
    <TaxCatchAll xmlns="1966e606-8b69-4075-9ef8-a409e80aaa70">
      <Value>18</Value>
    </TaxCatchAll>
    <PublishingContactName xmlns="http://schemas.microsoft.com/sharepoint/v3" xsi:nil="true"/>
    <_x006d_719 xmlns="20b046fe-f5e1-44ee-bae0-94893d287677" xsi:nil="true"/>
    <DET_EDRMS_Description xmlns="http://schemas.microsoft.com/Sharepoint/v3" xsi:nil="true"/>
    <Program_x0020_Name xmlns="2448c47a-0c10-4e7b-b9c8-5b12d6d373e0" xsi:nil="true"/>
    <Sector xmlns="2448c47a-0c10-4e7b-b9c8-5b12d6d373e0"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1.7.1 Major Meeting - Strategic Meeting Papers</TermName>
          <TermId xmlns="http://schemas.microsoft.com/office/infopath/2007/PartnerControls">c71bceb4-83e1-4f1f-a34b-17e5c0aad8b7</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39457-E50C-4590-AEF0-4A6EC81B4AE0}"/>
</file>

<file path=customXml/itemProps2.xml><?xml version="1.0" encoding="utf-8"?>
<ds:datastoreItem xmlns:ds="http://schemas.openxmlformats.org/officeDocument/2006/customXml" ds:itemID="{25645EBF-3DC2-4557-8A5C-FCC109FBFABD}"/>
</file>

<file path=customXml/itemProps3.xml><?xml version="1.0" encoding="utf-8"?>
<ds:datastoreItem xmlns:ds="http://schemas.openxmlformats.org/officeDocument/2006/customXml" ds:itemID="{CE52555F-5A10-4376-AC54-1B88CCD018DC}"/>
</file>

<file path=customXml/itemProps4.xml><?xml version="1.0" encoding="utf-8"?>
<ds:datastoreItem xmlns:ds="http://schemas.openxmlformats.org/officeDocument/2006/customXml" ds:itemID="{24F39457-E50C-4590-AEF0-4A6EC81B4AE0}">
  <ds:schemaRefs>
    <ds:schemaRef ds:uri="http://schemas.microsoft.com/office/2006/metadata/properties"/>
    <ds:schemaRef ds:uri="http://schemas.microsoft.com/office/infopath/2007/PartnerControls"/>
    <ds:schemaRef ds:uri="2448c47a-0c10-4e7b-b9c8-5b12d6d373e0"/>
    <ds:schemaRef ds:uri="20b046fe-f5e1-44ee-bae0-94893d287677"/>
    <ds:schemaRef ds:uri="http://schemas.microsoft.com/Sharepoint/v3"/>
    <ds:schemaRef ds:uri="http://schemas.microsoft.com/sharepoint/v4"/>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3EFDBA90-0E72-49BE-B83D-793A6D8BBF9A}"/>
</file>

<file path=docProps/app.xml><?xml version="1.0" encoding="utf-8"?>
<Properties xmlns="http://schemas.openxmlformats.org/officeDocument/2006/extended-properties" xmlns:vt="http://schemas.openxmlformats.org/officeDocument/2006/docPropsVTypes">
  <Template>Normal</Template>
  <TotalTime>0</TotalTime>
  <Pages>7</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01936294</dc:creator>
  <cp:lastModifiedBy>Kene, Effie E</cp:lastModifiedBy>
  <cp:revision>2</cp:revision>
  <cp:lastPrinted>2017-02-07T05:19:00Z</cp:lastPrinted>
  <dcterms:created xsi:type="dcterms:W3CDTF">2017-08-22T04:51:00Z</dcterms:created>
  <dcterms:modified xsi:type="dcterms:W3CDTF">2017-08-22T04:51:00Z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18;#1.7.1 Major Meeting - Strategic Meeting Papers|c71bceb4-83e1-4f1f-a34b-17e5c0aad8b7</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2016-11-03T16:28:52.3995358+11:00</vt:lpwstr>
  </property>
  <property fmtid="{D5CDD505-2E9C-101B-9397-08002B2CF9AE}" pid="8" name="RecordPoint_ActiveItemUniqueId">
    <vt:lpwstr>{5bb38f13-65c9-41c9-a99c-b2103a28c4a8}</vt:lpwstr>
  </property>
  <property fmtid="{D5CDD505-2E9C-101B-9397-08002B2CF9AE}" pid="9" name="RecordPoint_ActiveItemWebId">
    <vt:lpwstr>{2448c47a-0c10-4e7b-b9c8-5b12d6d373e0}</vt:lpwstr>
  </property>
  <property fmtid="{D5CDD505-2E9C-101B-9397-08002B2CF9AE}" pid="10" name="RecordPoint_ActiveItemSiteId">
    <vt:lpwstr>{03dc8113-b288-4f44-a289-6e7ea0196235}</vt:lpwstr>
  </property>
  <property fmtid="{D5CDD505-2E9C-101B-9397-08002B2CF9AE}" pid="11" name="RecordPoint_ActiveItemListId">
    <vt:lpwstr>{20b046fe-f5e1-44ee-bae0-94893d287677}</vt:lpwstr>
  </property>
  <property fmtid="{D5CDD505-2E9C-101B-9397-08002B2CF9AE}" pid="12" name="RecordPoint_RecordNumberSubmitted">
    <vt:lpwstr>R0000527304</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