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1A4E3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1E6F7E72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36529722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197CC447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CB2C50" w:rsidRPr="00BC23C8">
        <w:rPr>
          <w:color w:val="000000" w:themeColor="text1"/>
          <w:szCs w:val="24"/>
          <w:lang w:val="en-GB" w:eastAsia="en-US"/>
        </w:rPr>
        <w:t>ACFE Board</w:t>
      </w:r>
    </w:p>
    <w:p w14:paraId="628291D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46229C5C" w14:textId="77777777" w:rsidR="00CB2C50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7A161B">
        <w:rPr>
          <w:color w:val="000000" w:themeColor="text1"/>
          <w:szCs w:val="24"/>
          <w:lang w:val="en-GB" w:eastAsia="en-US"/>
        </w:rPr>
        <w:t>Adult education i</w:t>
      </w:r>
      <w:r w:rsidR="00DB0BCD" w:rsidRPr="00BC23C8">
        <w:rPr>
          <w:color w:val="000000" w:themeColor="text1"/>
          <w:szCs w:val="24"/>
          <w:lang w:val="en-GB" w:eastAsia="en-US"/>
        </w:rPr>
        <w:t>nstitutions</w:t>
      </w:r>
    </w:p>
    <w:p w14:paraId="38D53D6E" w14:textId="77777777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 xml:space="preserve">Branch </w:t>
      </w:r>
      <w:bookmarkStart w:id="0" w:name="_GoBack"/>
      <w:bookmarkEnd w:id="0"/>
      <w:r w:rsidR="007A161B">
        <w:rPr>
          <w:color w:val="000000" w:themeColor="text1"/>
          <w:szCs w:val="24"/>
          <w:lang w:val="en-GB" w:eastAsia="en-US"/>
        </w:rPr>
        <w:t>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67A26DCA" w14:textId="77777777" w:rsidR="003547C4" w:rsidRPr="00D26D6A" w:rsidRDefault="003547C4" w:rsidP="00BD1D70">
      <w:pPr>
        <w:ind w:left="720" w:firstLine="720"/>
        <w:jc w:val="left"/>
        <w:rPr>
          <w:color w:val="000000" w:themeColor="text1"/>
          <w:szCs w:val="24"/>
          <w:lang w:val="en-GB" w:eastAsia="en-US"/>
        </w:rPr>
      </w:pPr>
      <w:r w:rsidRPr="003547C4">
        <w:rPr>
          <w:color w:val="000000" w:themeColor="text1"/>
          <w:szCs w:val="24"/>
          <w:lang w:val="en-GB" w:eastAsia="en-US"/>
        </w:rPr>
        <w:t>Registered</w:t>
      </w:r>
      <w:r>
        <w:rPr>
          <w:b/>
          <w:color w:val="000000" w:themeColor="text1"/>
          <w:szCs w:val="24"/>
          <w:lang w:val="en-GB" w:eastAsia="en-US"/>
        </w:rPr>
        <w:t xml:space="preserve"> </w:t>
      </w:r>
      <w:r w:rsidR="00D438E6">
        <w:rPr>
          <w:color w:val="000000" w:themeColor="text1"/>
          <w:szCs w:val="24"/>
          <w:lang w:val="en-GB" w:eastAsia="en-US"/>
        </w:rPr>
        <w:t>Learn Local providers</w:t>
      </w:r>
    </w:p>
    <w:p w14:paraId="5D5ACD80" w14:textId="77777777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F6C1C" w:rsidRPr="004F6C1C">
        <w:rPr>
          <w:color w:val="000000" w:themeColor="text1"/>
          <w:lang w:val="en-GB" w:eastAsia="en-US"/>
        </w:rPr>
        <w:t>Ryan Collins</w:t>
      </w:r>
      <w:r w:rsidR="004F6C1C">
        <w:rPr>
          <w:b/>
          <w:color w:val="000000" w:themeColor="text1"/>
          <w:lang w:val="en-GB" w:eastAsia="en-US"/>
        </w:rPr>
        <w:t xml:space="preserve"> 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F8A8FA6" w14:textId="1FC56C86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CA0C12">
        <w:rPr>
          <w:color w:val="000000" w:themeColor="text1"/>
          <w:lang w:val="en-GB" w:eastAsia="en-US"/>
        </w:rPr>
        <w:t>1</w:t>
      </w:r>
      <w:r w:rsidR="009149DA">
        <w:rPr>
          <w:color w:val="000000" w:themeColor="text1"/>
          <w:lang w:val="en-GB" w:eastAsia="en-US"/>
        </w:rPr>
        <w:t>5</w:t>
      </w:r>
      <w:r w:rsidR="00CB2C50" w:rsidRPr="00F13D8E">
        <w:rPr>
          <w:color w:val="000000" w:themeColor="text1"/>
          <w:lang w:val="en-GB" w:eastAsia="en-US"/>
        </w:rPr>
        <w:t>/</w:t>
      </w:r>
      <w:r w:rsidR="00654FF2" w:rsidRPr="0063071B">
        <w:rPr>
          <w:color w:val="000000" w:themeColor="text1"/>
          <w:lang w:val="en-GB" w:eastAsia="en-US"/>
        </w:rPr>
        <w:t>Ju</w:t>
      </w:r>
      <w:r w:rsidR="00F13D8E">
        <w:rPr>
          <w:color w:val="000000" w:themeColor="text1"/>
          <w:lang w:val="en-GB" w:eastAsia="en-US"/>
        </w:rPr>
        <w:t>ly</w:t>
      </w:r>
      <w:r w:rsidR="004F6C1C">
        <w:rPr>
          <w:color w:val="000000" w:themeColor="text1"/>
          <w:lang w:val="en-GB" w:eastAsia="en-US"/>
        </w:rPr>
        <w:t>/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20</w:t>
      </w:r>
    </w:p>
    <w:p w14:paraId="01B5BF95" w14:textId="77777777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350F10">
        <w:rPr>
          <w:b/>
          <w:color w:val="000000" w:themeColor="text1"/>
          <w:lang w:val="en-GB" w:eastAsia="en-US"/>
        </w:rPr>
        <w:t xml:space="preserve">Professional development for </w:t>
      </w:r>
      <w:r w:rsidR="0063071B">
        <w:rPr>
          <w:b/>
          <w:bCs/>
          <w:color w:val="000000" w:themeColor="text1"/>
          <w:lang w:val="en-GB"/>
        </w:rPr>
        <w:t>p</w:t>
      </w:r>
      <w:r w:rsidR="0063071B" w:rsidRPr="0063071B">
        <w:rPr>
          <w:b/>
          <w:bCs/>
          <w:color w:val="000000" w:themeColor="text1"/>
          <w:lang w:val="en-GB"/>
        </w:rPr>
        <w:t>re-accredited program managers</w:t>
      </w:r>
      <w:r w:rsidR="00940765">
        <w:rPr>
          <w:b/>
          <w:bCs/>
          <w:color w:val="000000" w:themeColor="text1"/>
          <w:lang w:val="en-GB"/>
        </w:rPr>
        <w:t xml:space="preserve">/coordinators </w:t>
      </w:r>
    </w:p>
    <w:p w14:paraId="34835660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2D9570E7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59191819" w14:textId="77777777" w:rsidR="00F727BA" w:rsidRPr="00D27B17" w:rsidRDefault="00350F10" w:rsidP="00F727BA">
      <w:pPr>
        <w:pStyle w:val="ListParagraph"/>
        <w:numPr>
          <w:ilvl w:val="0"/>
          <w:numId w:val="28"/>
        </w:numPr>
        <w:jc w:val="left"/>
        <w:rPr>
          <w:rFonts w:ascii="&amp;quot" w:hAnsi="&amp;quot" w:cs="Times New Roman"/>
          <w:color w:val="201F1E"/>
        </w:rPr>
      </w:pPr>
      <w:r w:rsidRPr="00D27B17">
        <w:rPr>
          <w:rFonts w:ascii="Arial" w:hAnsi="Arial"/>
          <w:bCs/>
          <w:color w:val="000000" w:themeColor="text1"/>
          <w:lang w:val="en-GB"/>
        </w:rPr>
        <w:t>R</w:t>
      </w:r>
      <w:r w:rsidR="00EC14B7" w:rsidRPr="00D27B17">
        <w:rPr>
          <w:rFonts w:ascii="Arial" w:hAnsi="Arial"/>
          <w:bCs/>
          <w:color w:val="000000" w:themeColor="text1"/>
          <w:lang w:val="en-GB"/>
        </w:rPr>
        <w:t>egister</w:t>
      </w:r>
      <w:r w:rsidRPr="00D27B17">
        <w:rPr>
          <w:rFonts w:ascii="Arial" w:hAnsi="Arial"/>
          <w:bCs/>
          <w:color w:val="000000" w:themeColor="text1"/>
          <w:lang w:val="en-GB"/>
        </w:rPr>
        <w:t xml:space="preserve"> </w:t>
      </w:r>
      <w:r w:rsidR="00EC14B7" w:rsidRPr="00D27B17">
        <w:rPr>
          <w:rFonts w:ascii="Arial" w:hAnsi="Arial"/>
          <w:bCs/>
          <w:color w:val="000000" w:themeColor="text1"/>
          <w:lang w:val="en-GB"/>
        </w:rPr>
        <w:t xml:space="preserve">for </w:t>
      </w:r>
      <w:r w:rsidR="0063071B" w:rsidRPr="00D27B17">
        <w:rPr>
          <w:rFonts w:ascii="Arial" w:hAnsi="Arial"/>
          <w:bCs/>
          <w:color w:val="000000" w:themeColor="text1"/>
          <w:lang w:val="en-GB"/>
        </w:rPr>
        <w:t xml:space="preserve">Webinar </w:t>
      </w:r>
      <w:r w:rsidR="0063071B" w:rsidRPr="00D27B17">
        <w:rPr>
          <w:rFonts w:ascii="Arial" w:hAnsi="Arial"/>
          <w:bCs/>
          <w:i/>
          <w:color w:val="000000" w:themeColor="text1"/>
          <w:lang w:val="en-GB"/>
        </w:rPr>
        <w:t>‘Preparing your pre-accredited business for a new future’</w:t>
      </w:r>
      <w:r w:rsidR="0063071B" w:rsidRPr="00D27B17">
        <w:rPr>
          <w:rFonts w:ascii="Arial" w:hAnsi="Arial"/>
          <w:bCs/>
          <w:color w:val="000000" w:themeColor="text1"/>
          <w:lang w:val="en-GB"/>
        </w:rPr>
        <w:t xml:space="preserve"> </w:t>
      </w:r>
      <w:hyperlink r:id="rId11" w:history="1">
        <w:r w:rsidR="00F90C0B" w:rsidRPr="00F90C0B">
          <w:rPr>
            <w:rStyle w:val="Hyperlink"/>
            <w:rFonts w:ascii="Arial" w:hAnsi="Arial" w:cs="Arial"/>
            <w:lang w:val="en-AU" w:eastAsia="en-AU"/>
          </w:rPr>
          <w:t>here</w:t>
        </w:r>
      </w:hyperlink>
      <w:r w:rsidR="00F90C0B">
        <w:rPr>
          <w:rFonts w:ascii="Arial" w:hAnsi="Arial"/>
          <w:lang w:val="en-AU" w:eastAsia="en-AU"/>
        </w:rPr>
        <w:t xml:space="preserve"> </w:t>
      </w:r>
    </w:p>
    <w:p w14:paraId="32BE4A2E" w14:textId="77777777" w:rsidR="00146B97" w:rsidRPr="00D27B17" w:rsidRDefault="00350F10" w:rsidP="00C114A7">
      <w:pPr>
        <w:pStyle w:val="ListParagraph"/>
        <w:numPr>
          <w:ilvl w:val="0"/>
          <w:numId w:val="28"/>
        </w:numPr>
        <w:tabs>
          <w:tab w:val="left" w:pos="0"/>
          <w:tab w:val="left" w:pos="1080"/>
        </w:tabs>
        <w:spacing w:after="120"/>
        <w:jc w:val="left"/>
        <w:rPr>
          <w:rFonts w:asciiTheme="minorHAnsi" w:hAnsiTheme="minorHAnsi" w:cstheme="minorHAnsi"/>
          <w:color w:val="000000" w:themeColor="text1"/>
          <w:lang w:val="en"/>
        </w:rPr>
      </w:pPr>
      <w:r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Register for </w:t>
      </w:r>
      <w:r w:rsidR="00146B97" w:rsidRPr="00D27B17">
        <w:rPr>
          <w:rFonts w:asciiTheme="minorHAnsi" w:hAnsiTheme="minorHAnsi" w:cstheme="minorHAnsi"/>
          <w:bCs/>
          <w:color w:val="000000" w:themeColor="text1"/>
          <w:lang w:val="en-GB"/>
        </w:rPr>
        <w:t>On</w:t>
      </w:r>
      <w:r w:rsidR="006C734D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line </w:t>
      </w:r>
      <w:r w:rsidR="006C734D" w:rsidRPr="00D27B17">
        <w:rPr>
          <w:rFonts w:asciiTheme="majorHAnsi" w:hAnsiTheme="majorHAnsi" w:cstheme="majorHAnsi"/>
          <w:bCs/>
          <w:color w:val="auto"/>
          <w:lang w:val="en-GB"/>
        </w:rPr>
        <w:t>Workshops</w:t>
      </w:r>
      <w:r w:rsidR="006C734D" w:rsidRPr="00D27B17">
        <w:rPr>
          <w:rFonts w:asciiTheme="majorHAnsi" w:hAnsiTheme="majorHAnsi" w:cstheme="majorHAnsi"/>
          <w:color w:val="auto"/>
        </w:rPr>
        <w:t xml:space="preserve"> </w:t>
      </w:r>
      <w:r w:rsidR="006C734D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on </w:t>
      </w:r>
      <w:r w:rsidR="006C734D" w:rsidRPr="00D27B17">
        <w:rPr>
          <w:rFonts w:asciiTheme="minorHAnsi" w:hAnsiTheme="minorHAnsi" w:cstheme="minorHAnsi"/>
          <w:color w:val="auto"/>
          <w:lang w:val="en-GB"/>
        </w:rPr>
        <w:t>‘</w:t>
      </w:r>
      <w:r w:rsidR="006C734D" w:rsidRPr="00D27B17">
        <w:rPr>
          <w:rFonts w:asciiTheme="minorHAnsi" w:hAnsiTheme="minorHAnsi" w:cstheme="minorHAnsi"/>
          <w:i/>
          <w:color w:val="auto"/>
          <w:lang w:val="en-GB"/>
        </w:rPr>
        <w:t>Planning at</w:t>
      </w:r>
      <w:r w:rsidR="006C734D" w:rsidRPr="00D27B17">
        <w:rPr>
          <w:i/>
        </w:rPr>
        <w:t xml:space="preserve"> </w:t>
      </w:r>
      <w:r w:rsidR="006C734D" w:rsidRPr="00D27B17">
        <w:rPr>
          <w:rFonts w:asciiTheme="minorHAnsi" w:hAnsiTheme="minorHAnsi" w:cstheme="minorHAnsi"/>
          <w:i/>
          <w:color w:val="auto"/>
          <w:lang w:val="en-GB"/>
        </w:rPr>
        <w:t>strategic and project level</w:t>
      </w:r>
      <w:r w:rsidR="006C734D" w:rsidRPr="00D27B17">
        <w:rPr>
          <w:rFonts w:asciiTheme="minorHAnsi" w:hAnsiTheme="minorHAnsi" w:cstheme="minorHAnsi"/>
          <w:color w:val="auto"/>
          <w:lang w:val="en-GB"/>
        </w:rPr>
        <w:t xml:space="preserve"> ’and </w:t>
      </w:r>
      <w:r w:rsidR="006C734D" w:rsidRPr="00D27B17">
        <w:rPr>
          <w:rFonts w:asciiTheme="minorHAnsi" w:hAnsiTheme="minorHAnsi" w:cstheme="minorHAnsi"/>
          <w:i/>
          <w:color w:val="auto"/>
          <w:lang w:val="en-GB"/>
        </w:rPr>
        <w:t>‘Marketing to your community’</w:t>
      </w:r>
      <w:r w:rsidR="00C114A7" w:rsidRPr="00D27B17">
        <w:t xml:space="preserve"> </w:t>
      </w:r>
      <w:r w:rsidR="00C114A7" w:rsidRPr="00D27B17">
        <w:rPr>
          <w:rFonts w:asciiTheme="minorHAnsi" w:hAnsiTheme="minorHAnsi" w:cstheme="minorHAnsi"/>
          <w:color w:val="auto"/>
          <w:lang w:val="en-GB"/>
        </w:rPr>
        <w:t>with follow-up one-on-one mentoring</w:t>
      </w:r>
      <w:r w:rsidR="007F687B">
        <w:rPr>
          <w:rFonts w:asciiTheme="minorHAnsi" w:hAnsiTheme="minorHAnsi" w:cstheme="minorHAnsi"/>
          <w:color w:val="auto"/>
          <w:lang w:val="en-GB"/>
        </w:rPr>
        <w:t xml:space="preserve"> </w:t>
      </w:r>
      <w:hyperlink r:id="rId12" w:history="1">
        <w:r w:rsidR="00F90C0B" w:rsidRPr="00F90C0B">
          <w:rPr>
            <w:rStyle w:val="Hyperlink"/>
            <w:rFonts w:ascii="Arial" w:hAnsi="Arial" w:cs="Arial"/>
            <w:lang w:val="en-AU" w:eastAsia="en-AU"/>
          </w:rPr>
          <w:t>here</w:t>
        </w:r>
      </w:hyperlink>
      <w:r w:rsidR="006C734D" w:rsidRPr="00D27B17">
        <w:rPr>
          <w:rFonts w:asciiTheme="minorHAnsi" w:hAnsiTheme="minorHAnsi" w:cstheme="minorHAnsi"/>
          <w:i/>
          <w:color w:val="auto"/>
          <w:lang w:val="en-GB"/>
        </w:rPr>
        <w:t xml:space="preserve"> </w:t>
      </w:r>
    </w:p>
    <w:p w14:paraId="49308B0C" w14:textId="77777777" w:rsidR="001B6D16" w:rsidRPr="00D27B17" w:rsidRDefault="001B6D16" w:rsidP="00021926">
      <w:pPr>
        <w:pBdr>
          <w:top w:val="single" w:sz="4" w:space="1" w:color="auto"/>
        </w:pBdr>
        <w:jc w:val="left"/>
        <w:rPr>
          <w:color w:val="auto"/>
          <w:sz w:val="10"/>
          <w:lang w:val="en"/>
        </w:rPr>
      </w:pPr>
    </w:p>
    <w:p w14:paraId="66531802" w14:textId="77777777" w:rsidR="00AB7332" w:rsidRPr="00D27B17" w:rsidRDefault="00BF0E04" w:rsidP="00C31DB9">
      <w:pPr>
        <w:tabs>
          <w:tab w:val="left" w:pos="0"/>
          <w:tab w:val="left" w:pos="1080"/>
        </w:tabs>
        <w:spacing w:after="120"/>
        <w:jc w:val="left"/>
        <w:rPr>
          <w:rFonts w:asciiTheme="minorHAnsi" w:hAnsiTheme="minorHAnsi" w:cstheme="minorHAnsi"/>
          <w:color w:val="auto"/>
        </w:rPr>
      </w:pPr>
      <w:r w:rsidRPr="00D27B17">
        <w:rPr>
          <w:rFonts w:asciiTheme="minorHAnsi" w:hAnsiTheme="minorHAnsi" w:cstheme="minorHAnsi"/>
          <w:color w:val="auto"/>
          <w:lang w:val="en-GB"/>
        </w:rPr>
        <w:t>The Small Business Mentoring Service is running</w:t>
      </w:r>
      <w:r w:rsidR="00940765" w:rsidRPr="00D27B17">
        <w:rPr>
          <w:rFonts w:asciiTheme="minorHAnsi" w:hAnsiTheme="minorHAnsi" w:cstheme="minorHAnsi"/>
          <w:color w:val="auto"/>
          <w:lang w:val="en-GB"/>
        </w:rPr>
        <w:t xml:space="preserve"> a</w:t>
      </w:r>
      <w:r w:rsidR="00350F10" w:rsidRPr="00D27B17">
        <w:rPr>
          <w:rFonts w:asciiTheme="minorHAnsi" w:hAnsiTheme="minorHAnsi" w:cstheme="minorHAnsi"/>
          <w:color w:val="auto"/>
          <w:lang w:val="en-GB"/>
        </w:rPr>
        <w:t xml:space="preserve"> one hour </w:t>
      </w:r>
      <w:r w:rsidRPr="00D27B17">
        <w:rPr>
          <w:rFonts w:asciiTheme="minorHAnsi" w:hAnsiTheme="minorHAnsi" w:cstheme="minorHAnsi"/>
          <w:color w:val="auto"/>
          <w:lang w:val="en-GB"/>
        </w:rPr>
        <w:t xml:space="preserve">webinar </w:t>
      </w:r>
      <w:r w:rsidR="00940765" w:rsidRPr="00D27B17">
        <w:rPr>
          <w:rFonts w:asciiTheme="minorHAnsi" w:hAnsiTheme="minorHAnsi" w:cstheme="minorHAnsi"/>
          <w:color w:val="auto"/>
          <w:lang w:val="en-GB"/>
        </w:rPr>
        <w:t xml:space="preserve">to </w:t>
      </w:r>
      <w:r w:rsidRPr="00D27B17">
        <w:rPr>
          <w:rFonts w:asciiTheme="minorHAnsi" w:hAnsiTheme="minorHAnsi" w:cstheme="minorHAnsi"/>
          <w:color w:val="auto"/>
          <w:lang w:val="en"/>
        </w:rPr>
        <w:t xml:space="preserve">assist managers to get their pre-accredited program </w:t>
      </w:r>
      <w:r w:rsidRPr="00D27B17">
        <w:rPr>
          <w:rFonts w:asciiTheme="minorHAnsi" w:hAnsiTheme="minorHAnsi" w:cstheme="minorHAnsi"/>
          <w:color w:val="auto"/>
        </w:rPr>
        <w:t xml:space="preserve">back on track post 2020 Bushfires and </w:t>
      </w:r>
      <w:r w:rsidR="00B27EE5">
        <w:rPr>
          <w:rFonts w:asciiTheme="minorHAnsi" w:hAnsiTheme="minorHAnsi" w:cstheme="minorHAnsi"/>
          <w:color w:val="auto"/>
        </w:rPr>
        <w:t xml:space="preserve">given </w:t>
      </w:r>
      <w:r w:rsidRPr="00D27B17">
        <w:rPr>
          <w:rFonts w:asciiTheme="minorHAnsi" w:hAnsiTheme="minorHAnsi" w:cstheme="minorHAnsi"/>
          <w:color w:val="auto"/>
        </w:rPr>
        <w:t>C</w:t>
      </w:r>
      <w:r w:rsidR="00B27EE5">
        <w:rPr>
          <w:rFonts w:asciiTheme="minorHAnsi" w:hAnsiTheme="minorHAnsi" w:cstheme="minorHAnsi"/>
          <w:color w:val="auto"/>
        </w:rPr>
        <w:t>OVID</w:t>
      </w:r>
      <w:r w:rsidRPr="00D27B17">
        <w:rPr>
          <w:rFonts w:asciiTheme="minorHAnsi" w:hAnsiTheme="minorHAnsi" w:cstheme="minorHAnsi"/>
          <w:color w:val="auto"/>
        </w:rPr>
        <w:t>-19</w:t>
      </w:r>
      <w:r w:rsidR="00940765" w:rsidRPr="00D27B17">
        <w:rPr>
          <w:rFonts w:asciiTheme="minorHAnsi" w:hAnsiTheme="minorHAnsi" w:cstheme="minorHAnsi"/>
          <w:color w:val="auto"/>
        </w:rPr>
        <w:t>.</w:t>
      </w:r>
      <w:r w:rsidRPr="00D27B17">
        <w:rPr>
          <w:rFonts w:asciiTheme="minorHAnsi" w:hAnsiTheme="minorHAnsi" w:cstheme="minorHAnsi"/>
          <w:color w:val="auto"/>
        </w:rPr>
        <w:t xml:space="preserve"> </w:t>
      </w:r>
      <w:r w:rsidR="00C31DB9" w:rsidRPr="00D27B17">
        <w:rPr>
          <w:rFonts w:asciiTheme="minorHAnsi" w:hAnsiTheme="minorHAnsi" w:cstheme="minorHAnsi"/>
          <w:color w:val="auto"/>
        </w:rPr>
        <w:t xml:space="preserve"> </w:t>
      </w:r>
    </w:p>
    <w:p w14:paraId="1CCCFDF7" w14:textId="77777777" w:rsidR="00F33C07" w:rsidRPr="00D27B17" w:rsidRDefault="00F33C07" w:rsidP="00C31DB9">
      <w:pPr>
        <w:tabs>
          <w:tab w:val="left" w:pos="0"/>
          <w:tab w:val="left" w:pos="1080"/>
        </w:tabs>
        <w:spacing w:after="120"/>
        <w:jc w:val="left"/>
        <w:rPr>
          <w:rFonts w:asciiTheme="minorHAnsi" w:hAnsiTheme="minorHAnsi" w:cstheme="minorHAnsi"/>
          <w:color w:val="auto"/>
          <w:lang w:val="en-GB"/>
        </w:rPr>
      </w:pPr>
      <w:r w:rsidRPr="00D27B17">
        <w:rPr>
          <w:rFonts w:asciiTheme="minorHAnsi" w:hAnsiTheme="minorHAnsi" w:cstheme="minorHAnsi"/>
          <w:bCs/>
          <w:color w:val="000000" w:themeColor="text1"/>
          <w:lang w:val="en-GB"/>
        </w:rPr>
        <w:t>T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>h</w:t>
      </w:r>
      <w:r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is 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Webinar ‘Preparing your pre-accredited business for a new future’ </w:t>
      </w:r>
      <w:r w:rsidRPr="00D27B17">
        <w:rPr>
          <w:rFonts w:asciiTheme="minorHAnsi" w:hAnsiTheme="minorHAnsi" w:cstheme="minorHAnsi"/>
          <w:bCs/>
          <w:color w:val="000000" w:themeColor="text1"/>
          <w:lang w:val="en-GB"/>
        </w:rPr>
        <w:t>will be run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 </w:t>
      </w:r>
      <w:r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on 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16 July </w:t>
      </w:r>
      <w:r w:rsidR="00C31DB9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between 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10.00am-11.00am </w:t>
      </w:r>
      <w:r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and repeated </w:t>
      </w:r>
      <w:r w:rsidR="00940765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on 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20 July </w:t>
      </w:r>
      <w:r w:rsidR="00C31DB9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between </w:t>
      </w:r>
      <w:r w:rsidR="00FA5CF8" w:rsidRPr="00D27B17">
        <w:rPr>
          <w:rFonts w:asciiTheme="minorHAnsi" w:hAnsiTheme="minorHAnsi" w:cstheme="minorHAnsi"/>
          <w:bCs/>
          <w:color w:val="000000" w:themeColor="text1"/>
          <w:lang w:val="en-GB"/>
        </w:rPr>
        <w:t>10.00am-11.00am</w:t>
      </w:r>
      <w:r w:rsidR="00940765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. </w:t>
      </w:r>
      <w:r w:rsidR="00AB7332" w:rsidRPr="00D27B17">
        <w:rPr>
          <w:rFonts w:asciiTheme="minorHAnsi" w:hAnsiTheme="minorHAnsi" w:cstheme="minorHAnsi"/>
          <w:bCs/>
          <w:color w:val="000000" w:themeColor="text1"/>
          <w:lang w:val="en-GB"/>
        </w:rPr>
        <w:t>Register at final chance</w:t>
      </w:r>
      <w:r w:rsidR="00C31DB9" w:rsidRPr="00D27B17">
        <w:rPr>
          <w:rFonts w:asciiTheme="minorHAnsi" w:hAnsiTheme="minorHAnsi" w:cstheme="minorHAnsi"/>
          <w:bCs/>
          <w:color w:val="000000" w:themeColor="text1"/>
          <w:lang w:val="en-GB"/>
        </w:rPr>
        <w:t xml:space="preserve"> here</w:t>
      </w:r>
    </w:p>
    <w:p w14:paraId="7F379C28" w14:textId="30F7C9E3" w:rsidR="00146B97" w:rsidRPr="00D27B17" w:rsidRDefault="00350F10" w:rsidP="00343A97">
      <w:pPr>
        <w:tabs>
          <w:tab w:val="left" w:pos="0"/>
          <w:tab w:val="left" w:pos="1080"/>
        </w:tabs>
        <w:spacing w:after="120"/>
        <w:jc w:val="left"/>
        <w:rPr>
          <w:color w:val="auto"/>
        </w:rPr>
      </w:pPr>
      <w:r w:rsidRPr="00D27B17">
        <w:rPr>
          <w:rFonts w:asciiTheme="minorHAnsi" w:hAnsiTheme="minorHAnsi" w:cstheme="minorHAnsi"/>
          <w:color w:val="auto"/>
          <w:lang w:val="en-GB"/>
        </w:rPr>
        <w:t xml:space="preserve">The Small Business Mentoring Service </w:t>
      </w:r>
      <w:r w:rsidR="009149DA">
        <w:rPr>
          <w:rFonts w:asciiTheme="minorHAnsi" w:hAnsiTheme="minorHAnsi" w:cstheme="minorHAnsi"/>
          <w:color w:val="auto"/>
          <w:lang w:val="en-GB"/>
        </w:rPr>
        <w:t xml:space="preserve">is </w:t>
      </w:r>
      <w:r w:rsidR="00940765" w:rsidRPr="00D27B17">
        <w:rPr>
          <w:rFonts w:asciiTheme="minorHAnsi" w:hAnsiTheme="minorHAnsi" w:cstheme="minorHAnsi"/>
          <w:color w:val="auto"/>
          <w:lang w:val="en-GB"/>
        </w:rPr>
        <w:t>also</w:t>
      </w:r>
      <w:r w:rsidR="00B642AB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D27B17">
        <w:rPr>
          <w:rFonts w:asciiTheme="minorHAnsi" w:hAnsiTheme="minorHAnsi" w:cstheme="minorHAnsi"/>
          <w:color w:val="auto"/>
          <w:lang w:val="en-GB"/>
        </w:rPr>
        <w:t xml:space="preserve">running </w:t>
      </w:r>
      <w:r w:rsidR="00F33C07" w:rsidRPr="00D27B17">
        <w:rPr>
          <w:rFonts w:asciiTheme="minorHAnsi" w:hAnsiTheme="minorHAnsi" w:cstheme="minorHAnsi"/>
          <w:color w:val="auto"/>
          <w:lang w:val="en-GB"/>
        </w:rPr>
        <w:t xml:space="preserve">two </w:t>
      </w:r>
      <w:r w:rsidR="00266B53" w:rsidRPr="00D27B17">
        <w:rPr>
          <w:rFonts w:asciiTheme="minorHAnsi" w:hAnsiTheme="minorHAnsi" w:cstheme="minorHAnsi"/>
          <w:color w:val="auto"/>
          <w:lang w:val="en-GB"/>
        </w:rPr>
        <w:t xml:space="preserve">half day </w:t>
      </w:r>
      <w:r w:rsidR="00F727BA" w:rsidRPr="00D27B17">
        <w:rPr>
          <w:rFonts w:asciiTheme="minorHAnsi" w:hAnsiTheme="minorHAnsi" w:cstheme="minorHAnsi"/>
          <w:color w:val="auto"/>
          <w:lang w:val="en-GB"/>
        </w:rPr>
        <w:t>workshops</w:t>
      </w:r>
      <w:r w:rsidR="00C31DB9" w:rsidRPr="00D27B17">
        <w:rPr>
          <w:rFonts w:asciiTheme="minorHAnsi" w:hAnsiTheme="minorHAnsi" w:cstheme="minorHAnsi"/>
          <w:color w:val="auto"/>
          <w:lang w:val="en-GB"/>
        </w:rPr>
        <w:t xml:space="preserve"> </w:t>
      </w:r>
      <w:r w:rsidR="00C114A7" w:rsidRPr="00D27B17">
        <w:rPr>
          <w:color w:val="auto"/>
        </w:rPr>
        <w:t>for each ACFE</w:t>
      </w:r>
      <w:r w:rsidR="00B27EE5">
        <w:rPr>
          <w:color w:val="auto"/>
        </w:rPr>
        <w:t xml:space="preserve"> region in August and September. These </w:t>
      </w:r>
      <w:r w:rsidR="003D07B8" w:rsidRPr="00D27B17">
        <w:rPr>
          <w:rFonts w:asciiTheme="minorHAnsi" w:hAnsiTheme="minorHAnsi" w:cstheme="minorHAnsi"/>
          <w:color w:val="auto"/>
          <w:lang w:val="en-GB"/>
        </w:rPr>
        <w:t xml:space="preserve">will now all </w:t>
      </w:r>
      <w:r w:rsidR="00C114A7" w:rsidRPr="00D27B17">
        <w:rPr>
          <w:rFonts w:asciiTheme="minorHAnsi" w:hAnsiTheme="minorHAnsi" w:cstheme="minorHAnsi"/>
          <w:color w:val="auto"/>
          <w:lang w:val="en-GB"/>
        </w:rPr>
        <w:t xml:space="preserve">be run online, via Zoom, </w:t>
      </w:r>
      <w:r w:rsidR="00B642AB">
        <w:rPr>
          <w:rFonts w:asciiTheme="minorHAnsi" w:hAnsiTheme="minorHAnsi" w:cstheme="minorHAnsi"/>
          <w:color w:val="auto"/>
          <w:lang w:val="en-GB"/>
        </w:rPr>
        <w:t xml:space="preserve">with details to </w:t>
      </w:r>
      <w:proofErr w:type="gramStart"/>
      <w:r w:rsidR="00B642AB">
        <w:rPr>
          <w:rFonts w:asciiTheme="minorHAnsi" w:hAnsiTheme="minorHAnsi" w:cstheme="minorHAnsi"/>
          <w:color w:val="auto"/>
          <w:lang w:val="en-GB"/>
        </w:rPr>
        <w:t>follow after</w:t>
      </w:r>
      <w:proofErr w:type="gramEnd"/>
      <w:r w:rsidR="00B642AB">
        <w:rPr>
          <w:rFonts w:asciiTheme="minorHAnsi" w:hAnsiTheme="minorHAnsi" w:cstheme="minorHAnsi"/>
          <w:color w:val="auto"/>
          <w:lang w:val="en-GB"/>
        </w:rPr>
        <w:t xml:space="preserve"> registration</w:t>
      </w:r>
      <w:r w:rsidR="00B27EE5">
        <w:rPr>
          <w:rFonts w:asciiTheme="minorHAnsi" w:hAnsiTheme="minorHAnsi" w:cstheme="minorHAnsi"/>
          <w:color w:val="auto"/>
          <w:lang w:val="en-GB"/>
        </w:rPr>
        <w:t>.</w:t>
      </w:r>
    </w:p>
    <w:p w14:paraId="136EA9EA" w14:textId="453493CD" w:rsidR="00D27B17" w:rsidRPr="00D27B17" w:rsidRDefault="00266B53" w:rsidP="003D07B8">
      <w:pPr>
        <w:tabs>
          <w:tab w:val="left" w:pos="0"/>
          <w:tab w:val="left" w:pos="1080"/>
        </w:tabs>
        <w:spacing w:after="120"/>
        <w:jc w:val="left"/>
        <w:rPr>
          <w:rFonts w:asciiTheme="minorHAnsi" w:hAnsiTheme="minorHAnsi" w:cstheme="minorHAnsi"/>
          <w:color w:val="auto"/>
          <w:lang w:val="en-GB"/>
        </w:rPr>
      </w:pPr>
      <w:r w:rsidRPr="00D27B17">
        <w:rPr>
          <w:rFonts w:asciiTheme="minorHAnsi" w:hAnsiTheme="minorHAnsi" w:cstheme="minorHAnsi"/>
          <w:color w:val="auto"/>
          <w:lang w:val="en-GB"/>
        </w:rPr>
        <w:t xml:space="preserve">One workshop is on </w:t>
      </w:r>
      <w:r w:rsidR="00343A97" w:rsidRPr="009149DA">
        <w:rPr>
          <w:rFonts w:asciiTheme="minorHAnsi" w:hAnsiTheme="minorHAnsi" w:cstheme="minorHAnsi"/>
          <w:i/>
          <w:iCs/>
          <w:color w:val="auto"/>
          <w:lang w:val="en-GB"/>
        </w:rPr>
        <w:t>‘P</w:t>
      </w:r>
      <w:r w:rsidRPr="009149DA">
        <w:rPr>
          <w:rFonts w:asciiTheme="minorHAnsi" w:hAnsiTheme="minorHAnsi" w:cstheme="minorHAnsi"/>
          <w:i/>
          <w:iCs/>
          <w:color w:val="auto"/>
          <w:lang w:val="en-GB"/>
        </w:rPr>
        <w:t>lanning</w:t>
      </w:r>
      <w:r w:rsidR="00343A97" w:rsidRPr="009149DA">
        <w:rPr>
          <w:rFonts w:asciiTheme="minorHAnsi" w:hAnsiTheme="minorHAnsi" w:cstheme="minorHAnsi"/>
          <w:i/>
          <w:iCs/>
          <w:color w:val="auto"/>
          <w:lang w:val="en-GB"/>
        </w:rPr>
        <w:t xml:space="preserve"> at</w:t>
      </w:r>
      <w:r w:rsidR="00343A97" w:rsidRPr="009149DA">
        <w:rPr>
          <w:i/>
          <w:iCs/>
        </w:rPr>
        <w:t xml:space="preserve"> </w:t>
      </w:r>
      <w:r w:rsidR="00343A97" w:rsidRPr="009149DA">
        <w:rPr>
          <w:rFonts w:asciiTheme="minorHAnsi" w:hAnsiTheme="minorHAnsi" w:cstheme="minorHAnsi"/>
          <w:i/>
          <w:iCs/>
          <w:color w:val="auto"/>
          <w:lang w:val="en-GB"/>
        </w:rPr>
        <w:t>strategic and project level’</w:t>
      </w:r>
      <w:r w:rsidR="00D27B17" w:rsidRPr="00D27B17">
        <w:rPr>
          <w:rFonts w:asciiTheme="minorHAnsi" w:hAnsiTheme="minorHAnsi" w:cstheme="minorHAnsi"/>
          <w:color w:val="auto"/>
          <w:lang w:val="en-GB"/>
        </w:rPr>
        <w:t>, the</w:t>
      </w:r>
      <w:r w:rsidRPr="00D27B17">
        <w:rPr>
          <w:rFonts w:asciiTheme="minorHAnsi" w:hAnsiTheme="minorHAnsi" w:cstheme="minorHAnsi"/>
          <w:color w:val="auto"/>
          <w:lang w:val="en-GB"/>
        </w:rPr>
        <w:t xml:space="preserve"> other is </w:t>
      </w:r>
      <w:r w:rsidR="00343A97" w:rsidRPr="00D27B17">
        <w:rPr>
          <w:rFonts w:asciiTheme="minorHAnsi" w:hAnsiTheme="minorHAnsi" w:cstheme="minorHAnsi"/>
          <w:color w:val="auto"/>
          <w:lang w:val="en-GB"/>
        </w:rPr>
        <w:t>on ‘</w:t>
      </w:r>
      <w:r w:rsidR="00343A97" w:rsidRPr="009149DA">
        <w:rPr>
          <w:rFonts w:asciiTheme="minorHAnsi" w:hAnsiTheme="minorHAnsi" w:cstheme="minorHAnsi"/>
          <w:i/>
          <w:iCs/>
          <w:color w:val="auto"/>
          <w:lang w:val="en-GB"/>
        </w:rPr>
        <w:t>M</w:t>
      </w:r>
      <w:r w:rsidRPr="009149DA">
        <w:rPr>
          <w:rFonts w:asciiTheme="minorHAnsi" w:hAnsiTheme="minorHAnsi" w:cstheme="minorHAnsi"/>
          <w:i/>
          <w:iCs/>
          <w:color w:val="auto"/>
          <w:lang w:val="en-GB"/>
        </w:rPr>
        <w:t>arketing to your community</w:t>
      </w:r>
      <w:r w:rsidR="00D27B17" w:rsidRPr="009149DA">
        <w:rPr>
          <w:rFonts w:asciiTheme="minorHAnsi" w:hAnsiTheme="minorHAnsi" w:cstheme="minorHAnsi"/>
          <w:i/>
          <w:iCs/>
          <w:color w:val="auto"/>
          <w:lang w:val="en-GB"/>
        </w:rPr>
        <w:t xml:space="preserve"> needs</w:t>
      </w:r>
      <w:r w:rsidR="00343A97" w:rsidRPr="00D27B17">
        <w:rPr>
          <w:rFonts w:asciiTheme="minorHAnsi" w:hAnsiTheme="minorHAnsi" w:cstheme="minorHAnsi"/>
          <w:color w:val="auto"/>
          <w:lang w:val="en-GB"/>
        </w:rPr>
        <w:t>’</w:t>
      </w:r>
      <w:r w:rsidR="006C734D" w:rsidRPr="00D27B17">
        <w:rPr>
          <w:rFonts w:asciiTheme="minorHAnsi" w:hAnsiTheme="minorHAnsi" w:cstheme="minorHAnsi"/>
          <w:color w:val="auto"/>
          <w:lang w:val="en-GB"/>
        </w:rPr>
        <w:t xml:space="preserve">. </w:t>
      </w:r>
      <w:r w:rsidR="00146B97" w:rsidRPr="00D27B17">
        <w:rPr>
          <w:rFonts w:asciiTheme="minorHAnsi" w:hAnsiTheme="minorHAnsi" w:cstheme="minorHAnsi"/>
          <w:color w:val="auto"/>
          <w:lang w:val="en-GB"/>
        </w:rPr>
        <w:t xml:space="preserve">Both </w:t>
      </w:r>
      <w:r w:rsidR="006C734D" w:rsidRPr="00D27B17">
        <w:rPr>
          <w:rFonts w:asciiTheme="minorHAnsi" w:hAnsiTheme="minorHAnsi" w:cstheme="minorHAnsi"/>
          <w:color w:val="auto"/>
          <w:lang w:val="en-GB"/>
        </w:rPr>
        <w:t xml:space="preserve">workshops </w:t>
      </w:r>
      <w:r w:rsidR="00146B97" w:rsidRPr="00D27B17">
        <w:rPr>
          <w:rFonts w:asciiTheme="minorHAnsi" w:hAnsiTheme="minorHAnsi" w:cstheme="minorHAnsi"/>
          <w:color w:val="auto"/>
          <w:lang w:val="en-GB"/>
        </w:rPr>
        <w:t>include follow-up one-on-one mentoring</w:t>
      </w:r>
      <w:r w:rsidR="003D07B8" w:rsidRPr="00D27B17">
        <w:rPr>
          <w:rFonts w:asciiTheme="minorHAnsi" w:hAnsiTheme="minorHAnsi" w:cstheme="minorHAnsi"/>
          <w:color w:val="auto"/>
          <w:lang w:val="en-GB"/>
        </w:rPr>
        <w:t xml:space="preserve"> in your locale</w:t>
      </w:r>
      <w:r w:rsidR="00D27B17" w:rsidRPr="00D27B17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17792165" w14:textId="77777777" w:rsidR="00B27EE5" w:rsidRDefault="00D27B17" w:rsidP="00266B53">
      <w:pPr>
        <w:tabs>
          <w:tab w:val="left" w:pos="0"/>
          <w:tab w:val="left" w:pos="1080"/>
        </w:tabs>
        <w:spacing w:after="120"/>
        <w:jc w:val="left"/>
        <w:rPr>
          <w:rFonts w:asciiTheme="minorHAnsi" w:hAnsiTheme="minorHAnsi" w:cstheme="minorHAnsi"/>
          <w:color w:val="auto"/>
          <w:lang w:val="en-GB"/>
        </w:rPr>
      </w:pPr>
      <w:r w:rsidRPr="00D27B17">
        <w:rPr>
          <w:rFonts w:asciiTheme="minorHAnsi" w:hAnsiTheme="minorHAnsi" w:cstheme="minorHAnsi"/>
          <w:color w:val="auto"/>
          <w:lang w:val="en-GB"/>
        </w:rPr>
        <w:t>Please note it is best you attend the workshops for your region to ai</w:t>
      </w:r>
      <w:r w:rsidR="00B27EE5">
        <w:rPr>
          <w:rFonts w:asciiTheme="minorHAnsi" w:hAnsiTheme="minorHAnsi" w:cstheme="minorHAnsi"/>
          <w:color w:val="auto"/>
          <w:lang w:val="en-GB"/>
        </w:rPr>
        <w:t>d mentor assignment.</w:t>
      </w:r>
      <w:r w:rsidR="00B642AB">
        <w:rPr>
          <w:rFonts w:asciiTheme="minorHAnsi" w:hAnsiTheme="minorHAnsi" w:cstheme="minorHAnsi"/>
          <w:color w:val="auto"/>
          <w:lang w:val="en-GB"/>
        </w:rPr>
        <w:t xml:space="preserve"> </w:t>
      </w:r>
      <w:r w:rsidR="00B27EE5" w:rsidRPr="00D27B17">
        <w:rPr>
          <w:rFonts w:asciiTheme="minorHAnsi" w:hAnsiTheme="minorHAnsi" w:cstheme="minorHAnsi"/>
          <w:color w:val="auto"/>
          <w:lang w:val="en-GB"/>
        </w:rPr>
        <w:t>Small Business Mentoring Service</w:t>
      </w:r>
      <w:r w:rsidR="00B27EE5">
        <w:rPr>
          <w:rFonts w:asciiTheme="minorHAnsi" w:hAnsiTheme="minorHAnsi" w:cstheme="minorHAnsi"/>
          <w:color w:val="auto"/>
          <w:lang w:val="en-GB"/>
        </w:rPr>
        <w:t xml:space="preserve"> will be in contact with everyone who has already registered about this. </w:t>
      </w:r>
    </w:p>
    <w:p w14:paraId="1D02D9B0" w14:textId="77777777" w:rsidR="00F90C0B" w:rsidRDefault="00FF0597" w:rsidP="00266B53">
      <w:pPr>
        <w:tabs>
          <w:tab w:val="left" w:pos="0"/>
          <w:tab w:val="left" w:pos="1080"/>
        </w:tabs>
        <w:spacing w:after="120"/>
        <w:jc w:val="left"/>
        <w:rPr>
          <w:rStyle w:val="Hyperlink"/>
          <w:rFonts w:asciiTheme="minorHAnsi" w:hAnsiTheme="minorHAnsi" w:cstheme="minorHAnsi"/>
          <w:color w:val="auto"/>
        </w:rPr>
      </w:pPr>
      <w:r w:rsidRPr="00D27B17">
        <w:rPr>
          <w:rFonts w:asciiTheme="minorHAnsi" w:hAnsiTheme="minorHAnsi" w:cstheme="minorHAnsi"/>
          <w:color w:val="auto"/>
        </w:rPr>
        <w:t>F</w:t>
      </w:r>
      <w:r w:rsidR="0077506A" w:rsidRPr="00D27B17">
        <w:rPr>
          <w:rFonts w:asciiTheme="minorHAnsi" w:hAnsiTheme="minorHAnsi" w:cstheme="minorHAnsi"/>
          <w:color w:val="auto"/>
        </w:rPr>
        <w:t>or more information</w:t>
      </w:r>
      <w:r w:rsidR="00D27B17" w:rsidRPr="00D27B17">
        <w:rPr>
          <w:color w:val="auto"/>
        </w:rPr>
        <w:t xml:space="preserve"> </w:t>
      </w:r>
      <w:r w:rsidR="003D07B8" w:rsidRPr="00D27B17">
        <w:rPr>
          <w:color w:val="auto"/>
        </w:rPr>
        <w:t xml:space="preserve">on </w:t>
      </w:r>
      <w:r w:rsidR="00B27EE5">
        <w:rPr>
          <w:color w:val="auto"/>
        </w:rPr>
        <w:t xml:space="preserve">these </w:t>
      </w:r>
      <w:r w:rsidR="007F687B">
        <w:rPr>
          <w:rFonts w:asciiTheme="minorHAnsi" w:hAnsiTheme="minorHAnsi" w:cstheme="minorHAnsi"/>
          <w:color w:val="auto"/>
          <w:lang w:val="en-GB"/>
        </w:rPr>
        <w:t>p</w:t>
      </w:r>
      <w:r w:rsidR="00D27B17" w:rsidRPr="00D27B17">
        <w:rPr>
          <w:rFonts w:asciiTheme="minorHAnsi" w:hAnsiTheme="minorHAnsi" w:cstheme="minorHAnsi"/>
          <w:color w:val="auto"/>
          <w:lang w:val="en-GB"/>
        </w:rPr>
        <w:t>rofessional development opportunities</w:t>
      </w:r>
      <w:r w:rsidR="008D4EEA" w:rsidRPr="008D4EEA">
        <w:t xml:space="preserve"> </w:t>
      </w:r>
      <w:r w:rsidR="008D4EEA" w:rsidRPr="008D4EEA">
        <w:rPr>
          <w:rFonts w:asciiTheme="minorHAnsi" w:hAnsiTheme="minorHAnsi" w:cstheme="minorHAnsi"/>
          <w:color w:val="auto"/>
          <w:lang w:val="en-GB"/>
        </w:rPr>
        <w:t>for pre-accredited program managers/coordinators</w:t>
      </w:r>
      <w:r w:rsidR="00D27B17" w:rsidRPr="00D27B17">
        <w:rPr>
          <w:rFonts w:asciiTheme="minorHAnsi" w:hAnsiTheme="minorHAnsi" w:cstheme="minorHAnsi"/>
          <w:color w:val="auto"/>
          <w:lang w:val="en-GB"/>
        </w:rPr>
        <w:t xml:space="preserve"> and to register, </w:t>
      </w:r>
      <w:r w:rsidRPr="00D27B17">
        <w:rPr>
          <w:rFonts w:asciiTheme="minorHAnsi" w:hAnsiTheme="minorHAnsi" w:cstheme="minorHAnsi"/>
          <w:color w:val="auto"/>
          <w:lang w:val="en-GB"/>
        </w:rPr>
        <w:t>go to</w:t>
      </w:r>
      <w:r w:rsidRPr="00D27B17">
        <w:rPr>
          <w:rFonts w:asciiTheme="minorHAnsi" w:hAnsiTheme="minorHAnsi" w:cstheme="minorHAnsi"/>
          <w:color w:val="auto"/>
        </w:rPr>
        <w:t xml:space="preserve"> the</w:t>
      </w:r>
      <w:r w:rsidR="007F687B">
        <w:rPr>
          <w:rFonts w:asciiTheme="minorHAnsi" w:hAnsiTheme="minorHAnsi" w:cstheme="minorHAnsi"/>
          <w:color w:val="auto"/>
        </w:rPr>
        <w:t xml:space="preserve"> </w:t>
      </w:r>
      <w:r w:rsidRPr="00D27B17">
        <w:rPr>
          <w:rFonts w:asciiTheme="minorHAnsi" w:hAnsiTheme="minorHAnsi" w:cstheme="minorHAnsi"/>
          <w:bCs/>
          <w:color w:val="auto"/>
          <w:lang w:val="en-GB"/>
        </w:rPr>
        <w:t>professional</w:t>
      </w:r>
      <w:r w:rsidRPr="00D27B17">
        <w:rPr>
          <w:rFonts w:asciiTheme="minorHAnsi" w:hAnsiTheme="minorHAnsi" w:cstheme="minorHAnsi"/>
          <w:color w:val="auto"/>
        </w:rPr>
        <w:t xml:space="preserve"> development calendar </w:t>
      </w:r>
      <w:hyperlink r:id="rId13" w:history="1">
        <w:r w:rsidR="00F90C0B" w:rsidRPr="00F90C0B">
          <w:rPr>
            <w:rStyle w:val="Hyperlink"/>
            <w:rFonts w:asciiTheme="minorHAnsi" w:hAnsiTheme="minorHAnsi" w:cstheme="minorHAnsi"/>
          </w:rPr>
          <w:t>here</w:t>
        </w:r>
      </w:hyperlink>
    </w:p>
    <w:p w14:paraId="1165FF0B" w14:textId="77777777" w:rsidR="00F90C0B" w:rsidRDefault="00FF0597" w:rsidP="00F90C0B">
      <w:pPr>
        <w:tabs>
          <w:tab w:val="left" w:pos="0"/>
          <w:tab w:val="left" w:pos="1080"/>
        </w:tabs>
        <w:spacing w:after="120"/>
        <w:jc w:val="left"/>
        <w:rPr>
          <w:rFonts w:asciiTheme="majorHAnsi" w:hAnsiTheme="majorHAnsi" w:cstheme="majorHAnsi"/>
          <w:color w:val="000000"/>
          <w:lang w:val="en-GB"/>
        </w:rPr>
      </w:pPr>
      <w:r w:rsidRPr="00D27B17">
        <w:rPr>
          <w:rFonts w:asciiTheme="majorHAnsi" w:hAnsiTheme="majorHAnsi" w:cstheme="majorHAnsi"/>
          <w:color w:val="000000"/>
          <w:lang w:val="en-GB"/>
        </w:rPr>
        <w:t xml:space="preserve">The calendar also includes opportunities to: </w:t>
      </w:r>
    </w:p>
    <w:p w14:paraId="10F61520" w14:textId="77777777" w:rsidR="00F90C0B" w:rsidRPr="00F90C0B" w:rsidRDefault="00FF0597" w:rsidP="00F90C0B">
      <w:pPr>
        <w:pStyle w:val="ListParagraph"/>
        <w:numPr>
          <w:ilvl w:val="0"/>
          <w:numId w:val="29"/>
        </w:numPr>
        <w:tabs>
          <w:tab w:val="left" w:pos="0"/>
          <w:tab w:val="left" w:pos="1080"/>
        </w:tabs>
        <w:spacing w:after="120"/>
        <w:jc w:val="left"/>
        <w:rPr>
          <w:rFonts w:asciiTheme="majorHAnsi" w:hAnsiTheme="majorHAnsi" w:cstheme="majorHAnsi"/>
          <w:color w:val="000000"/>
        </w:rPr>
      </w:pPr>
      <w:r w:rsidRPr="00F90C0B">
        <w:rPr>
          <w:rFonts w:asciiTheme="majorHAnsi" w:hAnsiTheme="majorHAnsi" w:cstheme="majorHAnsi"/>
          <w:bCs/>
          <w:color w:val="000000"/>
        </w:rPr>
        <w:t>Move your pre-accredited training online</w:t>
      </w:r>
      <w:r w:rsidRPr="00F90C0B">
        <w:rPr>
          <w:rFonts w:asciiTheme="majorHAnsi" w:hAnsiTheme="majorHAnsi" w:cstheme="majorHAnsi"/>
          <w:color w:val="000000"/>
        </w:rPr>
        <w:t xml:space="preserve"> – </w:t>
      </w:r>
      <w:proofErr w:type="spellStart"/>
      <w:r w:rsidRPr="00F90C0B">
        <w:rPr>
          <w:rFonts w:asciiTheme="majorHAnsi" w:hAnsiTheme="majorHAnsi" w:cstheme="majorHAnsi"/>
          <w:color w:val="000000"/>
        </w:rPr>
        <w:t>ACEVic</w:t>
      </w:r>
      <w:proofErr w:type="spellEnd"/>
      <w:r w:rsidRPr="00F90C0B">
        <w:rPr>
          <w:rFonts w:asciiTheme="majorHAnsi" w:hAnsiTheme="majorHAnsi" w:cstheme="majorHAnsi"/>
          <w:color w:val="000000"/>
        </w:rPr>
        <w:t xml:space="preserve"> Webinar series</w:t>
      </w:r>
    </w:p>
    <w:p w14:paraId="4B953515" w14:textId="77777777" w:rsidR="00FF0597" w:rsidRPr="00F90C0B" w:rsidRDefault="00FF0597" w:rsidP="00F90C0B">
      <w:pPr>
        <w:pStyle w:val="ListParagraph"/>
        <w:numPr>
          <w:ilvl w:val="0"/>
          <w:numId w:val="29"/>
        </w:numPr>
        <w:tabs>
          <w:tab w:val="left" w:pos="0"/>
          <w:tab w:val="left" w:pos="1080"/>
        </w:tabs>
        <w:spacing w:after="120"/>
        <w:jc w:val="left"/>
        <w:rPr>
          <w:rFonts w:asciiTheme="majorHAnsi" w:hAnsiTheme="majorHAnsi" w:cstheme="majorHAnsi"/>
          <w:color w:val="000000"/>
          <w:lang w:val="en-GB"/>
        </w:rPr>
      </w:pPr>
      <w:r w:rsidRPr="00F90C0B">
        <w:rPr>
          <w:rFonts w:asciiTheme="majorHAnsi" w:hAnsiTheme="majorHAnsi" w:cstheme="majorHAnsi"/>
          <w:color w:val="000000"/>
          <w:lang w:val="en-GB"/>
        </w:rPr>
        <w:t xml:space="preserve">Join the </w:t>
      </w:r>
      <w:r w:rsidRPr="00F90C0B">
        <w:rPr>
          <w:rFonts w:asciiTheme="majorHAnsi" w:hAnsiTheme="majorHAnsi" w:cstheme="majorHAnsi"/>
          <w:bCs/>
          <w:color w:val="000000"/>
          <w:lang w:val="en-GB"/>
        </w:rPr>
        <w:t>VDC Learn Local development programs</w:t>
      </w:r>
      <w:r w:rsidR="004942A8" w:rsidRPr="00F90C0B">
        <w:rPr>
          <w:rFonts w:asciiTheme="majorHAnsi" w:hAnsiTheme="majorHAnsi" w:cstheme="majorHAnsi"/>
          <w:bCs/>
          <w:color w:val="000000"/>
          <w:lang w:val="en-GB"/>
        </w:rPr>
        <w:t xml:space="preserve"> now online</w:t>
      </w:r>
      <w:r w:rsidRPr="00F90C0B">
        <w:rPr>
          <w:rFonts w:asciiTheme="majorHAnsi" w:hAnsiTheme="majorHAnsi" w:cstheme="majorHAnsi"/>
          <w:bCs/>
          <w:color w:val="000000"/>
          <w:lang w:val="en-GB"/>
        </w:rPr>
        <w:t>.</w:t>
      </w:r>
    </w:p>
    <w:p w14:paraId="362232E8" w14:textId="77777777" w:rsidR="000715DE" w:rsidRPr="00D27B17" w:rsidRDefault="00CB0BDA" w:rsidP="00D27B17">
      <w:pPr>
        <w:pStyle w:val="NormalWeb"/>
        <w:tabs>
          <w:tab w:val="left" w:pos="0"/>
          <w:tab w:val="left" w:pos="1080"/>
        </w:tabs>
        <w:spacing w:after="120"/>
        <w:rPr>
          <w:rStyle w:val="Hyperlink"/>
          <w:rFonts w:cs="Arial"/>
          <w:color w:val="auto"/>
          <w:u w:val="none"/>
          <w:lang w:val="en"/>
        </w:rPr>
      </w:pPr>
      <w:r w:rsidRPr="00D27B17">
        <w:rPr>
          <w:rFonts w:asciiTheme="minorHAnsi" w:hAnsiTheme="minorHAnsi" w:cstheme="minorHAnsi"/>
          <w:color w:val="000000" w:themeColor="text1"/>
          <w:lang w:val="en"/>
        </w:rPr>
        <w:t xml:space="preserve">For enquiries, contact your </w:t>
      </w:r>
      <w:hyperlink r:id="rId14" w:history="1">
        <w:r w:rsidR="008D1C04" w:rsidRPr="00D27B17">
          <w:rPr>
            <w:rStyle w:val="Hyperlink"/>
            <w:rFonts w:asciiTheme="minorHAnsi" w:hAnsiTheme="minorHAnsi" w:cstheme="minorHAnsi"/>
            <w:color w:val="2E74B5" w:themeColor="accent1" w:themeShade="BF"/>
            <w:lang w:val="en"/>
          </w:rPr>
          <w:t xml:space="preserve">DET </w:t>
        </w:r>
        <w:r w:rsidRPr="00D27B17">
          <w:rPr>
            <w:rStyle w:val="Hyperlink"/>
            <w:rFonts w:asciiTheme="minorHAnsi" w:hAnsiTheme="minorHAnsi" w:cstheme="minorHAnsi"/>
            <w:color w:val="2E74B5" w:themeColor="accent1" w:themeShade="BF"/>
            <w:lang w:val="en"/>
          </w:rPr>
          <w:t>regional office</w:t>
        </w:r>
      </w:hyperlink>
      <w:r w:rsidR="00D20F04" w:rsidRPr="00D27B17">
        <w:rPr>
          <w:rStyle w:val="Hyperlink"/>
          <w:rFonts w:asciiTheme="minorHAnsi" w:hAnsiTheme="minorHAnsi" w:cstheme="minorHAnsi"/>
          <w:u w:val="none"/>
          <w:lang w:val="en"/>
        </w:rPr>
        <w:t>.</w:t>
      </w:r>
    </w:p>
    <w:p w14:paraId="5907C4AC" w14:textId="77777777" w:rsidR="007F5B99" w:rsidRDefault="007F5B99" w:rsidP="007F5B99">
      <w:pPr>
        <w:jc w:val="left"/>
        <w:rPr>
          <w:rFonts w:ascii="&amp;quot" w:hAnsi="&amp;quot" w:cs="Times New Roman"/>
          <w:color w:val="201F1E"/>
        </w:rPr>
      </w:pPr>
    </w:p>
    <w:p w14:paraId="1A10E4E3" w14:textId="77777777" w:rsidR="007F5B99" w:rsidRDefault="007F5B99" w:rsidP="00780BE1">
      <w:pPr>
        <w:jc w:val="left"/>
        <w:rPr>
          <w:rStyle w:val="Hyperlink"/>
          <w:rFonts w:asciiTheme="minorHAnsi" w:hAnsiTheme="minorHAnsi" w:cstheme="minorHAnsi"/>
          <w:u w:val="none"/>
          <w:lang w:val="en"/>
        </w:rPr>
      </w:pPr>
    </w:p>
    <w:p w14:paraId="1529893F" w14:textId="77777777" w:rsidR="007F5B99" w:rsidRPr="00DF5BC7" w:rsidRDefault="007F5B99" w:rsidP="00780BE1">
      <w:pPr>
        <w:jc w:val="left"/>
        <w:rPr>
          <w:rFonts w:asciiTheme="minorHAnsi" w:hAnsiTheme="minorHAnsi" w:cstheme="minorHAnsi"/>
          <w:color w:val="000000" w:themeColor="text1"/>
          <w:lang w:val="en"/>
        </w:rPr>
      </w:pPr>
    </w:p>
    <w:sectPr w:rsidR="007F5B99" w:rsidRPr="00DF5BC7" w:rsidSect="00414AB1"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081B" w14:textId="77777777" w:rsidR="00D55060" w:rsidRDefault="00D55060" w:rsidP="00846881">
      <w:r>
        <w:separator/>
      </w:r>
    </w:p>
  </w:endnote>
  <w:endnote w:type="continuationSeparator" w:id="0">
    <w:p w14:paraId="6B27CA88" w14:textId="77777777" w:rsidR="00D55060" w:rsidRDefault="00D55060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20164" w14:textId="77777777" w:rsidR="00D55060" w:rsidRDefault="00D55060" w:rsidP="00846881">
      <w:r>
        <w:separator/>
      </w:r>
    </w:p>
  </w:footnote>
  <w:footnote w:type="continuationSeparator" w:id="0">
    <w:p w14:paraId="10D5E752" w14:textId="77777777" w:rsidR="00D55060" w:rsidRDefault="00D55060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7A54"/>
    <w:multiLevelType w:val="hybridMultilevel"/>
    <w:tmpl w:val="8F624F8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348A59AF"/>
    <w:multiLevelType w:val="hybridMultilevel"/>
    <w:tmpl w:val="A4585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246D40"/>
    <w:multiLevelType w:val="hybridMultilevel"/>
    <w:tmpl w:val="E054A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20"/>
  </w:num>
  <w:num w:numId="5">
    <w:abstractNumId w:val="1"/>
  </w:num>
  <w:num w:numId="6">
    <w:abstractNumId w:val="18"/>
  </w:num>
  <w:num w:numId="7">
    <w:abstractNumId w:val="8"/>
  </w:num>
  <w:num w:numId="8">
    <w:abstractNumId w:val="25"/>
  </w:num>
  <w:num w:numId="9">
    <w:abstractNumId w:val="17"/>
  </w:num>
  <w:num w:numId="10">
    <w:abstractNumId w:val="14"/>
  </w:num>
  <w:num w:numId="11">
    <w:abstractNumId w:val="9"/>
  </w:num>
  <w:num w:numId="12">
    <w:abstractNumId w:val="4"/>
  </w:num>
  <w:num w:numId="13">
    <w:abstractNumId w:val="21"/>
  </w:num>
  <w:num w:numId="14">
    <w:abstractNumId w:val="7"/>
  </w:num>
  <w:num w:numId="15">
    <w:abstractNumId w:val="28"/>
  </w:num>
  <w:num w:numId="16">
    <w:abstractNumId w:val="24"/>
  </w:num>
  <w:num w:numId="17">
    <w:abstractNumId w:val="10"/>
  </w:num>
  <w:num w:numId="18">
    <w:abstractNumId w:val="5"/>
  </w:num>
  <w:num w:numId="19">
    <w:abstractNumId w:val="27"/>
  </w:num>
  <w:num w:numId="20">
    <w:abstractNumId w:val="11"/>
  </w:num>
  <w:num w:numId="21">
    <w:abstractNumId w:val="19"/>
  </w:num>
  <w:num w:numId="22">
    <w:abstractNumId w:val="6"/>
  </w:num>
  <w:num w:numId="23">
    <w:abstractNumId w:val="23"/>
  </w:num>
  <w:num w:numId="24">
    <w:abstractNumId w:val="16"/>
  </w:num>
  <w:num w:numId="25">
    <w:abstractNumId w:val="2"/>
  </w:num>
  <w:num w:numId="26">
    <w:abstractNumId w:val="22"/>
  </w:num>
  <w:num w:numId="27">
    <w:abstractNumId w:val="12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5447"/>
    <w:rsid w:val="00021555"/>
    <w:rsid w:val="00021926"/>
    <w:rsid w:val="0002288F"/>
    <w:rsid w:val="0002677B"/>
    <w:rsid w:val="00035017"/>
    <w:rsid w:val="000425DB"/>
    <w:rsid w:val="00044F33"/>
    <w:rsid w:val="00060214"/>
    <w:rsid w:val="00060EA4"/>
    <w:rsid w:val="000701E5"/>
    <w:rsid w:val="000715DE"/>
    <w:rsid w:val="0008021C"/>
    <w:rsid w:val="000901F6"/>
    <w:rsid w:val="00094849"/>
    <w:rsid w:val="000A28AF"/>
    <w:rsid w:val="000B1133"/>
    <w:rsid w:val="000B2628"/>
    <w:rsid w:val="000C3753"/>
    <w:rsid w:val="000C472B"/>
    <w:rsid w:val="000C782C"/>
    <w:rsid w:val="000E70E3"/>
    <w:rsid w:val="000E7BF0"/>
    <w:rsid w:val="0010125A"/>
    <w:rsid w:val="00105130"/>
    <w:rsid w:val="001079BD"/>
    <w:rsid w:val="0011333F"/>
    <w:rsid w:val="001214D4"/>
    <w:rsid w:val="00125617"/>
    <w:rsid w:val="00136133"/>
    <w:rsid w:val="001411A4"/>
    <w:rsid w:val="00146B97"/>
    <w:rsid w:val="00154ECF"/>
    <w:rsid w:val="00157432"/>
    <w:rsid w:val="00164821"/>
    <w:rsid w:val="00170BBA"/>
    <w:rsid w:val="001807E6"/>
    <w:rsid w:val="00181F47"/>
    <w:rsid w:val="001A352C"/>
    <w:rsid w:val="001B6D16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2166C"/>
    <w:rsid w:val="00231621"/>
    <w:rsid w:val="00234DCA"/>
    <w:rsid w:val="002414DC"/>
    <w:rsid w:val="00241D70"/>
    <w:rsid w:val="00241DCD"/>
    <w:rsid w:val="00242E0D"/>
    <w:rsid w:val="00254C93"/>
    <w:rsid w:val="0025725C"/>
    <w:rsid w:val="0026349B"/>
    <w:rsid w:val="00264866"/>
    <w:rsid w:val="00266B53"/>
    <w:rsid w:val="0027439D"/>
    <w:rsid w:val="002774C1"/>
    <w:rsid w:val="002831C1"/>
    <w:rsid w:val="00284B19"/>
    <w:rsid w:val="0029046F"/>
    <w:rsid w:val="002938CF"/>
    <w:rsid w:val="002A24E2"/>
    <w:rsid w:val="002B15E5"/>
    <w:rsid w:val="002B61F2"/>
    <w:rsid w:val="002D610A"/>
    <w:rsid w:val="002E66D8"/>
    <w:rsid w:val="002F4067"/>
    <w:rsid w:val="00305553"/>
    <w:rsid w:val="003079DD"/>
    <w:rsid w:val="003150C7"/>
    <w:rsid w:val="003202E8"/>
    <w:rsid w:val="00340366"/>
    <w:rsid w:val="00343A97"/>
    <w:rsid w:val="00350F10"/>
    <w:rsid w:val="00352C50"/>
    <w:rsid w:val="003547C4"/>
    <w:rsid w:val="00355714"/>
    <w:rsid w:val="00374A0E"/>
    <w:rsid w:val="00384947"/>
    <w:rsid w:val="003966A5"/>
    <w:rsid w:val="003A4979"/>
    <w:rsid w:val="003A5544"/>
    <w:rsid w:val="003A63A4"/>
    <w:rsid w:val="003B2C9D"/>
    <w:rsid w:val="003B7B63"/>
    <w:rsid w:val="003C633A"/>
    <w:rsid w:val="003D07B8"/>
    <w:rsid w:val="003D1AAB"/>
    <w:rsid w:val="003D454C"/>
    <w:rsid w:val="003D4FF1"/>
    <w:rsid w:val="003E2140"/>
    <w:rsid w:val="003F0B63"/>
    <w:rsid w:val="003F3D59"/>
    <w:rsid w:val="003F640F"/>
    <w:rsid w:val="00402D10"/>
    <w:rsid w:val="00414AB1"/>
    <w:rsid w:val="0042087A"/>
    <w:rsid w:val="00421941"/>
    <w:rsid w:val="00423765"/>
    <w:rsid w:val="004239F9"/>
    <w:rsid w:val="004304A3"/>
    <w:rsid w:val="0044416E"/>
    <w:rsid w:val="00452FAE"/>
    <w:rsid w:val="00453CAD"/>
    <w:rsid w:val="00456409"/>
    <w:rsid w:val="004604A8"/>
    <w:rsid w:val="00463997"/>
    <w:rsid w:val="0048144F"/>
    <w:rsid w:val="004821AD"/>
    <w:rsid w:val="004942A8"/>
    <w:rsid w:val="004B182C"/>
    <w:rsid w:val="004C32C0"/>
    <w:rsid w:val="004C4887"/>
    <w:rsid w:val="004C7772"/>
    <w:rsid w:val="004E29A2"/>
    <w:rsid w:val="004E42D2"/>
    <w:rsid w:val="004F1546"/>
    <w:rsid w:val="004F3F35"/>
    <w:rsid w:val="004F6C1C"/>
    <w:rsid w:val="00505EC2"/>
    <w:rsid w:val="00506F42"/>
    <w:rsid w:val="00536911"/>
    <w:rsid w:val="00540C9F"/>
    <w:rsid w:val="00545CC1"/>
    <w:rsid w:val="005519A3"/>
    <w:rsid w:val="005543E8"/>
    <w:rsid w:val="00562A0E"/>
    <w:rsid w:val="00583630"/>
    <w:rsid w:val="00590B75"/>
    <w:rsid w:val="005B169C"/>
    <w:rsid w:val="005B4815"/>
    <w:rsid w:val="005C05FA"/>
    <w:rsid w:val="005C5D77"/>
    <w:rsid w:val="005D079D"/>
    <w:rsid w:val="005D5398"/>
    <w:rsid w:val="005E1085"/>
    <w:rsid w:val="005F153D"/>
    <w:rsid w:val="0060642E"/>
    <w:rsid w:val="0062065B"/>
    <w:rsid w:val="006254CC"/>
    <w:rsid w:val="00626260"/>
    <w:rsid w:val="00630183"/>
    <w:rsid w:val="0063071B"/>
    <w:rsid w:val="006344F3"/>
    <w:rsid w:val="006404DE"/>
    <w:rsid w:val="006409D9"/>
    <w:rsid w:val="00651785"/>
    <w:rsid w:val="00654FF2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5387"/>
    <w:rsid w:val="006A650D"/>
    <w:rsid w:val="006B7F05"/>
    <w:rsid w:val="006C734D"/>
    <w:rsid w:val="006D0D28"/>
    <w:rsid w:val="006D4561"/>
    <w:rsid w:val="006F3184"/>
    <w:rsid w:val="006F5334"/>
    <w:rsid w:val="00717852"/>
    <w:rsid w:val="007269A9"/>
    <w:rsid w:val="007602BC"/>
    <w:rsid w:val="0076398D"/>
    <w:rsid w:val="00764A0A"/>
    <w:rsid w:val="00770AF9"/>
    <w:rsid w:val="007716FE"/>
    <w:rsid w:val="00772628"/>
    <w:rsid w:val="0077506A"/>
    <w:rsid w:val="00780BE1"/>
    <w:rsid w:val="00790C20"/>
    <w:rsid w:val="00791F9E"/>
    <w:rsid w:val="007951E1"/>
    <w:rsid w:val="007A161B"/>
    <w:rsid w:val="007A3F91"/>
    <w:rsid w:val="007B3FD2"/>
    <w:rsid w:val="007D5961"/>
    <w:rsid w:val="007E360A"/>
    <w:rsid w:val="007E59F5"/>
    <w:rsid w:val="007F2375"/>
    <w:rsid w:val="007F5B99"/>
    <w:rsid w:val="007F687B"/>
    <w:rsid w:val="00810ABD"/>
    <w:rsid w:val="008317C7"/>
    <w:rsid w:val="00846881"/>
    <w:rsid w:val="0085253B"/>
    <w:rsid w:val="00861794"/>
    <w:rsid w:val="00865959"/>
    <w:rsid w:val="00867D3A"/>
    <w:rsid w:val="00880ACA"/>
    <w:rsid w:val="00884527"/>
    <w:rsid w:val="0089186A"/>
    <w:rsid w:val="008B6E78"/>
    <w:rsid w:val="008C1842"/>
    <w:rsid w:val="008D1C04"/>
    <w:rsid w:val="008D4EEA"/>
    <w:rsid w:val="008D5441"/>
    <w:rsid w:val="008E0161"/>
    <w:rsid w:val="008E2680"/>
    <w:rsid w:val="008E2DD6"/>
    <w:rsid w:val="008E3316"/>
    <w:rsid w:val="008E4835"/>
    <w:rsid w:val="008E53DE"/>
    <w:rsid w:val="008F3646"/>
    <w:rsid w:val="008F37C4"/>
    <w:rsid w:val="00903B41"/>
    <w:rsid w:val="009077DC"/>
    <w:rsid w:val="009149DA"/>
    <w:rsid w:val="00933C17"/>
    <w:rsid w:val="00940765"/>
    <w:rsid w:val="00944E61"/>
    <w:rsid w:val="009548AD"/>
    <w:rsid w:val="00965E53"/>
    <w:rsid w:val="00967BCD"/>
    <w:rsid w:val="009706F1"/>
    <w:rsid w:val="00973BF7"/>
    <w:rsid w:val="009753C2"/>
    <w:rsid w:val="00975881"/>
    <w:rsid w:val="00982579"/>
    <w:rsid w:val="009843BA"/>
    <w:rsid w:val="009913B4"/>
    <w:rsid w:val="0099526E"/>
    <w:rsid w:val="00995CDB"/>
    <w:rsid w:val="009A02DD"/>
    <w:rsid w:val="009B090C"/>
    <w:rsid w:val="009B5012"/>
    <w:rsid w:val="009C7B4C"/>
    <w:rsid w:val="009D5D01"/>
    <w:rsid w:val="009E3636"/>
    <w:rsid w:val="00A011F2"/>
    <w:rsid w:val="00A14B2D"/>
    <w:rsid w:val="00A2083F"/>
    <w:rsid w:val="00A24A30"/>
    <w:rsid w:val="00A30E35"/>
    <w:rsid w:val="00A343CF"/>
    <w:rsid w:val="00A55A13"/>
    <w:rsid w:val="00A73441"/>
    <w:rsid w:val="00A74415"/>
    <w:rsid w:val="00A83FB3"/>
    <w:rsid w:val="00A9135E"/>
    <w:rsid w:val="00AA3C05"/>
    <w:rsid w:val="00AB09CA"/>
    <w:rsid w:val="00AB7332"/>
    <w:rsid w:val="00AB7AB6"/>
    <w:rsid w:val="00AC402D"/>
    <w:rsid w:val="00AD07C3"/>
    <w:rsid w:val="00AD0AF3"/>
    <w:rsid w:val="00AD6A4D"/>
    <w:rsid w:val="00AE59A4"/>
    <w:rsid w:val="00AF0514"/>
    <w:rsid w:val="00AF06E4"/>
    <w:rsid w:val="00AF18DE"/>
    <w:rsid w:val="00AF467C"/>
    <w:rsid w:val="00B05E0A"/>
    <w:rsid w:val="00B211FC"/>
    <w:rsid w:val="00B25302"/>
    <w:rsid w:val="00B27EE5"/>
    <w:rsid w:val="00B30654"/>
    <w:rsid w:val="00B3289A"/>
    <w:rsid w:val="00B33E4F"/>
    <w:rsid w:val="00B35761"/>
    <w:rsid w:val="00B41E45"/>
    <w:rsid w:val="00B4625C"/>
    <w:rsid w:val="00B50E6E"/>
    <w:rsid w:val="00B5136F"/>
    <w:rsid w:val="00B56D79"/>
    <w:rsid w:val="00B632F5"/>
    <w:rsid w:val="00B64069"/>
    <w:rsid w:val="00B642AB"/>
    <w:rsid w:val="00B72FE6"/>
    <w:rsid w:val="00B950AB"/>
    <w:rsid w:val="00B97527"/>
    <w:rsid w:val="00BB4A46"/>
    <w:rsid w:val="00BC23C8"/>
    <w:rsid w:val="00BC5681"/>
    <w:rsid w:val="00BC7819"/>
    <w:rsid w:val="00BD1D70"/>
    <w:rsid w:val="00BE143C"/>
    <w:rsid w:val="00BF0E04"/>
    <w:rsid w:val="00BF5B84"/>
    <w:rsid w:val="00C03591"/>
    <w:rsid w:val="00C03A4A"/>
    <w:rsid w:val="00C114A7"/>
    <w:rsid w:val="00C137EE"/>
    <w:rsid w:val="00C13929"/>
    <w:rsid w:val="00C151BB"/>
    <w:rsid w:val="00C31DB9"/>
    <w:rsid w:val="00C373FC"/>
    <w:rsid w:val="00C5041F"/>
    <w:rsid w:val="00C579E9"/>
    <w:rsid w:val="00C61395"/>
    <w:rsid w:val="00C75A39"/>
    <w:rsid w:val="00C83B90"/>
    <w:rsid w:val="00CA0C12"/>
    <w:rsid w:val="00CA0D2E"/>
    <w:rsid w:val="00CA2D61"/>
    <w:rsid w:val="00CB0BDA"/>
    <w:rsid w:val="00CB0D2D"/>
    <w:rsid w:val="00CB16A1"/>
    <w:rsid w:val="00CB2C50"/>
    <w:rsid w:val="00CB3905"/>
    <w:rsid w:val="00CC30D2"/>
    <w:rsid w:val="00CD0632"/>
    <w:rsid w:val="00CE69B8"/>
    <w:rsid w:val="00CF21C3"/>
    <w:rsid w:val="00CF35E5"/>
    <w:rsid w:val="00CF6891"/>
    <w:rsid w:val="00CF6C01"/>
    <w:rsid w:val="00D130F4"/>
    <w:rsid w:val="00D20F04"/>
    <w:rsid w:val="00D2318E"/>
    <w:rsid w:val="00D26D6A"/>
    <w:rsid w:val="00D27B17"/>
    <w:rsid w:val="00D30F3E"/>
    <w:rsid w:val="00D33418"/>
    <w:rsid w:val="00D438E6"/>
    <w:rsid w:val="00D53A53"/>
    <w:rsid w:val="00D55060"/>
    <w:rsid w:val="00D60024"/>
    <w:rsid w:val="00D60148"/>
    <w:rsid w:val="00D71AED"/>
    <w:rsid w:val="00D813EA"/>
    <w:rsid w:val="00D83E14"/>
    <w:rsid w:val="00DB0BCD"/>
    <w:rsid w:val="00DB7126"/>
    <w:rsid w:val="00DD6095"/>
    <w:rsid w:val="00DD6855"/>
    <w:rsid w:val="00DF2A51"/>
    <w:rsid w:val="00DF5BC7"/>
    <w:rsid w:val="00DF6688"/>
    <w:rsid w:val="00E05620"/>
    <w:rsid w:val="00E31F62"/>
    <w:rsid w:val="00E320A4"/>
    <w:rsid w:val="00E63520"/>
    <w:rsid w:val="00E64028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296B"/>
    <w:rsid w:val="00EB52E2"/>
    <w:rsid w:val="00EC14B7"/>
    <w:rsid w:val="00EE173D"/>
    <w:rsid w:val="00EE21C1"/>
    <w:rsid w:val="00EE4BD9"/>
    <w:rsid w:val="00EE5A7F"/>
    <w:rsid w:val="00EE5E95"/>
    <w:rsid w:val="00F00EC6"/>
    <w:rsid w:val="00F04DE0"/>
    <w:rsid w:val="00F11CAC"/>
    <w:rsid w:val="00F13297"/>
    <w:rsid w:val="00F13D8E"/>
    <w:rsid w:val="00F16F7C"/>
    <w:rsid w:val="00F17667"/>
    <w:rsid w:val="00F2110D"/>
    <w:rsid w:val="00F24B4E"/>
    <w:rsid w:val="00F30F82"/>
    <w:rsid w:val="00F33C07"/>
    <w:rsid w:val="00F343D3"/>
    <w:rsid w:val="00F37F3D"/>
    <w:rsid w:val="00F453C5"/>
    <w:rsid w:val="00F47367"/>
    <w:rsid w:val="00F72301"/>
    <w:rsid w:val="00F727BA"/>
    <w:rsid w:val="00F77690"/>
    <w:rsid w:val="00F8781E"/>
    <w:rsid w:val="00F90C0B"/>
    <w:rsid w:val="00F93F26"/>
    <w:rsid w:val="00FA5CF8"/>
    <w:rsid w:val="00FB276E"/>
    <w:rsid w:val="00FB322D"/>
    <w:rsid w:val="00FC6923"/>
    <w:rsid w:val="00FD2E5F"/>
    <w:rsid w:val="00FD6F89"/>
    <w:rsid w:val="00FF0597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C37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F0597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vic.gov.au/Documents/training/providers/learnlocal/program/2020EventsCalendar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Documents/training/providers/learnlocal/program/2020EventsCalendar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learnlocal/program/2020EventsCalenda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vic.gov.au/about/contact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Branch memo regarding SBMS professional development opportunities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purl.org/dc/terms/"/>
    <ds:schemaRef ds:uri="http://schemas.microsoft.com/office/2006/documentManagement/types"/>
    <ds:schemaRef ds:uri="http://purl.org/dc/dcmitype/"/>
    <ds:schemaRef ds:uri="c10f4a48-0b78-43ad-8a22-6707c806cbc3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33FE125-DCBD-4C23-8943-2A17252E4D7B}"/>
</file>

<file path=customXml/itemProps4.xml><?xml version="1.0" encoding="utf-8"?>
<ds:datastoreItem xmlns:ds="http://schemas.openxmlformats.org/officeDocument/2006/customXml" ds:itemID="{BE224B64-0AF7-4E7D-B25F-3E2903A1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2507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2020-07-15T00:44:00Z</dcterms:created>
  <dcterms:modified xsi:type="dcterms:W3CDTF">2020-07-15T00:44:00Z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