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B469" w14:textId="77777777" w:rsidR="00876497" w:rsidRPr="00497855" w:rsidRDefault="00876497" w:rsidP="00876497">
      <w:pPr>
        <w:jc w:val="center"/>
        <w:rPr>
          <w:rFonts w:asciiTheme="minorHAnsi" w:hAnsiTheme="minorHAnsi" w:cstheme="minorHAnsi"/>
          <w:color w:val="364283" w:themeColor="accent1"/>
          <w:sz w:val="28"/>
          <w:szCs w:val="28"/>
          <w:lang w:val="en"/>
        </w:rPr>
      </w:pPr>
      <w:bookmarkStart w:id="0" w:name="_GoBack"/>
      <w:bookmarkEnd w:id="0"/>
      <w:r w:rsidRPr="00497855">
        <w:rPr>
          <w:rFonts w:asciiTheme="minorHAnsi" w:hAnsiTheme="minorHAnsi" w:cstheme="minorHAnsi"/>
          <w:color w:val="364283" w:themeColor="accent1"/>
          <w:sz w:val="28"/>
          <w:szCs w:val="28"/>
          <w:lang w:val="en"/>
        </w:rPr>
        <w:t>Department of Education and Training</w:t>
      </w:r>
    </w:p>
    <w:p w14:paraId="4778F2B7"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Higher Education and Skills</w:t>
      </w:r>
    </w:p>
    <w:p w14:paraId="060436C4" w14:textId="77777777" w:rsidR="00876497" w:rsidRPr="00497855" w:rsidRDefault="00876497" w:rsidP="00876497">
      <w:pPr>
        <w:jc w:val="left"/>
        <w:rPr>
          <w:rFonts w:asciiTheme="minorHAnsi" w:hAnsiTheme="minorHAnsi" w:cstheme="minorHAnsi"/>
          <w:color w:val="364283" w:themeColor="accent1"/>
          <w:sz w:val="20"/>
          <w:szCs w:val="20"/>
          <w:lang w:val="en"/>
        </w:rPr>
      </w:pPr>
    </w:p>
    <w:p w14:paraId="6AB5C056" w14:textId="77777777" w:rsidR="00876497" w:rsidRPr="00497855" w:rsidRDefault="00876497" w:rsidP="00876497">
      <w:pPr>
        <w:jc w:val="left"/>
        <w:rPr>
          <w:rFonts w:asciiTheme="minorHAnsi" w:hAnsiTheme="minorHAnsi" w:cstheme="minorHAnsi"/>
          <w:color w:val="364283" w:themeColor="accent1"/>
          <w:sz w:val="20"/>
          <w:szCs w:val="20"/>
          <w:lang w:val="en"/>
        </w:rPr>
      </w:pPr>
      <w:r w:rsidRPr="00497855">
        <w:rPr>
          <w:rFonts w:asciiTheme="minorHAnsi" w:hAnsiTheme="minorHAnsi" w:cstheme="minorHAnsi"/>
          <w:color w:val="364283" w:themeColor="accent1"/>
          <w:sz w:val="20"/>
          <w:szCs w:val="20"/>
          <w:lang w:val="en"/>
        </w:rPr>
        <w:t>Participation, Inclusion and Regional Engagement Branch Memo</w:t>
      </w:r>
    </w:p>
    <w:p w14:paraId="59A099DA" w14:textId="77777777" w:rsidR="00876497" w:rsidRPr="00497855" w:rsidRDefault="00876497" w:rsidP="00876497">
      <w:pPr>
        <w:jc w:val="left"/>
        <w:rPr>
          <w:rFonts w:asciiTheme="minorHAnsi" w:hAnsiTheme="minorHAnsi" w:cstheme="minorHAnsi"/>
          <w:b/>
          <w:color w:val="2C2A29" w:themeColor="text1"/>
          <w:sz w:val="20"/>
          <w:szCs w:val="20"/>
          <w:lang w:val="en-GB" w:eastAsia="en-US"/>
        </w:rPr>
      </w:pPr>
    </w:p>
    <w:p w14:paraId="013B2EA5" w14:textId="79190094" w:rsidR="00876497" w:rsidRPr="00497855" w:rsidRDefault="00876497" w:rsidP="00876497">
      <w:pPr>
        <w:ind w:left="1440" w:hanging="144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TO:</w:t>
      </w:r>
      <w:r w:rsidRPr="00497855">
        <w:rPr>
          <w:rFonts w:asciiTheme="minorHAnsi" w:hAnsiTheme="minorHAnsi" w:cstheme="minorHAnsi"/>
          <w:color w:val="2C2A29" w:themeColor="text1"/>
          <w:sz w:val="20"/>
          <w:szCs w:val="20"/>
          <w:lang w:val="en-GB" w:eastAsia="en-US"/>
        </w:rPr>
        <w:tab/>
        <w:t>Learn Local providers</w:t>
      </w:r>
      <w:r w:rsidR="00543E0A">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Board</w:t>
      </w:r>
      <w:r>
        <w:rPr>
          <w:rFonts w:asciiTheme="minorHAnsi" w:hAnsiTheme="minorHAnsi" w:cstheme="minorHAnsi"/>
          <w:color w:val="2C2A29" w:themeColor="text1"/>
          <w:sz w:val="20"/>
          <w:szCs w:val="20"/>
          <w:lang w:val="en-GB" w:eastAsia="en-US"/>
        </w:rPr>
        <w:t>, a</w:t>
      </w:r>
      <w:r w:rsidRPr="00497855">
        <w:rPr>
          <w:rFonts w:asciiTheme="minorHAnsi" w:hAnsiTheme="minorHAnsi" w:cstheme="minorHAnsi"/>
          <w:color w:val="2C2A29" w:themeColor="text1"/>
          <w:sz w:val="20"/>
          <w:szCs w:val="20"/>
          <w:lang w:val="en-GB" w:eastAsia="en-US"/>
        </w:rPr>
        <w:t>dult education institutions</w:t>
      </w:r>
      <w:r w:rsidR="00A2147E">
        <w:rPr>
          <w:rFonts w:asciiTheme="minorHAnsi" w:hAnsiTheme="minorHAnsi" w:cstheme="minorHAnsi"/>
          <w:color w:val="2C2A29" w:themeColor="text1"/>
          <w:sz w:val="20"/>
          <w:szCs w:val="20"/>
          <w:lang w:val="en-GB" w:eastAsia="en-US"/>
        </w:rPr>
        <w:t>, PIRE staff</w:t>
      </w:r>
    </w:p>
    <w:p w14:paraId="56791960" w14:textId="1E5049B0" w:rsidR="00876497" w:rsidRPr="00497855" w:rsidRDefault="00876497" w:rsidP="00876497">
      <w:pPr>
        <w:spacing w:before="120"/>
        <w:jc w:val="left"/>
        <w:rPr>
          <w:rFonts w:asciiTheme="minorHAnsi" w:hAnsiTheme="minorHAnsi" w:cstheme="minorHAnsi"/>
          <w:b/>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FROM:</w:t>
      </w:r>
      <w:r w:rsidRPr="00497855">
        <w:rPr>
          <w:rFonts w:asciiTheme="minorHAnsi" w:hAnsiTheme="minorHAnsi" w:cstheme="minorHAnsi"/>
          <w:b/>
          <w:color w:val="2C2A29" w:themeColor="text1"/>
          <w:sz w:val="20"/>
          <w:szCs w:val="20"/>
          <w:lang w:val="en-GB" w:eastAsia="en-US"/>
        </w:rPr>
        <w:tab/>
      </w:r>
      <w:r>
        <w:rPr>
          <w:rFonts w:asciiTheme="minorHAnsi" w:hAnsiTheme="minorHAnsi" w:cstheme="minorHAnsi"/>
          <w:b/>
          <w:color w:val="2C2A29" w:themeColor="text1"/>
          <w:sz w:val="20"/>
          <w:szCs w:val="20"/>
          <w:lang w:val="en-GB" w:eastAsia="en-US"/>
        </w:rPr>
        <w:tab/>
      </w:r>
      <w:r w:rsidR="009D1951">
        <w:rPr>
          <w:rFonts w:asciiTheme="minorHAnsi" w:hAnsiTheme="minorHAnsi" w:cstheme="minorHAnsi"/>
          <w:color w:val="2C2A29" w:themeColor="text1"/>
          <w:sz w:val="20"/>
          <w:szCs w:val="20"/>
          <w:lang w:val="en-GB" w:eastAsia="en-US"/>
        </w:rPr>
        <w:t>Ryan Collins</w:t>
      </w:r>
      <w:r w:rsidRPr="00497855">
        <w:rPr>
          <w:rFonts w:asciiTheme="minorHAnsi" w:hAnsiTheme="minorHAnsi" w:cstheme="minorHAnsi"/>
          <w:color w:val="2C2A29" w:themeColor="text1"/>
          <w:sz w:val="20"/>
          <w:szCs w:val="20"/>
          <w:lang w:val="en-GB" w:eastAsia="en-US"/>
        </w:rPr>
        <w:t>, Director — Participation, Inclusion and Regional Engagement Branch</w:t>
      </w:r>
    </w:p>
    <w:p w14:paraId="7ECF62DF" w14:textId="5B0C6C6E" w:rsidR="00876497" w:rsidRPr="009D1951" w:rsidRDefault="00876497" w:rsidP="00876497">
      <w:pPr>
        <w:spacing w:before="120"/>
        <w:jc w:val="left"/>
        <w:rPr>
          <w:rFonts w:asciiTheme="minorHAnsi" w:hAnsiTheme="minorHAnsi" w:cstheme="minorHAnsi"/>
          <w:color w:val="FF0000"/>
          <w:sz w:val="20"/>
          <w:szCs w:val="20"/>
          <w:lang w:val="en-GB" w:eastAsia="en-US"/>
        </w:rPr>
      </w:pPr>
      <w:r w:rsidRPr="00497855">
        <w:rPr>
          <w:rFonts w:asciiTheme="minorHAnsi" w:hAnsiTheme="minorHAnsi" w:cstheme="minorHAnsi"/>
          <w:b/>
          <w:color w:val="2C2A29" w:themeColor="text1"/>
          <w:sz w:val="20"/>
          <w:szCs w:val="20"/>
          <w:lang w:val="en-GB" w:eastAsia="en-US"/>
        </w:rPr>
        <w:t>DATE:</w:t>
      </w:r>
      <w:r w:rsidRPr="00497855">
        <w:rPr>
          <w:rFonts w:asciiTheme="minorHAnsi" w:hAnsiTheme="minorHAnsi" w:cstheme="minorHAnsi"/>
          <w:b/>
          <w:color w:val="2C2A29" w:themeColor="text1"/>
          <w:sz w:val="20"/>
          <w:szCs w:val="20"/>
          <w:lang w:val="en-GB" w:eastAsia="en-US"/>
        </w:rPr>
        <w:tab/>
      </w:r>
      <w:r w:rsidRPr="00497855">
        <w:rPr>
          <w:rFonts w:asciiTheme="minorHAnsi" w:hAnsiTheme="minorHAnsi" w:cstheme="minorHAnsi"/>
          <w:b/>
          <w:color w:val="2C2A29" w:themeColor="text1"/>
          <w:sz w:val="20"/>
          <w:szCs w:val="20"/>
          <w:lang w:val="en-GB" w:eastAsia="en-US"/>
        </w:rPr>
        <w:tab/>
      </w:r>
      <w:r w:rsidR="000E6F2B">
        <w:rPr>
          <w:rFonts w:asciiTheme="minorHAnsi" w:hAnsiTheme="minorHAnsi" w:cstheme="minorHAnsi"/>
          <w:bCs/>
          <w:color w:val="2C2A29" w:themeColor="text1"/>
          <w:sz w:val="20"/>
          <w:szCs w:val="20"/>
          <w:lang w:val="en-GB" w:eastAsia="en-US"/>
        </w:rPr>
        <w:t>16</w:t>
      </w:r>
      <w:r w:rsidRPr="009D1951">
        <w:rPr>
          <w:rFonts w:asciiTheme="minorHAnsi" w:hAnsiTheme="minorHAnsi" w:cstheme="minorHAnsi"/>
          <w:color w:val="auto"/>
          <w:sz w:val="20"/>
          <w:szCs w:val="20"/>
          <w:lang w:val="en-GB" w:eastAsia="en-US"/>
        </w:rPr>
        <w:t xml:space="preserve"> </w:t>
      </w:r>
      <w:r w:rsidR="009D1951" w:rsidRPr="009D1951">
        <w:rPr>
          <w:rFonts w:asciiTheme="minorHAnsi" w:hAnsiTheme="minorHAnsi" w:cstheme="minorHAnsi"/>
          <w:color w:val="auto"/>
          <w:sz w:val="20"/>
          <w:szCs w:val="20"/>
          <w:lang w:val="en-GB" w:eastAsia="en-US"/>
        </w:rPr>
        <w:t>June</w:t>
      </w:r>
      <w:r w:rsidRPr="009D1951">
        <w:rPr>
          <w:rFonts w:asciiTheme="minorHAnsi" w:hAnsiTheme="minorHAnsi" w:cstheme="minorHAnsi"/>
          <w:color w:val="auto"/>
          <w:sz w:val="20"/>
          <w:szCs w:val="20"/>
          <w:lang w:val="en-GB" w:eastAsia="en-US"/>
        </w:rPr>
        <w:t xml:space="preserve"> 20</w:t>
      </w:r>
      <w:r w:rsidR="009D1951" w:rsidRPr="009D1951">
        <w:rPr>
          <w:rFonts w:asciiTheme="minorHAnsi" w:hAnsiTheme="minorHAnsi" w:cstheme="minorHAnsi"/>
          <w:color w:val="auto"/>
          <w:sz w:val="20"/>
          <w:szCs w:val="20"/>
          <w:lang w:val="en-GB" w:eastAsia="en-US"/>
        </w:rPr>
        <w:t>20</w:t>
      </w:r>
    </w:p>
    <w:p w14:paraId="7510F8FF" w14:textId="61EDCAD0" w:rsidR="00876497" w:rsidRPr="00497855" w:rsidRDefault="00876497" w:rsidP="00876497">
      <w:pPr>
        <w:spacing w:before="120"/>
        <w:jc w:val="left"/>
        <w:rPr>
          <w:rFonts w:asciiTheme="minorHAnsi" w:hAnsiTheme="minorHAnsi" w:cstheme="minorHAnsi"/>
          <w:b/>
          <w:color w:val="2C2A29" w:themeColor="text1"/>
          <w:sz w:val="20"/>
          <w:szCs w:val="20"/>
          <w:lang w:eastAsia="en-US"/>
        </w:rPr>
      </w:pPr>
      <w:r w:rsidRPr="00497855">
        <w:rPr>
          <w:rFonts w:asciiTheme="minorHAnsi" w:hAnsiTheme="minorHAnsi" w:cstheme="minorHAnsi"/>
          <w:b/>
          <w:color w:val="2C2A29" w:themeColor="text1"/>
          <w:sz w:val="20"/>
          <w:szCs w:val="20"/>
          <w:lang w:val="en-GB" w:eastAsia="en-US"/>
        </w:rPr>
        <w:t xml:space="preserve">SUBJECT: </w:t>
      </w:r>
      <w:r w:rsidRPr="00497855">
        <w:rPr>
          <w:rFonts w:asciiTheme="minorHAnsi" w:hAnsiTheme="minorHAnsi" w:cstheme="minorHAnsi"/>
          <w:b/>
          <w:color w:val="2C2A29" w:themeColor="text1"/>
          <w:sz w:val="20"/>
          <w:szCs w:val="20"/>
          <w:lang w:val="en-GB" w:eastAsia="en-US"/>
        </w:rPr>
        <w:tab/>
      </w:r>
      <w:r w:rsidR="00185660">
        <w:rPr>
          <w:rFonts w:asciiTheme="minorHAnsi" w:hAnsiTheme="minorHAnsi" w:cstheme="minorHAnsi"/>
          <w:b/>
          <w:color w:val="2C2A29" w:themeColor="text1"/>
          <w:sz w:val="20"/>
          <w:szCs w:val="20"/>
          <w:lang w:val="en-GB" w:eastAsia="en-US"/>
        </w:rPr>
        <w:t xml:space="preserve">Learn Local professional development opportunities at the VET Development Centre </w:t>
      </w:r>
    </w:p>
    <w:p w14:paraId="272D55BC" w14:textId="77777777" w:rsidR="00876497" w:rsidRPr="00497855" w:rsidRDefault="00876497" w:rsidP="00876497">
      <w:pPr>
        <w:pBdr>
          <w:bottom w:val="single" w:sz="4" w:space="1" w:color="auto"/>
        </w:pBdr>
        <w:jc w:val="left"/>
        <w:rPr>
          <w:rFonts w:asciiTheme="minorHAnsi" w:hAnsiTheme="minorHAnsi" w:cstheme="minorHAnsi"/>
          <w:color w:val="364283" w:themeColor="accent1"/>
          <w:sz w:val="20"/>
          <w:szCs w:val="20"/>
          <w:lang w:val="en"/>
        </w:rPr>
      </w:pPr>
    </w:p>
    <w:p w14:paraId="113ED3F5" w14:textId="77777777" w:rsidR="00876497" w:rsidRPr="00497855" w:rsidRDefault="00876497" w:rsidP="00876497">
      <w:pPr>
        <w:jc w:val="left"/>
        <w:rPr>
          <w:rFonts w:asciiTheme="minorHAnsi" w:hAnsiTheme="minorHAnsi" w:cstheme="minorHAnsi"/>
          <w:color w:val="283117" w:themeColor="accent5" w:themeShade="BF"/>
          <w:sz w:val="20"/>
          <w:szCs w:val="20"/>
          <w:lang w:val="en"/>
        </w:rPr>
      </w:pPr>
    </w:p>
    <w:p w14:paraId="32561C7F" w14:textId="1EF2E8D1" w:rsidR="00876497" w:rsidRPr="00890A37" w:rsidRDefault="00876497" w:rsidP="00876497">
      <w:pPr>
        <w:jc w:val="left"/>
        <w:rPr>
          <w:rFonts w:asciiTheme="minorHAnsi" w:hAnsiTheme="minorHAnsi" w:cstheme="minorHAnsi"/>
          <w:color w:val="364283" w:themeColor="accent1"/>
          <w:sz w:val="20"/>
          <w:szCs w:val="20"/>
          <w:lang w:val="en"/>
        </w:rPr>
      </w:pPr>
      <w:r w:rsidRPr="00497855">
        <w:rPr>
          <w:rFonts w:asciiTheme="minorHAnsi" w:hAnsiTheme="minorHAnsi" w:cstheme="minorHAnsi"/>
          <w:color w:val="364283" w:themeColor="accent1"/>
          <w:sz w:val="20"/>
          <w:szCs w:val="20"/>
          <w:lang w:val="en"/>
        </w:rPr>
        <w:t>Actions</w:t>
      </w:r>
      <w:r w:rsidR="006C6A2F">
        <w:rPr>
          <w:rFonts w:asciiTheme="minorHAnsi" w:hAnsiTheme="minorHAnsi" w:cstheme="minorHAnsi"/>
          <w:color w:val="364283" w:themeColor="accent1"/>
          <w:sz w:val="20"/>
          <w:szCs w:val="20"/>
          <w:lang w:val="en"/>
        </w:rPr>
        <w:t>/Critical Dates</w:t>
      </w:r>
    </w:p>
    <w:p w14:paraId="20B6B8D0" w14:textId="77D28CCB" w:rsidR="00876497" w:rsidRDefault="006C6A2F" w:rsidP="00876497">
      <w:pPr>
        <w:pStyle w:val="ListParagraph"/>
        <w:numPr>
          <w:ilvl w:val="0"/>
          <w:numId w:val="15"/>
        </w:numPr>
        <w:tabs>
          <w:tab w:val="left" w:pos="0"/>
          <w:tab w:val="left" w:pos="1080"/>
        </w:tabs>
        <w:spacing w:after="0" w:line="240" w:lineRule="auto"/>
        <w:ind w:hanging="357"/>
        <w:contextualSpacing w:val="0"/>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 xml:space="preserve">Learn Local Access, Choice and Equity Series </w:t>
      </w:r>
      <w:r w:rsidR="00650B3B">
        <w:rPr>
          <w:rFonts w:asciiTheme="minorHAnsi" w:hAnsiTheme="minorHAnsi" w:cstheme="minorHAnsi"/>
          <w:bCs/>
          <w:color w:val="2C2A29" w:themeColor="text1"/>
          <w:sz w:val="20"/>
          <w:szCs w:val="20"/>
          <w:lang w:val="en-GB"/>
        </w:rPr>
        <w:t>(see flyers for a full list of dates)</w:t>
      </w:r>
    </w:p>
    <w:p w14:paraId="4D0D4ACF" w14:textId="5375255F" w:rsidR="006C6A2F" w:rsidRDefault="006C6A2F" w:rsidP="00876497">
      <w:pPr>
        <w:pStyle w:val="ListParagraph"/>
        <w:numPr>
          <w:ilvl w:val="0"/>
          <w:numId w:val="15"/>
        </w:numPr>
        <w:tabs>
          <w:tab w:val="left" w:pos="0"/>
          <w:tab w:val="left" w:pos="1080"/>
        </w:tabs>
        <w:spacing w:after="0" w:line="240" w:lineRule="auto"/>
        <w:ind w:hanging="357"/>
        <w:contextualSpacing w:val="0"/>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 xml:space="preserve">Learn Local Leadership Masterclass Series </w:t>
      </w:r>
      <w:r w:rsidR="00650B3B">
        <w:rPr>
          <w:rFonts w:asciiTheme="minorHAnsi" w:hAnsiTheme="minorHAnsi" w:cstheme="minorHAnsi"/>
          <w:bCs/>
          <w:color w:val="2C2A29" w:themeColor="text1"/>
          <w:sz w:val="20"/>
          <w:szCs w:val="20"/>
          <w:lang w:val="en-GB"/>
        </w:rPr>
        <w:t>(see flyers for a full list of dates)</w:t>
      </w:r>
    </w:p>
    <w:p w14:paraId="1986D594" w14:textId="64BC49F5" w:rsidR="006C6A2F" w:rsidRDefault="006C6A2F" w:rsidP="006C6A2F">
      <w:pPr>
        <w:pStyle w:val="ListParagraph"/>
        <w:tabs>
          <w:tab w:val="left" w:pos="0"/>
          <w:tab w:val="left" w:pos="1080"/>
        </w:tabs>
        <w:spacing w:after="0" w:line="240" w:lineRule="auto"/>
        <w:ind w:left="360"/>
        <w:contextualSpacing w:val="0"/>
        <w:jc w:val="left"/>
        <w:rPr>
          <w:rFonts w:asciiTheme="minorHAnsi" w:hAnsiTheme="minorHAnsi" w:cstheme="minorHAnsi"/>
          <w:bCs/>
          <w:color w:val="2C2A29" w:themeColor="text1"/>
          <w:sz w:val="20"/>
          <w:szCs w:val="20"/>
          <w:lang w:val="en-GB"/>
        </w:rPr>
      </w:pPr>
    </w:p>
    <w:p w14:paraId="266E28E0" w14:textId="77777777" w:rsidR="006C6A2F" w:rsidRPr="006C6A2F" w:rsidRDefault="006C6A2F" w:rsidP="006C6A2F">
      <w:pPr>
        <w:pStyle w:val="ListParagraph"/>
        <w:tabs>
          <w:tab w:val="left" w:pos="0"/>
          <w:tab w:val="left" w:pos="1080"/>
        </w:tabs>
        <w:spacing w:after="0" w:line="240" w:lineRule="auto"/>
        <w:ind w:left="360"/>
        <w:contextualSpacing w:val="0"/>
        <w:jc w:val="left"/>
        <w:rPr>
          <w:rFonts w:asciiTheme="minorHAnsi" w:hAnsiTheme="minorHAnsi" w:cstheme="minorHAnsi"/>
          <w:bCs/>
          <w:color w:val="2C2A29" w:themeColor="text1"/>
          <w:sz w:val="20"/>
          <w:szCs w:val="20"/>
          <w:lang w:val="en-GB"/>
        </w:rPr>
      </w:pPr>
    </w:p>
    <w:p w14:paraId="1CDCBC5C" w14:textId="77777777" w:rsidR="00876497" w:rsidRPr="00497855" w:rsidRDefault="00876497" w:rsidP="00876497">
      <w:pPr>
        <w:pBdr>
          <w:top w:val="single" w:sz="4" w:space="1" w:color="auto"/>
        </w:pBdr>
        <w:jc w:val="left"/>
        <w:rPr>
          <w:rFonts w:asciiTheme="minorHAnsi" w:hAnsiTheme="minorHAnsi" w:cstheme="minorHAnsi"/>
          <w:color w:val="2C2A29" w:themeColor="text1"/>
          <w:sz w:val="20"/>
          <w:szCs w:val="20"/>
          <w:lang w:val="en"/>
        </w:rPr>
      </w:pPr>
    </w:p>
    <w:p w14:paraId="5B32E31F" w14:textId="3104DDD1" w:rsidR="00876497" w:rsidRPr="00890A37" w:rsidRDefault="00543E0A" w:rsidP="00876497">
      <w:pPr>
        <w:pBdr>
          <w:top w:val="single" w:sz="4" w:space="1" w:color="auto"/>
        </w:pBdr>
        <w:jc w:val="left"/>
        <w:rPr>
          <w:rFonts w:asciiTheme="minorHAnsi" w:hAnsiTheme="minorHAnsi" w:cstheme="minorHAnsi"/>
          <w:bCs/>
          <w:i/>
          <w:color w:val="364283" w:themeColor="accent1"/>
          <w:sz w:val="20"/>
          <w:szCs w:val="20"/>
          <w:lang w:val="en-GB"/>
        </w:rPr>
      </w:pPr>
      <w:r>
        <w:rPr>
          <w:rFonts w:asciiTheme="minorHAnsi" w:hAnsiTheme="minorHAnsi" w:cstheme="minorHAnsi"/>
          <w:color w:val="364283" w:themeColor="accent1"/>
          <w:sz w:val="20"/>
          <w:szCs w:val="20"/>
          <w:lang w:val="en"/>
        </w:rPr>
        <w:t>Professional Development Opportunities for Learn Local providers</w:t>
      </w:r>
    </w:p>
    <w:p w14:paraId="554EA37B" w14:textId="77777777" w:rsidR="00484B05" w:rsidRPr="00484B05" w:rsidRDefault="00484B05" w:rsidP="00484B05">
      <w:pPr>
        <w:numPr>
          <w:ilvl w:val="0"/>
          <w:numId w:val="30"/>
        </w:numPr>
        <w:overflowPunct w:val="0"/>
        <w:autoSpaceDE w:val="0"/>
        <w:autoSpaceDN w:val="0"/>
        <w:adjustRightInd w:val="0"/>
        <w:jc w:val="left"/>
        <w:textAlignment w:val="baseline"/>
        <w:rPr>
          <w:rFonts w:eastAsiaTheme="majorEastAsia"/>
          <w:color w:val="2C2A29" w:themeColor="text1"/>
          <w:sz w:val="20"/>
          <w:szCs w:val="20"/>
          <w:lang w:val="en-GB" w:eastAsia="en-US"/>
        </w:rPr>
      </w:pPr>
      <w:r w:rsidRPr="00484B05">
        <w:rPr>
          <w:rFonts w:eastAsiaTheme="majorEastAsia"/>
          <w:color w:val="2C2A29" w:themeColor="text1"/>
          <w:sz w:val="20"/>
          <w:szCs w:val="20"/>
          <w:lang w:val="en-GB" w:eastAsia="en-US"/>
        </w:rPr>
        <w:t>The Department of Education and Training supports professional development initiatives for vocational educational and training (VET) practitioners as part of its commitment to quality training outcomes for the Victorian vocational training system.</w:t>
      </w:r>
    </w:p>
    <w:p w14:paraId="4363974D" w14:textId="77777777" w:rsidR="00C538CC" w:rsidRPr="00C538CC" w:rsidRDefault="00C538CC" w:rsidP="00C538CC">
      <w:pPr>
        <w:numPr>
          <w:ilvl w:val="0"/>
          <w:numId w:val="30"/>
        </w:numPr>
        <w:overflowPunct w:val="0"/>
        <w:autoSpaceDE w:val="0"/>
        <w:autoSpaceDN w:val="0"/>
        <w:adjustRightInd w:val="0"/>
        <w:jc w:val="left"/>
        <w:textAlignment w:val="baseline"/>
        <w:rPr>
          <w:rFonts w:eastAsiaTheme="majorEastAsia"/>
          <w:color w:val="2C2A29" w:themeColor="text1"/>
          <w:sz w:val="20"/>
          <w:szCs w:val="20"/>
          <w:lang w:val="en-GB" w:eastAsia="en-US"/>
        </w:rPr>
      </w:pPr>
      <w:r w:rsidRPr="00C538CC">
        <w:rPr>
          <w:rFonts w:eastAsiaTheme="majorEastAsia"/>
          <w:color w:val="2C2A29" w:themeColor="text1"/>
          <w:sz w:val="20"/>
          <w:szCs w:val="20"/>
          <w:lang w:val="en-GB" w:eastAsia="en-US"/>
        </w:rPr>
        <w:t xml:space="preserve">Through the VET Development Centre (VDC), the Department aims to improve the capability and capacity of the Adult, Community and Education (ACFE) sector by making a range of professional learning opportunities available to Learn Local providers. </w:t>
      </w:r>
    </w:p>
    <w:p w14:paraId="44B46C7A" w14:textId="77777777" w:rsidR="008A35FA" w:rsidRPr="008A35FA" w:rsidRDefault="008A35FA" w:rsidP="008A35FA">
      <w:pPr>
        <w:numPr>
          <w:ilvl w:val="0"/>
          <w:numId w:val="30"/>
        </w:numPr>
        <w:overflowPunct w:val="0"/>
        <w:autoSpaceDE w:val="0"/>
        <w:autoSpaceDN w:val="0"/>
        <w:adjustRightInd w:val="0"/>
        <w:jc w:val="left"/>
        <w:textAlignment w:val="baseline"/>
        <w:rPr>
          <w:rFonts w:eastAsiaTheme="majorEastAsia"/>
          <w:color w:val="2C2A29" w:themeColor="text1"/>
          <w:sz w:val="20"/>
          <w:szCs w:val="20"/>
          <w:lang w:val="en-GB" w:eastAsia="en-US"/>
        </w:rPr>
      </w:pPr>
      <w:r w:rsidRPr="008A35FA">
        <w:rPr>
          <w:rFonts w:eastAsiaTheme="majorEastAsia"/>
          <w:color w:val="2C2A29" w:themeColor="text1"/>
          <w:sz w:val="20"/>
          <w:szCs w:val="20"/>
          <w:lang w:val="en-GB" w:eastAsia="en-US"/>
        </w:rPr>
        <w:t>The professional learning opportunities reflect the goal of the Pre-accredited Quality Framework, which is to ensure that quality and continuous improvement are embedded throughout all aspects of pre-accredited planning, program design and delivery, and learner pathways.</w:t>
      </w:r>
    </w:p>
    <w:p w14:paraId="206DE72D" w14:textId="46596DE4" w:rsidR="008A35FA" w:rsidRDefault="008A35FA" w:rsidP="008A35FA">
      <w:pPr>
        <w:numPr>
          <w:ilvl w:val="0"/>
          <w:numId w:val="30"/>
        </w:numPr>
        <w:overflowPunct w:val="0"/>
        <w:autoSpaceDE w:val="0"/>
        <w:autoSpaceDN w:val="0"/>
        <w:adjustRightInd w:val="0"/>
        <w:jc w:val="left"/>
        <w:textAlignment w:val="baseline"/>
        <w:rPr>
          <w:rFonts w:eastAsiaTheme="majorEastAsia"/>
          <w:color w:val="2C2A29" w:themeColor="text1"/>
          <w:sz w:val="20"/>
          <w:szCs w:val="20"/>
          <w:lang w:val="en-GB" w:eastAsia="en-US"/>
        </w:rPr>
      </w:pPr>
      <w:r w:rsidRPr="008A35FA">
        <w:rPr>
          <w:rFonts w:eastAsiaTheme="majorEastAsia"/>
          <w:color w:val="2C2A29" w:themeColor="text1"/>
          <w:sz w:val="20"/>
          <w:szCs w:val="20"/>
          <w:lang w:val="en-GB" w:eastAsia="en-US"/>
        </w:rPr>
        <w:t xml:space="preserve">Since the COVID-19 outbreak, the VDC has had to adapt their program to ensure practitioners are able to access professional development opportunities in a new virtual format and have had to redesign their original Work Plan for 2020. </w:t>
      </w:r>
    </w:p>
    <w:p w14:paraId="6FD9AE4C" w14:textId="5A369AEE" w:rsidR="00F26FBA" w:rsidRDefault="00F26FBA" w:rsidP="008A35FA">
      <w:pPr>
        <w:numPr>
          <w:ilvl w:val="0"/>
          <w:numId w:val="30"/>
        </w:numPr>
        <w:overflowPunct w:val="0"/>
        <w:autoSpaceDE w:val="0"/>
        <w:autoSpaceDN w:val="0"/>
        <w:adjustRightInd w:val="0"/>
        <w:jc w:val="left"/>
        <w:textAlignment w:val="baseline"/>
        <w:rPr>
          <w:rFonts w:eastAsiaTheme="majorEastAsia"/>
          <w:color w:val="2C2A29" w:themeColor="text1"/>
          <w:sz w:val="20"/>
          <w:szCs w:val="20"/>
          <w:lang w:val="en-GB" w:eastAsia="en-US"/>
        </w:rPr>
      </w:pPr>
      <w:r>
        <w:rPr>
          <w:rFonts w:eastAsiaTheme="majorEastAsia"/>
          <w:color w:val="2C2A29" w:themeColor="text1"/>
          <w:sz w:val="20"/>
          <w:szCs w:val="20"/>
          <w:lang w:val="en-GB" w:eastAsia="en-US"/>
        </w:rPr>
        <w:t xml:space="preserve">Through consultations with the Department as well as the facilitators </w:t>
      </w:r>
      <w:r w:rsidR="006D6DD9">
        <w:rPr>
          <w:rFonts w:eastAsiaTheme="majorEastAsia"/>
          <w:color w:val="2C2A29" w:themeColor="text1"/>
          <w:sz w:val="20"/>
          <w:szCs w:val="20"/>
          <w:lang w:val="en-GB" w:eastAsia="en-US"/>
        </w:rPr>
        <w:t xml:space="preserve">presenting at the VDC, </w:t>
      </w:r>
      <w:r w:rsidR="00FA6E75">
        <w:rPr>
          <w:rFonts w:eastAsiaTheme="majorEastAsia"/>
          <w:color w:val="2C2A29" w:themeColor="text1"/>
          <w:sz w:val="20"/>
          <w:szCs w:val="20"/>
          <w:lang w:val="en-GB" w:eastAsia="en-US"/>
        </w:rPr>
        <w:t xml:space="preserve">the virtual workshops have been </w:t>
      </w:r>
      <w:r w:rsidR="002E53AD">
        <w:rPr>
          <w:rFonts w:eastAsiaTheme="majorEastAsia"/>
          <w:color w:val="2C2A29" w:themeColor="text1"/>
          <w:sz w:val="20"/>
          <w:szCs w:val="20"/>
          <w:lang w:val="en-GB" w:eastAsia="en-US"/>
        </w:rPr>
        <w:t xml:space="preserve">structured to consist of </w:t>
      </w:r>
      <w:r w:rsidR="00C63AC1">
        <w:rPr>
          <w:rFonts w:eastAsiaTheme="majorEastAsia"/>
          <w:color w:val="2C2A29" w:themeColor="text1"/>
          <w:sz w:val="20"/>
          <w:szCs w:val="20"/>
          <w:lang w:val="en-GB" w:eastAsia="en-US"/>
        </w:rPr>
        <w:t xml:space="preserve">an original workshop, with a follow up </w:t>
      </w:r>
      <w:r w:rsidR="0049767C">
        <w:rPr>
          <w:rFonts w:eastAsiaTheme="majorEastAsia"/>
          <w:color w:val="2C2A29" w:themeColor="text1"/>
          <w:sz w:val="20"/>
          <w:szCs w:val="20"/>
          <w:lang w:val="en-GB" w:eastAsia="en-US"/>
        </w:rPr>
        <w:t xml:space="preserve">session with the facilitator, approximately one month after. </w:t>
      </w:r>
      <w:r w:rsidR="00156F3B">
        <w:rPr>
          <w:rFonts w:eastAsiaTheme="majorEastAsia"/>
          <w:color w:val="2C2A29" w:themeColor="text1"/>
          <w:sz w:val="20"/>
          <w:szCs w:val="20"/>
          <w:lang w:val="en-GB" w:eastAsia="en-US"/>
        </w:rPr>
        <w:t>The purpose of the follow up session is to assist in consolidating learning, share insights and provide an opportunity to network</w:t>
      </w:r>
      <w:r w:rsidR="00944529">
        <w:rPr>
          <w:rFonts w:eastAsiaTheme="majorEastAsia"/>
          <w:color w:val="2C2A29" w:themeColor="text1"/>
          <w:sz w:val="20"/>
          <w:szCs w:val="20"/>
          <w:lang w:val="en-GB" w:eastAsia="en-US"/>
        </w:rPr>
        <w:t xml:space="preserve">. </w:t>
      </w:r>
    </w:p>
    <w:p w14:paraId="608A2398" w14:textId="5BB2AE2F" w:rsidR="00543102" w:rsidRPr="008A35FA" w:rsidRDefault="00543102" w:rsidP="008A35FA">
      <w:pPr>
        <w:numPr>
          <w:ilvl w:val="0"/>
          <w:numId w:val="30"/>
        </w:numPr>
        <w:overflowPunct w:val="0"/>
        <w:autoSpaceDE w:val="0"/>
        <w:autoSpaceDN w:val="0"/>
        <w:adjustRightInd w:val="0"/>
        <w:jc w:val="left"/>
        <w:textAlignment w:val="baseline"/>
        <w:rPr>
          <w:rFonts w:eastAsiaTheme="majorEastAsia"/>
          <w:color w:val="2C2A29" w:themeColor="text1"/>
          <w:sz w:val="20"/>
          <w:szCs w:val="20"/>
          <w:lang w:val="en-GB" w:eastAsia="en-US"/>
        </w:rPr>
      </w:pPr>
      <w:r>
        <w:rPr>
          <w:rFonts w:eastAsiaTheme="majorEastAsia"/>
          <w:color w:val="2C2A29" w:themeColor="text1"/>
          <w:sz w:val="20"/>
          <w:szCs w:val="20"/>
          <w:lang w:val="en-GB" w:eastAsia="en-US"/>
        </w:rPr>
        <w:t xml:space="preserve">The VDC </w:t>
      </w:r>
      <w:r w:rsidR="006E158C">
        <w:rPr>
          <w:rFonts w:eastAsiaTheme="majorEastAsia"/>
          <w:color w:val="2C2A29" w:themeColor="text1"/>
          <w:sz w:val="20"/>
          <w:szCs w:val="20"/>
          <w:lang w:val="en-GB" w:eastAsia="en-US"/>
        </w:rPr>
        <w:t xml:space="preserve">is </w:t>
      </w:r>
      <w:r>
        <w:rPr>
          <w:rFonts w:eastAsiaTheme="majorEastAsia"/>
          <w:color w:val="2C2A29" w:themeColor="text1"/>
          <w:sz w:val="20"/>
          <w:szCs w:val="20"/>
          <w:lang w:val="en-GB" w:eastAsia="en-US"/>
        </w:rPr>
        <w:t>ensur</w:t>
      </w:r>
      <w:r w:rsidR="006E158C">
        <w:rPr>
          <w:rFonts w:eastAsiaTheme="majorEastAsia"/>
          <w:color w:val="2C2A29" w:themeColor="text1"/>
          <w:sz w:val="20"/>
          <w:szCs w:val="20"/>
          <w:lang w:val="en-GB" w:eastAsia="en-US"/>
        </w:rPr>
        <w:t xml:space="preserve">ing </w:t>
      </w:r>
      <w:r w:rsidR="00944529">
        <w:rPr>
          <w:rFonts w:eastAsiaTheme="majorEastAsia"/>
          <w:color w:val="2C2A29" w:themeColor="text1"/>
          <w:sz w:val="20"/>
          <w:szCs w:val="20"/>
          <w:lang w:val="en-GB" w:eastAsia="en-US"/>
        </w:rPr>
        <w:t>there is</w:t>
      </w:r>
      <w:r w:rsidR="006E158C">
        <w:rPr>
          <w:rFonts w:eastAsiaTheme="majorEastAsia"/>
          <w:color w:val="2C2A29" w:themeColor="text1"/>
          <w:sz w:val="20"/>
          <w:szCs w:val="20"/>
          <w:lang w:val="en-GB" w:eastAsia="en-US"/>
        </w:rPr>
        <w:t xml:space="preserve"> </w:t>
      </w:r>
      <w:r>
        <w:rPr>
          <w:rFonts w:eastAsiaTheme="majorEastAsia"/>
          <w:color w:val="2C2A29" w:themeColor="text1"/>
          <w:sz w:val="20"/>
          <w:szCs w:val="20"/>
          <w:lang w:val="en-GB" w:eastAsia="en-US"/>
        </w:rPr>
        <w:t xml:space="preserve">accessibility for participants </w:t>
      </w:r>
      <w:r w:rsidR="006E158C">
        <w:rPr>
          <w:rFonts w:eastAsiaTheme="majorEastAsia"/>
          <w:color w:val="2C2A29" w:themeColor="text1"/>
          <w:sz w:val="20"/>
          <w:szCs w:val="20"/>
          <w:lang w:val="en-GB" w:eastAsia="en-US"/>
        </w:rPr>
        <w:t xml:space="preserve">through an </w:t>
      </w:r>
      <w:r w:rsidR="006E158C" w:rsidRPr="006E158C">
        <w:rPr>
          <w:rFonts w:eastAsiaTheme="majorEastAsia"/>
          <w:i/>
          <w:iCs/>
          <w:color w:val="2C2A29" w:themeColor="text1"/>
          <w:sz w:val="20"/>
          <w:szCs w:val="20"/>
          <w:lang w:val="en-GB" w:eastAsia="en-US"/>
        </w:rPr>
        <w:t>e-book learning resource</w:t>
      </w:r>
      <w:r w:rsidR="006E158C">
        <w:rPr>
          <w:rFonts w:eastAsiaTheme="majorEastAsia"/>
          <w:color w:val="2C2A29" w:themeColor="text1"/>
          <w:sz w:val="20"/>
          <w:szCs w:val="20"/>
          <w:lang w:val="en-GB" w:eastAsia="en-US"/>
        </w:rPr>
        <w:t>, which will be provided to everyone u</w:t>
      </w:r>
      <w:r w:rsidR="00D51EBF">
        <w:rPr>
          <w:rFonts w:eastAsiaTheme="majorEastAsia"/>
          <w:color w:val="2C2A29" w:themeColor="text1"/>
          <w:sz w:val="20"/>
          <w:szCs w:val="20"/>
          <w:lang w:val="en-GB" w:eastAsia="en-US"/>
        </w:rPr>
        <w:t xml:space="preserve">pon commencement of the </w:t>
      </w:r>
      <w:r w:rsidR="00944529">
        <w:rPr>
          <w:rFonts w:eastAsiaTheme="majorEastAsia"/>
          <w:color w:val="2C2A29" w:themeColor="text1"/>
          <w:sz w:val="20"/>
          <w:szCs w:val="20"/>
          <w:lang w:val="en-GB" w:eastAsia="en-US"/>
        </w:rPr>
        <w:t>workshop</w:t>
      </w:r>
      <w:r w:rsidR="002D7586">
        <w:rPr>
          <w:rFonts w:eastAsiaTheme="majorEastAsia"/>
          <w:color w:val="2C2A29" w:themeColor="text1"/>
          <w:sz w:val="20"/>
          <w:szCs w:val="20"/>
          <w:lang w:val="en-GB" w:eastAsia="en-US"/>
        </w:rPr>
        <w:t xml:space="preserve"> to assist with the new online format. </w:t>
      </w:r>
    </w:p>
    <w:p w14:paraId="59C06E6F" w14:textId="77777777" w:rsidR="00F26FBA" w:rsidRPr="008A35FA" w:rsidRDefault="00F26FBA" w:rsidP="00F26FBA">
      <w:pPr>
        <w:overflowPunct w:val="0"/>
        <w:autoSpaceDE w:val="0"/>
        <w:autoSpaceDN w:val="0"/>
        <w:adjustRightInd w:val="0"/>
        <w:jc w:val="left"/>
        <w:textAlignment w:val="baseline"/>
        <w:rPr>
          <w:rFonts w:eastAsiaTheme="majorEastAsia"/>
          <w:color w:val="2C2A29" w:themeColor="text1"/>
          <w:sz w:val="20"/>
          <w:szCs w:val="20"/>
          <w:lang w:val="en-GB" w:eastAsia="en-US"/>
        </w:rPr>
      </w:pPr>
    </w:p>
    <w:p w14:paraId="0A6C2DB7" w14:textId="67D48607" w:rsidR="00E0511E" w:rsidRPr="00E0511E" w:rsidRDefault="00E0511E" w:rsidP="00876497">
      <w:pPr>
        <w:jc w:val="left"/>
        <w:rPr>
          <w:rFonts w:asciiTheme="minorHAnsi" w:hAnsiTheme="minorHAnsi" w:cstheme="minorHAnsi"/>
          <w:color w:val="364283" w:themeColor="accent1"/>
          <w:sz w:val="20"/>
          <w:szCs w:val="20"/>
        </w:rPr>
      </w:pPr>
      <w:r w:rsidRPr="00E0511E">
        <w:rPr>
          <w:rFonts w:asciiTheme="minorHAnsi" w:hAnsiTheme="minorHAnsi" w:cstheme="minorHAnsi"/>
          <w:color w:val="364283" w:themeColor="accent1"/>
          <w:sz w:val="20"/>
          <w:szCs w:val="20"/>
        </w:rPr>
        <w:t>Access, Choice and Equity Series in 2020</w:t>
      </w:r>
    </w:p>
    <w:p w14:paraId="0FA91C99" w14:textId="7B60DE17" w:rsidR="00E0511E" w:rsidRDefault="00E0511E" w:rsidP="00E0511E">
      <w:pPr>
        <w:pStyle w:val="ListParagraph"/>
        <w:numPr>
          <w:ilvl w:val="0"/>
          <w:numId w:val="30"/>
        </w:numPr>
        <w:jc w:val="left"/>
        <w:rPr>
          <w:rFonts w:asciiTheme="minorHAnsi" w:hAnsiTheme="minorHAnsi" w:cstheme="minorHAnsi"/>
          <w:color w:val="2C2A29" w:themeColor="text1"/>
          <w:sz w:val="20"/>
          <w:szCs w:val="20"/>
        </w:rPr>
      </w:pPr>
      <w:r w:rsidRPr="00E0511E">
        <w:rPr>
          <w:rFonts w:asciiTheme="minorHAnsi" w:hAnsiTheme="minorHAnsi" w:cstheme="minorHAnsi"/>
          <w:color w:val="2C2A29" w:themeColor="text1"/>
          <w:sz w:val="20"/>
          <w:szCs w:val="20"/>
        </w:rPr>
        <w:t>Participants are encouraged to attend all four workshops or alternatively individual workshops accordingly to their requirements. The four workshops are as follows;</w:t>
      </w:r>
    </w:p>
    <w:p w14:paraId="4E3503E1" w14:textId="58D9CE5C" w:rsidR="00E0511E" w:rsidRDefault="00650B3B" w:rsidP="00E0511E">
      <w:pPr>
        <w:pStyle w:val="ListParagraph"/>
        <w:numPr>
          <w:ilvl w:val="1"/>
          <w:numId w:val="30"/>
        </w:num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rPr>
        <w:t xml:space="preserve">Virtual </w:t>
      </w:r>
      <w:r w:rsidR="00E0511E">
        <w:rPr>
          <w:rFonts w:asciiTheme="minorHAnsi" w:hAnsiTheme="minorHAnsi" w:cstheme="minorHAnsi"/>
          <w:color w:val="2C2A29" w:themeColor="text1"/>
          <w:sz w:val="20"/>
          <w:szCs w:val="20"/>
        </w:rPr>
        <w:t>Workshop 1 – Developing Outreach and Engagement</w:t>
      </w:r>
    </w:p>
    <w:p w14:paraId="4AA071F1" w14:textId="6C36C528" w:rsidR="00E0511E" w:rsidRDefault="00650B3B" w:rsidP="00E0511E">
      <w:pPr>
        <w:pStyle w:val="ListParagraph"/>
        <w:numPr>
          <w:ilvl w:val="1"/>
          <w:numId w:val="30"/>
        </w:num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rPr>
        <w:t xml:space="preserve">Virtual Workshop 2 – Building Learner Support and Wellbeing </w:t>
      </w:r>
    </w:p>
    <w:p w14:paraId="0C368938" w14:textId="0AD9625F" w:rsidR="00650B3B" w:rsidRDefault="00650B3B" w:rsidP="00E0511E">
      <w:pPr>
        <w:pStyle w:val="ListParagraph"/>
        <w:numPr>
          <w:ilvl w:val="1"/>
          <w:numId w:val="30"/>
        </w:num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rPr>
        <w:t xml:space="preserve">Virtual Workshop 3 – Teaching Strategies to Improve Learning </w:t>
      </w:r>
    </w:p>
    <w:p w14:paraId="509F9946" w14:textId="36517C99" w:rsidR="00650B3B" w:rsidRPr="00E0511E" w:rsidRDefault="00650B3B" w:rsidP="00E0511E">
      <w:pPr>
        <w:pStyle w:val="ListParagraph"/>
        <w:numPr>
          <w:ilvl w:val="1"/>
          <w:numId w:val="30"/>
        </w:num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rPr>
        <w:t xml:space="preserve">Virtual Workshop 4 – Supporting Pathways </w:t>
      </w:r>
    </w:p>
    <w:p w14:paraId="08E688B9" w14:textId="2A7B222A" w:rsidR="00E0511E" w:rsidRPr="00E0511E" w:rsidRDefault="00E0511E" w:rsidP="00E0511E">
      <w:pPr>
        <w:jc w:val="left"/>
        <w:rPr>
          <w:rFonts w:asciiTheme="minorHAnsi" w:hAnsiTheme="minorHAnsi" w:cstheme="minorHAnsi"/>
          <w:color w:val="364283" w:themeColor="accent1"/>
          <w:sz w:val="20"/>
          <w:szCs w:val="20"/>
        </w:rPr>
      </w:pPr>
      <w:r>
        <w:rPr>
          <w:rFonts w:asciiTheme="minorHAnsi" w:hAnsiTheme="minorHAnsi" w:cstheme="minorHAnsi"/>
          <w:color w:val="364283" w:themeColor="accent1"/>
          <w:sz w:val="20"/>
          <w:szCs w:val="20"/>
        </w:rPr>
        <w:t>Leadership Masterclass</w:t>
      </w:r>
      <w:r w:rsidRPr="00E0511E">
        <w:rPr>
          <w:rFonts w:asciiTheme="minorHAnsi" w:hAnsiTheme="minorHAnsi" w:cstheme="minorHAnsi"/>
          <w:color w:val="364283" w:themeColor="accent1"/>
          <w:sz w:val="20"/>
          <w:szCs w:val="20"/>
        </w:rPr>
        <w:t xml:space="preserve"> Series in 2020</w:t>
      </w:r>
    </w:p>
    <w:p w14:paraId="3B034E7B" w14:textId="6A139514" w:rsidR="00E0511E" w:rsidRDefault="00650B3B" w:rsidP="00650B3B">
      <w:pPr>
        <w:pStyle w:val="ListParagraph"/>
        <w:numPr>
          <w:ilvl w:val="0"/>
          <w:numId w:val="30"/>
        </w:num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rPr>
        <w:t xml:space="preserve">The Masterclass Series will be broken down into two virtual workshops with a follow up session date available a month after the initial workshop. It will be beneficial for participants to </w:t>
      </w:r>
      <w:proofErr w:type="spellStart"/>
      <w:r>
        <w:rPr>
          <w:rFonts w:asciiTheme="minorHAnsi" w:hAnsiTheme="minorHAnsi" w:cstheme="minorHAnsi"/>
          <w:color w:val="2C2A29" w:themeColor="text1"/>
          <w:sz w:val="20"/>
          <w:szCs w:val="20"/>
        </w:rPr>
        <w:t>enrol</w:t>
      </w:r>
      <w:proofErr w:type="spellEnd"/>
      <w:r>
        <w:rPr>
          <w:rFonts w:asciiTheme="minorHAnsi" w:hAnsiTheme="minorHAnsi" w:cstheme="minorHAnsi"/>
          <w:color w:val="2C2A29" w:themeColor="text1"/>
          <w:sz w:val="20"/>
          <w:szCs w:val="20"/>
        </w:rPr>
        <w:t xml:space="preserve"> in both workshops and ensure the follow up sessions are attended to for maximum impact. The two workshops are as follows;</w:t>
      </w:r>
    </w:p>
    <w:p w14:paraId="0C4B00DA" w14:textId="08095F48" w:rsidR="00650B3B" w:rsidRDefault="00650B3B" w:rsidP="00650B3B">
      <w:pPr>
        <w:pStyle w:val="ListParagraph"/>
        <w:numPr>
          <w:ilvl w:val="1"/>
          <w:numId w:val="30"/>
        </w:num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rPr>
        <w:t xml:space="preserve">Virtual Masterclass 1 – Governance and Leadership for Learn Locals </w:t>
      </w:r>
    </w:p>
    <w:p w14:paraId="6A990520" w14:textId="7C88CD47" w:rsidR="00650B3B" w:rsidRPr="00650B3B" w:rsidRDefault="00650B3B" w:rsidP="00650B3B">
      <w:pPr>
        <w:pStyle w:val="ListParagraph"/>
        <w:numPr>
          <w:ilvl w:val="1"/>
          <w:numId w:val="30"/>
        </w:num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rPr>
        <w:t xml:space="preserve">Virtual Masterclass 2 – Driving </w:t>
      </w:r>
      <w:proofErr w:type="spellStart"/>
      <w:r>
        <w:rPr>
          <w:rFonts w:asciiTheme="minorHAnsi" w:hAnsiTheme="minorHAnsi" w:cstheme="minorHAnsi"/>
          <w:color w:val="2C2A29" w:themeColor="text1"/>
          <w:sz w:val="20"/>
          <w:szCs w:val="20"/>
        </w:rPr>
        <w:t>Organisational</w:t>
      </w:r>
      <w:proofErr w:type="spellEnd"/>
      <w:r>
        <w:rPr>
          <w:rFonts w:asciiTheme="minorHAnsi" w:hAnsiTheme="minorHAnsi" w:cstheme="minorHAnsi"/>
          <w:color w:val="2C2A29" w:themeColor="text1"/>
          <w:sz w:val="20"/>
          <w:szCs w:val="20"/>
        </w:rPr>
        <w:t xml:space="preserve"> Performance</w:t>
      </w:r>
    </w:p>
    <w:p w14:paraId="03B08E6D" w14:textId="12180810" w:rsidR="00876497" w:rsidRPr="00890A37" w:rsidRDefault="00484B05" w:rsidP="00876497">
      <w:pPr>
        <w:jc w:val="left"/>
        <w:rPr>
          <w:rFonts w:asciiTheme="minorHAnsi" w:hAnsiTheme="minorHAnsi" w:cstheme="minorHAnsi"/>
          <w:color w:val="364283" w:themeColor="accent1"/>
          <w:sz w:val="20"/>
          <w:szCs w:val="20"/>
          <w:lang w:val="en-US"/>
        </w:rPr>
      </w:pPr>
      <w:r>
        <w:rPr>
          <w:rFonts w:asciiTheme="minorHAnsi" w:hAnsiTheme="minorHAnsi" w:cstheme="minorHAnsi"/>
          <w:color w:val="364283" w:themeColor="accent1"/>
          <w:sz w:val="20"/>
          <w:szCs w:val="20"/>
          <w:lang w:val="en-US"/>
        </w:rPr>
        <w:t xml:space="preserve">Who is eligible to attend? </w:t>
      </w:r>
    </w:p>
    <w:p w14:paraId="2754A66B" w14:textId="0DD999DD" w:rsidR="00876497" w:rsidRDefault="00484B05" w:rsidP="00876497">
      <w:pPr>
        <w:jc w:val="left"/>
        <w:rPr>
          <w:rFonts w:asciiTheme="minorHAnsi" w:hAnsiTheme="minorHAnsi" w:cstheme="minorHAnsi"/>
          <w:color w:val="2C2A29" w:themeColor="text1"/>
          <w:sz w:val="20"/>
          <w:szCs w:val="20"/>
          <w:lang w:val="en"/>
        </w:rPr>
      </w:pPr>
      <w:r>
        <w:rPr>
          <w:rFonts w:asciiTheme="minorHAnsi" w:hAnsiTheme="minorHAnsi" w:cstheme="minorHAnsi"/>
          <w:color w:val="2C2A29" w:themeColor="text1"/>
          <w:sz w:val="20"/>
          <w:szCs w:val="20"/>
          <w:lang w:val="en"/>
        </w:rPr>
        <w:t xml:space="preserve">The </w:t>
      </w:r>
      <w:r w:rsidR="00E0511E">
        <w:rPr>
          <w:rFonts w:asciiTheme="minorHAnsi" w:hAnsiTheme="minorHAnsi" w:cstheme="minorHAnsi"/>
          <w:color w:val="2C2A29" w:themeColor="text1"/>
          <w:sz w:val="20"/>
          <w:szCs w:val="20"/>
          <w:lang w:val="en"/>
        </w:rPr>
        <w:t xml:space="preserve">workshops are for practitioners teaching, training or assessing in the Learn Local and ACFE areas, as well as senior managers, directors and board members from Learn Local providers, registered with the ACFE Board. </w:t>
      </w:r>
      <w:r>
        <w:rPr>
          <w:rFonts w:asciiTheme="minorHAnsi" w:hAnsiTheme="minorHAnsi" w:cstheme="minorHAnsi"/>
          <w:color w:val="2C2A29" w:themeColor="text1"/>
          <w:sz w:val="20"/>
          <w:szCs w:val="20"/>
          <w:lang w:val="en"/>
        </w:rPr>
        <w:t xml:space="preserve"> </w:t>
      </w:r>
    </w:p>
    <w:p w14:paraId="3F0EDBBD" w14:textId="74A8CE9C" w:rsidR="00E0511E" w:rsidRDefault="00E0511E" w:rsidP="00876497">
      <w:pPr>
        <w:jc w:val="left"/>
        <w:rPr>
          <w:rFonts w:asciiTheme="minorHAnsi" w:hAnsiTheme="minorHAnsi" w:cstheme="minorHAnsi"/>
          <w:color w:val="364283" w:themeColor="accent1"/>
          <w:sz w:val="20"/>
          <w:szCs w:val="20"/>
        </w:rPr>
      </w:pPr>
    </w:p>
    <w:p w14:paraId="0B0B2F29" w14:textId="5E255704" w:rsidR="008C3D56" w:rsidRDefault="008C3D56" w:rsidP="00876497">
      <w:pPr>
        <w:jc w:val="left"/>
        <w:rPr>
          <w:rFonts w:asciiTheme="minorHAnsi" w:hAnsiTheme="minorHAnsi" w:cstheme="minorHAnsi"/>
          <w:color w:val="364283" w:themeColor="accent1"/>
          <w:sz w:val="20"/>
          <w:szCs w:val="20"/>
        </w:rPr>
      </w:pPr>
    </w:p>
    <w:p w14:paraId="59881436" w14:textId="547C3AB3" w:rsidR="008C3D56" w:rsidRDefault="008C3D56" w:rsidP="00876497">
      <w:pPr>
        <w:jc w:val="left"/>
        <w:rPr>
          <w:rFonts w:asciiTheme="minorHAnsi" w:hAnsiTheme="minorHAnsi" w:cstheme="minorHAnsi"/>
          <w:color w:val="364283" w:themeColor="accent1"/>
          <w:sz w:val="20"/>
          <w:szCs w:val="20"/>
        </w:rPr>
      </w:pPr>
    </w:p>
    <w:p w14:paraId="3CE4D220" w14:textId="315DDB16" w:rsidR="008C3D56" w:rsidRDefault="008C3D56" w:rsidP="00876497">
      <w:pPr>
        <w:jc w:val="left"/>
        <w:rPr>
          <w:rFonts w:asciiTheme="minorHAnsi" w:hAnsiTheme="minorHAnsi" w:cstheme="minorHAnsi"/>
          <w:color w:val="364283" w:themeColor="accent1"/>
          <w:sz w:val="20"/>
          <w:szCs w:val="20"/>
        </w:rPr>
      </w:pPr>
    </w:p>
    <w:p w14:paraId="78AA9D13" w14:textId="4458EA0C" w:rsidR="008C3D56" w:rsidRDefault="008C3D56" w:rsidP="00876497">
      <w:pPr>
        <w:jc w:val="left"/>
        <w:rPr>
          <w:rFonts w:asciiTheme="minorHAnsi" w:hAnsiTheme="minorHAnsi" w:cstheme="minorHAnsi"/>
          <w:color w:val="364283" w:themeColor="accent1"/>
          <w:sz w:val="20"/>
          <w:szCs w:val="20"/>
        </w:rPr>
      </w:pPr>
    </w:p>
    <w:p w14:paraId="2217A9D9" w14:textId="00DBBB5C" w:rsidR="008C3D56" w:rsidRDefault="008C3D56" w:rsidP="00876497">
      <w:pPr>
        <w:jc w:val="left"/>
        <w:rPr>
          <w:rFonts w:asciiTheme="minorHAnsi" w:hAnsiTheme="minorHAnsi" w:cstheme="minorHAnsi"/>
          <w:color w:val="364283" w:themeColor="accent1"/>
          <w:sz w:val="20"/>
          <w:szCs w:val="20"/>
        </w:rPr>
      </w:pPr>
    </w:p>
    <w:p w14:paraId="08AF5D84" w14:textId="77777777" w:rsidR="008C3D56" w:rsidRDefault="008C3D56" w:rsidP="00876497">
      <w:pPr>
        <w:jc w:val="left"/>
        <w:rPr>
          <w:rFonts w:asciiTheme="minorHAnsi" w:hAnsiTheme="minorHAnsi" w:cstheme="minorHAnsi"/>
          <w:color w:val="364283" w:themeColor="accent1"/>
          <w:sz w:val="20"/>
          <w:szCs w:val="20"/>
        </w:rPr>
      </w:pPr>
    </w:p>
    <w:p w14:paraId="7AFAE2EA" w14:textId="3EF9FDD8" w:rsidR="00876497" w:rsidRPr="00484B05" w:rsidRDefault="00484B05" w:rsidP="00876497">
      <w:pPr>
        <w:jc w:val="left"/>
        <w:rPr>
          <w:rFonts w:asciiTheme="minorHAnsi" w:hAnsiTheme="minorHAnsi" w:cstheme="minorHAnsi"/>
          <w:color w:val="364283" w:themeColor="accent1"/>
          <w:sz w:val="20"/>
          <w:szCs w:val="20"/>
        </w:rPr>
      </w:pPr>
      <w:r w:rsidRPr="00484B05">
        <w:rPr>
          <w:rFonts w:asciiTheme="minorHAnsi" w:hAnsiTheme="minorHAnsi" w:cstheme="minorHAnsi"/>
          <w:color w:val="364283" w:themeColor="accent1"/>
          <w:sz w:val="20"/>
          <w:szCs w:val="20"/>
        </w:rPr>
        <w:lastRenderedPageBreak/>
        <w:t>How to register</w:t>
      </w:r>
    </w:p>
    <w:p w14:paraId="08D1C763" w14:textId="43421B44" w:rsidR="00484B05" w:rsidRDefault="00484B05" w:rsidP="00876497">
      <w:pPr>
        <w:jc w:val="left"/>
        <w:rPr>
          <w:rFonts w:asciiTheme="minorHAnsi" w:hAnsiTheme="minorHAnsi" w:cstheme="minorHAnsi"/>
          <w:color w:val="0070C0"/>
          <w:sz w:val="20"/>
          <w:szCs w:val="20"/>
          <w:u w:val="single"/>
          <w:lang w:val="en"/>
        </w:rPr>
      </w:pPr>
      <w:r>
        <w:rPr>
          <w:rFonts w:asciiTheme="minorHAnsi" w:hAnsiTheme="minorHAnsi" w:cstheme="minorHAnsi"/>
          <w:color w:val="2C2A29" w:themeColor="text1"/>
          <w:sz w:val="20"/>
          <w:szCs w:val="20"/>
          <w:lang w:val="en"/>
        </w:rPr>
        <w:t xml:space="preserve">Click </w:t>
      </w:r>
      <w:hyperlink r:id="rId11" w:history="1">
        <w:r w:rsidRPr="00484B05">
          <w:rPr>
            <w:rStyle w:val="Hyperlink"/>
            <w:rFonts w:asciiTheme="minorHAnsi" w:hAnsiTheme="minorHAnsi" w:cstheme="minorHAnsi"/>
            <w:sz w:val="20"/>
            <w:szCs w:val="20"/>
            <w:lang w:val="en"/>
          </w:rPr>
          <w:t>here</w:t>
        </w:r>
      </w:hyperlink>
      <w:r>
        <w:rPr>
          <w:rFonts w:asciiTheme="minorHAnsi" w:hAnsiTheme="minorHAnsi" w:cstheme="minorHAnsi"/>
          <w:color w:val="2C2A29" w:themeColor="text1"/>
          <w:sz w:val="20"/>
          <w:szCs w:val="20"/>
          <w:lang w:val="en"/>
        </w:rPr>
        <w:t xml:space="preserve"> to register online OR see attached flyers for details. </w:t>
      </w:r>
    </w:p>
    <w:p w14:paraId="4AEACDB4" w14:textId="77777777" w:rsidR="00484B05" w:rsidRPr="0090383E" w:rsidRDefault="00484B05" w:rsidP="00876497">
      <w:pPr>
        <w:jc w:val="left"/>
        <w:rPr>
          <w:rFonts w:asciiTheme="minorHAnsi" w:hAnsiTheme="minorHAnsi" w:cstheme="minorHAnsi"/>
          <w:color w:val="2C2A29" w:themeColor="text1"/>
          <w:sz w:val="20"/>
          <w:szCs w:val="20"/>
          <w:lang w:val="en"/>
        </w:rPr>
      </w:pPr>
    </w:p>
    <w:p w14:paraId="5E29A152" w14:textId="77777777" w:rsidR="00484B05" w:rsidRPr="00484B05" w:rsidRDefault="00484B05" w:rsidP="00484B05">
      <w:pPr>
        <w:rPr>
          <w:rStyle w:val="Hyperlink"/>
          <w:rFonts w:cs="Arial"/>
          <w:color w:val="auto"/>
          <w:sz w:val="20"/>
          <w:szCs w:val="20"/>
          <w:u w:val="none"/>
          <w:lang w:val="en"/>
        </w:rPr>
      </w:pPr>
      <w:r w:rsidRPr="00484B05">
        <w:rPr>
          <w:rStyle w:val="Hyperlink"/>
          <w:rFonts w:cs="Arial"/>
          <w:color w:val="auto"/>
          <w:sz w:val="20"/>
          <w:szCs w:val="20"/>
          <w:u w:val="none"/>
          <w:lang w:val="en"/>
        </w:rPr>
        <w:t>Alternatively, contact the VDC directly, to register manually:</w:t>
      </w:r>
    </w:p>
    <w:p w14:paraId="7E1EA053" w14:textId="77777777" w:rsidR="00484B05" w:rsidRPr="00484B05" w:rsidRDefault="00484B05" w:rsidP="00484B05">
      <w:pPr>
        <w:rPr>
          <w:b/>
          <w:sz w:val="20"/>
          <w:szCs w:val="20"/>
          <w:lang w:val="en-GB"/>
        </w:rPr>
      </w:pPr>
      <w:r w:rsidRPr="00484B05">
        <w:rPr>
          <w:b/>
          <w:sz w:val="20"/>
          <w:szCs w:val="20"/>
          <w:lang w:val="en-GB"/>
        </w:rPr>
        <w:t xml:space="preserve">VET Development Centre </w:t>
      </w:r>
    </w:p>
    <w:p w14:paraId="77F992AD" w14:textId="77777777" w:rsidR="00484B05" w:rsidRPr="00484B05" w:rsidRDefault="00484B05" w:rsidP="00484B05">
      <w:pPr>
        <w:rPr>
          <w:sz w:val="20"/>
          <w:szCs w:val="20"/>
          <w:lang w:val="en-GB"/>
        </w:rPr>
      </w:pPr>
      <w:r w:rsidRPr="00484B05">
        <w:rPr>
          <w:sz w:val="20"/>
          <w:szCs w:val="20"/>
          <w:lang w:val="en-GB"/>
        </w:rPr>
        <w:t xml:space="preserve">Level 8, 379 Collins Street </w:t>
      </w:r>
    </w:p>
    <w:p w14:paraId="3C7CE0DF" w14:textId="77777777" w:rsidR="00484B05" w:rsidRPr="00484B05" w:rsidRDefault="00484B05" w:rsidP="00484B05">
      <w:pPr>
        <w:rPr>
          <w:sz w:val="20"/>
          <w:szCs w:val="20"/>
          <w:lang w:val="en-GB"/>
        </w:rPr>
      </w:pPr>
      <w:r w:rsidRPr="00484B05">
        <w:rPr>
          <w:sz w:val="20"/>
          <w:szCs w:val="20"/>
          <w:lang w:val="en-GB"/>
        </w:rPr>
        <w:t>Melbourne VIC 3000</w:t>
      </w:r>
    </w:p>
    <w:p w14:paraId="1DCBA5C1" w14:textId="77777777" w:rsidR="00484B05" w:rsidRPr="00484B05" w:rsidRDefault="00484B05" w:rsidP="00484B05">
      <w:pPr>
        <w:rPr>
          <w:sz w:val="20"/>
          <w:szCs w:val="20"/>
          <w:lang w:val="en-GB"/>
        </w:rPr>
      </w:pPr>
      <w:r w:rsidRPr="00484B05">
        <w:rPr>
          <w:sz w:val="20"/>
          <w:szCs w:val="20"/>
          <w:lang w:val="en-GB"/>
        </w:rPr>
        <w:t xml:space="preserve">Phone: 1300 917 150 </w:t>
      </w:r>
    </w:p>
    <w:p w14:paraId="28A28F51" w14:textId="77777777" w:rsidR="00484B05" w:rsidRPr="00484B05" w:rsidRDefault="00484B05" w:rsidP="00484B05">
      <w:pPr>
        <w:rPr>
          <w:rStyle w:val="Hyperlink"/>
          <w:rFonts w:cs="Arial"/>
          <w:sz w:val="20"/>
          <w:szCs w:val="20"/>
          <w:lang w:val="en"/>
        </w:rPr>
      </w:pPr>
      <w:r w:rsidRPr="00484B05">
        <w:rPr>
          <w:sz w:val="20"/>
          <w:szCs w:val="20"/>
          <w:lang w:val="en"/>
        </w:rPr>
        <w:t xml:space="preserve">Email </w:t>
      </w:r>
      <w:hyperlink r:id="rId12" w:history="1">
        <w:r w:rsidRPr="00484B05">
          <w:rPr>
            <w:rStyle w:val="Hyperlink"/>
            <w:rFonts w:cs="Arial"/>
            <w:sz w:val="20"/>
            <w:szCs w:val="20"/>
            <w:lang w:val="en"/>
          </w:rPr>
          <w:t>info@vdc.com.au</w:t>
        </w:r>
      </w:hyperlink>
    </w:p>
    <w:p w14:paraId="2DE0A7CE" w14:textId="3AF3D198" w:rsidR="00876497" w:rsidRDefault="00876497" w:rsidP="00BD1D70">
      <w:pPr>
        <w:jc w:val="left"/>
        <w:rPr>
          <w:color w:val="2C2A29" w:themeColor="text1"/>
          <w:lang w:val="en"/>
        </w:rPr>
      </w:pPr>
    </w:p>
    <w:p w14:paraId="14ED26D8" w14:textId="577CB167" w:rsidR="00876497" w:rsidRPr="00484B05" w:rsidRDefault="00484B05" w:rsidP="00876497">
      <w:pPr>
        <w:rPr>
          <w:sz w:val="20"/>
          <w:szCs w:val="20"/>
          <w:lang w:val="en"/>
        </w:rPr>
      </w:pPr>
      <w:r w:rsidRPr="00484B05">
        <w:rPr>
          <w:sz w:val="20"/>
          <w:szCs w:val="20"/>
          <w:lang w:val="en"/>
        </w:rPr>
        <w:t xml:space="preserve">Subscribe at this </w:t>
      </w:r>
      <w:hyperlink r:id="rId13" w:history="1">
        <w:r w:rsidRPr="00484B05">
          <w:rPr>
            <w:rStyle w:val="Hyperlink"/>
            <w:rFonts w:cs="Arial"/>
            <w:sz w:val="20"/>
            <w:szCs w:val="20"/>
            <w:lang w:val="en"/>
          </w:rPr>
          <w:t>link</w:t>
        </w:r>
      </w:hyperlink>
      <w:r w:rsidRPr="00484B05">
        <w:rPr>
          <w:sz w:val="20"/>
          <w:szCs w:val="20"/>
          <w:lang w:val="en"/>
        </w:rPr>
        <w:t xml:space="preserve"> to ensure you hear about VDC courses as they are scheduled. </w:t>
      </w:r>
    </w:p>
    <w:p w14:paraId="090670B3" w14:textId="77777777" w:rsidR="00876497" w:rsidRPr="00876497" w:rsidRDefault="00876497" w:rsidP="00876497">
      <w:pPr>
        <w:rPr>
          <w:lang w:val="en"/>
        </w:rPr>
      </w:pPr>
    </w:p>
    <w:p w14:paraId="3F9EC7B2" w14:textId="77777777" w:rsidR="00876497" w:rsidRPr="00876497" w:rsidRDefault="00876497" w:rsidP="00876497">
      <w:pPr>
        <w:rPr>
          <w:lang w:val="en"/>
        </w:rPr>
      </w:pPr>
    </w:p>
    <w:p w14:paraId="7C25F155" w14:textId="77777777" w:rsidR="00876497" w:rsidRPr="00876497" w:rsidRDefault="00876497" w:rsidP="00876497">
      <w:pPr>
        <w:rPr>
          <w:lang w:val="en"/>
        </w:rPr>
      </w:pPr>
    </w:p>
    <w:p w14:paraId="121D6EB8" w14:textId="77777777" w:rsidR="00876497" w:rsidRPr="00876497" w:rsidRDefault="00876497" w:rsidP="00876497">
      <w:pPr>
        <w:rPr>
          <w:lang w:val="en"/>
        </w:rPr>
      </w:pPr>
    </w:p>
    <w:p w14:paraId="36BC8C69" w14:textId="56A8504D" w:rsidR="000715DE" w:rsidRPr="00876497" w:rsidRDefault="000715DE" w:rsidP="00876497">
      <w:pPr>
        <w:jc w:val="right"/>
        <w:rPr>
          <w:lang w:val="en"/>
        </w:rPr>
      </w:pPr>
    </w:p>
    <w:sectPr w:rsidR="000715DE" w:rsidRPr="00876497" w:rsidSect="00876497">
      <w:footerReference w:type="first" r:id="rId14"/>
      <w:pgSz w:w="11907" w:h="16840" w:code="9"/>
      <w:pgMar w:top="709" w:right="709" w:bottom="709" w:left="709"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E3CAD" w14:textId="77777777" w:rsidR="0085735F" w:rsidRDefault="0085735F" w:rsidP="00846881">
      <w:r>
        <w:separator/>
      </w:r>
    </w:p>
  </w:endnote>
  <w:endnote w:type="continuationSeparator" w:id="0">
    <w:p w14:paraId="71716001" w14:textId="77777777" w:rsidR="0085735F" w:rsidRDefault="0085735F"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5F87" w14:textId="767CE1EA" w:rsidR="006834B9" w:rsidRPr="00DF2A51" w:rsidRDefault="006834B9" w:rsidP="00876497">
    <w:pPr>
      <w:pStyle w:val="Footer"/>
      <w:pBdr>
        <w:top w:val="single" w:sz="4" w:space="1" w:color="D9D9D9"/>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BC9F" w14:textId="77777777" w:rsidR="0085735F" w:rsidRDefault="0085735F" w:rsidP="00846881">
      <w:r>
        <w:separator/>
      </w:r>
    </w:p>
  </w:footnote>
  <w:footnote w:type="continuationSeparator" w:id="0">
    <w:p w14:paraId="1195FB53" w14:textId="77777777" w:rsidR="0085735F" w:rsidRDefault="0085735F"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E5200"/>
    <w:multiLevelType w:val="hybridMultilevel"/>
    <w:tmpl w:val="124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5A64472"/>
    <w:multiLevelType w:val="hybridMultilevel"/>
    <w:tmpl w:val="818424AE"/>
    <w:lvl w:ilvl="0" w:tplc="859E6862">
      <w:start w:val="1"/>
      <w:numFmt w:val="decimal"/>
      <w:lvlText w:val="%1."/>
      <w:lvlJc w:val="left"/>
      <w:pPr>
        <w:ind w:left="76" w:hanging="360"/>
      </w:pPr>
      <w:rPr>
        <w:b w:val="0"/>
        <w:i w:val="0"/>
      </w:rPr>
    </w:lvl>
    <w:lvl w:ilvl="1" w:tplc="7792B4C2">
      <w:start w:val="1"/>
      <w:numFmt w:val="lowerLetter"/>
      <w:lvlText w:val="%2."/>
      <w:lvlJc w:val="left"/>
      <w:pPr>
        <w:ind w:left="1156" w:hanging="360"/>
      </w:pPr>
      <w:rPr>
        <w:b w:val="0"/>
      </w:rPr>
    </w:lvl>
    <w:lvl w:ilvl="2" w:tplc="44A00FF0">
      <w:start w:val="1"/>
      <w:numFmt w:val="lowerLetter"/>
      <w:lvlText w:val="%3."/>
      <w:lvlJc w:val="right"/>
      <w:pPr>
        <w:ind w:left="1876" w:hanging="180"/>
      </w:pPr>
      <w:rPr>
        <w:rFonts w:ascii="Arial" w:eastAsia="Times New Roman" w:hAnsi="Arial" w:cs="Arial"/>
        <w:b w:val="0"/>
      </w:r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7"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8"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1B27AB"/>
    <w:multiLevelType w:val="hybridMultilevel"/>
    <w:tmpl w:val="F6FE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83C1E85"/>
    <w:multiLevelType w:val="hybridMultilevel"/>
    <w:tmpl w:val="96CE060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15E654A"/>
    <w:multiLevelType w:val="hybridMultilevel"/>
    <w:tmpl w:val="191CB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3"/>
  </w:num>
  <w:num w:numId="3">
    <w:abstractNumId w:val="0"/>
  </w:num>
  <w:num w:numId="4">
    <w:abstractNumId w:val="19"/>
  </w:num>
  <w:num w:numId="5">
    <w:abstractNumId w:val="1"/>
  </w:num>
  <w:num w:numId="6">
    <w:abstractNumId w:val="17"/>
  </w:num>
  <w:num w:numId="7">
    <w:abstractNumId w:val="9"/>
  </w:num>
  <w:num w:numId="8">
    <w:abstractNumId w:val="25"/>
  </w:num>
  <w:num w:numId="9">
    <w:abstractNumId w:val="16"/>
  </w:num>
  <w:num w:numId="10">
    <w:abstractNumId w:val="13"/>
  </w:num>
  <w:num w:numId="11">
    <w:abstractNumId w:val="10"/>
  </w:num>
  <w:num w:numId="12">
    <w:abstractNumId w:val="4"/>
  </w:num>
  <w:num w:numId="13">
    <w:abstractNumId w:val="20"/>
  </w:num>
  <w:num w:numId="14">
    <w:abstractNumId w:val="8"/>
  </w:num>
  <w:num w:numId="15">
    <w:abstractNumId w:val="30"/>
  </w:num>
  <w:num w:numId="16">
    <w:abstractNumId w:val="24"/>
  </w:num>
  <w:num w:numId="17">
    <w:abstractNumId w:val="11"/>
  </w:num>
  <w:num w:numId="18">
    <w:abstractNumId w:val="5"/>
  </w:num>
  <w:num w:numId="19">
    <w:abstractNumId w:val="29"/>
  </w:num>
  <w:num w:numId="20">
    <w:abstractNumId w:val="12"/>
  </w:num>
  <w:num w:numId="21">
    <w:abstractNumId w:val="18"/>
  </w:num>
  <w:num w:numId="22">
    <w:abstractNumId w:val="7"/>
  </w:num>
  <w:num w:numId="23">
    <w:abstractNumId w:val="23"/>
  </w:num>
  <w:num w:numId="24">
    <w:abstractNumId w:val="14"/>
  </w:num>
  <w:num w:numId="25">
    <w:abstractNumId w:val="2"/>
  </w:num>
  <w:num w:numId="26">
    <w:abstractNumId w:val="22"/>
  </w:num>
  <w:num w:numId="27">
    <w:abstractNumId w:val="6"/>
  </w:num>
  <w:num w:numId="28">
    <w:abstractNumId w:val="21"/>
  </w:num>
  <w:num w:numId="29">
    <w:abstractNumId w:val="28"/>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1555"/>
    <w:rsid w:val="0002288F"/>
    <w:rsid w:val="0002677B"/>
    <w:rsid w:val="000425DB"/>
    <w:rsid w:val="00044F33"/>
    <w:rsid w:val="000538AE"/>
    <w:rsid w:val="00060214"/>
    <w:rsid w:val="00060EA4"/>
    <w:rsid w:val="000701E5"/>
    <w:rsid w:val="000715DE"/>
    <w:rsid w:val="0008021C"/>
    <w:rsid w:val="000901F6"/>
    <w:rsid w:val="000A28AF"/>
    <w:rsid w:val="000B1133"/>
    <w:rsid w:val="000C3753"/>
    <w:rsid w:val="000C782C"/>
    <w:rsid w:val="000E6F2B"/>
    <w:rsid w:val="000E70E3"/>
    <w:rsid w:val="000E7BF0"/>
    <w:rsid w:val="00105130"/>
    <w:rsid w:val="001079BD"/>
    <w:rsid w:val="001128C2"/>
    <w:rsid w:val="0011333F"/>
    <w:rsid w:val="001214D4"/>
    <w:rsid w:val="00125617"/>
    <w:rsid w:val="00136133"/>
    <w:rsid w:val="001411A4"/>
    <w:rsid w:val="00154ECF"/>
    <w:rsid w:val="00156F3B"/>
    <w:rsid w:val="00157432"/>
    <w:rsid w:val="001807E6"/>
    <w:rsid w:val="00181F47"/>
    <w:rsid w:val="00185660"/>
    <w:rsid w:val="001A352C"/>
    <w:rsid w:val="001C0117"/>
    <w:rsid w:val="001C0BDB"/>
    <w:rsid w:val="001C4930"/>
    <w:rsid w:val="001D0056"/>
    <w:rsid w:val="001D2F77"/>
    <w:rsid w:val="001E4F45"/>
    <w:rsid w:val="001F266B"/>
    <w:rsid w:val="001F3ECD"/>
    <w:rsid w:val="00201D8D"/>
    <w:rsid w:val="00206E94"/>
    <w:rsid w:val="00213CB1"/>
    <w:rsid w:val="0022166C"/>
    <w:rsid w:val="00231621"/>
    <w:rsid w:val="00234DCA"/>
    <w:rsid w:val="00241DCD"/>
    <w:rsid w:val="00242E0D"/>
    <w:rsid w:val="00254C93"/>
    <w:rsid w:val="0025725C"/>
    <w:rsid w:val="0026349B"/>
    <w:rsid w:val="00264866"/>
    <w:rsid w:val="0027439D"/>
    <w:rsid w:val="002774C1"/>
    <w:rsid w:val="002831C1"/>
    <w:rsid w:val="00284B19"/>
    <w:rsid w:val="0029046F"/>
    <w:rsid w:val="002938CF"/>
    <w:rsid w:val="002A24E2"/>
    <w:rsid w:val="002B15E5"/>
    <w:rsid w:val="002B61F2"/>
    <w:rsid w:val="002D610A"/>
    <w:rsid w:val="002D7586"/>
    <w:rsid w:val="002E53AD"/>
    <w:rsid w:val="002F4067"/>
    <w:rsid w:val="00305553"/>
    <w:rsid w:val="003079DD"/>
    <w:rsid w:val="003150C7"/>
    <w:rsid w:val="00340366"/>
    <w:rsid w:val="00352C50"/>
    <w:rsid w:val="003547C4"/>
    <w:rsid w:val="00355714"/>
    <w:rsid w:val="00384947"/>
    <w:rsid w:val="003966A5"/>
    <w:rsid w:val="003A5544"/>
    <w:rsid w:val="003B2C9D"/>
    <w:rsid w:val="003B7B63"/>
    <w:rsid w:val="003D454C"/>
    <w:rsid w:val="003F0B63"/>
    <w:rsid w:val="003F3D59"/>
    <w:rsid w:val="003F640F"/>
    <w:rsid w:val="00414AB1"/>
    <w:rsid w:val="00423765"/>
    <w:rsid w:val="004239F9"/>
    <w:rsid w:val="004304A3"/>
    <w:rsid w:val="0044416E"/>
    <w:rsid w:val="00453CAD"/>
    <w:rsid w:val="004604A8"/>
    <w:rsid w:val="00463997"/>
    <w:rsid w:val="0048144F"/>
    <w:rsid w:val="004821AD"/>
    <w:rsid w:val="00484B05"/>
    <w:rsid w:val="0049767C"/>
    <w:rsid w:val="004B182C"/>
    <w:rsid w:val="004C32C0"/>
    <w:rsid w:val="004C7772"/>
    <w:rsid w:val="004E29A2"/>
    <w:rsid w:val="004E42D2"/>
    <w:rsid w:val="004F1546"/>
    <w:rsid w:val="00505EC2"/>
    <w:rsid w:val="00506F42"/>
    <w:rsid w:val="00526A3A"/>
    <w:rsid w:val="00536911"/>
    <w:rsid w:val="00540C9F"/>
    <w:rsid w:val="00543102"/>
    <w:rsid w:val="00543E0A"/>
    <w:rsid w:val="00545CC1"/>
    <w:rsid w:val="005519A3"/>
    <w:rsid w:val="005543E8"/>
    <w:rsid w:val="00583630"/>
    <w:rsid w:val="00590B75"/>
    <w:rsid w:val="005B4815"/>
    <w:rsid w:val="005C05FA"/>
    <w:rsid w:val="005C5D77"/>
    <w:rsid w:val="005D079D"/>
    <w:rsid w:val="005D5398"/>
    <w:rsid w:val="005E1085"/>
    <w:rsid w:val="005F153D"/>
    <w:rsid w:val="0060642E"/>
    <w:rsid w:val="006254CC"/>
    <w:rsid w:val="00626260"/>
    <w:rsid w:val="006344F3"/>
    <w:rsid w:val="006404DE"/>
    <w:rsid w:val="006409D9"/>
    <w:rsid w:val="00650B3B"/>
    <w:rsid w:val="00651785"/>
    <w:rsid w:val="0065500B"/>
    <w:rsid w:val="00660967"/>
    <w:rsid w:val="006834B9"/>
    <w:rsid w:val="00687039"/>
    <w:rsid w:val="00692130"/>
    <w:rsid w:val="006935A8"/>
    <w:rsid w:val="00696854"/>
    <w:rsid w:val="006A1696"/>
    <w:rsid w:val="006A3BB0"/>
    <w:rsid w:val="006A5387"/>
    <w:rsid w:val="006C6A2F"/>
    <w:rsid w:val="006D4561"/>
    <w:rsid w:val="006D6DD9"/>
    <w:rsid w:val="006E158C"/>
    <w:rsid w:val="006F3184"/>
    <w:rsid w:val="006F5334"/>
    <w:rsid w:val="00717852"/>
    <w:rsid w:val="00725BE7"/>
    <w:rsid w:val="007269A9"/>
    <w:rsid w:val="007602BC"/>
    <w:rsid w:val="0076398D"/>
    <w:rsid w:val="00764A0A"/>
    <w:rsid w:val="00770AF9"/>
    <w:rsid w:val="007716FE"/>
    <w:rsid w:val="00772628"/>
    <w:rsid w:val="00790C20"/>
    <w:rsid w:val="00791F9E"/>
    <w:rsid w:val="007951E1"/>
    <w:rsid w:val="007A161B"/>
    <w:rsid w:val="007A3F91"/>
    <w:rsid w:val="007B3FD2"/>
    <w:rsid w:val="007B4AFB"/>
    <w:rsid w:val="007D5961"/>
    <w:rsid w:val="007E360A"/>
    <w:rsid w:val="007E59F5"/>
    <w:rsid w:val="00810ABD"/>
    <w:rsid w:val="008317C7"/>
    <w:rsid w:val="00846881"/>
    <w:rsid w:val="0085253B"/>
    <w:rsid w:val="0085735F"/>
    <w:rsid w:val="00861794"/>
    <w:rsid w:val="00865959"/>
    <w:rsid w:val="00867D3A"/>
    <w:rsid w:val="00876497"/>
    <w:rsid w:val="00880ACA"/>
    <w:rsid w:val="00884527"/>
    <w:rsid w:val="0089186A"/>
    <w:rsid w:val="008A35FA"/>
    <w:rsid w:val="008C1842"/>
    <w:rsid w:val="008C3D56"/>
    <w:rsid w:val="008D5441"/>
    <w:rsid w:val="008E2680"/>
    <w:rsid w:val="008E2DD6"/>
    <w:rsid w:val="008E3316"/>
    <w:rsid w:val="008E53DE"/>
    <w:rsid w:val="008F3646"/>
    <w:rsid w:val="00903B41"/>
    <w:rsid w:val="00933C17"/>
    <w:rsid w:val="00944529"/>
    <w:rsid w:val="00944E61"/>
    <w:rsid w:val="009548AD"/>
    <w:rsid w:val="00965E53"/>
    <w:rsid w:val="009706F1"/>
    <w:rsid w:val="00973BF7"/>
    <w:rsid w:val="00982579"/>
    <w:rsid w:val="009843BA"/>
    <w:rsid w:val="009913B4"/>
    <w:rsid w:val="0099526E"/>
    <w:rsid w:val="00995CDB"/>
    <w:rsid w:val="009B090C"/>
    <w:rsid w:val="009B5012"/>
    <w:rsid w:val="009C7B4C"/>
    <w:rsid w:val="009D1951"/>
    <w:rsid w:val="009D5D01"/>
    <w:rsid w:val="009E3636"/>
    <w:rsid w:val="00A011F2"/>
    <w:rsid w:val="00A14B2D"/>
    <w:rsid w:val="00A2083F"/>
    <w:rsid w:val="00A2147E"/>
    <w:rsid w:val="00A24A30"/>
    <w:rsid w:val="00A30E35"/>
    <w:rsid w:val="00A55A13"/>
    <w:rsid w:val="00A73441"/>
    <w:rsid w:val="00A74415"/>
    <w:rsid w:val="00A83FB3"/>
    <w:rsid w:val="00A9135E"/>
    <w:rsid w:val="00AA3C05"/>
    <w:rsid w:val="00AB7AB6"/>
    <w:rsid w:val="00AC402D"/>
    <w:rsid w:val="00AD07C3"/>
    <w:rsid w:val="00AD0AF3"/>
    <w:rsid w:val="00AD6A4D"/>
    <w:rsid w:val="00AE59A4"/>
    <w:rsid w:val="00AF0514"/>
    <w:rsid w:val="00AF06E4"/>
    <w:rsid w:val="00AF18DE"/>
    <w:rsid w:val="00B05E0A"/>
    <w:rsid w:val="00B211FC"/>
    <w:rsid w:val="00B25302"/>
    <w:rsid w:val="00B30654"/>
    <w:rsid w:val="00B3289A"/>
    <w:rsid w:val="00B33E4F"/>
    <w:rsid w:val="00B35761"/>
    <w:rsid w:val="00B41E45"/>
    <w:rsid w:val="00B50E6E"/>
    <w:rsid w:val="00B5136F"/>
    <w:rsid w:val="00B56D79"/>
    <w:rsid w:val="00B632F5"/>
    <w:rsid w:val="00B64069"/>
    <w:rsid w:val="00B72FE6"/>
    <w:rsid w:val="00B950AB"/>
    <w:rsid w:val="00BB4A46"/>
    <w:rsid w:val="00BC23C8"/>
    <w:rsid w:val="00BD1D70"/>
    <w:rsid w:val="00BE143C"/>
    <w:rsid w:val="00BF5B84"/>
    <w:rsid w:val="00C03591"/>
    <w:rsid w:val="00C137EE"/>
    <w:rsid w:val="00C13929"/>
    <w:rsid w:val="00C151BB"/>
    <w:rsid w:val="00C373FC"/>
    <w:rsid w:val="00C5041F"/>
    <w:rsid w:val="00C538CC"/>
    <w:rsid w:val="00C579E9"/>
    <w:rsid w:val="00C63AC1"/>
    <w:rsid w:val="00C75A39"/>
    <w:rsid w:val="00C83B90"/>
    <w:rsid w:val="00CA0D2E"/>
    <w:rsid w:val="00CA2D61"/>
    <w:rsid w:val="00CB0D2D"/>
    <w:rsid w:val="00CB16A1"/>
    <w:rsid w:val="00CB2C50"/>
    <w:rsid w:val="00CB3905"/>
    <w:rsid w:val="00CC30D2"/>
    <w:rsid w:val="00CD0632"/>
    <w:rsid w:val="00CE69B8"/>
    <w:rsid w:val="00CF35E5"/>
    <w:rsid w:val="00CF6891"/>
    <w:rsid w:val="00CF6C01"/>
    <w:rsid w:val="00D130F4"/>
    <w:rsid w:val="00D30F3E"/>
    <w:rsid w:val="00D33418"/>
    <w:rsid w:val="00D51EBF"/>
    <w:rsid w:val="00D53A53"/>
    <w:rsid w:val="00D60148"/>
    <w:rsid w:val="00D813EA"/>
    <w:rsid w:val="00D83E14"/>
    <w:rsid w:val="00DA1A38"/>
    <w:rsid w:val="00DB0BCD"/>
    <w:rsid w:val="00DB7126"/>
    <w:rsid w:val="00DD0A5D"/>
    <w:rsid w:val="00DD6095"/>
    <w:rsid w:val="00DD6855"/>
    <w:rsid w:val="00DF2A51"/>
    <w:rsid w:val="00DF6688"/>
    <w:rsid w:val="00E0511E"/>
    <w:rsid w:val="00E05620"/>
    <w:rsid w:val="00E31F62"/>
    <w:rsid w:val="00E320A4"/>
    <w:rsid w:val="00E81659"/>
    <w:rsid w:val="00E8321E"/>
    <w:rsid w:val="00E90B45"/>
    <w:rsid w:val="00E91E6B"/>
    <w:rsid w:val="00E92ADE"/>
    <w:rsid w:val="00E97867"/>
    <w:rsid w:val="00EA2B5D"/>
    <w:rsid w:val="00EA7B5D"/>
    <w:rsid w:val="00EB08D9"/>
    <w:rsid w:val="00EB52E2"/>
    <w:rsid w:val="00EE21C1"/>
    <w:rsid w:val="00EE4BD9"/>
    <w:rsid w:val="00EE5A7F"/>
    <w:rsid w:val="00EE5E95"/>
    <w:rsid w:val="00F11CAC"/>
    <w:rsid w:val="00F13297"/>
    <w:rsid w:val="00F17667"/>
    <w:rsid w:val="00F2110D"/>
    <w:rsid w:val="00F24B4E"/>
    <w:rsid w:val="00F26FBA"/>
    <w:rsid w:val="00F30F82"/>
    <w:rsid w:val="00F343D3"/>
    <w:rsid w:val="00F453C5"/>
    <w:rsid w:val="00F47367"/>
    <w:rsid w:val="00F72301"/>
    <w:rsid w:val="00F77690"/>
    <w:rsid w:val="00F8781E"/>
    <w:rsid w:val="00F93F26"/>
    <w:rsid w:val="00FA3AD7"/>
    <w:rsid w:val="00FA6E75"/>
    <w:rsid w:val="00FB322D"/>
    <w:rsid w:val="00FC6923"/>
    <w:rsid w:val="00FD6F89"/>
    <w:rsid w:val="00FE1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2C2A29" w:themeColor="text2"/>
        <w:sz w:val="22"/>
        <w:szCs w:val="22"/>
        <w:lang w:val="en-AU" w:eastAsia="en-AU" w:bidi="ar-SA"/>
      </w:rPr>
    </w:rPrDefault>
    <w:pPrDefault>
      <w:pPr>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8316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8316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B2041"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8316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8316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B2041" w:themeColor="accent1" w:themeShade="7F"/>
      <w:sz w:val="24"/>
      <w:szCs w:val="24"/>
    </w:rPr>
  </w:style>
  <w:style w:type="character" w:styleId="FollowedHyperlink">
    <w:name w:val="FollowedHyperlink"/>
    <w:basedOn w:val="DefaultParagraphFont"/>
    <w:semiHidden/>
    <w:unhideWhenUsed/>
    <w:rsid w:val="007E360A"/>
    <w:rPr>
      <w:color w:val="0563C1" w:themeColor="followedHyperlink"/>
      <w:u w:val="single"/>
    </w:rPr>
  </w:style>
  <w:style w:type="character" w:styleId="UnresolvedMention">
    <w:name w:val="Unresolved Mention"/>
    <w:basedOn w:val="DefaultParagraphFont"/>
    <w:uiPriority w:val="99"/>
    <w:semiHidden/>
    <w:unhideWhenUsed/>
    <w:rsid w:val="00484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dc.edu.au/subscri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vdc.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c.edu.au/funded-opportunit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Learn Local 1">
      <a:dk1>
        <a:srgbClr val="2C2A29"/>
      </a:dk1>
      <a:lt1>
        <a:sysClr val="window" lastClr="FFFFFF"/>
      </a:lt1>
      <a:dk2>
        <a:srgbClr val="2C2A29"/>
      </a:dk2>
      <a:lt2>
        <a:srgbClr val="FFFFFF"/>
      </a:lt2>
      <a:accent1>
        <a:srgbClr val="364283"/>
      </a:accent1>
      <a:accent2>
        <a:srgbClr val="2B9AD4"/>
      </a:accent2>
      <a:accent3>
        <a:srgbClr val="E07E3C"/>
      </a:accent3>
      <a:accent4>
        <a:srgbClr val="D69A2D"/>
      </a:accent4>
      <a:accent5>
        <a:srgbClr val="36421F"/>
      </a:accent5>
      <a:accent6>
        <a:srgbClr val="74AA50"/>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PIRE_Branch_Memo_Learn Local professional development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2.xml><?xml version="1.0" encoding="utf-8"?>
<ds:datastoreItem xmlns:ds="http://schemas.openxmlformats.org/officeDocument/2006/customXml" ds:itemID="{51190D85-0C53-4FA3-865F-40DEF007807F}"/>
</file>

<file path=customXml/itemProps3.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4A9F2F-4CCA-4D67-A7B5-F1E08A66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3905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08306670</dc:creator>
  <cp:lastModifiedBy>Nichols, Kate K</cp:lastModifiedBy>
  <cp:revision>2</cp:revision>
  <cp:lastPrinted>2007-01-10T22:20:00Z</cp:lastPrinted>
  <dcterms:created xsi:type="dcterms:W3CDTF">2020-06-17T00:41:00Z</dcterms:created>
  <dcterms:modified xsi:type="dcterms:W3CDTF">2020-06-17T00:41:00Z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{364123dc-505d-4420-ba46-755d10439c57}</vt:lpwstr>
  </property>
  <property fmtid="{D5CDD505-2E9C-101B-9397-08002B2CF9AE}" pid="14" name="RecordPoint_ActiveItemUniqueId">
    <vt:lpwstr>{8cc71c5b-ead9-4c44-9eef-013c65dfd28a}</vt:lpwstr>
  </property>
  <property fmtid="{D5CDD505-2E9C-101B-9397-08002B2CF9AE}" pid="15" name="RecordPoint_RecordNumberSubmitted">
    <vt:lpwstr>R20190062792</vt:lpwstr>
  </property>
  <property fmtid="{D5CDD505-2E9C-101B-9397-08002B2CF9AE}" pid="16" name="RecordPoint_SubmissionCompleted">
    <vt:lpwstr>2019-12-20T18:17:05.9074489+11:00</vt:lpwstr>
  </property>
  <property fmtid="{D5CDD505-2E9C-101B-9397-08002B2CF9AE}" pid="17" name="_docset_NoMedatataSyncRequired">
    <vt:lpwstr>False</vt:lpwstr>
  </property>
</Properties>
</file>