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D4F09" w14:textId="77777777" w:rsidR="00876497" w:rsidRPr="00497855" w:rsidRDefault="00876497" w:rsidP="00876497">
      <w:pPr>
        <w:jc w:val="center"/>
        <w:rPr>
          <w:rFonts w:asciiTheme="minorHAnsi" w:hAnsiTheme="minorHAnsi" w:cstheme="minorHAnsi"/>
          <w:color w:val="364283" w:themeColor="accent1"/>
          <w:sz w:val="28"/>
          <w:szCs w:val="28"/>
          <w:lang w:val="en"/>
        </w:rPr>
      </w:pPr>
      <w:bookmarkStart w:id="0" w:name="_GoBack"/>
      <w:bookmarkEnd w:id="0"/>
      <w:r w:rsidRPr="00497855">
        <w:rPr>
          <w:rFonts w:asciiTheme="minorHAnsi" w:hAnsiTheme="minorHAnsi" w:cstheme="minorHAnsi"/>
          <w:color w:val="364283" w:themeColor="accent1"/>
          <w:sz w:val="28"/>
          <w:szCs w:val="28"/>
          <w:lang w:val="en"/>
        </w:rPr>
        <w:t>Department of Education and Training</w:t>
      </w:r>
    </w:p>
    <w:p w14:paraId="7B1DE2F5" w14:textId="77777777" w:rsidR="00876497" w:rsidRPr="00497855" w:rsidRDefault="00876497" w:rsidP="00876497">
      <w:pPr>
        <w:jc w:val="center"/>
        <w:rPr>
          <w:rFonts w:asciiTheme="minorHAnsi" w:hAnsiTheme="minorHAnsi" w:cstheme="minorHAnsi"/>
          <w:color w:val="364283" w:themeColor="accent1"/>
          <w:sz w:val="28"/>
          <w:szCs w:val="28"/>
          <w:lang w:val="en"/>
        </w:rPr>
      </w:pPr>
      <w:r w:rsidRPr="00497855">
        <w:rPr>
          <w:rFonts w:asciiTheme="minorHAnsi" w:hAnsiTheme="minorHAnsi" w:cstheme="minorHAnsi"/>
          <w:color w:val="364283" w:themeColor="accent1"/>
          <w:sz w:val="28"/>
          <w:szCs w:val="28"/>
          <w:lang w:val="en"/>
        </w:rPr>
        <w:t>Higher Education and Skills</w:t>
      </w:r>
    </w:p>
    <w:p w14:paraId="4498D747" w14:textId="77777777" w:rsidR="006503C4" w:rsidRDefault="006503C4" w:rsidP="00876497">
      <w:pPr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</w:p>
    <w:p w14:paraId="36878574" w14:textId="77777777" w:rsidR="00876497" w:rsidRPr="00E030FD" w:rsidRDefault="00876497" w:rsidP="00E030FD">
      <w:pPr>
        <w:pBdr>
          <w:top w:val="single" w:sz="4" w:space="1" w:color="auto"/>
        </w:pBdr>
        <w:spacing w:after="120"/>
        <w:jc w:val="left"/>
        <w:rPr>
          <w:rFonts w:asciiTheme="minorHAnsi" w:hAnsiTheme="minorHAnsi" w:cstheme="minorHAnsi"/>
          <w:b/>
          <w:color w:val="364283" w:themeColor="accent1"/>
          <w:sz w:val="20"/>
          <w:szCs w:val="20"/>
          <w:lang w:val="en"/>
        </w:rPr>
      </w:pPr>
      <w:r w:rsidRPr="00E030FD">
        <w:rPr>
          <w:rFonts w:asciiTheme="minorHAnsi" w:hAnsiTheme="minorHAnsi" w:cstheme="minorHAnsi"/>
          <w:b/>
          <w:color w:val="364283" w:themeColor="accent1"/>
          <w:sz w:val="20"/>
          <w:szCs w:val="20"/>
          <w:lang w:val="en"/>
        </w:rPr>
        <w:t>Participation, Inclusion and Regional Engagement Branch Memo</w:t>
      </w:r>
    </w:p>
    <w:p w14:paraId="081771A2" w14:textId="77777777" w:rsidR="00876497" w:rsidRPr="00497855" w:rsidRDefault="00876497" w:rsidP="00876497">
      <w:pPr>
        <w:jc w:val="left"/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</w:pPr>
    </w:p>
    <w:p w14:paraId="066F1A10" w14:textId="77777777" w:rsidR="00876497" w:rsidRPr="00497855" w:rsidRDefault="00876497" w:rsidP="0013569E">
      <w:pPr>
        <w:ind w:left="1560" w:hanging="1560"/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</w:pP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TO: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ab/>
        <w:t>Learn Local providers</w:t>
      </w:r>
      <w:r w:rsidR="004D356C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,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 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ACFE Board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, 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ACFE Regional Councils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, a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dult education institutions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, p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eak b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odies, 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key stakeholders</w:t>
      </w:r>
      <w:r w:rsidR="004D356C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,</w:t>
      </w:r>
      <w:r w:rsidR="004D356C" w:rsidRPr="004D356C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 </w:t>
      </w:r>
      <w:r w:rsidR="004D356C"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PIRE Branch staff</w:t>
      </w:r>
    </w:p>
    <w:p w14:paraId="6F4792DA" w14:textId="4A39DBF7" w:rsidR="00876497" w:rsidRPr="00497855" w:rsidRDefault="00876497" w:rsidP="0013569E">
      <w:pPr>
        <w:spacing w:before="120"/>
        <w:ind w:left="1560" w:hanging="1560"/>
        <w:jc w:val="left"/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</w:pP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FROM:</w:t>
      </w: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 w:rsidR="002653AA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Ryan Collins, D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irector</w:t>
      </w:r>
      <w:r w:rsidR="00D27296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–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Participation, Inclusion and Regional Engagement Branch</w:t>
      </w:r>
    </w:p>
    <w:p w14:paraId="27D9BA7F" w14:textId="7AB8E395" w:rsidR="00876497" w:rsidRPr="00497855" w:rsidRDefault="00876497" w:rsidP="0013569E">
      <w:pPr>
        <w:spacing w:before="120"/>
        <w:ind w:left="1560" w:hanging="1560"/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</w:pP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DATE:</w:t>
      </w: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 w:rsidR="009C7182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3</w:t>
      </w:r>
      <w:r w:rsidR="005B7AD7" w:rsidRPr="00256A9D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0</w:t>
      </w:r>
      <w:r w:rsidR="00D728A2" w:rsidRPr="00256A9D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/03</w:t>
      </w:r>
      <w:r w:rsidR="00D728A2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/</w:t>
      </w:r>
      <w:r w:rsidR="002653AA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2020</w:t>
      </w:r>
    </w:p>
    <w:p w14:paraId="66D45301" w14:textId="123B923D" w:rsidR="00876497" w:rsidRPr="00497855" w:rsidRDefault="00876497" w:rsidP="0013569E">
      <w:pPr>
        <w:spacing w:before="120"/>
        <w:ind w:left="1560" w:hanging="1560"/>
        <w:jc w:val="left"/>
        <w:rPr>
          <w:rFonts w:asciiTheme="minorHAnsi" w:hAnsiTheme="minorHAnsi" w:cstheme="minorHAnsi"/>
          <w:b/>
          <w:color w:val="2C2A29" w:themeColor="text1"/>
          <w:sz w:val="20"/>
          <w:szCs w:val="20"/>
          <w:lang w:eastAsia="en-US"/>
        </w:rPr>
      </w:pP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 xml:space="preserve">SUBJECT: </w:t>
      </w: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 w:rsidR="000F7140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COVID</w:t>
      </w:r>
      <w:r w:rsidR="00215848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-</w:t>
      </w:r>
      <w:r w:rsidR="000F7140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19</w:t>
      </w:r>
      <w:r w:rsidR="009C7182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 xml:space="preserve"> - </w:t>
      </w:r>
      <w:r w:rsidR="009C7182" w:rsidRPr="009C7182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 xml:space="preserve">Extension </w:t>
      </w:r>
      <w:r w:rsidR="00C0476A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 xml:space="preserve">for all </w:t>
      </w:r>
      <w:r w:rsidR="009C7182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 xml:space="preserve">2020 </w:t>
      </w:r>
      <w:r w:rsidR="009C7182" w:rsidRPr="009C7182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B</w:t>
      </w:r>
      <w:r w:rsidR="009C7182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 xml:space="preserve">usiness and </w:t>
      </w:r>
      <w:r w:rsidR="009C7182" w:rsidRPr="009C7182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G</w:t>
      </w:r>
      <w:r w:rsidR="009C7182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 xml:space="preserve">overnance </w:t>
      </w:r>
      <w:r w:rsidR="009C7182" w:rsidRPr="009C7182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S</w:t>
      </w:r>
      <w:r w:rsidR="009C7182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tatus</w:t>
      </w:r>
      <w:r w:rsidR="009C7182" w:rsidRPr="009C7182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 xml:space="preserve"> submission</w:t>
      </w:r>
      <w:r w:rsidR="00C0476A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s – 30 September 2020</w:t>
      </w:r>
    </w:p>
    <w:p w14:paraId="7A814864" w14:textId="77777777" w:rsidR="00876497" w:rsidRPr="00497855" w:rsidRDefault="00876497" w:rsidP="00876497">
      <w:pPr>
        <w:pBdr>
          <w:bottom w:val="single" w:sz="4" w:space="1" w:color="auto"/>
        </w:pBdr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</w:p>
    <w:p w14:paraId="44222DA9" w14:textId="6E3E7BD1" w:rsidR="009C7182" w:rsidRPr="009C7182" w:rsidRDefault="00876497" w:rsidP="0013569E">
      <w:pPr>
        <w:spacing w:before="240"/>
        <w:jc w:val="left"/>
        <w:rPr>
          <w:rFonts w:asciiTheme="minorHAnsi" w:hAnsiTheme="minorHAnsi" w:cstheme="minorHAnsi"/>
          <w:b/>
          <w:color w:val="364283" w:themeColor="accent1"/>
          <w:sz w:val="20"/>
          <w:szCs w:val="20"/>
          <w:lang w:val="en"/>
        </w:rPr>
      </w:pPr>
      <w:r w:rsidRPr="00F93F31">
        <w:rPr>
          <w:rFonts w:asciiTheme="minorHAnsi" w:hAnsiTheme="minorHAnsi" w:cstheme="minorHAnsi"/>
          <w:b/>
          <w:color w:val="364283" w:themeColor="accent1"/>
          <w:sz w:val="20"/>
          <w:szCs w:val="20"/>
          <w:lang w:val="en"/>
        </w:rPr>
        <w:t>Actions</w:t>
      </w:r>
      <w:r w:rsidR="004D356C">
        <w:rPr>
          <w:rFonts w:asciiTheme="minorHAnsi" w:hAnsiTheme="minorHAnsi" w:cstheme="minorHAnsi"/>
          <w:b/>
          <w:color w:val="364283" w:themeColor="accent1"/>
          <w:sz w:val="20"/>
          <w:szCs w:val="20"/>
          <w:lang w:val="en"/>
        </w:rPr>
        <w:t xml:space="preserve"> / Critical </w:t>
      </w:r>
      <w:r w:rsidR="004D356C" w:rsidRPr="009C7182">
        <w:rPr>
          <w:rFonts w:asciiTheme="minorHAnsi" w:hAnsiTheme="minorHAnsi" w:cstheme="minorHAnsi"/>
          <w:b/>
          <w:color w:val="364283" w:themeColor="accent1"/>
          <w:sz w:val="20"/>
          <w:szCs w:val="20"/>
          <w:lang w:val="en"/>
        </w:rPr>
        <w:t>Dates:</w:t>
      </w:r>
    </w:p>
    <w:p w14:paraId="19C58812" w14:textId="4A01C9BE" w:rsidR="003F6050" w:rsidRDefault="003F6050" w:rsidP="009C7182">
      <w:pPr>
        <w:pStyle w:val="Point"/>
        <w:numPr>
          <w:ilvl w:val="0"/>
          <w:numId w:val="15"/>
        </w:numPr>
      </w:pPr>
      <w:r w:rsidRPr="003F6050">
        <w:t>Learn Local organisations with a current Business Governance Status (BGS) assessment due by 31 March 2020 are advised that the ACFE Board has approved a six-month extension to this requirement until 30 September 2020.</w:t>
      </w:r>
    </w:p>
    <w:p w14:paraId="455187E7" w14:textId="77777777" w:rsidR="0013569E" w:rsidRPr="009C7182" w:rsidRDefault="0013569E" w:rsidP="0013569E">
      <w:pPr>
        <w:pBdr>
          <w:top w:val="single" w:sz="4" w:space="1" w:color="auto"/>
        </w:pBdr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</w:pPr>
    </w:p>
    <w:p w14:paraId="4042D6D4" w14:textId="47DEBE5B" w:rsidR="000F7140" w:rsidRPr="000F7140" w:rsidRDefault="009C7182" w:rsidP="00CD37A5">
      <w:pPr>
        <w:pBdr>
          <w:top w:val="single" w:sz="4" w:space="1" w:color="auto"/>
        </w:pBdr>
        <w:spacing w:after="120"/>
        <w:jc w:val="left"/>
        <w:rPr>
          <w:rFonts w:asciiTheme="minorHAnsi" w:hAnsiTheme="minorHAnsi" w:cstheme="minorHAnsi"/>
          <w:b/>
          <w:bCs/>
          <w:i/>
          <w:color w:val="364283" w:themeColor="accent1"/>
          <w:sz w:val="20"/>
          <w:szCs w:val="20"/>
          <w:lang w:val="en-GB"/>
        </w:rPr>
      </w:pPr>
      <w:r w:rsidRPr="009C7182">
        <w:rPr>
          <w:rFonts w:asciiTheme="minorHAnsi" w:hAnsiTheme="minorHAnsi" w:cstheme="minorHAnsi"/>
          <w:b/>
          <w:color w:val="364283" w:themeColor="accent1"/>
          <w:sz w:val="20"/>
          <w:szCs w:val="20"/>
          <w:lang w:val="en"/>
        </w:rPr>
        <w:t>COVID-19—Extension to calendar year BGS submission date</w:t>
      </w:r>
    </w:p>
    <w:p w14:paraId="01A73FF0" w14:textId="75C1773E" w:rsidR="00C0476A" w:rsidRDefault="00C0476A" w:rsidP="00BE4964">
      <w:pPr>
        <w:pStyle w:val="Point"/>
        <w:numPr>
          <w:ilvl w:val="0"/>
          <w:numId w:val="40"/>
        </w:numPr>
      </w:pPr>
      <w:r>
        <w:t xml:space="preserve">The </w:t>
      </w:r>
      <w:r w:rsidR="00BE4964">
        <w:t>Adult, Community and Further Education (ACFE) Board</w:t>
      </w:r>
      <w:r>
        <w:t xml:space="preserve"> </w:t>
      </w:r>
      <w:r w:rsidR="00BE4964">
        <w:t>acknowledges the impact</w:t>
      </w:r>
      <w:r>
        <w:t xml:space="preserve"> </w:t>
      </w:r>
      <w:r w:rsidR="009C7182">
        <w:t xml:space="preserve">COVID-19 </w:t>
      </w:r>
      <w:r w:rsidR="00BE4964">
        <w:t>has on</w:t>
      </w:r>
      <w:r w:rsidR="009C7182">
        <w:t xml:space="preserve"> provider</w:t>
      </w:r>
      <w:r>
        <w:t>s’</w:t>
      </w:r>
      <w:r w:rsidR="009C7182">
        <w:t xml:space="preserve"> capacity to satisfactorily meet </w:t>
      </w:r>
      <w:r>
        <w:t xml:space="preserve">ordinary </w:t>
      </w:r>
      <w:r w:rsidR="009C7182">
        <w:t xml:space="preserve">BGS financial sustainability </w:t>
      </w:r>
      <w:r>
        <w:t xml:space="preserve">reporting cycles and has approved </w:t>
      </w:r>
      <w:r w:rsidR="00BE4964">
        <w:t xml:space="preserve">an </w:t>
      </w:r>
      <w:r>
        <w:t xml:space="preserve">extension of </w:t>
      </w:r>
      <w:r w:rsidR="003F6050">
        <w:t>BGS reports</w:t>
      </w:r>
      <w:r>
        <w:t xml:space="preserve"> through to 30 September 2020. </w:t>
      </w:r>
    </w:p>
    <w:p w14:paraId="579C5802" w14:textId="6AFEB374" w:rsidR="009C7182" w:rsidRPr="00BE4964" w:rsidRDefault="00F32107" w:rsidP="00BE4964">
      <w:pPr>
        <w:spacing w:after="120"/>
        <w:jc w:val="left"/>
        <w:rPr>
          <w:rFonts w:asciiTheme="minorHAnsi" w:hAnsiTheme="minorHAnsi" w:cstheme="minorHAnsi"/>
          <w:b/>
          <w:color w:val="364283" w:themeColor="accent1"/>
          <w:sz w:val="20"/>
          <w:szCs w:val="20"/>
          <w:lang w:val="en"/>
        </w:rPr>
      </w:pPr>
      <w:r>
        <w:rPr>
          <w:rFonts w:asciiTheme="minorHAnsi" w:hAnsiTheme="minorHAnsi" w:cstheme="minorHAnsi"/>
          <w:b/>
          <w:color w:val="364283" w:themeColor="accent1"/>
          <w:sz w:val="20"/>
          <w:szCs w:val="20"/>
          <w:lang w:val="en"/>
        </w:rPr>
        <w:t>Issues</w:t>
      </w:r>
    </w:p>
    <w:p w14:paraId="23E93233" w14:textId="5BDDA91A" w:rsidR="009C7182" w:rsidRPr="00BE4964" w:rsidRDefault="009C7182" w:rsidP="00BE4964">
      <w:pPr>
        <w:pStyle w:val="Point"/>
        <w:numPr>
          <w:ilvl w:val="0"/>
          <w:numId w:val="32"/>
        </w:numPr>
      </w:pPr>
      <w:r w:rsidRPr="00BE4964">
        <w:t>Some Learn Local providers</w:t>
      </w:r>
      <w:r w:rsidR="00775E6A">
        <w:t xml:space="preserve"> who</w:t>
      </w:r>
      <w:r w:rsidRPr="00BE4964">
        <w:t xml:space="preserve"> </w:t>
      </w:r>
      <w:r w:rsidR="00775E6A">
        <w:t>use</w:t>
      </w:r>
      <w:r w:rsidRPr="00BE4964">
        <w:t xml:space="preserve"> a calendar year </w:t>
      </w:r>
      <w:r w:rsidR="003F6050">
        <w:t xml:space="preserve">financial </w:t>
      </w:r>
      <w:r w:rsidRPr="00BE4964">
        <w:t xml:space="preserve">reporting cycle with a BGS due on 31 March 2020 have expressed concern </w:t>
      </w:r>
      <w:r w:rsidR="00775E6A">
        <w:t>over</w:t>
      </w:r>
      <w:r w:rsidRPr="00BE4964">
        <w:t xml:space="preserve"> their ability to meet this timeline </w:t>
      </w:r>
      <w:r w:rsidR="00775E6A">
        <w:t>because</w:t>
      </w:r>
      <w:r w:rsidRPr="00BE4964">
        <w:t xml:space="preserve"> of the impact of COVID-19.</w:t>
      </w:r>
    </w:p>
    <w:p w14:paraId="55DB4B83" w14:textId="77777777" w:rsidR="00F32107" w:rsidRDefault="00EA5DA2" w:rsidP="00F32107">
      <w:pPr>
        <w:pStyle w:val="Point"/>
        <w:numPr>
          <w:ilvl w:val="0"/>
          <w:numId w:val="32"/>
        </w:numPr>
      </w:pPr>
      <w:r>
        <w:t>The</w:t>
      </w:r>
      <w:r w:rsidR="009C7182" w:rsidRPr="00BE4964">
        <w:t xml:space="preserve"> extension of </w:t>
      </w:r>
      <w:r>
        <w:t xml:space="preserve">the </w:t>
      </w:r>
      <w:r w:rsidR="009C7182" w:rsidRPr="00BE4964">
        <w:t xml:space="preserve">submission date </w:t>
      </w:r>
      <w:r w:rsidR="00F32107">
        <w:t>means</w:t>
      </w:r>
      <w:r w:rsidR="009C7182" w:rsidRPr="00BE4964">
        <w:t xml:space="preserve"> all Learn Local provider BGS due dates </w:t>
      </w:r>
      <w:r w:rsidR="00F32107">
        <w:t>have been shifted to</w:t>
      </w:r>
      <w:r w:rsidR="009C7182" w:rsidRPr="00BE4964">
        <w:t xml:space="preserve"> 30 September 2020. </w:t>
      </w:r>
    </w:p>
    <w:p w14:paraId="48F93A72" w14:textId="77777777" w:rsidR="00F32107" w:rsidRDefault="002061AA" w:rsidP="00B75801">
      <w:pPr>
        <w:pStyle w:val="Point"/>
        <w:numPr>
          <w:ilvl w:val="0"/>
          <w:numId w:val="32"/>
        </w:numPr>
      </w:pPr>
      <w:r w:rsidRPr="00F32107">
        <w:rPr>
          <w:rFonts w:cs="Calibri"/>
          <w:szCs w:val="22"/>
        </w:rPr>
        <w:t>The ACFE Board acknowledge</w:t>
      </w:r>
      <w:r w:rsidR="00791566" w:rsidRPr="00F32107">
        <w:rPr>
          <w:rFonts w:cs="Calibri"/>
          <w:szCs w:val="22"/>
        </w:rPr>
        <w:t>s</w:t>
      </w:r>
      <w:r w:rsidRPr="00F32107">
        <w:rPr>
          <w:rFonts w:cs="Calibri"/>
          <w:szCs w:val="22"/>
        </w:rPr>
        <w:t xml:space="preserve"> the range of challenges </w:t>
      </w:r>
      <w:r w:rsidR="00791566" w:rsidRPr="00F32107">
        <w:rPr>
          <w:rFonts w:cs="Calibri"/>
          <w:szCs w:val="22"/>
        </w:rPr>
        <w:t xml:space="preserve">currently </w:t>
      </w:r>
      <w:r w:rsidRPr="00F32107">
        <w:rPr>
          <w:rFonts w:cs="Calibri"/>
          <w:szCs w:val="22"/>
        </w:rPr>
        <w:t>faced by Learn Local providers as a result of COVID-19</w:t>
      </w:r>
      <w:r w:rsidR="00F377B1" w:rsidRPr="00F32107">
        <w:rPr>
          <w:rFonts w:cs="Calibri"/>
          <w:szCs w:val="22"/>
        </w:rPr>
        <w:t xml:space="preserve"> and the complex nature of each </w:t>
      </w:r>
      <w:r w:rsidR="003E78FE" w:rsidRPr="00F32107">
        <w:rPr>
          <w:rFonts w:cs="Calibri"/>
          <w:szCs w:val="22"/>
        </w:rPr>
        <w:t xml:space="preserve">of </w:t>
      </w:r>
      <w:r w:rsidR="00F32107">
        <w:rPr>
          <w:rFonts w:cs="Calibri"/>
          <w:szCs w:val="22"/>
        </w:rPr>
        <w:t>these</w:t>
      </w:r>
      <w:r w:rsidR="003E78FE" w:rsidRPr="00F32107">
        <w:rPr>
          <w:rFonts w:cs="Calibri"/>
          <w:szCs w:val="22"/>
        </w:rPr>
        <w:t xml:space="preserve"> </w:t>
      </w:r>
      <w:r w:rsidR="00F377B1" w:rsidRPr="00F32107">
        <w:rPr>
          <w:rFonts w:cs="Calibri"/>
          <w:szCs w:val="22"/>
        </w:rPr>
        <w:t>organisation</w:t>
      </w:r>
      <w:r w:rsidR="003E78FE" w:rsidRPr="00F32107">
        <w:rPr>
          <w:rFonts w:cs="Calibri"/>
          <w:szCs w:val="22"/>
        </w:rPr>
        <w:t>s</w:t>
      </w:r>
      <w:r w:rsidRPr="00F32107">
        <w:rPr>
          <w:rFonts w:cs="Calibri"/>
          <w:szCs w:val="22"/>
        </w:rPr>
        <w:t xml:space="preserve">. </w:t>
      </w:r>
    </w:p>
    <w:p w14:paraId="74B16672" w14:textId="48375137" w:rsidR="00F32107" w:rsidRDefault="0055269A" w:rsidP="00BF5640">
      <w:pPr>
        <w:pStyle w:val="Point"/>
        <w:numPr>
          <w:ilvl w:val="0"/>
          <w:numId w:val="32"/>
        </w:numPr>
      </w:pPr>
      <w:r w:rsidRPr="00C0476A">
        <w:t xml:space="preserve">The Department will continue to keep Learn Local providers updated on the potential implications of COVID-19 for training organisations.  </w:t>
      </w:r>
    </w:p>
    <w:p w14:paraId="0D33905D" w14:textId="74FB5506" w:rsidR="00F32107" w:rsidRPr="00F32107" w:rsidRDefault="00F32107" w:rsidP="00F32107">
      <w:pPr>
        <w:spacing w:after="120"/>
        <w:jc w:val="left"/>
        <w:rPr>
          <w:rFonts w:asciiTheme="minorHAnsi" w:hAnsiTheme="minorHAnsi" w:cstheme="minorHAnsi"/>
          <w:b/>
          <w:color w:val="364283" w:themeColor="accent1"/>
          <w:sz w:val="20"/>
          <w:szCs w:val="20"/>
          <w:lang w:val="en"/>
        </w:rPr>
      </w:pPr>
      <w:r w:rsidRPr="00F32107">
        <w:rPr>
          <w:rFonts w:asciiTheme="minorHAnsi" w:hAnsiTheme="minorHAnsi" w:cstheme="minorHAnsi"/>
          <w:b/>
          <w:color w:val="364283" w:themeColor="accent1"/>
          <w:sz w:val="20"/>
          <w:szCs w:val="20"/>
          <w:lang w:val="en"/>
        </w:rPr>
        <w:t>Further Information</w:t>
      </w:r>
    </w:p>
    <w:p w14:paraId="4F8256E7" w14:textId="0DD261B6" w:rsidR="00E9737E" w:rsidRPr="00E9737E" w:rsidRDefault="00E9737E" w:rsidP="00E9737E">
      <w:pPr>
        <w:pStyle w:val="Point"/>
        <w:numPr>
          <w:ilvl w:val="0"/>
          <w:numId w:val="32"/>
        </w:numPr>
        <w:rPr>
          <w:rFonts w:asciiTheme="minorHAnsi" w:hAnsiTheme="minorHAnsi" w:cstheme="minorHAnsi"/>
          <w:b/>
          <w:color w:val="364283" w:themeColor="accent1"/>
          <w:sz w:val="20"/>
          <w:szCs w:val="20"/>
          <w:lang w:val="en"/>
        </w:rPr>
      </w:pPr>
      <w:r>
        <w:rPr>
          <w:rFonts w:cs="Calibri"/>
        </w:rPr>
        <w:t xml:space="preserve">For more information on the </w:t>
      </w:r>
      <w:r w:rsidR="007E2204">
        <w:rPr>
          <w:rFonts w:cs="Calibri"/>
        </w:rPr>
        <w:t xml:space="preserve">BGS guidelines, visit the </w:t>
      </w:r>
      <w:hyperlink r:id="rId11" w:history="1">
        <w:r w:rsidR="007E2204" w:rsidRPr="009616F8">
          <w:rPr>
            <w:rStyle w:val="Hyperlink"/>
            <w:rFonts w:cs="Calibri"/>
          </w:rPr>
          <w:t>ACFE Board</w:t>
        </w:r>
      </w:hyperlink>
      <w:r w:rsidR="007E2204">
        <w:rPr>
          <w:rFonts w:cs="Calibri"/>
        </w:rPr>
        <w:t xml:space="preserve"> website.</w:t>
      </w:r>
      <w:r>
        <w:rPr>
          <w:rFonts w:cs="Calibri"/>
        </w:rPr>
        <w:t xml:space="preserve">  </w:t>
      </w:r>
    </w:p>
    <w:p w14:paraId="3F0EDA17" w14:textId="326E60BF" w:rsidR="00F7047A" w:rsidRPr="00BF5640" w:rsidRDefault="0093613B" w:rsidP="00BF5640">
      <w:pPr>
        <w:pStyle w:val="Point"/>
        <w:numPr>
          <w:ilvl w:val="0"/>
          <w:numId w:val="32"/>
        </w:numPr>
      </w:pPr>
      <w:r w:rsidRPr="00C0476A">
        <w:t>For further information regarding the specific actions associated with this advice, please contact your relevant Regional Manager in the first instance:</w:t>
      </w:r>
    </w:p>
    <w:tbl>
      <w:tblPr>
        <w:tblW w:w="4788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4"/>
        <w:gridCol w:w="2630"/>
        <w:gridCol w:w="2129"/>
        <w:gridCol w:w="2531"/>
      </w:tblGrid>
      <w:tr w:rsidR="00F7047A" w:rsidRPr="004C1382" w14:paraId="23B4B7DC" w14:textId="77777777" w:rsidTr="00F4684D">
        <w:trPr>
          <w:trHeight w:val="374"/>
        </w:trPr>
        <w:tc>
          <w:tcPr>
            <w:tcW w:w="1267" w:type="pct"/>
            <w:shd w:val="clear" w:color="auto" w:fill="4D5789"/>
          </w:tcPr>
          <w:p w14:paraId="37D168C4" w14:textId="77777777" w:rsidR="00F7047A" w:rsidRPr="00F7047A" w:rsidRDefault="00F7047A" w:rsidP="009850D4">
            <w:pPr>
              <w:spacing w:before="120"/>
              <w:ind w:left="142" w:right="142"/>
              <w:jc w:val="left"/>
              <w:rPr>
                <w:b/>
                <w:color w:val="20739E" w:themeColor="accent2" w:themeShade="BF"/>
              </w:rPr>
            </w:pPr>
            <w:r w:rsidRPr="00F7047A">
              <w:rPr>
                <w:b/>
                <w:color w:val="FFFFFF" w:themeColor="background1"/>
                <w:shd w:val="clear" w:color="auto" w:fill="4D5789"/>
              </w:rPr>
              <w:t>North Western</w:t>
            </w:r>
            <w:r w:rsidRPr="004C1382">
              <w:rPr>
                <w:b/>
                <w:color w:val="FFFFFF" w:themeColor="background1"/>
              </w:rPr>
              <w:t xml:space="preserve"> Victoria Region</w:t>
            </w:r>
          </w:p>
        </w:tc>
        <w:tc>
          <w:tcPr>
            <w:tcW w:w="1347" w:type="pct"/>
            <w:shd w:val="clear" w:color="auto" w:fill="4D5789"/>
          </w:tcPr>
          <w:p w14:paraId="77ACFAD2" w14:textId="77777777" w:rsidR="00F7047A" w:rsidRPr="004C1382" w:rsidRDefault="00F7047A" w:rsidP="009850D4">
            <w:pPr>
              <w:spacing w:before="120"/>
              <w:ind w:left="142" w:right="142"/>
              <w:jc w:val="left"/>
              <w:rPr>
                <w:b/>
                <w:color w:val="FFFFFF" w:themeColor="background1"/>
              </w:rPr>
            </w:pPr>
            <w:r w:rsidRPr="004C1382">
              <w:rPr>
                <w:b/>
                <w:color w:val="FFFFFF" w:themeColor="background1"/>
              </w:rPr>
              <w:t>North Eastern Victoria Region</w:t>
            </w:r>
          </w:p>
        </w:tc>
        <w:tc>
          <w:tcPr>
            <w:tcW w:w="1090" w:type="pct"/>
            <w:shd w:val="clear" w:color="auto" w:fill="4D5789"/>
          </w:tcPr>
          <w:p w14:paraId="421F3F67" w14:textId="77777777" w:rsidR="00F7047A" w:rsidRPr="004C1382" w:rsidRDefault="00F7047A" w:rsidP="009850D4">
            <w:pPr>
              <w:spacing w:before="120"/>
              <w:ind w:left="142" w:right="142"/>
              <w:jc w:val="left"/>
              <w:rPr>
                <w:b/>
                <w:color w:val="FFFFFF" w:themeColor="background1"/>
              </w:rPr>
            </w:pPr>
            <w:r w:rsidRPr="004C1382">
              <w:rPr>
                <w:b/>
                <w:color w:val="FFFFFF" w:themeColor="background1"/>
              </w:rPr>
              <w:t>South Eastern Victoria Region</w:t>
            </w:r>
          </w:p>
        </w:tc>
        <w:tc>
          <w:tcPr>
            <w:tcW w:w="1296" w:type="pct"/>
            <w:shd w:val="clear" w:color="auto" w:fill="4D5789"/>
          </w:tcPr>
          <w:p w14:paraId="43D028A9" w14:textId="77777777" w:rsidR="00F7047A" w:rsidRPr="004C1382" w:rsidRDefault="00F7047A" w:rsidP="009850D4">
            <w:pPr>
              <w:spacing w:before="120"/>
              <w:ind w:left="142" w:right="142"/>
              <w:jc w:val="left"/>
              <w:rPr>
                <w:b/>
                <w:color w:val="FFFFFF" w:themeColor="background1"/>
              </w:rPr>
            </w:pPr>
            <w:r w:rsidRPr="004C1382">
              <w:rPr>
                <w:b/>
                <w:color w:val="FFFFFF" w:themeColor="background1"/>
              </w:rPr>
              <w:t>South Western Victoria Region</w:t>
            </w:r>
          </w:p>
        </w:tc>
      </w:tr>
      <w:tr w:rsidR="00F7047A" w:rsidRPr="004C1382" w14:paraId="6297679C" w14:textId="77777777" w:rsidTr="00F4684D">
        <w:trPr>
          <w:trHeight w:val="374"/>
        </w:trPr>
        <w:tc>
          <w:tcPr>
            <w:tcW w:w="1267" w:type="pct"/>
            <w:shd w:val="clear" w:color="auto" w:fill="F2F2F2" w:themeFill="background1" w:themeFillShade="F2"/>
            <w:vAlign w:val="center"/>
          </w:tcPr>
          <w:p w14:paraId="66FE2BF1" w14:textId="77777777" w:rsidR="00F7047A" w:rsidRPr="004C1382" w:rsidRDefault="00F7047A" w:rsidP="009850D4">
            <w:pPr>
              <w:spacing w:before="60" w:after="60" w:line="240" w:lineRule="atLeast"/>
              <w:ind w:left="142" w:right="142"/>
              <w:contextualSpacing/>
              <w:jc w:val="left"/>
              <w:rPr>
                <w:color w:val="2C2A29" w:themeColor="text1"/>
              </w:rPr>
            </w:pPr>
            <w:r w:rsidRPr="004C1382">
              <w:rPr>
                <w:color w:val="2C2A29" w:themeColor="text1"/>
              </w:rPr>
              <w:t>Kaye Callaghan</w:t>
            </w:r>
          </w:p>
          <w:p w14:paraId="3FE89F28" w14:textId="77777777" w:rsidR="00F7047A" w:rsidRPr="004C1382" w:rsidRDefault="00F7047A" w:rsidP="009850D4">
            <w:pPr>
              <w:spacing w:before="60" w:after="60" w:line="240" w:lineRule="atLeast"/>
              <w:ind w:left="142" w:right="142"/>
              <w:jc w:val="left"/>
              <w:rPr>
                <w:color w:val="2C2A29" w:themeColor="text1"/>
                <w:highlight w:val="yellow"/>
              </w:rPr>
            </w:pPr>
            <w:r w:rsidRPr="004C1382">
              <w:rPr>
                <w:color w:val="2C2A29" w:themeColor="text1"/>
              </w:rPr>
              <w:t>Tel: 4433 7582</w:t>
            </w:r>
          </w:p>
        </w:tc>
        <w:tc>
          <w:tcPr>
            <w:tcW w:w="1347" w:type="pct"/>
            <w:shd w:val="clear" w:color="auto" w:fill="F2F2F2" w:themeFill="background1" w:themeFillShade="F2"/>
            <w:vAlign w:val="center"/>
          </w:tcPr>
          <w:p w14:paraId="5A2E9CDE" w14:textId="77777777" w:rsidR="00F7047A" w:rsidRPr="004C1382" w:rsidRDefault="00F7047A" w:rsidP="009850D4">
            <w:pPr>
              <w:spacing w:before="60" w:after="60" w:line="240" w:lineRule="atLeast"/>
              <w:ind w:left="142" w:right="142"/>
              <w:contextualSpacing/>
              <w:jc w:val="left"/>
              <w:rPr>
                <w:color w:val="2C2A29" w:themeColor="text1"/>
              </w:rPr>
            </w:pPr>
            <w:r w:rsidRPr="004C1382">
              <w:rPr>
                <w:color w:val="2C2A29" w:themeColor="text1"/>
              </w:rPr>
              <w:t>Julie Hebert</w:t>
            </w:r>
          </w:p>
          <w:p w14:paraId="4944DA99" w14:textId="77777777" w:rsidR="00F7047A" w:rsidRPr="004C1382" w:rsidRDefault="00F7047A" w:rsidP="00F4684D">
            <w:pPr>
              <w:spacing w:before="60" w:after="120" w:line="240" w:lineRule="atLeast"/>
              <w:ind w:left="142" w:right="142"/>
              <w:jc w:val="left"/>
              <w:rPr>
                <w:color w:val="2C2A29" w:themeColor="text1"/>
                <w:highlight w:val="yellow"/>
              </w:rPr>
            </w:pPr>
            <w:r w:rsidRPr="004C1382">
              <w:rPr>
                <w:color w:val="2C2A29" w:themeColor="text1"/>
              </w:rPr>
              <w:t>Tel: 7022 1802</w:t>
            </w:r>
          </w:p>
        </w:tc>
        <w:tc>
          <w:tcPr>
            <w:tcW w:w="1090" w:type="pct"/>
            <w:shd w:val="clear" w:color="auto" w:fill="F2F2F2" w:themeFill="background1" w:themeFillShade="F2"/>
            <w:vAlign w:val="center"/>
          </w:tcPr>
          <w:p w14:paraId="7182F346" w14:textId="77777777" w:rsidR="00F7047A" w:rsidRPr="004C1382" w:rsidRDefault="00F7047A" w:rsidP="009850D4">
            <w:pPr>
              <w:spacing w:before="60" w:after="60" w:line="240" w:lineRule="atLeast"/>
              <w:ind w:left="142" w:right="142"/>
              <w:contextualSpacing/>
              <w:jc w:val="left"/>
              <w:rPr>
                <w:color w:val="2C2A29" w:themeColor="text1"/>
              </w:rPr>
            </w:pPr>
            <w:r w:rsidRPr="004C1382">
              <w:rPr>
                <w:color w:val="2C2A29" w:themeColor="text1"/>
              </w:rPr>
              <w:t>Robyn Downie</w:t>
            </w:r>
          </w:p>
          <w:p w14:paraId="47BBC083" w14:textId="77777777" w:rsidR="00F7047A" w:rsidRPr="004C1382" w:rsidRDefault="00F7047A" w:rsidP="009850D4">
            <w:pPr>
              <w:spacing w:before="60" w:after="60" w:line="240" w:lineRule="atLeast"/>
              <w:ind w:left="142" w:right="142"/>
              <w:jc w:val="left"/>
              <w:rPr>
                <w:color w:val="2C2A29" w:themeColor="text1"/>
              </w:rPr>
            </w:pPr>
            <w:r w:rsidRPr="004C1382">
              <w:rPr>
                <w:color w:val="2C2A29" w:themeColor="text1"/>
              </w:rPr>
              <w:t>Tel: 8904 2580</w:t>
            </w:r>
          </w:p>
        </w:tc>
        <w:tc>
          <w:tcPr>
            <w:tcW w:w="1296" w:type="pct"/>
            <w:shd w:val="clear" w:color="auto" w:fill="F2F2F2" w:themeFill="background1" w:themeFillShade="F2"/>
            <w:vAlign w:val="center"/>
          </w:tcPr>
          <w:p w14:paraId="08D533A4" w14:textId="77777777" w:rsidR="00F7047A" w:rsidRPr="004C1382" w:rsidRDefault="00F7047A" w:rsidP="009850D4">
            <w:pPr>
              <w:spacing w:before="60" w:after="60" w:line="240" w:lineRule="atLeast"/>
              <w:ind w:left="142" w:right="142"/>
              <w:contextualSpacing/>
              <w:jc w:val="left"/>
              <w:rPr>
                <w:color w:val="2C2A29" w:themeColor="text1"/>
              </w:rPr>
            </w:pPr>
            <w:r w:rsidRPr="004C1382">
              <w:rPr>
                <w:color w:val="2C2A29" w:themeColor="text1"/>
              </w:rPr>
              <w:t>Georgina Ryder</w:t>
            </w:r>
          </w:p>
          <w:p w14:paraId="762ACA14" w14:textId="77777777" w:rsidR="00F7047A" w:rsidRPr="004C1382" w:rsidRDefault="00F7047A" w:rsidP="009850D4">
            <w:pPr>
              <w:spacing w:before="60" w:after="60" w:line="240" w:lineRule="atLeast"/>
              <w:ind w:left="142" w:right="142"/>
              <w:jc w:val="left"/>
              <w:rPr>
                <w:color w:val="2C2A29" w:themeColor="text1"/>
              </w:rPr>
            </w:pPr>
            <w:r w:rsidRPr="004C1382">
              <w:rPr>
                <w:color w:val="2C2A29" w:themeColor="text1"/>
              </w:rPr>
              <w:t>Tel: 5215 5204</w:t>
            </w:r>
          </w:p>
        </w:tc>
      </w:tr>
    </w:tbl>
    <w:p w14:paraId="6D5B861B" w14:textId="7D1AF633" w:rsidR="00F32107" w:rsidRDefault="00F32107" w:rsidP="00F4684D">
      <w:pPr>
        <w:pStyle w:val="Point"/>
        <w:rPr>
          <w:rFonts w:cs="Calibri"/>
        </w:rPr>
      </w:pPr>
    </w:p>
    <w:p w14:paraId="36C61C53" w14:textId="02F4332A" w:rsidR="00F4684D" w:rsidRPr="004C5F45" w:rsidRDefault="00F4684D" w:rsidP="00F4684D">
      <w:pPr>
        <w:pStyle w:val="Point"/>
        <w:rPr>
          <w:rFonts w:cs="Calibri"/>
        </w:rPr>
      </w:pPr>
      <w:r w:rsidRPr="004C5F45">
        <w:rPr>
          <w:rFonts w:cs="Calibri"/>
        </w:rPr>
        <w:t>Learn Local providers should continue to refer to the </w:t>
      </w:r>
      <w:hyperlink r:id="rId12" w:tgtFrame="_blank" w:history="1">
        <w:r w:rsidRPr="004C5F45">
          <w:rPr>
            <w:rStyle w:val="Hyperlink"/>
            <w:rFonts w:cs="Calibri"/>
          </w:rPr>
          <w:t>Department of Education and Training’s coronavirus (COVID-19) web page</w:t>
        </w:r>
      </w:hyperlink>
      <w:r w:rsidRPr="004C5F45">
        <w:rPr>
          <w:rFonts w:cs="Calibri"/>
        </w:rPr>
        <w:t xml:space="preserve"> for the most up-to-</w:t>
      </w:r>
      <w:r w:rsidRPr="004C5F45">
        <w:t>date</w:t>
      </w:r>
      <w:r w:rsidRPr="004C5F45">
        <w:rPr>
          <w:rFonts w:cs="Calibri"/>
        </w:rPr>
        <w:t xml:space="preserve"> information.</w:t>
      </w:r>
    </w:p>
    <w:p w14:paraId="000F6DD8" w14:textId="5F35D399" w:rsidR="00F4684D" w:rsidRPr="00410DA1" w:rsidRDefault="00F4684D" w:rsidP="00F4684D">
      <w:pPr>
        <w:pStyle w:val="Point"/>
        <w:rPr>
          <w:rFonts w:cs="Calibri"/>
        </w:rPr>
      </w:pPr>
      <w:r w:rsidRPr="00410DA1">
        <w:rPr>
          <w:rFonts w:cs="Calibri"/>
        </w:rPr>
        <w:t xml:space="preserve">The Department of Health and Human Services (DHHS) has provided </w:t>
      </w:r>
      <w:hyperlink r:id="rId13" w:tgtFrame="_blank" w:history="1">
        <w:r w:rsidRPr="00410DA1">
          <w:rPr>
            <w:rStyle w:val="Hyperlink"/>
            <w:rFonts w:cs="Calibri"/>
          </w:rPr>
          <w:t>advice and tips on following social distancing</w:t>
        </w:r>
      </w:hyperlink>
      <w:r w:rsidRPr="00410DA1">
        <w:rPr>
          <w:rFonts w:cs="Calibri"/>
        </w:rPr>
        <w:t xml:space="preserve"> in the classroom </w:t>
      </w:r>
      <w:r w:rsidRPr="00410DA1">
        <w:rPr>
          <w:szCs w:val="22"/>
        </w:rPr>
        <w:t>and</w:t>
      </w:r>
      <w:r w:rsidRPr="00410DA1">
        <w:rPr>
          <w:rFonts w:cs="Calibri"/>
        </w:rPr>
        <w:t xml:space="preserve"> workplace.  </w:t>
      </w:r>
    </w:p>
    <w:p w14:paraId="573DFC93" w14:textId="77777777" w:rsidR="00F4684D" w:rsidRPr="007A3D8E" w:rsidRDefault="00F4684D" w:rsidP="007A3D8E">
      <w:pPr>
        <w:pStyle w:val="Point"/>
      </w:pPr>
    </w:p>
    <w:sectPr w:rsidR="00F4684D" w:rsidRPr="007A3D8E" w:rsidSect="007A3D8E">
      <w:footerReference w:type="first" r:id="rId14"/>
      <w:pgSz w:w="11907" w:h="16840" w:code="9"/>
      <w:pgMar w:top="709" w:right="992" w:bottom="426" w:left="709" w:header="567" w:footer="1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A99CC" w14:textId="77777777" w:rsidR="00CA7D1B" w:rsidRDefault="00CA7D1B" w:rsidP="00846881">
      <w:r>
        <w:separator/>
      </w:r>
    </w:p>
  </w:endnote>
  <w:endnote w:type="continuationSeparator" w:id="0">
    <w:p w14:paraId="17C0B254" w14:textId="77777777" w:rsidR="00CA7D1B" w:rsidRDefault="00CA7D1B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JJUYJ E+ Meta">
    <w:altName w:val="Met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DIN-Regular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1DC63" w14:textId="77777777" w:rsidR="006834B9" w:rsidRPr="00DF2A51" w:rsidRDefault="006834B9" w:rsidP="006C10E2">
    <w:pPr>
      <w:pStyle w:val="Footer"/>
      <w:pBdr>
        <w:top w:val="single" w:sz="4" w:space="0" w:color="D9D9D9"/>
      </w:pBdr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223D6" w14:textId="77777777" w:rsidR="00CA7D1B" w:rsidRDefault="00CA7D1B" w:rsidP="00846881">
      <w:r>
        <w:separator/>
      </w:r>
    </w:p>
  </w:footnote>
  <w:footnote w:type="continuationSeparator" w:id="0">
    <w:p w14:paraId="3003DFBB" w14:textId="77777777" w:rsidR="00CA7D1B" w:rsidRDefault="00CA7D1B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E5200"/>
    <w:multiLevelType w:val="hybridMultilevel"/>
    <w:tmpl w:val="12440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253A83"/>
    <w:multiLevelType w:val="multilevel"/>
    <w:tmpl w:val="FCE481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0324D"/>
    <w:multiLevelType w:val="hybridMultilevel"/>
    <w:tmpl w:val="BDBE9B72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9486F"/>
    <w:multiLevelType w:val="multilevel"/>
    <w:tmpl w:val="F846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AB6EAF"/>
    <w:multiLevelType w:val="hybridMultilevel"/>
    <w:tmpl w:val="2C6C7D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2904BFB"/>
    <w:multiLevelType w:val="hybridMultilevel"/>
    <w:tmpl w:val="1F6E1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91948"/>
    <w:multiLevelType w:val="multilevel"/>
    <w:tmpl w:val="FCE481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591B27AB"/>
    <w:multiLevelType w:val="hybridMultilevel"/>
    <w:tmpl w:val="F6FE3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CC6181"/>
    <w:multiLevelType w:val="hybridMultilevel"/>
    <w:tmpl w:val="5344B4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1"/>
  </w:num>
  <w:num w:numId="2">
    <w:abstractNumId w:val="3"/>
  </w:num>
  <w:num w:numId="3">
    <w:abstractNumId w:val="0"/>
  </w:num>
  <w:num w:numId="4">
    <w:abstractNumId w:val="23"/>
  </w:num>
  <w:num w:numId="5">
    <w:abstractNumId w:val="1"/>
  </w:num>
  <w:num w:numId="6">
    <w:abstractNumId w:val="21"/>
  </w:num>
  <w:num w:numId="7">
    <w:abstractNumId w:val="9"/>
  </w:num>
  <w:num w:numId="8">
    <w:abstractNumId w:val="30"/>
  </w:num>
  <w:num w:numId="9">
    <w:abstractNumId w:val="20"/>
  </w:num>
  <w:num w:numId="10">
    <w:abstractNumId w:val="15"/>
  </w:num>
  <w:num w:numId="11">
    <w:abstractNumId w:val="10"/>
  </w:num>
  <w:num w:numId="12">
    <w:abstractNumId w:val="4"/>
  </w:num>
  <w:num w:numId="13">
    <w:abstractNumId w:val="24"/>
  </w:num>
  <w:num w:numId="14">
    <w:abstractNumId w:val="8"/>
  </w:num>
  <w:num w:numId="15">
    <w:abstractNumId w:val="33"/>
  </w:num>
  <w:num w:numId="16">
    <w:abstractNumId w:val="29"/>
  </w:num>
  <w:num w:numId="17">
    <w:abstractNumId w:val="11"/>
  </w:num>
  <w:num w:numId="18">
    <w:abstractNumId w:val="5"/>
  </w:num>
  <w:num w:numId="19">
    <w:abstractNumId w:val="32"/>
  </w:num>
  <w:num w:numId="20">
    <w:abstractNumId w:val="13"/>
  </w:num>
  <w:num w:numId="21">
    <w:abstractNumId w:val="22"/>
  </w:num>
  <w:num w:numId="22">
    <w:abstractNumId w:val="7"/>
  </w:num>
  <w:num w:numId="23">
    <w:abstractNumId w:val="28"/>
  </w:num>
  <w:num w:numId="24">
    <w:abstractNumId w:val="16"/>
  </w:num>
  <w:num w:numId="25">
    <w:abstractNumId w:val="2"/>
  </w:num>
  <w:num w:numId="26">
    <w:abstractNumId w:val="27"/>
  </w:num>
  <w:num w:numId="27">
    <w:abstractNumId w:val="6"/>
  </w:num>
  <w:num w:numId="28">
    <w:abstractNumId w:val="26"/>
  </w:num>
  <w:num w:numId="29">
    <w:abstractNumId w:val="34"/>
  </w:num>
  <w:num w:numId="30">
    <w:abstractNumId w:val="18"/>
  </w:num>
  <w:num w:numId="31">
    <w:abstractNumId w:val="14"/>
  </w:num>
  <w:num w:numId="32">
    <w:abstractNumId w:val="25"/>
  </w:num>
  <w:num w:numId="33">
    <w:abstractNumId w:val="19"/>
  </w:num>
  <w:num w:numId="34">
    <w:abstractNumId w:val="25"/>
  </w:num>
  <w:num w:numId="35">
    <w:abstractNumId w:val="25"/>
  </w:num>
  <w:num w:numId="36">
    <w:abstractNumId w:val="17"/>
  </w:num>
  <w:num w:numId="37">
    <w:abstractNumId w:val="25"/>
  </w:num>
  <w:num w:numId="38">
    <w:abstractNumId w:val="25"/>
  </w:num>
  <w:num w:numId="39">
    <w:abstractNumId w:val="25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D4"/>
    <w:rsid w:val="00021555"/>
    <w:rsid w:val="0002288F"/>
    <w:rsid w:val="0002677B"/>
    <w:rsid w:val="00027A26"/>
    <w:rsid w:val="000425DB"/>
    <w:rsid w:val="00044F33"/>
    <w:rsid w:val="000538AE"/>
    <w:rsid w:val="00060214"/>
    <w:rsid w:val="00060EA4"/>
    <w:rsid w:val="000701E5"/>
    <w:rsid w:val="000715DE"/>
    <w:rsid w:val="0008021C"/>
    <w:rsid w:val="000901F6"/>
    <w:rsid w:val="00096619"/>
    <w:rsid w:val="000A28AF"/>
    <w:rsid w:val="000B1133"/>
    <w:rsid w:val="000C3753"/>
    <w:rsid w:val="000C782C"/>
    <w:rsid w:val="000E70E3"/>
    <w:rsid w:val="000E7BF0"/>
    <w:rsid w:val="000F7140"/>
    <w:rsid w:val="00105130"/>
    <w:rsid w:val="001079BD"/>
    <w:rsid w:val="0011333F"/>
    <w:rsid w:val="001214D4"/>
    <w:rsid w:val="00125617"/>
    <w:rsid w:val="00125DA2"/>
    <w:rsid w:val="0013569E"/>
    <w:rsid w:val="00136133"/>
    <w:rsid w:val="001411A4"/>
    <w:rsid w:val="00154ECF"/>
    <w:rsid w:val="00157432"/>
    <w:rsid w:val="001807E6"/>
    <w:rsid w:val="00181F47"/>
    <w:rsid w:val="0019221B"/>
    <w:rsid w:val="001A352C"/>
    <w:rsid w:val="001C0117"/>
    <w:rsid w:val="001C0BDB"/>
    <w:rsid w:val="001C4930"/>
    <w:rsid w:val="001D0056"/>
    <w:rsid w:val="001D2F77"/>
    <w:rsid w:val="001E2394"/>
    <w:rsid w:val="001E4F45"/>
    <w:rsid w:val="001F3ECD"/>
    <w:rsid w:val="002010FA"/>
    <w:rsid w:val="00201D8D"/>
    <w:rsid w:val="002061AA"/>
    <w:rsid w:val="00206E94"/>
    <w:rsid w:val="00211194"/>
    <w:rsid w:val="00213CB1"/>
    <w:rsid w:val="00215848"/>
    <w:rsid w:val="0022166C"/>
    <w:rsid w:val="002264BF"/>
    <w:rsid w:val="00231621"/>
    <w:rsid w:val="00234DCA"/>
    <w:rsid w:val="00241DCD"/>
    <w:rsid w:val="00242E0D"/>
    <w:rsid w:val="00254C93"/>
    <w:rsid w:val="00256A9D"/>
    <w:rsid w:val="0025725C"/>
    <w:rsid w:val="00262007"/>
    <w:rsid w:val="0026349B"/>
    <w:rsid w:val="00264866"/>
    <w:rsid w:val="002653AA"/>
    <w:rsid w:val="0027439D"/>
    <w:rsid w:val="002774C1"/>
    <w:rsid w:val="002831C1"/>
    <w:rsid w:val="00284B19"/>
    <w:rsid w:val="0029046F"/>
    <w:rsid w:val="002904F3"/>
    <w:rsid w:val="002938CF"/>
    <w:rsid w:val="002A24E2"/>
    <w:rsid w:val="002B15E5"/>
    <w:rsid w:val="002B61F2"/>
    <w:rsid w:val="002D610A"/>
    <w:rsid w:val="002F4067"/>
    <w:rsid w:val="00305553"/>
    <w:rsid w:val="003079DD"/>
    <w:rsid w:val="003150C7"/>
    <w:rsid w:val="00315B2F"/>
    <w:rsid w:val="00340366"/>
    <w:rsid w:val="00352C50"/>
    <w:rsid w:val="003547C4"/>
    <w:rsid w:val="00355714"/>
    <w:rsid w:val="00384947"/>
    <w:rsid w:val="003941A3"/>
    <w:rsid w:val="003966A5"/>
    <w:rsid w:val="00396F8B"/>
    <w:rsid w:val="003A5544"/>
    <w:rsid w:val="003B2C9D"/>
    <w:rsid w:val="003B7B63"/>
    <w:rsid w:val="003D454C"/>
    <w:rsid w:val="003E78FE"/>
    <w:rsid w:val="003F0B63"/>
    <w:rsid w:val="003F3D59"/>
    <w:rsid w:val="003F6050"/>
    <w:rsid w:val="003F640F"/>
    <w:rsid w:val="00405232"/>
    <w:rsid w:val="00410DA1"/>
    <w:rsid w:val="00414AB1"/>
    <w:rsid w:val="00423765"/>
    <w:rsid w:val="004239F9"/>
    <w:rsid w:val="004304A3"/>
    <w:rsid w:val="0044416E"/>
    <w:rsid w:val="00453CAD"/>
    <w:rsid w:val="004604A8"/>
    <w:rsid w:val="00463997"/>
    <w:rsid w:val="00476C48"/>
    <w:rsid w:val="0048144F"/>
    <w:rsid w:val="004821AD"/>
    <w:rsid w:val="004B182C"/>
    <w:rsid w:val="004C32C0"/>
    <w:rsid w:val="004C5F45"/>
    <w:rsid w:val="004C7772"/>
    <w:rsid w:val="004D227A"/>
    <w:rsid w:val="004D356C"/>
    <w:rsid w:val="004D4B9E"/>
    <w:rsid w:val="004E29A2"/>
    <w:rsid w:val="004E42D2"/>
    <w:rsid w:val="004F1546"/>
    <w:rsid w:val="00505EC2"/>
    <w:rsid w:val="00506F42"/>
    <w:rsid w:val="005254FF"/>
    <w:rsid w:val="00526A3A"/>
    <w:rsid w:val="00536911"/>
    <w:rsid w:val="00540C9F"/>
    <w:rsid w:val="00545CC1"/>
    <w:rsid w:val="005519A3"/>
    <w:rsid w:val="0055217D"/>
    <w:rsid w:val="0055269A"/>
    <w:rsid w:val="005543E8"/>
    <w:rsid w:val="00583630"/>
    <w:rsid w:val="00590B75"/>
    <w:rsid w:val="0059276F"/>
    <w:rsid w:val="005B4815"/>
    <w:rsid w:val="005B7063"/>
    <w:rsid w:val="005B7AD7"/>
    <w:rsid w:val="005C05FA"/>
    <w:rsid w:val="005C5D77"/>
    <w:rsid w:val="005D079D"/>
    <w:rsid w:val="005D5398"/>
    <w:rsid w:val="005E1085"/>
    <w:rsid w:val="005F153D"/>
    <w:rsid w:val="0060642E"/>
    <w:rsid w:val="006254CC"/>
    <w:rsid w:val="00626260"/>
    <w:rsid w:val="006344F3"/>
    <w:rsid w:val="006404DE"/>
    <w:rsid w:val="006409D9"/>
    <w:rsid w:val="006503C4"/>
    <w:rsid w:val="00651785"/>
    <w:rsid w:val="0065500B"/>
    <w:rsid w:val="00660967"/>
    <w:rsid w:val="00664DD8"/>
    <w:rsid w:val="006834B9"/>
    <w:rsid w:val="0068690F"/>
    <w:rsid w:val="00687039"/>
    <w:rsid w:val="00692130"/>
    <w:rsid w:val="006935A8"/>
    <w:rsid w:val="00696854"/>
    <w:rsid w:val="00696AD5"/>
    <w:rsid w:val="006A1696"/>
    <w:rsid w:val="006A3BB0"/>
    <w:rsid w:val="006A5387"/>
    <w:rsid w:val="006C10E2"/>
    <w:rsid w:val="006D4561"/>
    <w:rsid w:val="006F3184"/>
    <w:rsid w:val="006F5334"/>
    <w:rsid w:val="007000E0"/>
    <w:rsid w:val="00717852"/>
    <w:rsid w:val="007269A9"/>
    <w:rsid w:val="00727CB8"/>
    <w:rsid w:val="00752D21"/>
    <w:rsid w:val="007602BC"/>
    <w:rsid w:val="0076398D"/>
    <w:rsid w:val="007645B3"/>
    <w:rsid w:val="00764A0A"/>
    <w:rsid w:val="00770AF9"/>
    <w:rsid w:val="007716FE"/>
    <w:rsid w:val="00772628"/>
    <w:rsid w:val="0077467D"/>
    <w:rsid w:val="00775E6A"/>
    <w:rsid w:val="00790C20"/>
    <w:rsid w:val="00791566"/>
    <w:rsid w:val="00791F9E"/>
    <w:rsid w:val="007951E1"/>
    <w:rsid w:val="007A161B"/>
    <w:rsid w:val="007A3D8E"/>
    <w:rsid w:val="007A3F91"/>
    <w:rsid w:val="007B3FD2"/>
    <w:rsid w:val="007B4AFB"/>
    <w:rsid w:val="007D5961"/>
    <w:rsid w:val="007E2204"/>
    <w:rsid w:val="007E360A"/>
    <w:rsid w:val="007E59F5"/>
    <w:rsid w:val="00810ABD"/>
    <w:rsid w:val="008317C7"/>
    <w:rsid w:val="0084456D"/>
    <w:rsid w:val="00846881"/>
    <w:rsid w:val="0085253B"/>
    <w:rsid w:val="00861794"/>
    <w:rsid w:val="00865959"/>
    <w:rsid w:val="00867D3A"/>
    <w:rsid w:val="00876497"/>
    <w:rsid w:val="00880ACA"/>
    <w:rsid w:val="00884527"/>
    <w:rsid w:val="0089186A"/>
    <w:rsid w:val="008A46E0"/>
    <w:rsid w:val="008C1842"/>
    <w:rsid w:val="008D3C9A"/>
    <w:rsid w:val="008D5441"/>
    <w:rsid w:val="008E2680"/>
    <w:rsid w:val="008E2DD6"/>
    <w:rsid w:val="008E3316"/>
    <w:rsid w:val="008E53DE"/>
    <w:rsid w:val="008E66C4"/>
    <w:rsid w:val="008F3646"/>
    <w:rsid w:val="00903B41"/>
    <w:rsid w:val="00917EE6"/>
    <w:rsid w:val="00921E57"/>
    <w:rsid w:val="00931CF5"/>
    <w:rsid w:val="00933118"/>
    <w:rsid w:val="00933C17"/>
    <w:rsid w:val="0093613B"/>
    <w:rsid w:val="00944E61"/>
    <w:rsid w:val="009548AD"/>
    <w:rsid w:val="009616F8"/>
    <w:rsid w:val="00965E53"/>
    <w:rsid w:val="009706F1"/>
    <w:rsid w:val="00972BFD"/>
    <w:rsid w:val="00973BF7"/>
    <w:rsid w:val="00982579"/>
    <w:rsid w:val="009843BA"/>
    <w:rsid w:val="009913B4"/>
    <w:rsid w:val="0099526E"/>
    <w:rsid w:val="00995CDB"/>
    <w:rsid w:val="009B090C"/>
    <w:rsid w:val="009B5012"/>
    <w:rsid w:val="009C7182"/>
    <w:rsid w:val="009C7B4C"/>
    <w:rsid w:val="009D5D01"/>
    <w:rsid w:val="009E3636"/>
    <w:rsid w:val="00A011F2"/>
    <w:rsid w:val="00A14B2D"/>
    <w:rsid w:val="00A2083F"/>
    <w:rsid w:val="00A24A30"/>
    <w:rsid w:val="00A305A5"/>
    <w:rsid w:val="00A30E35"/>
    <w:rsid w:val="00A45522"/>
    <w:rsid w:val="00A55A13"/>
    <w:rsid w:val="00A73441"/>
    <w:rsid w:val="00A74415"/>
    <w:rsid w:val="00A83FB3"/>
    <w:rsid w:val="00A9135E"/>
    <w:rsid w:val="00AA053C"/>
    <w:rsid w:val="00AA3C05"/>
    <w:rsid w:val="00AB15AD"/>
    <w:rsid w:val="00AB7AB6"/>
    <w:rsid w:val="00AC402D"/>
    <w:rsid w:val="00AD07C3"/>
    <w:rsid w:val="00AD0AF3"/>
    <w:rsid w:val="00AD1C49"/>
    <w:rsid w:val="00AD6A4D"/>
    <w:rsid w:val="00AE59A4"/>
    <w:rsid w:val="00AF0514"/>
    <w:rsid w:val="00AF06E4"/>
    <w:rsid w:val="00AF18DE"/>
    <w:rsid w:val="00B03C32"/>
    <w:rsid w:val="00B05E0A"/>
    <w:rsid w:val="00B211FC"/>
    <w:rsid w:val="00B25302"/>
    <w:rsid w:val="00B30654"/>
    <w:rsid w:val="00B3289A"/>
    <w:rsid w:val="00B33E4F"/>
    <w:rsid w:val="00B35761"/>
    <w:rsid w:val="00B41E45"/>
    <w:rsid w:val="00B50E6E"/>
    <w:rsid w:val="00B5136F"/>
    <w:rsid w:val="00B56D79"/>
    <w:rsid w:val="00B632F5"/>
    <w:rsid w:val="00B64069"/>
    <w:rsid w:val="00B72FE6"/>
    <w:rsid w:val="00B75801"/>
    <w:rsid w:val="00B8332D"/>
    <w:rsid w:val="00B93D5F"/>
    <w:rsid w:val="00B950AB"/>
    <w:rsid w:val="00BB17D4"/>
    <w:rsid w:val="00BB4A46"/>
    <w:rsid w:val="00BC23C8"/>
    <w:rsid w:val="00BD1D70"/>
    <w:rsid w:val="00BE143C"/>
    <w:rsid w:val="00BE4964"/>
    <w:rsid w:val="00BF5640"/>
    <w:rsid w:val="00BF5B84"/>
    <w:rsid w:val="00C03591"/>
    <w:rsid w:val="00C0476A"/>
    <w:rsid w:val="00C137EE"/>
    <w:rsid w:val="00C13929"/>
    <w:rsid w:val="00C151BB"/>
    <w:rsid w:val="00C373FC"/>
    <w:rsid w:val="00C5041F"/>
    <w:rsid w:val="00C5480D"/>
    <w:rsid w:val="00C579E9"/>
    <w:rsid w:val="00C75A39"/>
    <w:rsid w:val="00C83B90"/>
    <w:rsid w:val="00C97C0B"/>
    <w:rsid w:val="00CA0D2E"/>
    <w:rsid w:val="00CA2D61"/>
    <w:rsid w:val="00CA7D1B"/>
    <w:rsid w:val="00CB0D2D"/>
    <w:rsid w:val="00CB16A1"/>
    <w:rsid w:val="00CB2C50"/>
    <w:rsid w:val="00CB3905"/>
    <w:rsid w:val="00CC30D2"/>
    <w:rsid w:val="00CD0632"/>
    <w:rsid w:val="00CD37A5"/>
    <w:rsid w:val="00CE182B"/>
    <w:rsid w:val="00CE69B8"/>
    <w:rsid w:val="00CF2CA9"/>
    <w:rsid w:val="00CF35E5"/>
    <w:rsid w:val="00CF6891"/>
    <w:rsid w:val="00CF6C01"/>
    <w:rsid w:val="00D130F4"/>
    <w:rsid w:val="00D27296"/>
    <w:rsid w:val="00D30F3E"/>
    <w:rsid w:val="00D33418"/>
    <w:rsid w:val="00D35D3A"/>
    <w:rsid w:val="00D53A53"/>
    <w:rsid w:val="00D60148"/>
    <w:rsid w:val="00D728A2"/>
    <w:rsid w:val="00D81068"/>
    <w:rsid w:val="00D813EA"/>
    <w:rsid w:val="00D83E14"/>
    <w:rsid w:val="00D93763"/>
    <w:rsid w:val="00DB0BCD"/>
    <w:rsid w:val="00DB5802"/>
    <w:rsid w:val="00DB7126"/>
    <w:rsid w:val="00DD6095"/>
    <w:rsid w:val="00DD6855"/>
    <w:rsid w:val="00DF2A51"/>
    <w:rsid w:val="00DF6688"/>
    <w:rsid w:val="00E030FD"/>
    <w:rsid w:val="00E05620"/>
    <w:rsid w:val="00E124BD"/>
    <w:rsid w:val="00E31B04"/>
    <w:rsid w:val="00E31F62"/>
    <w:rsid w:val="00E320A4"/>
    <w:rsid w:val="00E37DFA"/>
    <w:rsid w:val="00E707B1"/>
    <w:rsid w:val="00E81659"/>
    <w:rsid w:val="00E8321E"/>
    <w:rsid w:val="00E90B45"/>
    <w:rsid w:val="00E91E6B"/>
    <w:rsid w:val="00E92ADE"/>
    <w:rsid w:val="00E9737E"/>
    <w:rsid w:val="00E97867"/>
    <w:rsid w:val="00EA1AA0"/>
    <w:rsid w:val="00EA2B5D"/>
    <w:rsid w:val="00EA5DA2"/>
    <w:rsid w:val="00EA7B5D"/>
    <w:rsid w:val="00EB08D9"/>
    <w:rsid w:val="00EB52E2"/>
    <w:rsid w:val="00EE21C1"/>
    <w:rsid w:val="00EE4BD9"/>
    <w:rsid w:val="00EE5A7F"/>
    <w:rsid w:val="00EE5E95"/>
    <w:rsid w:val="00F061DF"/>
    <w:rsid w:val="00F11CAC"/>
    <w:rsid w:val="00F13297"/>
    <w:rsid w:val="00F14B52"/>
    <w:rsid w:val="00F17667"/>
    <w:rsid w:val="00F2110D"/>
    <w:rsid w:val="00F24B4E"/>
    <w:rsid w:val="00F30F82"/>
    <w:rsid w:val="00F32107"/>
    <w:rsid w:val="00F343D3"/>
    <w:rsid w:val="00F377B1"/>
    <w:rsid w:val="00F453C5"/>
    <w:rsid w:val="00F4684D"/>
    <w:rsid w:val="00F47367"/>
    <w:rsid w:val="00F7047A"/>
    <w:rsid w:val="00F72301"/>
    <w:rsid w:val="00F77690"/>
    <w:rsid w:val="00F808E7"/>
    <w:rsid w:val="00F8781E"/>
    <w:rsid w:val="00F93F26"/>
    <w:rsid w:val="00F93F31"/>
    <w:rsid w:val="00FA3AD7"/>
    <w:rsid w:val="00FA70FF"/>
    <w:rsid w:val="00FA7345"/>
    <w:rsid w:val="00FB322D"/>
    <w:rsid w:val="00FC6923"/>
    <w:rsid w:val="00FD6F89"/>
    <w:rsid w:val="00FE314C"/>
    <w:rsid w:val="00FE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B79B92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2C2A29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813EA"/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831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831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B2041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831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283161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B2041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0563C1" w:themeColor="followedHyperlink"/>
      <w:u w:val="single"/>
    </w:rPr>
  </w:style>
  <w:style w:type="paragraph" w:customStyle="1" w:styleId="Pa0">
    <w:name w:val="Pa0"/>
    <w:basedOn w:val="Default"/>
    <w:next w:val="Default"/>
    <w:uiPriority w:val="99"/>
    <w:rsid w:val="00D35D3A"/>
    <w:pPr>
      <w:spacing w:line="151" w:lineRule="atLeast"/>
      <w:jc w:val="left"/>
    </w:pPr>
    <w:rPr>
      <w:rFonts w:ascii="JJUYJ E+ Meta" w:hAnsi="JJUYJ E+ Meta"/>
      <w:color w:val="2C2A29" w:themeColor="text2"/>
    </w:rPr>
  </w:style>
  <w:style w:type="character" w:customStyle="1" w:styleId="A1">
    <w:name w:val="A1"/>
    <w:uiPriority w:val="99"/>
    <w:rsid w:val="00D35D3A"/>
    <w:rPr>
      <w:rFonts w:cs="JJUYJ E+ Meta"/>
      <w:b/>
      <w:bCs/>
      <w:color w:val="221E1F"/>
    </w:rPr>
  </w:style>
  <w:style w:type="character" w:customStyle="1" w:styleId="A2">
    <w:name w:val="A2"/>
    <w:uiPriority w:val="99"/>
    <w:rsid w:val="00D35D3A"/>
    <w:rPr>
      <w:rFonts w:cs="JJUYJ E+ Meta"/>
      <w:color w:val="221E1F"/>
      <w:sz w:val="16"/>
      <w:szCs w:val="16"/>
    </w:rPr>
  </w:style>
  <w:style w:type="character" w:customStyle="1" w:styleId="A4">
    <w:name w:val="A4"/>
    <w:uiPriority w:val="99"/>
    <w:rsid w:val="00D35D3A"/>
    <w:rPr>
      <w:rFonts w:cs="JJUYJ E+ Meta"/>
      <w:color w:val="221E1F"/>
      <w:sz w:val="15"/>
      <w:szCs w:val="15"/>
      <w:u w:val="single"/>
    </w:rPr>
  </w:style>
  <w:style w:type="paragraph" w:customStyle="1" w:styleId="ACFEBodytext">
    <w:name w:val="ACFE Body text"/>
    <w:basedOn w:val="Normal"/>
    <w:link w:val="ACFEBodytextChar"/>
    <w:rsid w:val="00E124BD"/>
    <w:pPr>
      <w:spacing w:before="120" w:after="120"/>
      <w:jc w:val="left"/>
    </w:pPr>
    <w:rPr>
      <w:rFonts w:cs="Times New Roman"/>
      <w:color w:val="auto"/>
      <w:szCs w:val="20"/>
      <w:lang w:val="en-GB" w:eastAsia="en-US"/>
    </w:rPr>
  </w:style>
  <w:style w:type="character" w:customStyle="1" w:styleId="ACFEBodytextChar">
    <w:name w:val="ACFE Body text Char"/>
    <w:link w:val="ACFEBodytext"/>
    <w:rsid w:val="00E124BD"/>
    <w:rPr>
      <w:rFonts w:cs="Times New Roman"/>
      <w:color w:val="auto"/>
      <w:szCs w:val="20"/>
      <w:lang w:val="en-GB" w:eastAsia="en-US"/>
    </w:rPr>
  </w:style>
  <w:style w:type="paragraph" w:customStyle="1" w:styleId="Point">
    <w:name w:val="Point"/>
    <w:basedOn w:val="Normal"/>
    <w:qFormat/>
    <w:rsid w:val="000F7140"/>
    <w:pPr>
      <w:spacing w:after="120"/>
      <w:jc w:val="left"/>
    </w:pPr>
    <w:rPr>
      <w:rFonts w:ascii="Calibri" w:eastAsia="Meiryo" w:hAnsi="Calibri" w:cs="DIN-Regular"/>
      <w:color w:val="000000"/>
      <w:szCs w:val="17"/>
      <w:lang w:eastAsia="en-US"/>
    </w:rPr>
  </w:style>
  <w:style w:type="paragraph" w:customStyle="1" w:styleId="Subpoint">
    <w:name w:val="Subpoint"/>
    <w:basedOn w:val="Normal"/>
    <w:qFormat/>
    <w:rsid w:val="000F7140"/>
    <w:pPr>
      <w:spacing w:after="120"/>
      <w:contextualSpacing/>
      <w:jc w:val="left"/>
    </w:pPr>
    <w:rPr>
      <w:rFonts w:ascii="Calibri" w:eastAsia="Meiryo" w:hAnsi="Calibri" w:cs="DIN-Regular"/>
      <w:color w:val="000000"/>
      <w:szCs w:val="17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75E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5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5E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5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5E6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6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5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hhs.vic.gov.au/coronavirus-covid-19-transmission-reduction-measur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cation.vic.gov.au/about/department/Pages/coronavirus.aspx?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training/providers/learnlocal/Pages/network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Learn Local 1">
      <a:dk1>
        <a:srgbClr val="2C2A29"/>
      </a:dk1>
      <a:lt1>
        <a:sysClr val="window" lastClr="FFFFFF"/>
      </a:lt1>
      <a:dk2>
        <a:srgbClr val="2C2A29"/>
      </a:dk2>
      <a:lt2>
        <a:srgbClr val="FFFFFF"/>
      </a:lt2>
      <a:accent1>
        <a:srgbClr val="364283"/>
      </a:accent1>
      <a:accent2>
        <a:srgbClr val="2B9AD4"/>
      </a:accent2>
      <a:accent3>
        <a:srgbClr val="E07E3C"/>
      </a:accent3>
      <a:accent4>
        <a:srgbClr val="D69A2D"/>
      </a:accent4>
      <a:accent5>
        <a:srgbClr val="36421F"/>
      </a:accent5>
      <a:accent6>
        <a:srgbClr val="74AA50"/>
      </a:accent6>
      <a:hlink>
        <a:srgbClr val="0563C1"/>
      </a:hlink>
      <a:folHlink>
        <a:srgbClr val="0563C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PIRE_Branch_Memo COVID-19 Extension for 2020 submissions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4A73A-F4EC-42BA-B27D-747E28679FF0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3d1ff143-bba6-4116-bba7-f9c1ae1094d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6C6CD5-77FE-455A-B51C-C772E8789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845026-40DA-4C71-B990-FEBF22F6C343}"/>
</file>

<file path=customXml/itemProps4.xml><?xml version="1.0" encoding="utf-8"?>
<ds:datastoreItem xmlns:ds="http://schemas.openxmlformats.org/officeDocument/2006/customXml" ds:itemID="{DD1A8997-F9A1-4E77-BB5E-07894DC2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Memorandum.dot</Template>
  <TotalTime>1</TotalTime>
  <Pages>1</Pages>
  <Words>394</Words>
  <Characters>2412</Characters>
  <Application>Microsoft Office Word</Application>
  <DocSecurity>0</DocSecurity>
  <Lines>1206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PIRE Branch Memo ACFE Regional Councils March</vt:lpstr>
    </vt:vector>
  </TitlesOfParts>
  <Company>Dept. Of Education and Training (DE&amp;T)</Company>
  <LinksUpToDate>false</LinksUpToDate>
  <CharactersWithSpaces>2750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PIRE_Branch_Memo COVID-19 Extension for 2020 submissions</dc:title>
  <dc:creator>08306670</dc:creator>
  <cp:lastModifiedBy>French, Megan L</cp:lastModifiedBy>
  <cp:revision>2</cp:revision>
  <cp:lastPrinted>2020-03-10T05:40:00Z</cp:lastPrinted>
  <dcterms:created xsi:type="dcterms:W3CDTF">2020-03-30T03:46:00Z</dcterms:created>
  <dcterms:modified xsi:type="dcterms:W3CDTF">2020-03-30T03:46:00Z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DET_EDRMS_RCS">
    <vt:lpwstr>12;#13.3.2 Agency Procedures Development|229a67ae-1fec-46d6-a277-bd43dbd1d37e</vt:lpwstr>
  </property>
  <property fmtid="{D5CDD505-2E9C-101B-9397-08002B2CF9AE}" pid="8" name="DET_EDRMS_BusUnit">
    <vt:lpwstr/>
  </property>
  <property fmtid="{D5CDD505-2E9C-101B-9397-08002B2CF9AE}" pid="9" name="DET_EDRMS_SecClass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{3ed742c5-94af-4432-8895-d50f327830af}</vt:lpwstr>
  </property>
  <property fmtid="{D5CDD505-2E9C-101B-9397-08002B2CF9AE}" pid="12" name="RecordPoint_ActiveItemSiteId">
    <vt:lpwstr>{702d8416-5cfb-418e-b259-4c75e5c77461}</vt:lpwstr>
  </property>
  <property fmtid="{D5CDD505-2E9C-101B-9397-08002B2CF9AE}" pid="13" name="RecordPoint_ActiveItemListId">
    <vt:lpwstr>{2d774a36-3a1b-40eb-b630-d5b22dd59fb2}</vt:lpwstr>
  </property>
  <property fmtid="{D5CDD505-2E9C-101B-9397-08002B2CF9AE}" pid="14" name="RecordPoint_ActiveItemUniqueId">
    <vt:lpwstr>{06d8ce25-e17a-4dee-8a68-a153a3d9658e}</vt:lpwstr>
  </property>
  <property fmtid="{D5CDD505-2E9C-101B-9397-08002B2CF9AE}" pid="15" name="RecordPoint_RecordNumberSubmitted">
    <vt:lpwstr>R20200257455</vt:lpwstr>
  </property>
  <property fmtid="{D5CDD505-2E9C-101B-9397-08002B2CF9AE}" pid="16" name="RecordPoint_SubmissionCompleted">
    <vt:lpwstr>2020-03-30T14:12:26.3296725+11:00</vt:lpwstr>
  </property>
  <property fmtid="{D5CDD505-2E9C-101B-9397-08002B2CF9AE}" pid="17" name="_docset_NoMedatataSyncRequired">
    <vt:lpwstr>False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