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B469" w14:textId="77777777" w:rsidR="00876497" w:rsidRPr="00071D2B" w:rsidRDefault="00876497" w:rsidP="00876497">
      <w:pPr>
        <w:jc w:val="center"/>
        <w:rPr>
          <w:rFonts w:asciiTheme="minorHAnsi" w:hAnsiTheme="minorHAnsi" w:cstheme="minorHAnsi"/>
          <w:color w:val="364283" w:themeColor="accent1"/>
          <w:sz w:val="28"/>
          <w:szCs w:val="28"/>
        </w:rPr>
      </w:pPr>
      <w:r w:rsidRPr="00071D2B">
        <w:rPr>
          <w:rFonts w:asciiTheme="minorHAnsi" w:hAnsiTheme="minorHAnsi" w:cstheme="minorHAnsi"/>
          <w:color w:val="364283" w:themeColor="accent1"/>
          <w:sz w:val="28"/>
          <w:szCs w:val="28"/>
        </w:rPr>
        <w:t>Department of Education and Training</w:t>
      </w:r>
    </w:p>
    <w:p w14:paraId="4778F2B7" w14:textId="77777777" w:rsidR="00876497" w:rsidRPr="00071D2B" w:rsidRDefault="00876497" w:rsidP="00876497">
      <w:pPr>
        <w:jc w:val="center"/>
        <w:rPr>
          <w:rFonts w:asciiTheme="minorHAnsi" w:hAnsiTheme="minorHAnsi" w:cstheme="minorHAnsi"/>
          <w:color w:val="364283" w:themeColor="accent1"/>
          <w:sz w:val="28"/>
          <w:szCs w:val="28"/>
        </w:rPr>
      </w:pPr>
      <w:r w:rsidRPr="00071D2B">
        <w:rPr>
          <w:rFonts w:asciiTheme="minorHAnsi" w:hAnsiTheme="minorHAnsi" w:cstheme="minorHAnsi"/>
          <w:color w:val="364283" w:themeColor="accent1"/>
          <w:sz w:val="28"/>
          <w:szCs w:val="28"/>
        </w:rPr>
        <w:t>Higher Education and Skills</w:t>
      </w:r>
    </w:p>
    <w:p w14:paraId="060436C4" w14:textId="77777777" w:rsidR="00876497" w:rsidRPr="00071D2B" w:rsidRDefault="00876497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</w:rPr>
      </w:pPr>
    </w:p>
    <w:p w14:paraId="6AB5C056" w14:textId="77777777" w:rsidR="00876497" w:rsidRPr="00071D2B" w:rsidRDefault="00876497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</w:rPr>
      </w:pPr>
      <w:r w:rsidRPr="00071D2B">
        <w:rPr>
          <w:rFonts w:asciiTheme="minorHAnsi" w:hAnsiTheme="minorHAnsi" w:cstheme="minorHAnsi"/>
          <w:color w:val="364283" w:themeColor="accent1"/>
          <w:sz w:val="20"/>
          <w:szCs w:val="20"/>
        </w:rPr>
        <w:t>Participation, Inclusion and Regional Engagement Branch Memo</w:t>
      </w:r>
    </w:p>
    <w:p w14:paraId="59A099DA" w14:textId="77777777" w:rsidR="00876497" w:rsidRPr="00071D2B" w:rsidRDefault="00876497" w:rsidP="00876497">
      <w:pPr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</w:pPr>
    </w:p>
    <w:p w14:paraId="013B2EA5" w14:textId="4091E69A" w:rsidR="00876497" w:rsidRPr="00071D2B" w:rsidRDefault="00876497" w:rsidP="00876497">
      <w:pPr>
        <w:ind w:left="1440" w:hanging="144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eastAsia="en-US"/>
        </w:rPr>
      </w:pPr>
      <w:r w:rsidRPr="00071D2B"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  <w:t>TO:</w:t>
      </w:r>
      <w:r w:rsidRPr="00071D2B">
        <w:rPr>
          <w:rFonts w:asciiTheme="minorHAnsi" w:hAnsiTheme="minorHAnsi" w:cstheme="minorHAnsi"/>
          <w:color w:val="2C2A29" w:themeColor="text1"/>
          <w:sz w:val="20"/>
          <w:szCs w:val="20"/>
          <w:lang w:eastAsia="en-US"/>
        </w:rPr>
        <w:tab/>
        <w:t>Learn Local providers, PIRE Branch staff, ACFE Board, ACFE Regional Councils</w:t>
      </w:r>
      <w:r w:rsidR="00DA1A0B">
        <w:rPr>
          <w:rFonts w:asciiTheme="minorHAnsi" w:hAnsiTheme="minorHAnsi" w:cstheme="minorHAnsi"/>
          <w:color w:val="2C2A29" w:themeColor="text1"/>
          <w:sz w:val="20"/>
          <w:szCs w:val="20"/>
          <w:lang w:eastAsia="en-US"/>
        </w:rPr>
        <w:t xml:space="preserve">, </w:t>
      </w:r>
      <w:r w:rsidR="00DA1A0B" w:rsidRPr="00DA1A0B">
        <w:rPr>
          <w:rFonts w:asciiTheme="minorHAnsi" w:hAnsiTheme="minorHAnsi" w:cstheme="minorHAnsi"/>
          <w:color w:val="2C2A29" w:themeColor="text1"/>
          <w:sz w:val="20"/>
          <w:szCs w:val="20"/>
          <w:lang w:eastAsia="en-US"/>
        </w:rPr>
        <w:t>Adult education institutions</w:t>
      </w:r>
    </w:p>
    <w:p w14:paraId="56791960" w14:textId="4D45D445" w:rsidR="00876497" w:rsidRPr="00071D2B" w:rsidRDefault="00876497" w:rsidP="00876497">
      <w:pPr>
        <w:spacing w:before="12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</w:pPr>
      <w:r w:rsidRPr="00071D2B"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  <w:t>FROM:</w:t>
      </w:r>
      <w:r w:rsidRPr="00071D2B"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  <w:tab/>
      </w:r>
      <w:r w:rsidRPr="00071D2B"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  <w:tab/>
      </w:r>
      <w:r w:rsidR="00DC08B9" w:rsidRPr="00071D2B">
        <w:rPr>
          <w:rFonts w:asciiTheme="minorHAnsi" w:hAnsiTheme="minorHAnsi" w:cstheme="minorHAnsi"/>
          <w:color w:val="2C2A29" w:themeColor="text1"/>
          <w:sz w:val="20"/>
          <w:szCs w:val="20"/>
          <w:lang w:eastAsia="en-US"/>
        </w:rPr>
        <w:t xml:space="preserve">Ryan Collins, </w:t>
      </w:r>
      <w:r w:rsidRPr="00071D2B">
        <w:rPr>
          <w:rFonts w:asciiTheme="minorHAnsi" w:hAnsiTheme="minorHAnsi" w:cstheme="minorHAnsi"/>
          <w:color w:val="2C2A29" w:themeColor="text1"/>
          <w:sz w:val="20"/>
          <w:szCs w:val="20"/>
          <w:lang w:eastAsia="en-US"/>
        </w:rPr>
        <w:t>Director — Participation, Inclusion and Regional Engagement Branch</w:t>
      </w:r>
    </w:p>
    <w:p w14:paraId="7ECF62DF" w14:textId="378F41DC" w:rsidR="00876497" w:rsidRPr="00071D2B" w:rsidRDefault="00876497" w:rsidP="00876497">
      <w:pPr>
        <w:spacing w:before="12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eastAsia="en-US"/>
        </w:rPr>
      </w:pPr>
      <w:r w:rsidRPr="00071D2B"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  <w:t>DATE:</w:t>
      </w:r>
      <w:r w:rsidRPr="00071D2B"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  <w:tab/>
      </w:r>
      <w:r w:rsidRPr="00071D2B"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  <w:tab/>
      </w:r>
      <w:r w:rsidR="008D4C16">
        <w:rPr>
          <w:rFonts w:asciiTheme="minorHAnsi" w:hAnsiTheme="minorHAnsi" w:cstheme="minorHAnsi"/>
          <w:color w:val="2C2A29" w:themeColor="text1"/>
          <w:sz w:val="20"/>
          <w:szCs w:val="20"/>
          <w:lang w:eastAsia="en-US"/>
        </w:rPr>
        <w:t>2</w:t>
      </w:r>
      <w:r w:rsidR="00E6567C">
        <w:rPr>
          <w:rFonts w:asciiTheme="minorHAnsi" w:hAnsiTheme="minorHAnsi" w:cstheme="minorHAnsi"/>
          <w:color w:val="2C2A29" w:themeColor="text1"/>
          <w:sz w:val="20"/>
          <w:szCs w:val="20"/>
          <w:lang w:eastAsia="en-US"/>
        </w:rPr>
        <w:t>8</w:t>
      </w:r>
      <w:r w:rsidR="008D4C16">
        <w:rPr>
          <w:rFonts w:asciiTheme="minorHAnsi" w:hAnsiTheme="minorHAnsi" w:cstheme="minorHAnsi"/>
          <w:color w:val="2C2A29" w:themeColor="text1"/>
          <w:sz w:val="20"/>
          <w:szCs w:val="20"/>
          <w:lang w:eastAsia="en-US"/>
        </w:rPr>
        <w:t>/04</w:t>
      </w:r>
      <w:r w:rsidR="00D140BC">
        <w:rPr>
          <w:rFonts w:asciiTheme="minorHAnsi" w:hAnsiTheme="minorHAnsi" w:cstheme="minorHAnsi"/>
          <w:color w:val="2C2A29" w:themeColor="text1"/>
          <w:sz w:val="20"/>
          <w:szCs w:val="20"/>
          <w:lang w:eastAsia="en-US"/>
        </w:rPr>
        <w:t>/</w:t>
      </w:r>
      <w:r w:rsidR="00DC08B9" w:rsidRPr="00071D2B">
        <w:rPr>
          <w:rFonts w:asciiTheme="minorHAnsi" w:hAnsiTheme="minorHAnsi" w:cstheme="minorHAnsi"/>
          <w:color w:val="2C2A29" w:themeColor="text1"/>
          <w:sz w:val="20"/>
          <w:szCs w:val="20"/>
          <w:lang w:eastAsia="en-US"/>
        </w:rPr>
        <w:t>2020</w:t>
      </w:r>
    </w:p>
    <w:p w14:paraId="7510F8FF" w14:textId="4289BD1E" w:rsidR="00876497" w:rsidRPr="00071D2B" w:rsidRDefault="00876497" w:rsidP="00DA1A0B">
      <w:pPr>
        <w:spacing w:before="120"/>
        <w:ind w:left="1440" w:hanging="144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</w:pPr>
      <w:r w:rsidRPr="00071D2B"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  <w:t xml:space="preserve">SUBJECT: </w:t>
      </w:r>
      <w:r w:rsidRPr="00071D2B"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  <w:tab/>
      </w:r>
      <w:r w:rsidR="008D4C16"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  <w:t>Fact sheets for Learn Local providers to provide guidance on pre-accredited training delivery in Term 2, 2020</w:t>
      </w:r>
      <w:r w:rsidR="00824C4E" w:rsidRPr="00824C4E"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  <w:t xml:space="preserve"> </w:t>
      </w:r>
    </w:p>
    <w:p w14:paraId="272D55BC" w14:textId="77777777" w:rsidR="00876497" w:rsidRPr="00071D2B" w:rsidRDefault="00876497" w:rsidP="00876497">
      <w:pPr>
        <w:pBdr>
          <w:bottom w:val="single" w:sz="4" w:space="1" w:color="auto"/>
        </w:pBdr>
        <w:jc w:val="left"/>
        <w:rPr>
          <w:rFonts w:asciiTheme="minorHAnsi" w:hAnsiTheme="minorHAnsi" w:cstheme="minorHAnsi"/>
          <w:color w:val="364283" w:themeColor="accent1"/>
          <w:sz w:val="20"/>
          <w:szCs w:val="20"/>
        </w:rPr>
      </w:pPr>
    </w:p>
    <w:p w14:paraId="113ED3F5" w14:textId="77777777" w:rsidR="00876497" w:rsidRPr="00071D2B" w:rsidRDefault="00876497" w:rsidP="00876497">
      <w:pPr>
        <w:jc w:val="left"/>
        <w:rPr>
          <w:rFonts w:asciiTheme="minorHAnsi" w:hAnsiTheme="minorHAnsi" w:cstheme="minorHAnsi"/>
          <w:color w:val="283117" w:themeColor="accent5" w:themeShade="BF"/>
          <w:sz w:val="20"/>
          <w:szCs w:val="20"/>
        </w:rPr>
      </w:pPr>
    </w:p>
    <w:p w14:paraId="32561C7F" w14:textId="1655F338" w:rsidR="00876497" w:rsidRDefault="00876497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</w:rPr>
      </w:pPr>
      <w:r w:rsidRPr="00071D2B">
        <w:rPr>
          <w:rFonts w:asciiTheme="minorHAnsi" w:hAnsiTheme="minorHAnsi" w:cstheme="minorHAnsi"/>
          <w:color w:val="364283" w:themeColor="accent1"/>
          <w:sz w:val="20"/>
          <w:szCs w:val="20"/>
        </w:rPr>
        <w:t>Actions</w:t>
      </w:r>
    </w:p>
    <w:p w14:paraId="7A606C4E" w14:textId="77777777" w:rsidR="00DA1A0B" w:rsidRPr="00071D2B" w:rsidRDefault="00DA1A0B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</w:rPr>
      </w:pPr>
    </w:p>
    <w:p w14:paraId="20B6B8D0" w14:textId="6052B210" w:rsidR="00876497" w:rsidRDefault="00967652" w:rsidP="008B780B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 w:line="240" w:lineRule="auto"/>
        <w:contextualSpacing w:val="0"/>
        <w:jc w:val="left"/>
        <w:rPr>
          <w:rFonts w:asciiTheme="minorHAnsi" w:hAnsiTheme="minorHAnsi" w:cstheme="minorHAnsi"/>
          <w:bCs/>
          <w:color w:val="2C2A29" w:themeColor="text1"/>
          <w:sz w:val="20"/>
          <w:szCs w:val="20"/>
          <w:lang w:val="en-AU"/>
        </w:rPr>
      </w:pP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AU"/>
        </w:rPr>
        <w:t>Read</w:t>
      </w:r>
      <w:r w:rsidR="00DA1A0B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AU"/>
        </w:rPr>
        <w:t xml:space="preserve"> the fact sheets released by the Adult, Community and Further Education (ACFE) Board to provide guidance and advice on pre-accredited training delivery and funding in Term 2, 2020</w:t>
      </w:r>
    </w:p>
    <w:p w14:paraId="379626A9" w14:textId="77777777" w:rsidR="00DA1A0B" w:rsidRPr="008B780B" w:rsidRDefault="00DA1A0B" w:rsidP="00DA1A0B">
      <w:pPr>
        <w:pStyle w:val="ListParagraph"/>
        <w:tabs>
          <w:tab w:val="left" w:pos="0"/>
          <w:tab w:val="left" w:pos="1080"/>
        </w:tabs>
        <w:spacing w:after="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2C2A29" w:themeColor="text1"/>
          <w:sz w:val="20"/>
          <w:szCs w:val="20"/>
          <w:lang w:val="en-AU"/>
        </w:rPr>
      </w:pPr>
    </w:p>
    <w:p w14:paraId="1CDCBC5C" w14:textId="77777777" w:rsidR="00876497" w:rsidRPr="00071D2B" w:rsidRDefault="00876497" w:rsidP="00876497">
      <w:pPr>
        <w:pBdr>
          <w:top w:val="single" w:sz="4" w:space="1" w:color="auto"/>
        </w:pBdr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</w:p>
    <w:p w14:paraId="4153AE54" w14:textId="243B804E" w:rsidR="00071D2B" w:rsidRPr="00071D2B" w:rsidRDefault="00DA1A0B" w:rsidP="00824C4E">
      <w:pPr>
        <w:pBdr>
          <w:top w:val="single" w:sz="4" w:space="1" w:color="auto"/>
        </w:pBdr>
        <w:spacing w:line="276" w:lineRule="auto"/>
        <w:jc w:val="left"/>
        <w:rPr>
          <w:rFonts w:asciiTheme="minorHAnsi" w:hAnsiTheme="minorHAnsi" w:cstheme="minorHAnsi"/>
          <w:color w:val="364283" w:themeColor="accent1"/>
          <w:szCs w:val="20"/>
        </w:rPr>
      </w:pPr>
      <w:r>
        <w:rPr>
          <w:rFonts w:asciiTheme="minorHAnsi" w:hAnsiTheme="minorHAnsi" w:cstheme="minorHAnsi"/>
          <w:color w:val="364283" w:themeColor="accent1"/>
          <w:szCs w:val="20"/>
        </w:rPr>
        <w:t>Fact Sheets released</w:t>
      </w:r>
    </w:p>
    <w:p w14:paraId="307C21A7" w14:textId="2DD01F7F" w:rsidR="00C10C99" w:rsidRDefault="00DA1A0B" w:rsidP="00824C4E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  <w:r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The ACFE Board released </w:t>
      </w:r>
      <w:r w:rsidR="00E6567C">
        <w:rPr>
          <w:rFonts w:asciiTheme="minorHAnsi" w:hAnsiTheme="minorHAnsi" w:cstheme="minorHAnsi"/>
          <w:color w:val="2C2A29" w:themeColor="text1"/>
          <w:sz w:val="20"/>
          <w:szCs w:val="20"/>
        </w:rPr>
        <w:t>two</w:t>
      </w:r>
      <w:r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 fact sheets</w:t>
      </w:r>
      <w:r w:rsidR="00711F94"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 via a communique</w:t>
      </w:r>
      <w:r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 on 2</w:t>
      </w:r>
      <w:r w:rsidR="006C5B3E">
        <w:rPr>
          <w:rFonts w:asciiTheme="minorHAnsi" w:hAnsiTheme="minorHAnsi" w:cstheme="minorHAnsi"/>
          <w:color w:val="2C2A29" w:themeColor="text1"/>
          <w:sz w:val="20"/>
          <w:szCs w:val="20"/>
        </w:rPr>
        <w:t>3</w:t>
      </w:r>
      <w:r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 April 2020 </w:t>
      </w:r>
      <w:r w:rsidR="00711F94">
        <w:rPr>
          <w:rFonts w:asciiTheme="minorHAnsi" w:hAnsiTheme="minorHAnsi" w:cstheme="minorHAnsi"/>
          <w:color w:val="2C2A29" w:themeColor="text1"/>
          <w:sz w:val="20"/>
          <w:szCs w:val="20"/>
        </w:rPr>
        <w:t>developed</w:t>
      </w:r>
      <w:r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 in consultation with</w:t>
      </w:r>
      <w:bookmarkStart w:id="0" w:name="_GoBack"/>
      <w:bookmarkEnd w:id="0"/>
      <w:r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 </w:t>
      </w:r>
      <w:r w:rsidR="00FD06BB">
        <w:rPr>
          <w:rFonts w:asciiTheme="minorHAnsi" w:hAnsiTheme="minorHAnsi" w:cstheme="minorHAnsi"/>
          <w:color w:val="2C2A29" w:themeColor="text1"/>
          <w:sz w:val="20"/>
          <w:szCs w:val="20"/>
        </w:rPr>
        <w:t>sector providers</w:t>
      </w:r>
      <w:r>
        <w:rPr>
          <w:rFonts w:asciiTheme="minorHAnsi" w:hAnsiTheme="minorHAnsi" w:cstheme="minorHAnsi"/>
          <w:color w:val="2C2A29" w:themeColor="text1"/>
          <w:sz w:val="20"/>
          <w:szCs w:val="20"/>
        </w:rPr>
        <w:t>.</w:t>
      </w:r>
    </w:p>
    <w:p w14:paraId="0A021598" w14:textId="5B10F3C1" w:rsidR="00DA1A0B" w:rsidRDefault="00DA1A0B" w:rsidP="00824C4E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</w:p>
    <w:p w14:paraId="346413D9" w14:textId="717725CE" w:rsidR="00DA1A0B" w:rsidRDefault="00DA1A0B" w:rsidP="00824C4E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  <w:r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These facts sheets are intended to assist Learn Local providers to understand their pre-accredited training delivery and funding requirements in Term 2, 2020. </w:t>
      </w:r>
    </w:p>
    <w:p w14:paraId="02F24D0C" w14:textId="2482668E" w:rsidR="00DA1A0B" w:rsidRDefault="00DA1A0B" w:rsidP="00824C4E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</w:p>
    <w:p w14:paraId="39A51AF9" w14:textId="0C4F99BA" w:rsidR="00DA1A0B" w:rsidRPr="00711F94" w:rsidRDefault="00E6567C" w:rsidP="00824C4E">
      <w:pPr>
        <w:jc w:val="left"/>
        <w:rPr>
          <w:rFonts w:asciiTheme="minorHAnsi" w:hAnsiTheme="minorHAnsi" w:cstheme="minorHAnsi"/>
          <w:b/>
          <w:bCs/>
          <w:color w:val="2C2A29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C2A29" w:themeColor="text1"/>
          <w:sz w:val="20"/>
          <w:szCs w:val="20"/>
        </w:rPr>
        <w:t>Two</w:t>
      </w:r>
      <w:r w:rsidR="00DA1A0B" w:rsidRPr="00711F94">
        <w:rPr>
          <w:rFonts w:asciiTheme="minorHAnsi" w:hAnsiTheme="minorHAnsi" w:cstheme="minorHAnsi"/>
          <w:b/>
          <w:bCs/>
          <w:color w:val="2C2A29" w:themeColor="text1"/>
          <w:sz w:val="20"/>
          <w:szCs w:val="20"/>
        </w:rPr>
        <w:t xml:space="preserve"> facts sheets have been released</w:t>
      </w:r>
      <w:r w:rsidR="00711F94" w:rsidRPr="00711F94">
        <w:rPr>
          <w:rFonts w:asciiTheme="minorHAnsi" w:hAnsiTheme="minorHAnsi" w:cstheme="minorHAnsi"/>
          <w:b/>
          <w:bCs/>
          <w:color w:val="2C2A29" w:themeColor="text1"/>
          <w:sz w:val="20"/>
          <w:szCs w:val="20"/>
        </w:rPr>
        <w:t>:</w:t>
      </w:r>
    </w:p>
    <w:p w14:paraId="3F5E341B" w14:textId="3F18E3FA" w:rsidR="00824C4E" w:rsidRDefault="00824C4E" w:rsidP="00824C4E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</w:p>
    <w:p w14:paraId="55444F66" w14:textId="79CBF3A6" w:rsidR="00DA1A0B" w:rsidRPr="00711F94" w:rsidRDefault="006C5B3E" w:rsidP="00711F94">
      <w:pPr>
        <w:ind w:left="284"/>
        <w:jc w:val="left"/>
        <w:rPr>
          <w:rStyle w:val="Emphasis"/>
        </w:rPr>
      </w:pPr>
      <w:r>
        <w:rPr>
          <w:rStyle w:val="Emphasis"/>
          <w:sz w:val="20"/>
          <w:szCs w:val="20"/>
        </w:rPr>
        <w:t xml:space="preserve">Learn Locals - </w:t>
      </w:r>
      <w:r w:rsidR="00DA1A0B" w:rsidRPr="00711F94">
        <w:rPr>
          <w:rStyle w:val="Emphasis"/>
          <w:sz w:val="20"/>
          <w:szCs w:val="20"/>
        </w:rPr>
        <w:t>Guidelines for Pre-Accredited Funding and Delivery</w:t>
      </w:r>
    </w:p>
    <w:p w14:paraId="2B591731" w14:textId="566F0FE7" w:rsidR="00824C4E" w:rsidRDefault="008A069E" w:rsidP="00711F94">
      <w:pPr>
        <w:ind w:left="284"/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  <w:hyperlink r:id="rId12" w:history="1">
        <w:r w:rsidR="00DA1A0B" w:rsidRPr="00E6567C">
          <w:rPr>
            <w:rStyle w:val="Hyperlink"/>
            <w:rFonts w:asciiTheme="minorHAnsi" w:hAnsiTheme="minorHAnsi" w:cstheme="minorHAnsi"/>
            <w:sz w:val="20"/>
            <w:szCs w:val="20"/>
          </w:rPr>
          <w:t>This fact sheet</w:t>
        </w:r>
      </w:hyperlink>
      <w:r w:rsidR="00DA1A0B" w:rsidRPr="00E6567C"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 </w:t>
      </w:r>
      <w:r w:rsidR="00711F94" w:rsidRPr="00711F94">
        <w:rPr>
          <w:rFonts w:asciiTheme="minorHAnsi" w:hAnsiTheme="minorHAnsi" w:cstheme="minorHAnsi"/>
          <w:color w:val="2C2A29" w:themeColor="text1"/>
          <w:sz w:val="20"/>
          <w:szCs w:val="20"/>
        </w:rPr>
        <w:t>provides information to Learn Local providers about funding and delivery arrangements for Term 2, 2020</w:t>
      </w:r>
      <w:r w:rsidR="00824C4E" w:rsidRPr="00824C4E">
        <w:rPr>
          <w:rFonts w:asciiTheme="minorHAnsi" w:hAnsiTheme="minorHAnsi" w:cstheme="minorHAnsi"/>
          <w:color w:val="2C2A29" w:themeColor="text1"/>
          <w:sz w:val="20"/>
          <w:szCs w:val="20"/>
        </w:rPr>
        <w:t>.</w:t>
      </w:r>
    </w:p>
    <w:p w14:paraId="60495ED8" w14:textId="77777777" w:rsidR="00711F94" w:rsidRDefault="00711F94" w:rsidP="00711F94">
      <w:pPr>
        <w:ind w:left="284"/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</w:p>
    <w:p w14:paraId="1EBDA624" w14:textId="77777777" w:rsidR="00711F94" w:rsidRPr="00711F94" w:rsidRDefault="00711F94" w:rsidP="00711F94">
      <w:pPr>
        <w:ind w:left="284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/>
        </w:rPr>
      </w:pPr>
      <w:r w:rsidRPr="00711F94">
        <w:rPr>
          <w:rFonts w:asciiTheme="minorHAnsi" w:hAnsiTheme="minorHAnsi" w:cstheme="minorHAnsi"/>
          <w:color w:val="2C2A29" w:themeColor="text1"/>
          <w:sz w:val="20"/>
          <w:szCs w:val="20"/>
          <w:lang w:val="en-GB"/>
        </w:rPr>
        <w:t>The fact sheet covers:</w:t>
      </w:r>
    </w:p>
    <w:p w14:paraId="6C9B8486" w14:textId="43D4C212" w:rsidR="00711F94" w:rsidRPr="00711F94" w:rsidRDefault="006C5B3E" w:rsidP="00711F94">
      <w:pPr>
        <w:numPr>
          <w:ilvl w:val="0"/>
          <w:numId w:val="33"/>
        </w:numPr>
        <w:ind w:left="284" w:firstLine="0"/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  <w:r>
        <w:rPr>
          <w:rFonts w:asciiTheme="minorHAnsi" w:hAnsiTheme="minorHAnsi" w:cstheme="minorHAnsi"/>
          <w:color w:val="2C2A29" w:themeColor="text1"/>
          <w:sz w:val="20"/>
          <w:szCs w:val="20"/>
        </w:rPr>
        <w:t>d</w:t>
      </w:r>
      <w:r w:rsidR="00711F94" w:rsidRPr="00711F94">
        <w:rPr>
          <w:rFonts w:asciiTheme="minorHAnsi" w:hAnsiTheme="minorHAnsi" w:cstheme="minorHAnsi"/>
          <w:color w:val="2C2A29" w:themeColor="text1"/>
          <w:sz w:val="20"/>
          <w:szCs w:val="20"/>
        </w:rPr>
        <w:t>elivery expectations</w:t>
      </w:r>
    </w:p>
    <w:p w14:paraId="2537F388" w14:textId="4F1AC814" w:rsidR="00711F94" w:rsidRPr="00711F94" w:rsidRDefault="006C5B3E" w:rsidP="00711F94">
      <w:pPr>
        <w:numPr>
          <w:ilvl w:val="0"/>
          <w:numId w:val="33"/>
        </w:numPr>
        <w:ind w:left="284" w:firstLine="0"/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  <w:r>
        <w:rPr>
          <w:rFonts w:asciiTheme="minorHAnsi" w:hAnsiTheme="minorHAnsi" w:cstheme="minorHAnsi"/>
          <w:color w:val="2C2A29" w:themeColor="text1"/>
          <w:sz w:val="20"/>
          <w:szCs w:val="20"/>
        </w:rPr>
        <w:t>t</w:t>
      </w:r>
      <w:r w:rsidR="00711F94" w:rsidRPr="00711F94">
        <w:rPr>
          <w:rFonts w:asciiTheme="minorHAnsi" w:hAnsiTheme="minorHAnsi" w:cstheme="minorHAnsi"/>
          <w:color w:val="2C2A29" w:themeColor="text1"/>
          <w:sz w:val="20"/>
          <w:szCs w:val="20"/>
        </w:rPr>
        <w:t>he permitted uses of ACFE funding</w:t>
      </w:r>
    </w:p>
    <w:p w14:paraId="6E865CC7" w14:textId="6302A2A0" w:rsidR="00711F94" w:rsidRPr="00711F94" w:rsidRDefault="006C5B3E" w:rsidP="00711F94">
      <w:pPr>
        <w:numPr>
          <w:ilvl w:val="0"/>
          <w:numId w:val="33"/>
        </w:numPr>
        <w:ind w:left="284" w:firstLine="0"/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  <w:r>
        <w:rPr>
          <w:rFonts w:asciiTheme="minorHAnsi" w:hAnsiTheme="minorHAnsi" w:cstheme="minorHAnsi"/>
          <w:color w:val="2C2A29" w:themeColor="text1"/>
          <w:sz w:val="20"/>
          <w:szCs w:val="20"/>
        </w:rPr>
        <w:t>g</w:t>
      </w:r>
      <w:r w:rsidR="00711F94" w:rsidRPr="00711F94"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uidelines to assist providers to maintain quality training and engagement with learners. </w:t>
      </w:r>
    </w:p>
    <w:p w14:paraId="33A23D39" w14:textId="7FE81C5A" w:rsidR="00711F94" w:rsidRPr="00711F94" w:rsidRDefault="006C5B3E" w:rsidP="00711F94">
      <w:pPr>
        <w:numPr>
          <w:ilvl w:val="0"/>
          <w:numId w:val="33"/>
        </w:numPr>
        <w:ind w:left="284" w:firstLine="0"/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  <w:r>
        <w:rPr>
          <w:rFonts w:asciiTheme="minorHAnsi" w:hAnsiTheme="minorHAnsi" w:cstheme="minorHAnsi"/>
          <w:color w:val="2C2A29" w:themeColor="text1"/>
          <w:sz w:val="20"/>
          <w:szCs w:val="20"/>
        </w:rPr>
        <w:t>w</w:t>
      </w:r>
      <w:r w:rsidR="00711F94" w:rsidRPr="00711F94">
        <w:rPr>
          <w:rFonts w:asciiTheme="minorHAnsi" w:hAnsiTheme="minorHAnsi" w:cstheme="minorHAnsi"/>
          <w:color w:val="2C2A29" w:themeColor="text1"/>
          <w:sz w:val="20"/>
          <w:szCs w:val="20"/>
        </w:rPr>
        <w:t>here to get advice and support.</w:t>
      </w:r>
    </w:p>
    <w:p w14:paraId="7099238E" w14:textId="5B35E68D" w:rsidR="000715DE" w:rsidRDefault="000715DE" w:rsidP="00E6567C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</w:p>
    <w:p w14:paraId="37C2D4F8" w14:textId="3CCCBC2F" w:rsidR="00711F94" w:rsidRDefault="006C5B3E" w:rsidP="00711F94">
      <w:pPr>
        <w:ind w:left="284"/>
        <w:jc w:val="left"/>
        <w:rPr>
          <w:rStyle w:val="Emphasis"/>
          <w:sz w:val="20"/>
          <w:szCs w:val="20"/>
        </w:rPr>
      </w:pPr>
      <w:r>
        <w:rPr>
          <w:rStyle w:val="Emphasis"/>
          <w:sz w:val="20"/>
          <w:szCs w:val="20"/>
        </w:rPr>
        <w:t xml:space="preserve">Learn Locals </w:t>
      </w:r>
      <w:r w:rsidR="00122211">
        <w:rPr>
          <w:rStyle w:val="Emphasis"/>
          <w:sz w:val="20"/>
          <w:szCs w:val="20"/>
        </w:rPr>
        <w:t>–</w:t>
      </w:r>
      <w:r>
        <w:rPr>
          <w:rStyle w:val="Emphasis"/>
          <w:sz w:val="20"/>
          <w:szCs w:val="20"/>
        </w:rPr>
        <w:t xml:space="preserve"> </w:t>
      </w:r>
      <w:r w:rsidR="00711F94" w:rsidRPr="00711F94">
        <w:rPr>
          <w:rStyle w:val="Emphasis"/>
          <w:sz w:val="20"/>
          <w:szCs w:val="20"/>
        </w:rPr>
        <w:t xml:space="preserve">Pre-Accredited Training Delivery Q&amp;A </w:t>
      </w:r>
    </w:p>
    <w:p w14:paraId="718DC7AB" w14:textId="54F2DF73" w:rsidR="00711F94" w:rsidRDefault="008A069E" w:rsidP="00711F94">
      <w:pPr>
        <w:ind w:left="284"/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  <w:hyperlink r:id="rId13" w:history="1">
        <w:r w:rsidR="00711F94" w:rsidRPr="00E6567C">
          <w:rPr>
            <w:rStyle w:val="Hyperlink"/>
            <w:rFonts w:asciiTheme="minorHAnsi" w:hAnsiTheme="minorHAnsi" w:cstheme="minorHAnsi"/>
            <w:sz w:val="20"/>
            <w:szCs w:val="20"/>
          </w:rPr>
          <w:t>This fact sheet</w:t>
        </w:r>
      </w:hyperlink>
      <w:r w:rsidR="00711F94" w:rsidRPr="00E6567C"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 </w:t>
      </w:r>
      <w:r w:rsidR="00711F94"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advises </w:t>
      </w:r>
      <w:r w:rsidR="00711F94" w:rsidRPr="00711F94"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Learn Local providers on operational and accountability requirements for pre-accredited training delivery </w:t>
      </w:r>
      <w:r w:rsidR="00E6567C">
        <w:rPr>
          <w:rFonts w:asciiTheme="minorHAnsi" w:hAnsiTheme="minorHAnsi" w:cstheme="minorHAnsi"/>
          <w:color w:val="2C2A29" w:themeColor="text1"/>
          <w:sz w:val="20"/>
          <w:szCs w:val="20"/>
        </w:rPr>
        <w:t>during Term 2, 2020.</w:t>
      </w:r>
    </w:p>
    <w:p w14:paraId="1C2EE959" w14:textId="19B30C2D" w:rsidR="00711F94" w:rsidRDefault="00711F94" w:rsidP="00711F94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</w:p>
    <w:p w14:paraId="04E6E701" w14:textId="597BD680" w:rsidR="00711F94" w:rsidRDefault="00967652" w:rsidP="00711F94">
      <w:pPr>
        <w:jc w:val="left"/>
        <w:rPr>
          <w:rFonts w:asciiTheme="minorHAnsi" w:hAnsiTheme="minorHAnsi" w:cstheme="minorHAnsi"/>
          <w:color w:val="364283" w:themeColor="accent1"/>
          <w:szCs w:val="20"/>
        </w:rPr>
      </w:pPr>
      <w:r>
        <w:rPr>
          <w:rFonts w:asciiTheme="minorHAnsi" w:hAnsiTheme="minorHAnsi" w:cstheme="minorHAnsi"/>
          <w:color w:val="364283" w:themeColor="accent1"/>
          <w:szCs w:val="20"/>
        </w:rPr>
        <w:t>Communication with the Learn Local sector</w:t>
      </w:r>
    </w:p>
    <w:p w14:paraId="38548112" w14:textId="444760A5" w:rsidR="00711F94" w:rsidRDefault="00711F94" w:rsidP="00711F94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  <w:r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The ACFE Board is currently supporting Learn Local providers </w:t>
      </w:r>
      <w:r w:rsidR="00122211">
        <w:rPr>
          <w:rFonts w:asciiTheme="minorHAnsi" w:hAnsiTheme="minorHAnsi" w:cstheme="minorHAnsi"/>
          <w:color w:val="2C2A29" w:themeColor="text1"/>
          <w:sz w:val="20"/>
          <w:szCs w:val="20"/>
        </w:rPr>
        <w:t>with</w:t>
      </w:r>
      <w:r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 regular </w:t>
      </w:r>
      <w:r w:rsidR="00122211"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updates on the ACFE Board’s </w:t>
      </w:r>
      <w:r>
        <w:rPr>
          <w:rFonts w:asciiTheme="minorHAnsi" w:hAnsiTheme="minorHAnsi" w:cstheme="minorHAnsi"/>
          <w:color w:val="2C2A29" w:themeColor="text1"/>
          <w:sz w:val="20"/>
          <w:szCs w:val="20"/>
        </w:rPr>
        <w:t>work and planning through these unprecedented times.</w:t>
      </w:r>
    </w:p>
    <w:p w14:paraId="35AA82BC" w14:textId="69662742" w:rsidR="00711F94" w:rsidRDefault="00711F94" w:rsidP="00711F94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</w:p>
    <w:p w14:paraId="0EFCFB54" w14:textId="55F07091" w:rsidR="00711F94" w:rsidRPr="00E6567C" w:rsidRDefault="00711F94" w:rsidP="00711F94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  <w:r>
        <w:rPr>
          <w:rFonts w:asciiTheme="minorHAnsi" w:hAnsiTheme="minorHAnsi" w:cstheme="minorHAnsi"/>
          <w:color w:val="2C2A29" w:themeColor="text1"/>
          <w:sz w:val="20"/>
          <w:szCs w:val="20"/>
        </w:rPr>
        <w:t>A copy of the</w:t>
      </w:r>
      <w:r w:rsidR="00122211">
        <w:rPr>
          <w:rFonts w:asciiTheme="minorHAnsi" w:hAnsiTheme="minorHAnsi" w:cstheme="minorHAnsi"/>
          <w:color w:val="2C2A29" w:themeColor="text1"/>
          <w:sz w:val="20"/>
          <w:szCs w:val="20"/>
        </w:rPr>
        <w:t>se</w:t>
      </w:r>
      <w:r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 </w:t>
      </w:r>
      <w:r w:rsidR="00122211">
        <w:rPr>
          <w:rFonts w:asciiTheme="minorHAnsi" w:hAnsiTheme="minorHAnsi" w:cstheme="minorHAnsi"/>
          <w:color w:val="2C2A29" w:themeColor="text1"/>
          <w:sz w:val="20"/>
          <w:szCs w:val="20"/>
        </w:rPr>
        <w:t>communications</w:t>
      </w:r>
      <w:r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, along with the </w:t>
      </w:r>
      <w:r w:rsidR="00967652"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released </w:t>
      </w:r>
      <w:r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fact sheets </w:t>
      </w:r>
      <w:r w:rsidR="00967652"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can be found on the </w:t>
      </w:r>
      <w:hyperlink r:id="rId14" w:history="1">
        <w:r w:rsidR="00967652" w:rsidRPr="00E6567C">
          <w:rPr>
            <w:rStyle w:val="Hyperlink"/>
            <w:rFonts w:asciiTheme="minorHAnsi" w:hAnsiTheme="minorHAnsi" w:cstheme="minorHAnsi"/>
            <w:sz w:val="20"/>
            <w:szCs w:val="20"/>
          </w:rPr>
          <w:t>Department’s website</w:t>
        </w:r>
      </w:hyperlink>
    </w:p>
    <w:p w14:paraId="65C17125" w14:textId="491E98A5" w:rsidR="00967652" w:rsidRDefault="00967652" w:rsidP="00711F94">
      <w:pPr>
        <w:jc w:val="left"/>
        <w:rPr>
          <w:rFonts w:asciiTheme="minorHAnsi" w:hAnsiTheme="minorHAnsi" w:cstheme="minorHAnsi"/>
          <w:color w:val="2B9AD4" w:themeColor="accent2"/>
          <w:sz w:val="20"/>
          <w:szCs w:val="20"/>
        </w:rPr>
      </w:pPr>
    </w:p>
    <w:p w14:paraId="35D2C39D" w14:textId="0421EC0E" w:rsidR="00967652" w:rsidRDefault="00967652" w:rsidP="00711F94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  <w:r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Further fact sheets may be released in coming weeks as deemed necessary by the ACFE Board. </w:t>
      </w:r>
    </w:p>
    <w:p w14:paraId="246982B8" w14:textId="7EC89811" w:rsidR="00967652" w:rsidRDefault="00967652" w:rsidP="00711F94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</w:p>
    <w:p w14:paraId="707ED276" w14:textId="076734FB" w:rsidR="00967652" w:rsidRPr="00711F94" w:rsidRDefault="00967652" w:rsidP="00711F94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  <w:r>
        <w:rPr>
          <w:rFonts w:asciiTheme="minorHAnsi" w:hAnsiTheme="minorHAnsi" w:cstheme="minorHAnsi"/>
          <w:color w:val="2C2A29" w:themeColor="text1"/>
          <w:sz w:val="20"/>
          <w:szCs w:val="20"/>
        </w:rPr>
        <w:t>As always, the latest departmental advice for schools, early childhood and TAFE and training providers, including a</w:t>
      </w:r>
      <w:r w:rsidRPr="00824C4E">
        <w:rPr>
          <w:rFonts w:asciiTheme="minorHAnsi" w:hAnsiTheme="minorHAnsi" w:cstheme="minorHAnsi"/>
          <w:color w:val="2C2A29" w:themeColor="text1"/>
          <w:sz w:val="20"/>
          <w:szCs w:val="20"/>
        </w:rPr>
        <w:t>dditional resources</w:t>
      </w:r>
      <w:r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 and factsheets, continues to be available on the Department</w:t>
      </w:r>
      <w:r w:rsidR="00122211">
        <w:rPr>
          <w:rFonts w:asciiTheme="minorHAnsi" w:hAnsiTheme="minorHAnsi" w:cstheme="minorHAnsi"/>
          <w:color w:val="2C2A29" w:themeColor="text1"/>
          <w:sz w:val="20"/>
          <w:szCs w:val="20"/>
        </w:rPr>
        <w:t xml:space="preserve">’s </w:t>
      </w:r>
      <w:hyperlink r:id="rId15" w:history="1">
        <w:r>
          <w:rPr>
            <w:rStyle w:val="Hyperlink"/>
            <w:rFonts w:asciiTheme="minorHAnsi" w:hAnsiTheme="minorHAnsi" w:cstheme="minorHAnsi"/>
            <w:sz w:val="20"/>
            <w:szCs w:val="20"/>
          </w:rPr>
          <w:t>coronavirus advice website</w:t>
        </w:r>
      </w:hyperlink>
    </w:p>
    <w:sectPr w:rsidR="00967652" w:rsidRPr="00711F94" w:rsidSect="00C53341">
      <w:footerReference w:type="first" r:id="rId16"/>
      <w:pgSz w:w="11907" w:h="16840" w:code="9"/>
      <w:pgMar w:top="709" w:right="709" w:bottom="568" w:left="709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A3155" w14:textId="77777777" w:rsidR="008D7D5A" w:rsidRDefault="008D7D5A" w:rsidP="00846881">
      <w:r>
        <w:separator/>
      </w:r>
    </w:p>
  </w:endnote>
  <w:endnote w:type="continuationSeparator" w:id="0">
    <w:p w14:paraId="7335FF26" w14:textId="77777777" w:rsidR="008D7D5A" w:rsidRDefault="008D7D5A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5F87" w14:textId="767CE1EA" w:rsidR="006834B9" w:rsidRPr="00DF2A51" w:rsidRDefault="006834B9" w:rsidP="00876497">
    <w:pPr>
      <w:pStyle w:val="Footer"/>
      <w:pBdr>
        <w:top w:val="single" w:sz="4" w:space="1" w:color="D9D9D9"/>
      </w:pBdr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25186" w14:textId="77777777" w:rsidR="008D7D5A" w:rsidRDefault="008D7D5A" w:rsidP="00846881">
      <w:r>
        <w:separator/>
      </w:r>
    </w:p>
  </w:footnote>
  <w:footnote w:type="continuationSeparator" w:id="0">
    <w:p w14:paraId="70C34C66" w14:textId="77777777" w:rsidR="008D7D5A" w:rsidRDefault="008D7D5A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5200"/>
    <w:multiLevelType w:val="hybridMultilevel"/>
    <w:tmpl w:val="12440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E0D7E87"/>
    <w:multiLevelType w:val="multilevel"/>
    <w:tmpl w:val="A9FC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B27AB"/>
    <w:multiLevelType w:val="hybridMultilevel"/>
    <w:tmpl w:val="F6FE3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53317"/>
    <w:multiLevelType w:val="hybridMultilevel"/>
    <w:tmpl w:val="802EFEDE"/>
    <w:lvl w:ilvl="0" w:tplc="41BC56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A9F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09C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663F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67C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3690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BA68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E1AF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2E7D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01D47"/>
    <w:multiLevelType w:val="hybridMultilevel"/>
    <w:tmpl w:val="E4F2BD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E0D21"/>
    <w:multiLevelType w:val="hybridMultilevel"/>
    <w:tmpl w:val="9AD8D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0746CB"/>
    <w:multiLevelType w:val="multilevel"/>
    <w:tmpl w:val="21BA2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"/>
  </w:num>
  <w:num w:numId="3">
    <w:abstractNumId w:val="0"/>
  </w:num>
  <w:num w:numId="4">
    <w:abstractNumId w:val="19"/>
  </w:num>
  <w:num w:numId="5">
    <w:abstractNumId w:val="1"/>
  </w:num>
  <w:num w:numId="6">
    <w:abstractNumId w:val="17"/>
  </w:num>
  <w:num w:numId="7">
    <w:abstractNumId w:val="9"/>
  </w:num>
  <w:num w:numId="8">
    <w:abstractNumId w:val="26"/>
  </w:num>
  <w:num w:numId="9">
    <w:abstractNumId w:val="15"/>
  </w:num>
  <w:num w:numId="10">
    <w:abstractNumId w:val="13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31"/>
  </w:num>
  <w:num w:numId="16">
    <w:abstractNumId w:val="25"/>
  </w:num>
  <w:num w:numId="17">
    <w:abstractNumId w:val="11"/>
  </w:num>
  <w:num w:numId="18">
    <w:abstractNumId w:val="5"/>
  </w:num>
  <w:num w:numId="19">
    <w:abstractNumId w:val="29"/>
  </w:num>
  <w:num w:numId="20">
    <w:abstractNumId w:val="12"/>
  </w:num>
  <w:num w:numId="21">
    <w:abstractNumId w:val="18"/>
  </w:num>
  <w:num w:numId="22">
    <w:abstractNumId w:val="7"/>
  </w:num>
  <w:num w:numId="23">
    <w:abstractNumId w:val="24"/>
  </w:num>
  <w:num w:numId="24">
    <w:abstractNumId w:val="14"/>
  </w:num>
  <w:num w:numId="25">
    <w:abstractNumId w:val="2"/>
  </w:num>
  <w:num w:numId="26">
    <w:abstractNumId w:val="23"/>
  </w:num>
  <w:num w:numId="27">
    <w:abstractNumId w:val="6"/>
  </w:num>
  <w:num w:numId="28">
    <w:abstractNumId w:val="21"/>
  </w:num>
  <w:num w:numId="29">
    <w:abstractNumId w:val="16"/>
  </w:num>
  <w:num w:numId="30">
    <w:abstractNumId w:val="32"/>
  </w:num>
  <w:num w:numId="31">
    <w:abstractNumId w:val="30"/>
  </w:num>
  <w:num w:numId="32">
    <w:abstractNumId w:val="2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51FD0"/>
    <w:rsid w:val="000538AE"/>
    <w:rsid w:val="00060214"/>
    <w:rsid w:val="00060EA4"/>
    <w:rsid w:val="000701E5"/>
    <w:rsid w:val="000715DE"/>
    <w:rsid w:val="00071D2B"/>
    <w:rsid w:val="0008021C"/>
    <w:rsid w:val="000901F6"/>
    <w:rsid w:val="000A0B98"/>
    <w:rsid w:val="000A28AF"/>
    <w:rsid w:val="000B1133"/>
    <w:rsid w:val="000C3753"/>
    <w:rsid w:val="000C782C"/>
    <w:rsid w:val="000E70E3"/>
    <w:rsid w:val="000E7BF0"/>
    <w:rsid w:val="00105130"/>
    <w:rsid w:val="00107887"/>
    <w:rsid w:val="001079BD"/>
    <w:rsid w:val="0011333F"/>
    <w:rsid w:val="001214D4"/>
    <w:rsid w:val="00122211"/>
    <w:rsid w:val="00125617"/>
    <w:rsid w:val="00136133"/>
    <w:rsid w:val="001411A4"/>
    <w:rsid w:val="00154ECF"/>
    <w:rsid w:val="00157432"/>
    <w:rsid w:val="001807E6"/>
    <w:rsid w:val="00181F47"/>
    <w:rsid w:val="001A352C"/>
    <w:rsid w:val="001B6741"/>
    <w:rsid w:val="001C0117"/>
    <w:rsid w:val="001C0BDB"/>
    <w:rsid w:val="001C4930"/>
    <w:rsid w:val="001D0056"/>
    <w:rsid w:val="001D2F77"/>
    <w:rsid w:val="001E4F45"/>
    <w:rsid w:val="001F3ECD"/>
    <w:rsid w:val="00201D8D"/>
    <w:rsid w:val="00206E94"/>
    <w:rsid w:val="00213CB1"/>
    <w:rsid w:val="0022166C"/>
    <w:rsid w:val="00231621"/>
    <w:rsid w:val="00234DCA"/>
    <w:rsid w:val="00241DCD"/>
    <w:rsid w:val="00242E0D"/>
    <w:rsid w:val="00254C93"/>
    <w:rsid w:val="0025725C"/>
    <w:rsid w:val="0026349B"/>
    <w:rsid w:val="00264866"/>
    <w:rsid w:val="0027439D"/>
    <w:rsid w:val="002774C1"/>
    <w:rsid w:val="002831C1"/>
    <w:rsid w:val="00284B19"/>
    <w:rsid w:val="0029046F"/>
    <w:rsid w:val="002938CF"/>
    <w:rsid w:val="002A24E2"/>
    <w:rsid w:val="002A5579"/>
    <w:rsid w:val="002B15E5"/>
    <w:rsid w:val="002B61F2"/>
    <w:rsid w:val="002D610A"/>
    <w:rsid w:val="002F4067"/>
    <w:rsid w:val="00305553"/>
    <w:rsid w:val="003079DD"/>
    <w:rsid w:val="003150C7"/>
    <w:rsid w:val="00340366"/>
    <w:rsid w:val="00352C50"/>
    <w:rsid w:val="003547C4"/>
    <w:rsid w:val="00355714"/>
    <w:rsid w:val="00366D13"/>
    <w:rsid w:val="00382E75"/>
    <w:rsid w:val="00384947"/>
    <w:rsid w:val="003966A5"/>
    <w:rsid w:val="003A5544"/>
    <w:rsid w:val="003B2C9D"/>
    <w:rsid w:val="003B7B63"/>
    <w:rsid w:val="003D454C"/>
    <w:rsid w:val="003F0B63"/>
    <w:rsid w:val="003F3D59"/>
    <w:rsid w:val="003F640F"/>
    <w:rsid w:val="00414AB1"/>
    <w:rsid w:val="00423765"/>
    <w:rsid w:val="004239F9"/>
    <w:rsid w:val="004304A3"/>
    <w:rsid w:val="0044306D"/>
    <w:rsid w:val="0044416E"/>
    <w:rsid w:val="00453CAD"/>
    <w:rsid w:val="004604A8"/>
    <w:rsid w:val="00463997"/>
    <w:rsid w:val="0048144F"/>
    <w:rsid w:val="004821AD"/>
    <w:rsid w:val="004B0970"/>
    <w:rsid w:val="004B182C"/>
    <w:rsid w:val="004C32C0"/>
    <w:rsid w:val="004C7772"/>
    <w:rsid w:val="004E00A3"/>
    <w:rsid w:val="004E29A2"/>
    <w:rsid w:val="004E42D2"/>
    <w:rsid w:val="004F1546"/>
    <w:rsid w:val="00505EC2"/>
    <w:rsid w:val="00506F42"/>
    <w:rsid w:val="00511BEA"/>
    <w:rsid w:val="00526A3A"/>
    <w:rsid w:val="00536911"/>
    <w:rsid w:val="00540C9F"/>
    <w:rsid w:val="00545CC1"/>
    <w:rsid w:val="005519A3"/>
    <w:rsid w:val="005543E8"/>
    <w:rsid w:val="00583630"/>
    <w:rsid w:val="005841FC"/>
    <w:rsid w:val="00590B75"/>
    <w:rsid w:val="005A42AE"/>
    <w:rsid w:val="005B4815"/>
    <w:rsid w:val="005C05FA"/>
    <w:rsid w:val="005C5D77"/>
    <w:rsid w:val="005D079D"/>
    <w:rsid w:val="005D5398"/>
    <w:rsid w:val="005E1085"/>
    <w:rsid w:val="005F153D"/>
    <w:rsid w:val="0060642E"/>
    <w:rsid w:val="006254CC"/>
    <w:rsid w:val="00626260"/>
    <w:rsid w:val="006344F3"/>
    <w:rsid w:val="006404DE"/>
    <w:rsid w:val="006409D9"/>
    <w:rsid w:val="00651785"/>
    <w:rsid w:val="0065500B"/>
    <w:rsid w:val="00660967"/>
    <w:rsid w:val="006834B9"/>
    <w:rsid w:val="00687039"/>
    <w:rsid w:val="00692130"/>
    <w:rsid w:val="00692397"/>
    <w:rsid w:val="006935A8"/>
    <w:rsid w:val="00696854"/>
    <w:rsid w:val="006A1696"/>
    <w:rsid w:val="006A3BB0"/>
    <w:rsid w:val="006A5387"/>
    <w:rsid w:val="006C5B3E"/>
    <w:rsid w:val="006D4561"/>
    <w:rsid w:val="006F3184"/>
    <w:rsid w:val="006F5334"/>
    <w:rsid w:val="00711F94"/>
    <w:rsid w:val="00717852"/>
    <w:rsid w:val="007269A9"/>
    <w:rsid w:val="00734A27"/>
    <w:rsid w:val="00743BC2"/>
    <w:rsid w:val="007602BC"/>
    <w:rsid w:val="0076398D"/>
    <w:rsid w:val="00764A0A"/>
    <w:rsid w:val="00770AF9"/>
    <w:rsid w:val="007716FE"/>
    <w:rsid w:val="00772628"/>
    <w:rsid w:val="00775751"/>
    <w:rsid w:val="00790C20"/>
    <w:rsid w:val="00791F9E"/>
    <w:rsid w:val="007951E1"/>
    <w:rsid w:val="007A161B"/>
    <w:rsid w:val="007A3F91"/>
    <w:rsid w:val="007B3FD2"/>
    <w:rsid w:val="007B4AFB"/>
    <w:rsid w:val="007D5961"/>
    <w:rsid w:val="007E360A"/>
    <w:rsid w:val="007E59F5"/>
    <w:rsid w:val="00810ABD"/>
    <w:rsid w:val="00824C4E"/>
    <w:rsid w:val="008317C7"/>
    <w:rsid w:val="00846881"/>
    <w:rsid w:val="0085253B"/>
    <w:rsid w:val="00861794"/>
    <w:rsid w:val="00865959"/>
    <w:rsid w:val="00867D3A"/>
    <w:rsid w:val="00876497"/>
    <w:rsid w:val="00880ACA"/>
    <w:rsid w:val="00884527"/>
    <w:rsid w:val="0089186A"/>
    <w:rsid w:val="008A069E"/>
    <w:rsid w:val="008B780B"/>
    <w:rsid w:val="008C1842"/>
    <w:rsid w:val="008D4C16"/>
    <w:rsid w:val="008D5441"/>
    <w:rsid w:val="008D7D5A"/>
    <w:rsid w:val="008E2680"/>
    <w:rsid w:val="008E2DD6"/>
    <w:rsid w:val="008E3316"/>
    <w:rsid w:val="008E53DE"/>
    <w:rsid w:val="008F3646"/>
    <w:rsid w:val="00903B41"/>
    <w:rsid w:val="009252FF"/>
    <w:rsid w:val="00933C17"/>
    <w:rsid w:val="00944E61"/>
    <w:rsid w:val="009548AD"/>
    <w:rsid w:val="00965E53"/>
    <w:rsid w:val="00967652"/>
    <w:rsid w:val="009706F1"/>
    <w:rsid w:val="00973BF7"/>
    <w:rsid w:val="00982579"/>
    <w:rsid w:val="009843BA"/>
    <w:rsid w:val="009913B4"/>
    <w:rsid w:val="0099526E"/>
    <w:rsid w:val="00995CDB"/>
    <w:rsid w:val="009B090C"/>
    <w:rsid w:val="009B5012"/>
    <w:rsid w:val="009C7B4C"/>
    <w:rsid w:val="009D1A8F"/>
    <w:rsid w:val="009D5D01"/>
    <w:rsid w:val="009E3636"/>
    <w:rsid w:val="00A011F2"/>
    <w:rsid w:val="00A14B2D"/>
    <w:rsid w:val="00A2083F"/>
    <w:rsid w:val="00A24A30"/>
    <w:rsid w:val="00A30E35"/>
    <w:rsid w:val="00A5166B"/>
    <w:rsid w:val="00A55A13"/>
    <w:rsid w:val="00A73441"/>
    <w:rsid w:val="00A74415"/>
    <w:rsid w:val="00A83FB3"/>
    <w:rsid w:val="00A9135E"/>
    <w:rsid w:val="00AA3C05"/>
    <w:rsid w:val="00AB7AB6"/>
    <w:rsid w:val="00AC402D"/>
    <w:rsid w:val="00AD07C3"/>
    <w:rsid w:val="00AD0AF3"/>
    <w:rsid w:val="00AD6A4D"/>
    <w:rsid w:val="00AE59A4"/>
    <w:rsid w:val="00AF0514"/>
    <w:rsid w:val="00AF06E4"/>
    <w:rsid w:val="00AF18DE"/>
    <w:rsid w:val="00B05E0A"/>
    <w:rsid w:val="00B11677"/>
    <w:rsid w:val="00B211FC"/>
    <w:rsid w:val="00B25302"/>
    <w:rsid w:val="00B30654"/>
    <w:rsid w:val="00B3289A"/>
    <w:rsid w:val="00B33E4F"/>
    <w:rsid w:val="00B35761"/>
    <w:rsid w:val="00B41E45"/>
    <w:rsid w:val="00B50E6E"/>
    <w:rsid w:val="00B5136F"/>
    <w:rsid w:val="00B56D79"/>
    <w:rsid w:val="00B632F5"/>
    <w:rsid w:val="00B64069"/>
    <w:rsid w:val="00B72FE6"/>
    <w:rsid w:val="00B950AB"/>
    <w:rsid w:val="00BB4A46"/>
    <w:rsid w:val="00BC23C8"/>
    <w:rsid w:val="00BD1D70"/>
    <w:rsid w:val="00BE143C"/>
    <w:rsid w:val="00BF5B84"/>
    <w:rsid w:val="00C03591"/>
    <w:rsid w:val="00C10C99"/>
    <w:rsid w:val="00C137EE"/>
    <w:rsid w:val="00C13929"/>
    <w:rsid w:val="00C151BB"/>
    <w:rsid w:val="00C373FC"/>
    <w:rsid w:val="00C5041F"/>
    <w:rsid w:val="00C53341"/>
    <w:rsid w:val="00C579E9"/>
    <w:rsid w:val="00C75A39"/>
    <w:rsid w:val="00C83B90"/>
    <w:rsid w:val="00CA0D2E"/>
    <w:rsid w:val="00CA2D61"/>
    <w:rsid w:val="00CB0D2D"/>
    <w:rsid w:val="00CB16A1"/>
    <w:rsid w:val="00CB2C50"/>
    <w:rsid w:val="00CB3905"/>
    <w:rsid w:val="00CC30D2"/>
    <w:rsid w:val="00CD0632"/>
    <w:rsid w:val="00CE69B8"/>
    <w:rsid w:val="00CF35E5"/>
    <w:rsid w:val="00CF6891"/>
    <w:rsid w:val="00CF6C01"/>
    <w:rsid w:val="00D130F4"/>
    <w:rsid w:val="00D140BC"/>
    <w:rsid w:val="00D30F3E"/>
    <w:rsid w:val="00D33418"/>
    <w:rsid w:val="00D53A53"/>
    <w:rsid w:val="00D60148"/>
    <w:rsid w:val="00D813EA"/>
    <w:rsid w:val="00D83E14"/>
    <w:rsid w:val="00DA1A0B"/>
    <w:rsid w:val="00DB0BCD"/>
    <w:rsid w:val="00DB7126"/>
    <w:rsid w:val="00DC08B9"/>
    <w:rsid w:val="00DD6095"/>
    <w:rsid w:val="00DD6855"/>
    <w:rsid w:val="00DF2A51"/>
    <w:rsid w:val="00DF6688"/>
    <w:rsid w:val="00E05620"/>
    <w:rsid w:val="00E31F62"/>
    <w:rsid w:val="00E320A4"/>
    <w:rsid w:val="00E6567C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52E2"/>
    <w:rsid w:val="00EE21C1"/>
    <w:rsid w:val="00EE4BD9"/>
    <w:rsid w:val="00EE5A7F"/>
    <w:rsid w:val="00EE5E95"/>
    <w:rsid w:val="00F11CAC"/>
    <w:rsid w:val="00F13297"/>
    <w:rsid w:val="00F17667"/>
    <w:rsid w:val="00F2110D"/>
    <w:rsid w:val="00F24B4E"/>
    <w:rsid w:val="00F2552B"/>
    <w:rsid w:val="00F30F82"/>
    <w:rsid w:val="00F343D3"/>
    <w:rsid w:val="00F453C5"/>
    <w:rsid w:val="00F47367"/>
    <w:rsid w:val="00F72301"/>
    <w:rsid w:val="00F77690"/>
    <w:rsid w:val="00F8781E"/>
    <w:rsid w:val="00F93F26"/>
    <w:rsid w:val="00FA3AD7"/>
    <w:rsid w:val="00FB322D"/>
    <w:rsid w:val="00FC6923"/>
    <w:rsid w:val="00FD06BB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50CC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2C2A29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11F94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B2041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B2041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0563C1" w:themeColor="followedHyperlink"/>
      <w:u w:val="single"/>
    </w:rPr>
  </w:style>
  <w:style w:type="paragraph" w:customStyle="1" w:styleId="mld-paragraph">
    <w:name w:val="mld-paragraph"/>
    <w:basedOn w:val="Normal"/>
    <w:rsid w:val="009D1A8F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character" w:styleId="Emphasis">
    <w:name w:val="Emphasis"/>
    <w:basedOn w:val="DefaultParagraphFont"/>
    <w:qFormat/>
    <w:rsid w:val="00711F9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65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Documents/training/providers/learnlocal/PRE-ACCREDITED_TRAINING_DELIVERY_TERM_2_2020_QA_v1.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Documents/training/providers/learnlocal/GUIDELINES_FOR_PRE-ACCREDITED_TRAINING_FUNDING_AND_DELIVERY_TERM_2_202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ducation.vic.gov.au/about/department/Pages/coronavirus.aspx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training/providers/learnlocal/Pages/extraordinary-communication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Learn Local 1">
      <a:dk1>
        <a:srgbClr val="2C2A29"/>
      </a:dk1>
      <a:lt1>
        <a:sysClr val="window" lastClr="FFFFFF"/>
      </a:lt1>
      <a:dk2>
        <a:srgbClr val="2C2A29"/>
      </a:dk2>
      <a:lt2>
        <a:srgbClr val="FFFFFF"/>
      </a:lt2>
      <a:accent1>
        <a:srgbClr val="364283"/>
      </a:accent1>
      <a:accent2>
        <a:srgbClr val="2B9AD4"/>
      </a:accent2>
      <a:accent3>
        <a:srgbClr val="E07E3C"/>
      </a:accent3>
      <a:accent4>
        <a:srgbClr val="D69A2D"/>
      </a:accent4>
      <a:accent5>
        <a:srgbClr val="36421F"/>
      </a:accent5>
      <a:accent6>
        <a:srgbClr val="74AA50"/>
      </a:accent6>
      <a:hlink>
        <a:srgbClr val="0563C1"/>
      </a:hlink>
      <a:folHlink>
        <a:srgbClr val="0563C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Branch Memo Factsheets LLOs Term2 2020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8EB8-8231-4E9B-A861-B2CEA3D59E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989A66-8099-4757-884A-5B05FBF74885}"/>
</file>

<file path=customXml/itemProps3.xml><?xml version="1.0" encoding="utf-8"?>
<ds:datastoreItem xmlns:ds="http://schemas.openxmlformats.org/officeDocument/2006/customXml" ds:itemID="{49F4A73A-F4EC-42BA-B27D-747E28679FF0}">
  <ds:schemaRefs>
    <ds:schemaRef ds:uri="http://schemas.microsoft.com/Sharepoint/v3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sharepoint/v4"/>
    <ds:schemaRef ds:uri="8340ccf1-19cc-436c-918b-8d6c0cc500c3"/>
    <ds:schemaRef ds:uri="2d774a36-3a1b-40eb-b630-d5b22dd59fb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052BD0-EE19-40C4-AAFC-235D6053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2</TotalTime>
  <Pages>1</Pages>
  <Words>319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PIRE Branch Memo Coronavirus</vt:lpstr>
    </vt:vector>
  </TitlesOfParts>
  <Company>Dept. Of Education and Training (DE&amp;T)</Company>
  <LinksUpToDate>false</LinksUpToDate>
  <CharactersWithSpaces>2743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2020/04/28 PIRE Branch Memo: Factsheets released for Term 2 2020</dc:title>
  <dc:creator>08306670</dc:creator>
  <cp:lastModifiedBy>Collins, Ryan R</cp:lastModifiedBy>
  <cp:revision>4</cp:revision>
  <cp:lastPrinted>2007-01-10T22:20:00Z</cp:lastPrinted>
  <dcterms:created xsi:type="dcterms:W3CDTF">2020-04-28T01:56:00Z</dcterms:created>
  <dcterms:modified xsi:type="dcterms:W3CDTF">2020-04-28T02:21:00Z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12;#13.3.2 Agency Procedures Development|229a67ae-1fec-46d6-a277-bd43dbd1d37e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ActiveItemSiteId">
    <vt:lpwstr>{702d8416-5cfb-418e-b259-4c75e5c77461}</vt:lpwstr>
  </property>
  <property fmtid="{D5CDD505-2E9C-101B-9397-08002B2CF9AE}" pid="13" name="RecordPoint_ActiveItemListId">
    <vt:lpwstr>{2d774a36-3a1b-40eb-b630-d5b22dd59fb2}</vt:lpwstr>
  </property>
  <property fmtid="{D5CDD505-2E9C-101B-9397-08002B2CF9AE}" pid="14" name="RecordPoint_ActiveItemUniqueId">
    <vt:lpwstr>{f14c6a0c-e6ae-464a-a717-645753cea4db}</vt:lpwstr>
  </property>
  <property fmtid="{D5CDD505-2E9C-101B-9397-08002B2CF9AE}" pid="15" name="RecordPoint_RecordNumberSubmitted">
    <vt:lpwstr>R20200361129</vt:lpwstr>
  </property>
  <property fmtid="{D5CDD505-2E9C-101B-9397-08002B2CF9AE}" pid="16" name="RecordPoint_SubmissionCompleted">
    <vt:lpwstr>2020-04-28T12:05:50.8560014+10:00</vt:lpwstr>
  </property>
  <property fmtid="{D5CDD505-2E9C-101B-9397-08002B2CF9AE}" pid="17" name="_docset_NoMedatataSyncRequired">
    <vt:lpwstr>False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