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D4F09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Department of Education and Training</w:t>
      </w:r>
    </w:p>
    <w:p w14:paraId="7B1DE2F5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Higher Education and Skills</w:t>
      </w:r>
    </w:p>
    <w:p w14:paraId="4498D747" w14:textId="77777777" w:rsidR="006503C4" w:rsidRDefault="006503C4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36878574" w14:textId="77777777" w:rsidR="00876497" w:rsidRPr="00E030FD" w:rsidRDefault="00876497" w:rsidP="00E030FD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</w:pPr>
      <w:r w:rsidRPr="00E030FD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Participation, Inclusion and Regional Engagement Branch Memo</w:t>
      </w:r>
    </w:p>
    <w:p w14:paraId="081771A2" w14:textId="77777777" w:rsidR="00876497" w:rsidRPr="00497855" w:rsidRDefault="00876497" w:rsidP="00876497">
      <w:pPr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</w:p>
    <w:p w14:paraId="066F1A10" w14:textId="77777777" w:rsidR="00876497" w:rsidRPr="00497855" w:rsidRDefault="00876497" w:rsidP="0013569E">
      <w:pPr>
        <w:ind w:left="1560" w:hanging="156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TO: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ab/>
        <w:t>Learn Local providers</w:t>
      </w:r>
      <w:r w:rsidR="004D356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Board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Regional Councils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a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dult education institutions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p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eak b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odies,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key stakeholders</w:t>
      </w:r>
      <w:r w:rsidR="004D356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</w:t>
      </w:r>
      <w:r w:rsidR="004D356C" w:rsidRPr="004D356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</w:t>
      </w:r>
      <w:r w:rsidR="004D356C"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PIRE Branch staff</w:t>
      </w:r>
    </w:p>
    <w:p w14:paraId="6F4792DA" w14:textId="4A39DBF7" w:rsidR="00876497" w:rsidRPr="00497855" w:rsidRDefault="00876497" w:rsidP="0013569E">
      <w:pPr>
        <w:spacing w:before="120"/>
        <w:ind w:left="1560" w:hanging="156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FROM: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2653AA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Ryan Collins, D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irector</w:t>
      </w:r>
      <w:r w:rsidR="00D27296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–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Participation, Inclusion and Regional Engagement Branch</w:t>
      </w:r>
    </w:p>
    <w:p w14:paraId="27D9BA7F" w14:textId="4A193CA0" w:rsidR="00876497" w:rsidRPr="00497855" w:rsidRDefault="00876497" w:rsidP="0013569E">
      <w:pPr>
        <w:spacing w:before="120"/>
        <w:ind w:left="1560" w:hanging="156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DATE: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5B7AD7" w:rsidRPr="00256A9D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</w:t>
      </w:r>
      <w:r w:rsidR="00BB4D5F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3</w:t>
      </w:r>
      <w:r w:rsidR="00D728A2" w:rsidRPr="00256A9D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/03</w:t>
      </w:r>
      <w:r w:rsidR="00D728A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/</w:t>
      </w:r>
      <w:r w:rsidR="002653AA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2020</w:t>
      </w:r>
    </w:p>
    <w:p w14:paraId="66D45301" w14:textId="29DE743F" w:rsidR="00876497" w:rsidRPr="00497855" w:rsidRDefault="00876497" w:rsidP="0013569E">
      <w:pPr>
        <w:spacing w:before="120"/>
        <w:ind w:left="1560" w:hanging="156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SUBJECT: 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0F7140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Business Continuity in </w:t>
      </w:r>
      <w:r w:rsidR="00791566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pre-accredited</w:t>
      </w:r>
      <w:r w:rsidR="000F7140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 provision and COVID</w:t>
      </w:r>
      <w:r w:rsidR="00215848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-</w:t>
      </w:r>
      <w:r w:rsidR="000F7140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19</w:t>
      </w:r>
    </w:p>
    <w:p w14:paraId="7A814864" w14:textId="77777777" w:rsidR="00876497" w:rsidRPr="00497855" w:rsidRDefault="00876497" w:rsidP="00876497">
      <w:pPr>
        <w:pBdr>
          <w:bottom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4CC32E45" w14:textId="77777777" w:rsidR="00876497" w:rsidRPr="00F93F31" w:rsidRDefault="00876497" w:rsidP="0013569E">
      <w:pPr>
        <w:spacing w:before="240"/>
        <w:jc w:val="left"/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</w:pPr>
      <w:r w:rsidRPr="00F93F31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Actions</w:t>
      </w:r>
      <w:r w:rsidR="004D356C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 xml:space="preserve"> / Critical Dates:</w:t>
      </w:r>
    </w:p>
    <w:p w14:paraId="27557D59" w14:textId="77777777" w:rsidR="003941A3" w:rsidRDefault="00696AD5" w:rsidP="000F7140">
      <w:pPr>
        <w:pStyle w:val="Point"/>
        <w:numPr>
          <w:ilvl w:val="0"/>
          <w:numId w:val="15"/>
        </w:numPr>
      </w:pPr>
      <w:r>
        <w:t>Learn Local providers are advised that the r</w:t>
      </w:r>
      <w:r w:rsidR="000F7140">
        <w:t xml:space="preserve">elease of </w:t>
      </w:r>
      <w:r w:rsidR="0055269A">
        <w:t xml:space="preserve">the </w:t>
      </w:r>
      <w:r w:rsidR="000F7140">
        <w:t>second 2020 pre-accredited milestone payment</w:t>
      </w:r>
      <w:r>
        <w:t xml:space="preserve"> will occur in April as scheduled</w:t>
      </w:r>
      <w:r w:rsidR="002904F3">
        <w:t>, regardless of current reported delivery against the milestone target.</w:t>
      </w:r>
      <w:r w:rsidR="00791566">
        <w:t xml:space="preserve"> </w:t>
      </w:r>
    </w:p>
    <w:p w14:paraId="7C7EFDAA" w14:textId="3E21876F" w:rsidR="000F7140" w:rsidRDefault="00791566" w:rsidP="000F7140">
      <w:pPr>
        <w:pStyle w:val="Point"/>
        <w:numPr>
          <w:ilvl w:val="0"/>
          <w:numId w:val="15"/>
        </w:numPr>
      </w:pPr>
      <w:r>
        <w:t>No further action is required by your organisation for this to occur.</w:t>
      </w:r>
    </w:p>
    <w:p w14:paraId="455187E7" w14:textId="77777777" w:rsidR="0013569E" w:rsidRPr="0013569E" w:rsidRDefault="0013569E" w:rsidP="0013569E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4042D6D4" w14:textId="1F550FC8" w:rsidR="000F7140" w:rsidRPr="000F7140" w:rsidRDefault="000F7140" w:rsidP="00CD37A5">
      <w:pPr>
        <w:pBdr>
          <w:top w:val="single" w:sz="4" w:space="1" w:color="auto"/>
        </w:pBdr>
        <w:spacing w:after="120"/>
        <w:jc w:val="left"/>
        <w:rPr>
          <w:rFonts w:asciiTheme="minorHAnsi" w:hAnsiTheme="minorHAnsi" w:cstheme="minorHAnsi"/>
          <w:b/>
          <w:bCs/>
          <w:i/>
          <w:color w:val="364283" w:themeColor="accent1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Business Continuity in Learn Local provision and COVID</w:t>
      </w:r>
      <w:r w:rsidR="002061AA"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-</w:t>
      </w:r>
      <w:r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19</w:t>
      </w:r>
    </w:p>
    <w:p w14:paraId="066BDC60" w14:textId="737460B7" w:rsidR="004D227A" w:rsidRPr="004D227A" w:rsidRDefault="004D227A" w:rsidP="004D227A">
      <w:pPr>
        <w:pStyle w:val="ACFEBodytext"/>
        <w:spacing w:before="40" w:line="252" w:lineRule="auto"/>
        <w:rPr>
          <w:rFonts w:ascii="Calibri" w:hAnsi="Calibri" w:cs="Calibri"/>
        </w:rPr>
      </w:pPr>
      <w:r w:rsidRPr="004D227A">
        <w:rPr>
          <w:rFonts w:ascii="Calibri" w:hAnsi="Calibri" w:cs="Calibri"/>
        </w:rPr>
        <w:t xml:space="preserve">Over the weekend, the Australian and Victorian Governments announced additional measures to slow the spread of coronavirus (COVID-19) to protect Australians. </w:t>
      </w:r>
    </w:p>
    <w:p w14:paraId="72F1F084" w14:textId="77777777" w:rsidR="004D227A" w:rsidRPr="004D227A" w:rsidRDefault="004D227A" w:rsidP="004D227A">
      <w:pPr>
        <w:pStyle w:val="ACFEBodytext"/>
        <w:spacing w:before="40" w:line="252" w:lineRule="auto"/>
        <w:rPr>
          <w:rFonts w:ascii="Calibri" w:hAnsi="Calibri" w:cs="Calibri"/>
        </w:rPr>
      </w:pPr>
      <w:r w:rsidRPr="004D227A">
        <w:rPr>
          <w:rFonts w:ascii="Calibri" w:hAnsi="Calibri" w:cs="Calibri"/>
        </w:rPr>
        <w:t xml:space="preserve">This included the </w:t>
      </w:r>
      <w:hyperlink r:id="rId11" w:history="1">
        <w:r w:rsidRPr="004D227A">
          <w:rPr>
            <w:rStyle w:val="Hyperlink"/>
            <w:rFonts w:ascii="Calibri" w:hAnsi="Calibri" w:cs="Calibri"/>
          </w:rPr>
          <w:t>shutdown of non-essential services</w:t>
        </w:r>
      </w:hyperlink>
      <w:r w:rsidRPr="004D227A">
        <w:rPr>
          <w:rFonts w:ascii="Calibri" w:hAnsi="Calibri" w:cs="Calibri"/>
        </w:rPr>
        <w:t xml:space="preserve"> across Victoria. It does not include the closures of TAFEs, Learn Locals or other training organisations.   </w:t>
      </w:r>
    </w:p>
    <w:p w14:paraId="0D4768DC" w14:textId="1BD12FB3" w:rsidR="002061AA" w:rsidRDefault="002061AA" w:rsidP="007A3D8E">
      <w:pPr>
        <w:pStyle w:val="ACFEBodytext"/>
        <w:spacing w:before="40" w:line="252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The ACFE Board acknowledge</w:t>
      </w:r>
      <w:r w:rsidR="00791566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the range of challenges </w:t>
      </w:r>
      <w:r w:rsidR="00791566">
        <w:rPr>
          <w:rFonts w:ascii="Calibri" w:hAnsi="Calibri" w:cs="Calibri"/>
          <w:szCs w:val="22"/>
        </w:rPr>
        <w:t xml:space="preserve">currently </w:t>
      </w:r>
      <w:r>
        <w:rPr>
          <w:rFonts w:ascii="Calibri" w:hAnsi="Calibri" w:cs="Calibri"/>
          <w:szCs w:val="22"/>
        </w:rPr>
        <w:t>faced by Learn Local providers as a result of COVID-19</w:t>
      </w:r>
      <w:r w:rsidR="00F377B1">
        <w:rPr>
          <w:rFonts w:ascii="Calibri" w:hAnsi="Calibri" w:cs="Calibri"/>
          <w:szCs w:val="22"/>
        </w:rPr>
        <w:t xml:space="preserve"> and of the complex nature of each </w:t>
      </w:r>
      <w:r w:rsidR="003E78FE">
        <w:rPr>
          <w:rFonts w:ascii="Calibri" w:hAnsi="Calibri" w:cs="Calibri"/>
          <w:szCs w:val="22"/>
        </w:rPr>
        <w:t xml:space="preserve">of your </w:t>
      </w:r>
      <w:r w:rsidR="00F377B1">
        <w:rPr>
          <w:rFonts w:ascii="Calibri" w:hAnsi="Calibri" w:cs="Calibri"/>
          <w:szCs w:val="22"/>
        </w:rPr>
        <w:t>organisation</w:t>
      </w:r>
      <w:r w:rsidR="003E78FE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. </w:t>
      </w:r>
    </w:p>
    <w:p w14:paraId="41F74A7B" w14:textId="6843F132" w:rsidR="005B7063" w:rsidRDefault="002061AA" w:rsidP="005B7063">
      <w:pPr>
        <w:pStyle w:val="Point"/>
        <w:keepNext/>
        <w:numPr>
          <w:ilvl w:val="0"/>
          <w:numId w:val="0"/>
        </w:numPr>
        <w:spacing w:before="40" w:line="252" w:lineRule="auto"/>
      </w:pPr>
      <w:r>
        <w:t>T</w:t>
      </w:r>
      <w:r w:rsidR="005B7063">
        <w:t xml:space="preserve">he </w:t>
      </w:r>
      <w:r>
        <w:t>ACFE Board</w:t>
      </w:r>
      <w:r w:rsidR="00262007">
        <w:t>’s concern for Learn Local providers and their pre-accredited learners</w:t>
      </w:r>
      <w:r>
        <w:t xml:space="preserve"> has </w:t>
      </w:r>
      <w:r w:rsidR="00262007">
        <w:t xml:space="preserve">resulted in </w:t>
      </w:r>
      <w:r w:rsidR="005B7063">
        <w:t>t</w:t>
      </w:r>
      <w:r w:rsidR="00AB15AD">
        <w:t xml:space="preserve">he following </w:t>
      </w:r>
      <w:r w:rsidR="00262007">
        <w:t>decisions</w:t>
      </w:r>
      <w:r w:rsidR="005B7063">
        <w:t xml:space="preserve"> to support business continuity</w:t>
      </w:r>
      <w:r>
        <w:t>, provide some measure of funding assurance</w:t>
      </w:r>
      <w:r w:rsidR="005B7063">
        <w:t xml:space="preserve"> </w:t>
      </w:r>
      <w:r w:rsidR="00791566">
        <w:t>and to allow you to focus on your organisation and the services you provide:</w:t>
      </w:r>
    </w:p>
    <w:p w14:paraId="46F128A6" w14:textId="55E8A0B8" w:rsidR="005B7063" w:rsidRDefault="005B7063" w:rsidP="005B7063">
      <w:pPr>
        <w:pStyle w:val="Point"/>
      </w:pPr>
      <w:r>
        <w:t xml:space="preserve">Release of the second pre-accredited milestone payment, scheduled for release </w:t>
      </w:r>
      <w:r w:rsidR="002061AA">
        <w:t>from</w:t>
      </w:r>
      <w:r>
        <w:t xml:space="preserve"> 15 April 2020, to all Learn Local providers with a 2020 pre-accredited contract regardless of reported delivery against the milestone target at this stage. </w:t>
      </w:r>
    </w:p>
    <w:p w14:paraId="2CB14B96" w14:textId="36B0DE24" w:rsidR="005B7063" w:rsidRDefault="005B7063" w:rsidP="005B7063">
      <w:pPr>
        <w:pStyle w:val="Point"/>
      </w:pPr>
      <w:r>
        <w:t>Assurance to Learn Local providers that due consideration of the impact of COVID-19 on pre-accredited delivery against targets will be given in reconcili</w:t>
      </w:r>
      <w:r w:rsidR="00262007">
        <w:t>ng</w:t>
      </w:r>
      <w:r>
        <w:t xml:space="preserve"> delivery against 2020 contract targets.</w:t>
      </w:r>
    </w:p>
    <w:p w14:paraId="35D60D11" w14:textId="612385E7" w:rsidR="00AB15AD" w:rsidRDefault="00D81068" w:rsidP="00AB15AD">
      <w:pPr>
        <w:pStyle w:val="Point"/>
      </w:pPr>
      <w:r>
        <w:t>Acknowledgement of the</w:t>
      </w:r>
      <w:r w:rsidR="005B7063">
        <w:t xml:space="preserve"> increased use of take-home packs, online and other non-face to face delivery methods</w:t>
      </w:r>
      <w:r w:rsidR="00F377B1">
        <w:t>,</w:t>
      </w:r>
      <w:r w:rsidR="00E31B04">
        <w:t xml:space="preserve"> </w:t>
      </w:r>
      <w:r>
        <w:t xml:space="preserve">as a valid approach to support </w:t>
      </w:r>
      <w:r w:rsidR="005B7063">
        <w:t>continuity of provision of pre-accredited training</w:t>
      </w:r>
      <w:r w:rsidR="00262007">
        <w:t xml:space="preserve"> where there is existing capability and capacity</w:t>
      </w:r>
      <w:r w:rsidR="005B7063">
        <w:t xml:space="preserve">. </w:t>
      </w:r>
    </w:p>
    <w:p w14:paraId="1E7DDF82" w14:textId="4C241F51" w:rsidR="00791566" w:rsidRDefault="00F377B1" w:rsidP="00791566">
      <w:pPr>
        <w:pStyle w:val="Point"/>
        <w:numPr>
          <w:ilvl w:val="0"/>
          <w:numId w:val="0"/>
        </w:numPr>
        <w:rPr>
          <w:szCs w:val="22"/>
        </w:rPr>
      </w:pPr>
      <w:r w:rsidRPr="00F377B1">
        <w:rPr>
          <w:szCs w:val="22"/>
        </w:rPr>
        <w:t xml:space="preserve">Where possible, within the strict social distancing </w:t>
      </w:r>
      <w:r w:rsidRPr="004D227A">
        <w:rPr>
          <w:szCs w:val="22"/>
        </w:rPr>
        <w:t xml:space="preserve">requirements, classroom-based </w:t>
      </w:r>
      <w:r w:rsidR="004D227A">
        <w:rPr>
          <w:szCs w:val="22"/>
        </w:rPr>
        <w:t xml:space="preserve">pre-accredited </w:t>
      </w:r>
      <w:r w:rsidRPr="004D227A">
        <w:rPr>
          <w:szCs w:val="22"/>
        </w:rPr>
        <w:t>training can continue</w:t>
      </w:r>
      <w:r w:rsidR="00791566" w:rsidRPr="00F377B1">
        <w:rPr>
          <w:szCs w:val="22"/>
        </w:rPr>
        <w:t xml:space="preserve">. </w:t>
      </w:r>
    </w:p>
    <w:p w14:paraId="39E4EDA7" w14:textId="6646AE76" w:rsidR="00791566" w:rsidRDefault="00791566" w:rsidP="00B75801">
      <w:pPr>
        <w:pStyle w:val="Point"/>
        <w:numPr>
          <w:ilvl w:val="0"/>
          <w:numId w:val="0"/>
        </w:numPr>
      </w:pPr>
      <w:r>
        <w:t>As independent organisations, Learn Local providers may exercise your own ju</w:t>
      </w:r>
      <w:bookmarkStart w:id="0" w:name="_GoBack"/>
      <w:bookmarkEnd w:id="0"/>
      <w:r>
        <w:t>dgment in continuing pre-accredited training</w:t>
      </w:r>
      <w:r w:rsidR="00F377B1">
        <w:t xml:space="preserve"> based upon the capacity and capability of your organisation to do so</w:t>
      </w:r>
      <w:r>
        <w:t>. You will otherwise be contacted directly if there is any prospect that your organisation should close, at the direction of appropriate authorities, either as a stand-alone closure or as part of a local or area-based closure.</w:t>
      </w:r>
    </w:p>
    <w:p w14:paraId="10210A21" w14:textId="36B787E3" w:rsidR="007A3D8E" w:rsidRDefault="0055269A" w:rsidP="00B75801">
      <w:pPr>
        <w:pStyle w:val="Point"/>
        <w:numPr>
          <w:ilvl w:val="0"/>
          <w:numId w:val="0"/>
        </w:numPr>
      </w:pPr>
      <w:r>
        <w:t xml:space="preserve">The Department will continue to keep Learn Local providers updated on the potential implications of COVID-19 for training organisations.  </w:t>
      </w:r>
    </w:p>
    <w:p w14:paraId="3F0EDA17" w14:textId="55847C83" w:rsidR="00F7047A" w:rsidRPr="00BF5640" w:rsidRDefault="0093613B" w:rsidP="00BF5640">
      <w:pPr>
        <w:pStyle w:val="Point"/>
        <w:numPr>
          <w:ilvl w:val="0"/>
          <w:numId w:val="0"/>
        </w:numPr>
      </w:pPr>
      <w:r>
        <w:t>For further information regarding the specific actions associated with this advice, please contact your relevant Regional Manager in the first instance:</w:t>
      </w:r>
    </w:p>
    <w:tbl>
      <w:tblPr>
        <w:tblW w:w="478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630"/>
        <w:gridCol w:w="2129"/>
        <w:gridCol w:w="2531"/>
      </w:tblGrid>
      <w:tr w:rsidR="00F7047A" w:rsidRPr="004C1382" w14:paraId="23B4B7DC" w14:textId="77777777" w:rsidTr="00F4684D">
        <w:trPr>
          <w:trHeight w:val="374"/>
        </w:trPr>
        <w:tc>
          <w:tcPr>
            <w:tcW w:w="1267" w:type="pct"/>
            <w:shd w:val="clear" w:color="auto" w:fill="4D5789"/>
          </w:tcPr>
          <w:p w14:paraId="37D168C4" w14:textId="77777777" w:rsidR="00F7047A" w:rsidRPr="00F7047A" w:rsidRDefault="00F7047A" w:rsidP="009850D4">
            <w:pPr>
              <w:spacing w:before="120"/>
              <w:ind w:left="142" w:right="142"/>
              <w:jc w:val="left"/>
              <w:rPr>
                <w:b/>
                <w:color w:val="20739E" w:themeColor="accent2" w:themeShade="BF"/>
              </w:rPr>
            </w:pPr>
            <w:r w:rsidRPr="00F7047A">
              <w:rPr>
                <w:b/>
                <w:color w:val="FFFFFF" w:themeColor="background1"/>
                <w:shd w:val="clear" w:color="auto" w:fill="4D5789"/>
              </w:rPr>
              <w:t>North Western</w:t>
            </w:r>
            <w:r w:rsidRPr="004C1382">
              <w:rPr>
                <w:b/>
                <w:color w:val="FFFFFF" w:themeColor="background1"/>
              </w:rPr>
              <w:t xml:space="preserve"> Victoria Region</w:t>
            </w:r>
          </w:p>
        </w:tc>
        <w:tc>
          <w:tcPr>
            <w:tcW w:w="1347" w:type="pct"/>
            <w:shd w:val="clear" w:color="auto" w:fill="4D5789"/>
          </w:tcPr>
          <w:p w14:paraId="77ACFAD2" w14:textId="77777777" w:rsidR="00F7047A" w:rsidRPr="004C1382" w:rsidRDefault="00F7047A" w:rsidP="009850D4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North Eastern Victoria Region</w:t>
            </w:r>
          </w:p>
        </w:tc>
        <w:tc>
          <w:tcPr>
            <w:tcW w:w="1090" w:type="pct"/>
            <w:shd w:val="clear" w:color="auto" w:fill="4D5789"/>
          </w:tcPr>
          <w:p w14:paraId="421F3F67" w14:textId="77777777" w:rsidR="00F7047A" w:rsidRPr="004C1382" w:rsidRDefault="00F7047A" w:rsidP="009850D4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South Eastern Victoria Region</w:t>
            </w:r>
          </w:p>
        </w:tc>
        <w:tc>
          <w:tcPr>
            <w:tcW w:w="1296" w:type="pct"/>
            <w:shd w:val="clear" w:color="auto" w:fill="4D5789"/>
          </w:tcPr>
          <w:p w14:paraId="43D028A9" w14:textId="77777777" w:rsidR="00F7047A" w:rsidRPr="004C1382" w:rsidRDefault="00F7047A" w:rsidP="009850D4">
            <w:pPr>
              <w:spacing w:before="120"/>
              <w:ind w:left="142" w:right="142"/>
              <w:jc w:val="left"/>
              <w:rPr>
                <w:b/>
                <w:color w:val="FFFFFF" w:themeColor="background1"/>
              </w:rPr>
            </w:pPr>
            <w:r w:rsidRPr="004C1382">
              <w:rPr>
                <w:b/>
                <w:color w:val="FFFFFF" w:themeColor="background1"/>
              </w:rPr>
              <w:t>South Western Victoria Region</w:t>
            </w:r>
          </w:p>
        </w:tc>
      </w:tr>
      <w:tr w:rsidR="00F7047A" w:rsidRPr="004C1382" w14:paraId="6297679C" w14:textId="77777777" w:rsidTr="00F4684D">
        <w:trPr>
          <w:trHeight w:val="374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14:paraId="66FE2BF1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Kaye Callaghan</w:t>
            </w:r>
          </w:p>
          <w:p w14:paraId="3FE89F28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jc w:val="left"/>
              <w:rPr>
                <w:color w:val="2C2A29" w:themeColor="text1"/>
                <w:highlight w:val="yellow"/>
              </w:rPr>
            </w:pPr>
            <w:r w:rsidRPr="004C1382">
              <w:rPr>
                <w:color w:val="2C2A29" w:themeColor="text1"/>
              </w:rPr>
              <w:t>Tel: 4433 7582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5A2E9CDE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Julie Hebert</w:t>
            </w:r>
          </w:p>
          <w:p w14:paraId="4944DA99" w14:textId="77777777" w:rsidR="00F7047A" w:rsidRPr="004C1382" w:rsidRDefault="00F7047A" w:rsidP="00F4684D">
            <w:pPr>
              <w:spacing w:before="60" w:after="120" w:line="240" w:lineRule="atLeast"/>
              <w:ind w:left="142" w:right="142"/>
              <w:jc w:val="left"/>
              <w:rPr>
                <w:color w:val="2C2A29" w:themeColor="text1"/>
                <w:highlight w:val="yellow"/>
              </w:rPr>
            </w:pPr>
            <w:r w:rsidRPr="004C1382">
              <w:rPr>
                <w:color w:val="2C2A29" w:themeColor="text1"/>
              </w:rPr>
              <w:t>Tel: 7022 1802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7182F346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Robyn Downie</w:t>
            </w:r>
          </w:p>
          <w:p w14:paraId="47BBC083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Tel: 8904 2580</w:t>
            </w:r>
          </w:p>
        </w:tc>
        <w:tc>
          <w:tcPr>
            <w:tcW w:w="1296" w:type="pct"/>
            <w:shd w:val="clear" w:color="auto" w:fill="F2F2F2" w:themeFill="background1" w:themeFillShade="F2"/>
            <w:vAlign w:val="center"/>
          </w:tcPr>
          <w:p w14:paraId="08D533A4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contextualSpacing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Georgina Ryder</w:t>
            </w:r>
          </w:p>
          <w:p w14:paraId="762ACA14" w14:textId="77777777" w:rsidR="00F7047A" w:rsidRPr="004C1382" w:rsidRDefault="00F7047A" w:rsidP="009850D4">
            <w:pPr>
              <w:spacing w:before="60" w:after="60" w:line="240" w:lineRule="atLeast"/>
              <w:ind w:left="142" w:right="142"/>
              <w:jc w:val="left"/>
              <w:rPr>
                <w:color w:val="2C2A29" w:themeColor="text1"/>
              </w:rPr>
            </w:pPr>
            <w:r w:rsidRPr="004C1382">
              <w:rPr>
                <w:color w:val="2C2A29" w:themeColor="text1"/>
              </w:rPr>
              <w:t>Tel: 5215 5204</w:t>
            </w:r>
          </w:p>
        </w:tc>
      </w:tr>
    </w:tbl>
    <w:p w14:paraId="19088E95" w14:textId="501FBF74" w:rsidR="00F4684D" w:rsidRDefault="00F4684D" w:rsidP="00F4684D">
      <w:pPr>
        <w:pStyle w:val="Point"/>
        <w:numPr>
          <w:ilvl w:val="0"/>
          <w:numId w:val="0"/>
        </w:numPr>
        <w:rPr>
          <w:rFonts w:cs="Calibri"/>
        </w:rPr>
      </w:pPr>
    </w:p>
    <w:p w14:paraId="6D009C6E" w14:textId="44E6D21A" w:rsidR="00BF5640" w:rsidRDefault="00BF5640" w:rsidP="00F4684D">
      <w:pPr>
        <w:pStyle w:val="Point"/>
        <w:numPr>
          <w:ilvl w:val="0"/>
          <w:numId w:val="0"/>
        </w:numPr>
        <w:rPr>
          <w:rFonts w:cs="Calibri"/>
        </w:rPr>
      </w:pPr>
      <w:r>
        <w:rPr>
          <w:rFonts w:asciiTheme="minorHAnsi" w:hAnsiTheme="minorHAnsi" w:cstheme="minorHAnsi"/>
          <w:b/>
          <w:color w:val="364283" w:themeColor="accent1"/>
          <w:sz w:val="20"/>
          <w:szCs w:val="20"/>
          <w:lang w:val="en"/>
        </w:rPr>
        <w:t>More Information</w:t>
      </w:r>
    </w:p>
    <w:p w14:paraId="36C61C53" w14:textId="155C64ED" w:rsidR="00F4684D" w:rsidRPr="004C5F45" w:rsidRDefault="00F4684D" w:rsidP="00F4684D">
      <w:pPr>
        <w:pStyle w:val="Point"/>
        <w:numPr>
          <w:ilvl w:val="0"/>
          <w:numId w:val="0"/>
        </w:numPr>
        <w:rPr>
          <w:rFonts w:cs="Calibri"/>
        </w:rPr>
      </w:pPr>
      <w:r w:rsidRPr="004C5F45">
        <w:rPr>
          <w:rFonts w:cs="Calibri"/>
        </w:rPr>
        <w:t>Learn Local providers should continue to refer to the </w:t>
      </w:r>
      <w:hyperlink r:id="rId12" w:tgtFrame="_blank" w:history="1">
        <w:r w:rsidRPr="004C5F45">
          <w:rPr>
            <w:rStyle w:val="Hyperlink"/>
            <w:rFonts w:cs="Calibri"/>
          </w:rPr>
          <w:t>Department of Education and Training’s coronavirus (COVID-19) web page</w:t>
        </w:r>
      </w:hyperlink>
      <w:r w:rsidRPr="004C5F45">
        <w:rPr>
          <w:rFonts w:cs="Calibri"/>
        </w:rPr>
        <w:t xml:space="preserve"> for the most up-to-</w:t>
      </w:r>
      <w:r w:rsidRPr="004C5F45">
        <w:t>date</w:t>
      </w:r>
      <w:r w:rsidRPr="004C5F45">
        <w:rPr>
          <w:rFonts w:cs="Calibri"/>
        </w:rPr>
        <w:t xml:space="preserve"> information.</w:t>
      </w:r>
    </w:p>
    <w:p w14:paraId="000F6DD8" w14:textId="5F35D399" w:rsidR="00F4684D" w:rsidRPr="00410DA1" w:rsidRDefault="00F4684D" w:rsidP="00F4684D">
      <w:pPr>
        <w:pStyle w:val="Point"/>
        <w:numPr>
          <w:ilvl w:val="0"/>
          <w:numId w:val="0"/>
        </w:numPr>
        <w:rPr>
          <w:rFonts w:cs="Calibri"/>
        </w:rPr>
      </w:pPr>
      <w:r w:rsidRPr="00410DA1">
        <w:rPr>
          <w:rFonts w:cs="Calibri"/>
        </w:rPr>
        <w:t xml:space="preserve">The Department of Health and Human Services (DHHS) has provided </w:t>
      </w:r>
      <w:hyperlink r:id="rId13" w:tgtFrame="_blank" w:history="1">
        <w:r w:rsidRPr="00410DA1">
          <w:rPr>
            <w:rStyle w:val="Hyperlink"/>
            <w:rFonts w:cs="Calibri"/>
          </w:rPr>
          <w:t>advice and tips on following social distancing</w:t>
        </w:r>
      </w:hyperlink>
      <w:r w:rsidRPr="00410DA1">
        <w:rPr>
          <w:rFonts w:cs="Calibri"/>
        </w:rPr>
        <w:t xml:space="preserve"> in the classroom </w:t>
      </w:r>
      <w:r w:rsidRPr="00410DA1">
        <w:rPr>
          <w:szCs w:val="22"/>
        </w:rPr>
        <w:t>and</w:t>
      </w:r>
      <w:r w:rsidRPr="00410DA1">
        <w:rPr>
          <w:rFonts w:cs="Calibri"/>
        </w:rPr>
        <w:t xml:space="preserve"> workplace.  </w:t>
      </w:r>
    </w:p>
    <w:p w14:paraId="6AF5B429" w14:textId="77777777" w:rsidR="00F4684D" w:rsidRPr="00410DA1" w:rsidRDefault="00F4684D" w:rsidP="00F4684D">
      <w:pPr>
        <w:rPr>
          <w:rFonts w:ascii="Calibri" w:hAnsi="Calibri" w:cs="Calibri"/>
        </w:rPr>
      </w:pPr>
      <w:r w:rsidRPr="00410DA1">
        <w:rPr>
          <w:rFonts w:ascii="Calibri" w:hAnsi="Calibri" w:cs="Calibri"/>
        </w:rPr>
        <w:t>These tips include:</w:t>
      </w:r>
    </w:p>
    <w:p w14:paraId="6F0D67AD" w14:textId="77777777" w:rsidR="00F4684D" w:rsidRPr="00410DA1" w:rsidRDefault="00F4684D" w:rsidP="00F4684D">
      <w:pPr>
        <w:numPr>
          <w:ilvl w:val="0"/>
          <w:numId w:val="36"/>
        </w:numPr>
        <w:shd w:val="clear" w:color="auto" w:fill="FFFFFF"/>
        <w:ind w:left="714" w:hanging="357"/>
        <w:jc w:val="left"/>
        <w:rPr>
          <w:rFonts w:ascii="Calibri" w:hAnsi="Calibri" w:cs="Calibri"/>
          <w:color w:val="222222"/>
        </w:rPr>
      </w:pPr>
      <w:r w:rsidRPr="00410DA1">
        <w:rPr>
          <w:rFonts w:ascii="Calibri" w:hAnsi="Calibri" w:cs="Calibri"/>
          <w:color w:val="222222"/>
        </w:rPr>
        <w:t xml:space="preserve">no non-essential gatherings of more than 100 people </w:t>
      </w:r>
    </w:p>
    <w:p w14:paraId="704F5D24" w14:textId="77777777" w:rsidR="00F4684D" w:rsidRPr="00410DA1" w:rsidRDefault="00F4684D" w:rsidP="00F4684D">
      <w:pPr>
        <w:numPr>
          <w:ilvl w:val="0"/>
          <w:numId w:val="36"/>
        </w:numPr>
        <w:shd w:val="clear" w:color="auto" w:fill="FFFFFF"/>
        <w:ind w:left="714" w:hanging="357"/>
        <w:jc w:val="left"/>
        <w:rPr>
          <w:rFonts w:ascii="Calibri" w:hAnsi="Calibri" w:cs="Calibri"/>
          <w:color w:val="222222"/>
        </w:rPr>
      </w:pPr>
      <w:r w:rsidRPr="00410DA1">
        <w:rPr>
          <w:rFonts w:ascii="Calibri" w:hAnsi="Calibri" w:cs="Calibri"/>
          <w:color w:val="333333"/>
        </w:rPr>
        <w:t>4 square meters provided per person in an enclosed space in a room</w:t>
      </w:r>
    </w:p>
    <w:p w14:paraId="2FB533AD" w14:textId="77777777" w:rsidR="00F4684D" w:rsidRPr="00410DA1" w:rsidRDefault="00F4684D" w:rsidP="00F4684D">
      <w:pPr>
        <w:numPr>
          <w:ilvl w:val="0"/>
          <w:numId w:val="36"/>
        </w:numPr>
        <w:shd w:val="clear" w:color="auto" w:fill="FFFFFF"/>
        <w:ind w:left="714" w:hanging="357"/>
        <w:jc w:val="left"/>
        <w:rPr>
          <w:rFonts w:ascii="Calibri" w:hAnsi="Calibri" w:cs="Calibri"/>
          <w:color w:val="222222"/>
        </w:rPr>
      </w:pPr>
      <w:r w:rsidRPr="00410DA1">
        <w:rPr>
          <w:rFonts w:ascii="Calibri" w:hAnsi="Calibri" w:cs="Calibri"/>
          <w:color w:val="222222"/>
        </w:rPr>
        <w:t>keeping 1.5 metres distance between yourself and other people where possible</w:t>
      </w:r>
    </w:p>
    <w:p w14:paraId="558C4897" w14:textId="77777777" w:rsidR="00F4684D" w:rsidRPr="00410DA1" w:rsidRDefault="00F4684D" w:rsidP="00F4684D">
      <w:pPr>
        <w:numPr>
          <w:ilvl w:val="0"/>
          <w:numId w:val="36"/>
        </w:numPr>
        <w:shd w:val="clear" w:color="auto" w:fill="FFFFFF"/>
        <w:ind w:left="714" w:hanging="357"/>
        <w:jc w:val="left"/>
        <w:rPr>
          <w:rFonts w:ascii="Calibri" w:hAnsi="Calibri" w:cs="Calibri"/>
          <w:color w:val="222222"/>
        </w:rPr>
      </w:pPr>
      <w:r w:rsidRPr="00410DA1">
        <w:rPr>
          <w:rFonts w:ascii="Calibri" w:hAnsi="Calibri" w:cs="Calibri"/>
          <w:color w:val="222222"/>
        </w:rPr>
        <w:t xml:space="preserve">avoiding crowds and mass gatherings </w:t>
      </w:r>
    </w:p>
    <w:p w14:paraId="01C9B368" w14:textId="77777777" w:rsidR="00F4684D" w:rsidRPr="00410DA1" w:rsidRDefault="00F4684D" w:rsidP="00F4684D">
      <w:pPr>
        <w:numPr>
          <w:ilvl w:val="0"/>
          <w:numId w:val="36"/>
        </w:numPr>
        <w:shd w:val="clear" w:color="auto" w:fill="FFFFFF"/>
        <w:spacing w:after="120"/>
        <w:ind w:left="714" w:hanging="357"/>
        <w:jc w:val="left"/>
        <w:rPr>
          <w:rFonts w:ascii="Calibri" w:hAnsi="Calibri" w:cs="Calibri"/>
          <w:sz w:val="20"/>
          <w:szCs w:val="20"/>
        </w:rPr>
      </w:pPr>
      <w:r w:rsidRPr="00410DA1">
        <w:rPr>
          <w:rFonts w:ascii="Calibri" w:hAnsi="Calibri" w:cs="Calibri"/>
          <w:color w:val="222222"/>
        </w:rPr>
        <w:t xml:space="preserve">avoiding small </w:t>
      </w:r>
      <w:r w:rsidRPr="00410DA1">
        <w:rPr>
          <w:rFonts w:ascii="Calibri" w:eastAsia="Meiryo" w:hAnsi="Calibri" w:cs="DIN-Regular"/>
          <w:color w:val="000000"/>
          <w:lang w:eastAsia="en-US"/>
        </w:rPr>
        <w:t>gatherings</w:t>
      </w:r>
      <w:r w:rsidRPr="00410DA1">
        <w:rPr>
          <w:rFonts w:ascii="Calibri" w:hAnsi="Calibri" w:cs="Calibri"/>
          <w:color w:val="222222"/>
        </w:rPr>
        <w:t xml:space="preserve"> in enclosed spaces.</w:t>
      </w:r>
    </w:p>
    <w:p w14:paraId="573DFC93" w14:textId="77777777" w:rsidR="00F4684D" w:rsidRPr="007A3D8E" w:rsidRDefault="00F4684D" w:rsidP="007A3D8E">
      <w:pPr>
        <w:pStyle w:val="Point"/>
        <w:numPr>
          <w:ilvl w:val="0"/>
          <w:numId w:val="0"/>
        </w:numPr>
      </w:pPr>
    </w:p>
    <w:sectPr w:rsidR="00F4684D" w:rsidRPr="007A3D8E" w:rsidSect="007A3D8E">
      <w:footerReference w:type="first" r:id="rId14"/>
      <w:pgSz w:w="11907" w:h="16840" w:code="9"/>
      <w:pgMar w:top="709" w:right="992" w:bottom="426" w:left="709" w:header="567" w:footer="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B27B" w14:textId="77777777" w:rsidR="004818D0" w:rsidRDefault="004818D0" w:rsidP="00846881">
      <w:r>
        <w:separator/>
      </w:r>
    </w:p>
  </w:endnote>
  <w:endnote w:type="continuationSeparator" w:id="0">
    <w:p w14:paraId="1DAEA814" w14:textId="77777777" w:rsidR="004818D0" w:rsidRDefault="004818D0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JUYJ E+ Meta">
    <w:altName w:val="Me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DC63" w14:textId="77777777" w:rsidR="006834B9" w:rsidRPr="00DF2A51" w:rsidRDefault="006834B9" w:rsidP="006C10E2">
    <w:pPr>
      <w:pStyle w:val="Footer"/>
      <w:pBdr>
        <w:top w:val="single" w:sz="4" w:space="0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D724A" w14:textId="77777777" w:rsidR="004818D0" w:rsidRDefault="004818D0" w:rsidP="00846881">
      <w:r>
        <w:separator/>
      </w:r>
    </w:p>
  </w:footnote>
  <w:footnote w:type="continuationSeparator" w:id="0">
    <w:p w14:paraId="63BABA1F" w14:textId="77777777" w:rsidR="004818D0" w:rsidRDefault="004818D0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0324D"/>
    <w:multiLevelType w:val="hybridMultilevel"/>
    <w:tmpl w:val="BDBE9B7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9486F"/>
    <w:multiLevelType w:val="multilevel"/>
    <w:tmpl w:val="F84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B6EAF"/>
    <w:multiLevelType w:val="hybridMultilevel"/>
    <w:tmpl w:val="2C6C7D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2904BFB"/>
    <w:multiLevelType w:val="hybridMultilevel"/>
    <w:tmpl w:val="1F6E1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91948"/>
    <w:multiLevelType w:val="multilevel"/>
    <w:tmpl w:val="A95E1C6C"/>
    <w:lvl w:ilvl="0">
      <w:start w:val="1"/>
      <w:numFmt w:val="decimal"/>
      <w:pStyle w:val="Point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pStyle w:val="Subpoint"/>
      <w:lvlText w:val="%2."/>
      <w:lvlJc w:val="left"/>
      <w:pPr>
        <w:ind w:left="21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40" w:hanging="180"/>
      </w:pPr>
      <w:rPr>
        <w:rFonts w:hint="default"/>
      </w:rPr>
    </w:lvl>
  </w:abstractNum>
  <w:abstractNum w:abstractNumId="25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CC6181"/>
    <w:multiLevelType w:val="hybridMultilevel"/>
    <w:tmpl w:val="5344B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22"/>
  </w:num>
  <w:num w:numId="5">
    <w:abstractNumId w:val="1"/>
  </w:num>
  <w:num w:numId="6">
    <w:abstractNumId w:val="20"/>
  </w:num>
  <w:num w:numId="7">
    <w:abstractNumId w:val="9"/>
  </w:num>
  <w:num w:numId="8">
    <w:abstractNumId w:val="29"/>
  </w:num>
  <w:num w:numId="9">
    <w:abstractNumId w:val="19"/>
  </w:num>
  <w:num w:numId="10">
    <w:abstractNumId w:val="14"/>
  </w:num>
  <w:num w:numId="11">
    <w:abstractNumId w:val="10"/>
  </w:num>
  <w:num w:numId="12">
    <w:abstractNumId w:val="4"/>
  </w:num>
  <w:num w:numId="13">
    <w:abstractNumId w:val="23"/>
  </w:num>
  <w:num w:numId="14">
    <w:abstractNumId w:val="8"/>
  </w:num>
  <w:num w:numId="15">
    <w:abstractNumId w:val="32"/>
  </w:num>
  <w:num w:numId="16">
    <w:abstractNumId w:val="28"/>
  </w:num>
  <w:num w:numId="17">
    <w:abstractNumId w:val="11"/>
  </w:num>
  <w:num w:numId="18">
    <w:abstractNumId w:val="5"/>
  </w:num>
  <w:num w:numId="19">
    <w:abstractNumId w:val="31"/>
  </w:num>
  <w:num w:numId="20">
    <w:abstractNumId w:val="12"/>
  </w:num>
  <w:num w:numId="21">
    <w:abstractNumId w:val="21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26"/>
  </w:num>
  <w:num w:numId="27">
    <w:abstractNumId w:val="6"/>
  </w:num>
  <w:num w:numId="28">
    <w:abstractNumId w:val="25"/>
  </w:num>
  <w:num w:numId="29">
    <w:abstractNumId w:val="33"/>
  </w:num>
  <w:num w:numId="30">
    <w:abstractNumId w:val="17"/>
  </w:num>
  <w:num w:numId="31">
    <w:abstractNumId w:val="13"/>
  </w:num>
  <w:num w:numId="32">
    <w:abstractNumId w:val="24"/>
  </w:num>
  <w:num w:numId="33">
    <w:abstractNumId w:val="18"/>
  </w:num>
  <w:num w:numId="34">
    <w:abstractNumId w:val="24"/>
  </w:num>
  <w:num w:numId="35">
    <w:abstractNumId w:val="24"/>
  </w:num>
  <w:num w:numId="36">
    <w:abstractNumId w:val="16"/>
  </w:num>
  <w:num w:numId="37">
    <w:abstractNumId w:val="24"/>
  </w:num>
  <w:num w:numId="38">
    <w:abstractNumId w:val="2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27A26"/>
    <w:rsid w:val="000425DB"/>
    <w:rsid w:val="00044F33"/>
    <w:rsid w:val="000538AE"/>
    <w:rsid w:val="00060214"/>
    <w:rsid w:val="00060EA4"/>
    <w:rsid w:val="000701E5"/>
    <w:rsid w:val="000715DE"/>
    <w:rsid w:val="0008021C"/>
    <w:rsid w:val="000901F6"/>
    <w:rsid w:val="00096619"/>
    <w:rsid w:val="000A28AF"/>
    <w:rsid w:val="000B1133"/>
    <w:rsid w:val="000C3753"/>
    <w:rsid w:val="000C782C"/>
    <w:rsid w:val="000E70E3"/>
    <w:rsid w:val="000E7BF0"/>
    <w:rsid w:val="000F7140"/>
    <w:rsid w:val="00105130"/>
    <w:rsid w:val="001079BD"/>
    <w:rsid w:val="0011333F"/>
    <w:rsid w:val="001214D4"/>
    <w:rsid w:val="00125617"/>
    <w:rsid w:val="00125DA2"/>
    <w:rsid w:val="0013569E"/>
    <w:rsid w:val="00136133"/>
    <w:rsid w:val="001411A4"/>
    <w:rsid w:val="00154ECF"/>
    <w:rsid w:val="00157432"/>
    <w:rsid w:val="001807E6"/>
    <w:rsid w:val="00181F47"/>
    <w:rsid w:val="0019221B"/>
    <w:rsid w:val="001A352C"/>
    <w:rsid w:val="001C0117"/>
    <w:rsid w:val="001C0BDB"/>
    <w:rsid w:val="001C4930"/>
    <w:rsid w:val="001D0056"/>
    <w:rsid w:val="001D2F77"/>
    <w:rsid w:val="001E2394"/>
    <w:rsid w:val="001E4F45"/>
    <w:rsid w:val="001F3ECD"/>
    <w:rsid w:val="002010FA"/>
    <w:rsid w:val="00201D8D"/>
    <w:rsid w:val="002061AA"/>
    <w:rsid w:val="00206E94"/>
    <w:rsid w:val="00211194"/>
    <w:rsid w:val="00213CB1"/>
    <w:rsid w:val="00215848"/>
    <w:rsid w:val="0022166C"/>
    <w:rsid w:val="00231621"/>
    <w:rsid w:val="00234DCA"/>
    <w:rsid w:val="00241DCD"/>
    <w:rsid w:val="00242E0D"/>
    <w:rsid w:val="00254C93"/>
    <w:rsid w:val="00256A9D"/>
    <w:rsid w:val="0025725C"/>
    <w:rsid w:val="00262007"/>
    <w:rsid w:val="0026349B"/>
    <w:rsid w:val="00264866"/>
    <w:rsid w:val="002653AA"/>
    <w:rsid w:val="0027439D"/>
    <w:rsid w:val="002774C1"/>
    <w:rsid w:val="002831C1"/>
    <w:rsid w:val="00284B19"/>
    <w:rsid w:val="0029046F"/>
    <w:rsid w:val="002904F3"/>
    <w:rsid w:val="002938CF"/>
    <w:rsid w:val="002A24E2"/>
    <w:rsid w:val="002B15E5"/>
    <w:rsid w:val="002B61F2"/>
    <w:rsid w:val="002D610A"/>
    <w:rsid w:val="002F4067"/>
    <w:rsid w:val="00305553"/>
    <w:rsid w:val="003079DD"/>
    <w:rsid w:val="003150C7"/>
    <w:rsid w:val="00315B2F"/>
    <w:rsid w:val="00340366"/>
    <w:rsid w:val="00352C50"/>
    <w:rsid w:val="003547C4"/>
    <w:rsid w:val="00355714"/>
    <w:rsid w:val="00384947"/>
    <w:rsid w:val="003941A3"/>
    <w:rsid w:val="003966A5"/>
    <w:rsid w:val="003A5544"/>
    <w:rsid w:val="003B2C9D"/>
    <w:rsid w:val="003B7B63"/>
    <w:rsid w:val="003D454C"/>
    <w:rsid w:val="003E78FE"/>
    <w:rsid w:val="003F0B63"/>
    <w:rsid w:val="003F3D59"/>
    <w:rsid w:val="003F640F"/>
    <w:rsid w:val="00405232"/>
    <w:rsid w:val="00410DA1"/>
    <w:rsid w:val="00414AB1"/>
    <w:rsid w:val="00423765"/>
    <w:rsid w:val="004239F9"/>
    <w:rsid w:val="004304A3"/>
    <w:rsid w:val="0044416E"/>
    <w:rsid w:val="00453CAD"/>
    <w:rsid w:val="004604A8"/>
    <w:rsid w:val="00463997"/>
    <w:rsid w:val="00476C48"/>
    <w:rsid w:val="0048144F"/>
    <w:rsid w:val="004818D0"/>
    <w:rsid w:val="004821AD"/>
    <w:rsid w:val="004B182C"/>
    <w:rsid w:val="004C32C0"/>
    <w:rsid w:val="004C5F45"/>
    <w:rsid w:val="004C7772"/>
    <w:rsid w:val="004D227A"/>
    <w:rsid w:val="004D356C"/>
    <w:rsid w:val="004D4B9E"/>
    <w:rsid w:val="004E29A2"/>
    <w:rsid w:val="004E42D2"/>
    <w:rsid w:val="004F1546"/>
    <w:rsid w:val="00505EC2"/>
    <w:rsid w:val="00506F42"/>
    <w:rsid w:val="005254FF"/>
    <w:rsid w:val="00526A3A"/>
    <w:rsid w:val="00536911"/>
    <w:rsid w:val="00540C9F"/>
    <w:rsid w:val="00545CC1"/>
    <w:rsid w:val="005519A3"/>
    <w:rsid w:val="0055217D"/>
    <w:rsid w:val="0055269A"/>
    <w:rsid w:val="005543E8"/>
    <w:rsid w:val="00583630"/>
    <w:rsid w:val="00590B75"/>
    <w:rsid w:val="0059276F"/>
    <w:rsid w:val="005B4815"/>
    <w:rsid w:val="005B7063"/>
    <w:rsid w:val="005B7AD7"/>
    <w:rsid w:val="005C05FA"/>
    <w:rsid w:val="005C5D77"/>
    <w:rsid w:val="005D079D"/>
    <w:rsid w:val="005D5398"/>
    <w:rsid w:val="005E1085"/>
    <w:rsid w:val="005F153D"/>
    <w:rsid w:val="0060642E"/>
    <w:rsid w:val="006254CC"/>
    <w:rsid w:val="00626260"/>
    <w:rsid w:val="006344F3"/>
    <w:rsid w:val="006404DE"/>
    <w:rsid w:val="006409D9"/>
    <w:rsid w:val="006503C4"/>
    <w:rsid w:val="00651785"/>
    <w:rsid w:val="0065500B"/>
    <w:rsid w:val="00660967"/>
    <w:rsid w:val="00664DD8"/>
    <w:rsid w:val="006834B9"/>
    <w:rsid w:val="0068690F"/>
    <w:rsid w:val="00687039"/>
    <w:rsid w:val="00692130"/>
    <w:rsid w:val="006935A8"/>
    <w:rsid w:val="00696854"/>
    <w:rsid w:val="00696AD5"/>
    <w:rsid w:val="006A1696"/>
    <w:rsid w:val="006A3BB0"/>
    <w:rsid w:val="006A5387"/>
    <w:rsid w:val="006C10E2"/>
    <w:rsid w:val="006D4561"/>
    <w:rsid w:val="006F3184"/>
    <w:rsid w:val="006F5334"/>
    <w:rsid w:val="007000E0"/>
    <w:rsid w:val="00717852"/>
    <w:rsid w:val="007269A9"/>
    <w:rsid w:val="00727CB8"/>
    <w:rsid w:val="00752D21"/>
    <w:rsid w:val="007602BC"/>
    <w:rsid w:val="0076398D"/>
    <w:rsid w:val="007645B3"/>
    <w:rsid w:val="00764A0A"/>
    <w:rsid w:val="00770AF9"/>
    <w:rsid w:val="007716FE"/>
    <w:rsid w:val="00772628"/>
    <w:rsid w:val="0077467D"/>
    <w:rsid w:val="00790C20"/>
    <w:rsid w:val="00791566"/>
    <w:rsid w:val="00791F9E"/>
    <w:rsid w:val="007951E1"/>
    <w:rsid w:val="007A161B"/>
    <w:rsid w:val="007A3D8E"/>
    <w:rsid w:val="007A3F91"/>
    <w:rsid w:val="007B3FD2"/>
    <w:rsid w:val="007B4AFB"/>
    <w:rsid w:val="007D5961"/>
    <w:rsid w:val="007E360A"/>
    <w:rsid w:val="007E59F5"/>
    <w:rsid w:val="00810ABD"/>
    <w:rsid w:val="008317C7"/>
    <w:rsid w:val="0084456D"/>
    <w:rsid w:val="00846881"/>
    <w:rsid w:val="0085253B"/>
    <w:rsid w:val="00861794"/>
    <w:rsid w:val="00865959"/>
    <w:rsid w:val="00867D3A"/>
    <w:rsid w:val="00876497"/>
    <w:rsid w:val="00880ACA"/>
    <w:rsid w:val="00884527"/>
    <w:rsid w:val="0089186A"/>
    <w:rsid w:val="008A46E0"/>
    <w:rsid w:val="008C1842"/>
    <w:rsid w:val="008D3C9A"/>
    <w:rsid w:val="008D5441"/>
    <w:rsid w:val="008E2680"/>
    <w:rsid w:val="008E2DD6"/>
    <w:rsid w:val="008E3316"/>
    <w:rsid w:val="008E53DE"/>
    <w:rsid w:val="008F3646"/>
    <w:rsid w:val="00903B41"/>
    <w:rsid w:val="00917EE6"/>
    <w:rsid w:val="00921E57"/>
    <w:rsid w:val="00931CF5"/>
    <w:rsid w:val="00933118"/>
    <w:rsid w:val="00933C17"/>
    <w:rsid w:val="0093613B"/>
    <w:rsid w:val="00944E61"/>
    <w:rsid w:val="009548AD"/>
    <w:rsid w:val="00965E53"/>
    <w:rsid w:val="009706F1"/>
    <w:rsid w:val="00972BFD"/>
    <w:rsid w:val="00973BF7"/>
    <w:rsid w:val="00982579"/>
    <w:rsid w:val="009843BA"/>
    <w:rsid w:val="009913B4"/>
    <w:rsid w:val="0099526E"/>
    <w:rsid w:val="00995CDB"/>
    <w:rsid w:val="009B090C"/>
    <w:rsid w:val="009B5012"/>
    <w:rsid w:val="009C7B4C"/>
    <w:rsid w:val="009D5D01"/>
    <w:rsid w:val="009E3636"/>
    <w:rsid w:val="00A011F2"/>
    <w:rsid w:val="00A14B2D"/>
    <w:rsid w:val="00A2083F"/>
    <w:rsid w:val="00A24A30"/>
    <w:rsid w:val="00A305A5"/>
    <w:rsid w:val="00A30E35"/>
    <w:rsid w:val="00A45522"/>
    <w:rsid w:val="00A55A13"/>
    <w:rsid w:val="00A73441"/>
    <w:rsid w:val="00A74415"/>
    <w:rsid w:val="00A83FB3"/>
    <w:rsid w:val="00A9135E"/>
    <w:rsid w:val="00AA053C"/>
    <w:rsid w:val="00AA3C05"/>
    <w:rsid w:val="00AB15AD"/>
    <w:rsid w:val="00AB7AB6"/>
    <w:rsid w:val="00AC402D"/>
    <w:rsid w:val="00AD07C3"/>
    <w:rsid w:val="00AD0AF3"/>
    <w:rsid w:val="00AD6A4D"/>
    <w:rsid w:val="00AE59A4"/>
    <w:rsid w:val="00AF0514"/>
    <w:rsid w:val="00AF06E4"/>
    <w:rsid w:val="00AF18DE"/>
    <w:rsid w:val="00B03C32"/>
    <w:rsid w:val="00B05E0A"/>
    <w:rsid w:val="00B211FC"/>
    <w:rsid w:val="00B25302"/>
    <w:rsid w:val="00B30654"/>
    <w:rsid w:val="00B3289A"/>
    <w:rsid w:val="00B33E4F"/>
    <w:rsid w:val="00B35761"/>
    <w:rsid w:val="00B41E45"/>
    <w:rsid w:val="00B50E6E"/>
    <w:rsid w:val="00B5136F"/>
    <w:rsid w:val="00B56D79"/>
    <w:rsid w:val="00B632F5"/>
    <w:rsid w:val="00B64069"/>
    <w:rsid w:val="00B72FE6"/>
    <w:rsid w:val="00B75801"/>
    <w:rsid w:val="00B8332D"/>
    <w:rsid w:val="00B93D5F"/>
    <w:rsid w:val="00B950AB"/>
    <w:rsid w:val="00BB17D4"/>
    <w:rsid w:val="00BB4A46"/>
    <w:rsid w:val="00BB4D5F"/>
    <w:rsid w:val="00BC23C8"/>
    <w:rsid w:val="00BD1D70"/>
    <w:rsid w:val="00BE143C"/>
    <w:rsid w:val="00BF5640"/>
    <w:rsid w:val="00BF5B84"/>
    <w:rsid w:val="00C03591"/>
    <w:rsid w:val="00C137EE"/>
    <w:rsid w:val="00C13929"/>
    <w:rsid w:val="00C151BB"/>
    <w:rsid w:val="00C373FC"/>
    <w:rsid w:val="00C5041F"/>
    <w:rsid w:val="00C5480D"/>
    <w:rsid w:val="00C579E9"/>
    <w:rsid w:val="00C75A39"/>
    <w:rsid w:val="00C83B90"/>
    <w:rsid w:val="00C97C0B"/>
    <w:rsid w:val="00CA0D2E"/>
    <w:rsid w:val="00CA2D61"/>
    <w:rsid w:val="00CB0D2D"/>
    <w:rsid w:val="00CB16A1"/>
    <w:rsid w:val="00CB2C50"/>
    <w:rsid w:val="00CB3905"/>
    <w:rsid w:val="00CC30D2"/>
    <w:rsid w:val="00CD0632"/>
    <w:rsid w:val="00CD37A5"/>
    <w:rsid w:val="00CE69B8"/>
    <w:rsid w:val="00CF2CA9"/>
    <w:rsid w:val="00CF35E5"/>
    <w:rsid w:val="00CF6891"/>
    <w:rsid w:val="00CF6C01"/>
    <w:rsid w:val="00D130F4"/>
    <w:rsid w:val="00D27296"/>
    <w:rsid w:val="00D30F3E"/>
    <w:rsid w:val="00D33418"/>
    <w:rsid w:val="00D35D3A"/>
    <w:rsid w:val="00D53A53"/>
    <w:rsid w:val="00D60148"/>
    <w:rsid w:val="00D728A2"/>
    <w:rsid w:val="00D81068"/>
    <w:rsid w:val="00D813EA"/>
    <w:rsid w:val="00D83E14"/>
    <w:rsid w:val="00D93763"/>
    <w:rsid w:val="00DB0BCD"/>
    <w:rsid w:val="00DB5802"/>
    <w:rsid w:val="00DB7126"/>
    <w:rsid w:val="00DD6095"/>
    <w:rsid w:val="00DD6855"/>
    <w:rsid w:val="00DF2A51"/>
    <w:rsid w:val="00DF6688"/>
    <w:rsid w:val="00E030FD"/>
    <w:rsid w:val="00E05620"/>
    <w:rsid w:val="00E124BD"/>
    <w:rsid w:val="00E31B04"/>
    <w:rsid w:val="00E31F62"/>
    <w:rsid w:val="00E320A4"/>
    <w:rsid w:val="00E37DFA"/>
    <w:rsid w:val="00E81659"/>
    <w:rsid w:val="00E8321E"/>
    <w:rsid w:val="00E90B45"/>
    <w:rsid w:val="00E91E6B"/>
    <w:rsid w:val="00E92ADE"/>
    <w:rsid w:val="00E97867"/>
    <w:rsid w:val="00EA1AA0"/>
    <w:rsid w:val="00EA2B5D"/>
    <w:rsid w:val="00EA7B5D"/>
    <w:rsid w:val="00EB08D9"/>
    <w:rsid w:val="00EB52E2"/>
    <w:rsid w:val="00EE21C1"/>
    <w:rsid w:val="00EE4BD9"/>
    <w:rsid w:val="00EE5A7F"/>
    <w:rsid w:val="00EE5E95"/>
    <w:rsid w:val="00F061DF"/>
    <w:rsid w:val="00F11CAC"/>
    <w:rsid w:val="00F13297"/>
    <w:rsid w:val="00F14B52"/>
    <w:rsid w:val="00F17667"/>
    <w:rsid w:val="00F2110D"/>
    <w:rsid w:val="00F24B4E"/>
    <w:rsid w:val="00F30F82"/>
    <w:rsid w:val="00F343D3"/>
    <w:rsid w:val="00F377B1"/>
    <w:rsid w:val="00F453C5"/>
    <w:rsid w:val="00F4684D"/>
    <w:rsid w:val="00F47367"/>
    <w:rsid w:val="00F7047A"/>
    <w:rsid w:val="00F72301"/>
    <w:rsid w:val="00F77690"/>
    <w:rsid w:val="00F808E7"/>
    <w:rsid w:val="00F8781E"/>
    <w:rsid w:val="00F93F26"/>
    <w:rsid w:val="00F93F31"/>
    <w:rsid w:val="00FA3AD7"/>
    <w:rsid w:val="00FA70FF"/>
    <w:rsid w:val="00FA7345"/>
    <w:rsid w:val="00FB322D"/>
    <w:rsid w:val="00FC6923"/>
    <w:rsid w:val="00FD6F89"/>
    <w:rsid w:val="00FE314C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79B92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paragraph" w:customStyle="1" w:styleId="Pa0">
    <w:name w:val="Pa0"/>
    <w:basedOn w:val="Default"/>
    <w:next w:val="Default"/>
    <w:uiPriority w:val="99"/>
    <w:rsid w:val="00D35D3A"/>
    <w:pPr>
      <w:spacing w:line="151" w:lineRule="atLeast"/>
      <w:jc w:val="left"/>
    </w:pPr>
    <w:rPr>
      <w:rFonts w:ascii="JJUYJ E+ Meta" w:hAnsi="JJUYJ E+ Meta"/>
      <w:color w:val="2C2A29" w:themeColor="text2"/>
    </w:rPr>
  </w:style>
  <w:style w:type="character" w:customStyle="1" w:styleId="A1">
    <w:name w:val="A1"/>
    <w:uiPriority w:val="99"/>
    <w:rsid w:val="00D35D3A"/>
    <w:rPr>
      <w:rFonts w:cs="JJUYJ E+ Meta"/>
      <w:b/>
      <w:bCs/>
      <w:color w:val="221E1F"/>
    </w:rPr>
  </w:style>
  <w:style w:type="character" w:customStyle="1" w:styleId="A2">
    <w:name w:val="A2"/>
    <w:uiPriority w:val="99"/>
    <w:rsid w:val="00D35D3A"/>
    <w:rPr>
      <w:rFonts w:cs="JJUYJ E+ Meta"/>
      <w:color w:val="221E1F"/>
      <w:sz w:val="16"/>
      <w:szCs w:val="16"/>
    </w:rPr>
  </w:style>
  <w:style w:type="character" w:customStyle="1" w:styleId="A4">
    <w:name w:val="A4"/>
    <w:uiPriority w:val="99"/>
    <w:rsid w:val="00D35D3A"/>
    <w:rPr>
      <w:rFonts w:cs="JJUYJ E+ Meta"/>
      <w:color w:val="221E1F"/>
      <w:sz w:val="15"/>
      <w:szCs w:val="15"/>
      <w:u w:val="single"/>
    </w:rPr>
  </w:style>
  <w:style w:type="paragraph" w:customStyle="1" w:styleId="ACFEBodytext">
    <w:name w:val="ACFE Body text"/>
    <w:basedOn w:val="Normal"/>
    <w:link w:val="ACFEBodytextChar"/>
    <w:rsid w:val="00E124BD"/>
    <w:pPr>
      <w:spacing w:before="120" w:after="120"/>
      <w:jc w:val="left"/>
    </w:pPr>
    <w:rPr>
      <w:rFonts w:cs="Times New Roman"/>
      <w:color w:val="auto"/>
      <w:szCs w:val="20"/>
      <w:lang w:val="en-GB" w:eastAsia="en-US"/>
    </w:rPr>
  </w:style>
  <w:style w:type="character" w:customStyle="1" w:styleId="ACFEBodytextChar">
    <w:name w:val="ACFE Body text Char"/>
    <w:link w:val="ACFEBodytext"/>
    <w:rsid w:val="00E124BD"/>
    <w:rPr>
      <w:rFonts w:cs="Times New Roman"/>
      <w:color w:val="auto"/>
      <w:szCs w:val="20"/>
      <w:lang w:val="en-GB" w:eastAsia="en-US"/>
    </w:rPr>
  </w:style>
  <w:style w:type="paragraph" w:customStyle="1" w:styleId="Point">
    <w:name w:val="Point"/>
    <w:basedOn w:val="Normal"/>
    <w:qFormat/>
    <w:rsid w:val="000F7140"/>
    <w:pPr>
      <w:numPr>
        <w:numId w:val="32"/>
      </w:numPr>
      <w:spacing w:after="120"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paragraph" w:customStyle="1" w:styleId="Subpoint">
    <w:name w:val="Subpoint"/>
    <w:basedOn w:val="Normal"/>
    <w:qFormat/>
    <w:rsid w:val="000F7140"/>
    <w:pPr>
      <w:numPr>
        <w:ilvl w:val="1"/>
        <w:numId w:val="32"/>
      </w:numPr>
      <w:spacing w:after="120"/>
      <w:contextualSpacing/>
      <w:jc w:val="left"/>
    </w:pPr>
    <w:rPr>
      <w:rFonts w:ascii="Calibri" w:eastAsia="Meiryo" w:hAnsi="Calibri" w:cs="DIN-Regular"/>
      <w:color w:val="000000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hs.vic.gov.au/coronavirus-covid-19-transmission-reduction-measur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about/department/Pages/coronavirus.aspx?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hs.vic.gov.au/sites/default/files/documents/202003/Directions-Non-Essential-Business-Closur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Branch Memo Coronavirus (COVID-19)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308E8862-369C-493E-973E-9A8D172DF80E}"/>
</file>

<file path=customXml/itemProps4.xml><?xml version="1.0" encoding="utf-8"?>
<ds:datastoreItem xmlns:ds="http://schemas.openxmlformats.org/officeDocument/2006/customXml" ds:itemID="{3632DD39-994C-41AF-A714-8FFBAAF9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48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 Branch Memo ACFE Regional Councils March</vt:lpstr>
    </vt:vector>
  </TitlesOfParts>
  <Company>Dept. Of Education and Training (DE&amp;T)</Company>
  <LinksUpToDate>false</LinksUpToDate>
  <CharactersWithSpaces>4279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 Branch Memo Coronavirus (COVID-19)</dc:title>
  <dc:creator>08306670</dc:creator>
  <cp:lastModifiedBy>Daniel, Henry R</cp:lastModifiedBy>
  <cp:revision>14</cp:revision>
  <cp:lastPrinted>2020-03-10T05:40:00Z</cp:lastPrinted>
  <dcterms:created xsi:type="dcterms:W3CDTF">2020-03-23T01:23:00Z</dcterms:created>
  <dcterms:modified xsi:type="dcterms:W3CDTF">2020-03-23T05:40:00Z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ActiveItemSiteId">
    <vt:lpwstr>{702d8416-5cfb-418e-b259-4c75e5c77461}</vt:lpwstr>
  </property>
  <property fmtid="{D5CDD505-2E9C-101B-9397-08002B2CF9AE}" pid="13" name="RecordPoint_ActiveItemListId">
    <vt:lpwstr>{655ead70-da8d-4d4a-add1-fc0316a68461}</vt:lpwstr>
  </property>
  <property fmtid="{D5CDD505-2E9C-101B-9397-08002B2CF9AE}" pid="14" name="RecordPoint_ActiveItemUniqueId">
    <vt:lpwstr>{8a31bf3b-0c5c-4638-a1bc-9fe5e7d96f25}</vt:lpwstr>
  </property>
  <property fmtid="{D5CDD505-2E9C-101B-9397-08002B2CF9AE}" pid="15" name="RecordPoint_RecordNumberSubmitted">
    <vt:lpwstr>R20200084640</vt:lpwstr>
  </property>
  <property fmtid="{D5CDD505-2E9C-101B-9397-08002B2CF9AE}" pid="16" name="RecordPoint_SubmissionCompleted">
    <vt:lpwstr>2020-02-18T12:18:34.4783945+11:00</vt:lpwstr>
  </property>
  <property fmtid="{D5CDD505-2E9C-101B-9397-08002B2CF9AE}" pid="17" name="_docset_NoMedatataSyncRequired">
    <vt:lpwstr>False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