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3D25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3C13D26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53C13D27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53C13D28" w14:textId="52F73C85" w:rsidR="008A609E" w:rsidRDefault="008A609E" w:rsidP="008A609E">
      <w:pPr>
        <w:ind w:left="720" w:hanging="7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>
        <w:rPr>
          <w:color w:val="000000" w:themeColor="text1"/>
          <w:szCs w:val="24"/>
          <w:lang w:val="en-GB" w:eastAsia="en-US"/>
        </w:rPr>
        <w:tab/>
      </w:r>
      <w:r w:rsidR="00DE167D">
        <w:rPr>
          <w:color w:val="000000" w:themeColor="text1"/>
          <w:szCs w:val="24"/>
          <w:lang w:val="en-GB" w:eastAsia="en-US"/>
        </w:rPr>
        <w:tab/>
      </w: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Pr="00BC23C8">
        <w:rPr>
          <w:color w:val="000000" w:themeColor="text1"/>
          <w:szCs w:val="24"/>
          <w:lang w:val="en-GB" w:eastAsia="en-US"/>
        </w:rPr>
        <w:t xml:space="preserve">Learn Local </w:t>
      </w:r>
      <w:r>
        <w:rPr>
          <w:color w:val="000000" w:themeColor="text1"/>
          <w:szCs w:val="24"/>
          <w:lang w:val="en-GB" w:eastAsia="en-US"/>
        </w:rPr>
        <w:t>providers</w:t>
      </w:r>
    </w:p>
    <w:p w14:paraId="53C13D29" w14:textId="77777777" w:rsidR="008A609E" w:rsidRPr="00BC23C8" w:rsidRDefault="008A609E" w:rsidP="008A609E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53C13D2A" w14:textId="77777777" w:rsidR="008A609E" w:rsidRPr="00BC23C8" w:rsidRDefault="008A609E" w:rsidP="008A609E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  <w:t>ACFE Regional Councils</w:t>
      </w:r>
    </w:p>
    <w:p w14:paraId="53C13D2B" w14:textId="77777777" w:rsidR="008A609E" w:rsidRPr="00BC23C8" w:rsidRDefault="008A609E" w:rsidP="008A609E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</w:r>
      <w:r>
        <w:rPr>
          <w:color w:val="000000" w:themeColor="text1"/>
          <w:szCs w:val="24"/>
          <w:lang w:val="en-GB" w:eastAsia="en-US"/>
        </w:rPr>
        <w:t>Adult education i</w:t>
      </w:r>
      <w:r w:rsidRPr="00BC23C8">
        <w:rPr>
          <w:color w:val="000000" w:themeColor="text1"/>
          <w:szCs w:val="24"/>
          <w:lang w:val="en-GB" w:eastAsia="en-US"/>
        </w:rPr>
        <w:t>nstitutions</w:t>
      </w:r>
    </w:p>
    <w:p w14:paraId="53C13D2C" w14:textId="77777777" w:rsidR="008A609E" w:rsidRPr="00BC23C8" w:rsidRDefault="008A609E" w:rsidP="008A609E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</w:r>
      <w:r>
        <w:rPr>
          <w:color w:val="000000" w:themeColor="text1"/>
          <w:szCs w:val="24"/>
          <w:lang w:val="en-GB" w:eastAsia="en-US"/>
        </w:rPr>
        <w:t>Peak b</w:t>
      </w:r>
      <w:r w:rsidR="00753651">
        <w:rPr>
          <w:color w:val="000000" w:themeColor="text1"/>
          <w:szCs w:val="24"/>
          <w:lang w:val="en-GB" w:eastAsia="en-US"/>
        </w:rPr>
        <w:t>odies</w:t>
      </w:r>
    </w:p>
    <w:p w14:paraId="53C13D2D" w14:textId="77777777" w:rsidR="008A609E" w:rsidRPr="00BC23C8" w:rsidRDefault="008A609E" w:rsidP="008A609E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  <w:t xml:space="preserve">PIRE </w:t>
      </w:r>
      <w:r>
        <w:rPr>
          <w:color w:val="000000" w:themeColor="text1"/>
          <w:szCs w:val="24"/>
          <w:lang w:val="en-GB" w:eastAsia="en-US"/>
        </w:rPr>
        <w:t>Branch s</w:t>
      </w:r>
      <w:r w:rsidRPr="00BC23C8">
        <w:rPr>
          <w:color w:val="000000" w:themeColor="text1"/>
          <w:szCs w:val="24"/>
          <w:lang w:val="en-GB" w:eastAsia="en-US"/>
        </w:rPr>
        <w:t>taff</w:t>
      </w:r>
    </w:p>
    <w:p w14:paraId="53C13D2E" w14:textId="65C5028D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042423" w:rsidRPr="005E7970">
        <w:rPr>
          <w:rFonts w:asciiTheme="minorHAnsi" w:hAnsiTheme="minorHAnsi" w:cstheme="minorHAnsi"/>
          <w:color w:val="000000" w:themeColor="text1"/>
          <w:lang w:val="en-GB" w:eastAsia="en-US"/>
        </w:rPr>
        <w:t>Edu De Hue</w:t>
      </w:r>
      <w:r w:rsidR="00042423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, A/Director </w:t>
      </w:r>
      <w:r w:rsidR="00042423" w:rsidRPr="005E7970">
        <w:rPr>
          <w:rFonts w:asciiTheme="minorHAnsi" w:hAnsiTheme="minorHAnsi" w:cstheme="minorHAnsi"/>
          <w:color w:val="000000" w:themeColor="text1"/>
          <w:lang w:val="en-GB" w:eastAsia="en-US"/>
        </w:rPr>
        <w:t>—</w:t>
      </w:r>
      <w:r w:rsidR="00F453C5" w:rsidRPr="00D26D6A">
        <w:rPr>
          <w:color w:val="000000" w:themeColor="text1"/>
          <w:lang w:val="en-GB" w:eastAsia="en-US"/>
        </w:rPr>
        <w:t xml:space="preserve">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53C13D2F" w14:textId="025373C3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042423">
        <w:rPr>
          <w:color w:val="000000" w:themeColor="text1"/>
          <w:lang w:val="en-GB" w:eastAsia="en-US"/>
        </w:rPr>
        <w:t>18</w:t>
      </w:r>
      <w:r w:rsidR="00CB2C50" w:rsidRPr="00D26D6A">
        <w:rPr>
          <w:color w:val="000000" w:themeColor="text1"/>
          <w:lang w:val="en-GB" w:eastAsia="en-US"/>
        </w:rPr>
        <w:t xml:space="preserve"> / </w:t>
      </w:r>
      <w:r w:rsidR="00A851CE">
        <w:rPr>
          <w:color w:val="000000" w:themeColor="text1"/>
          <w:lang w:val="en-GB" w:eastAsia="en-US"/>
        </w:rPr>
        <w:t>November</w:t>
      </w:r>
      <w:r w:rsidR="0062065B" w:rsidRPr="00D26D6A">
        <w:rPr>
          <w:color w:val="000000" w:themeColor="text1"/>
          <w:lang w:val="en-GB" w:eastAsia="en-US"/>
        </w:rPr>
        <w:t xml:space="preserve"> </w:t>
      </w:r>
      <w:r w:rsidR="00CB2C50" w:rsidRPr="00D26D6A">
        <w:rPr>
          <w:color w:val="000000" w:themeColor="text1"/>
          <w:lang w:val="en-GB" w:eastAsia="en-US"/>
        </w:rPr>
        <w:t xml:space="preserve">/ </w:t>
      </w:r>
      <w:r w:rsidR="001807E6" w:rsidRPr="00D26D6A">
        <w:rPr>
          <w:color w:val="000000" w:themeColor="text1"/>
          <w:lang w:val="en-GB" w:eastAsia="en-US"/>
        </w:rPr>
        <w:t>2019</w:t>
      </w:r>
    </w:p>
    <w:p w14:paraId="53C13D30" w14:textId="5A71DE7A" w:rsidR="00810ABD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A851CE" w:rsidRPr="00A851CE">
        <w:rPr>
          <w:color w:val="auto"/>
          <w:lang w:val="en-US"/>
        </w:rPr>
        <w:t>Toolkit to support innovation in the Learn Local Sector</w:t>
      </w:r>
    </w:p>
    <w:p w14:paraId="53C13D31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1BF4FCA7" w14:textId="77777777" w:rsidR="00173824" w:rsidRPr="00974561" w:rsidRDefault="00173824" w:rsidP="00173824">
      <w:pPr>
        <w:spacing w:before="120"/>
        <w:rPr>
          <w:color w:val="2F5496"/>
          <w:lang w:val="en"/>
        </w:rPr>
      </w:pPr>
      <w:r w:rsidRPr="00974561">
        <w:rPr>
          <w:color w:val="2F5496"/>
          <w:lang w:val="en"/>
        </w:rPr>
        <w:t>Actions</w:t>
      </w:r>
    </w:p>
    <w:p w14:paraId="208D5655" w14:textId="77777777" w:rsidR="00173824" w:rsidRPr="00173824" w:rsidRDefault="00173824" w:rsidP="00173824">
      <w:pPr>
        <w:rPr>
          <w:i/>
          <w:color w:val="000000"/>
          <w:lang w:val="en"/>
        </w:rPr>
      </w:pPr>
    </w:p>
    <w:p w14:paraId="6935AF2D" w14:textId="388095D4" w:rsidR="00173824" w:rsidRPr="00173824" w:rsidRDefault="00173824" w:rsidP="00173824">
      <w:pPr>
        <w:numPr>
          <w:ilvl w:val="0"/>
          <w:numId w:val="15"/>
        </w:numPr>
        <w:spacing w:after="200" w:line="276" w:lineRule="auto"/>
        <w:contextualSpacing/>
        <w:rPr>
          <w:bCs/>
          <w:color w:val="000000"/>
          <w:lang w:val="en-GB" w:eastAsia="en-US"/>
        </w:rPr>
      </w:pPr>
      <w:r w:rsidRPr="00173824">
        <w:rPr>
          <w:bCs/>
          <w:color w:val="000000"/>
          <w:lang w:val="en-GB" w:eastAsia="en-US"/>
        </w:rPr>
        <w:t xml:space="preserve">Read </w:t>
      </w:r>
      <w:r w:rsidR="00F103E0">
        <w:rPr>
          <w:bCs/>
          <w:color w:val="000000"/>
          <w:lang w:val="en-GB" w:eastAsia="en-US"/>
        </w:rPr>
        <w:t>and distribute SPALG Toolkit as appropriate</w:t>
      </w:r>
    </w:p>
    <w:p w14:paraId="2C9F2E1F" w14:textId="77777777" w:rsidR="00173824" w:rsidRPr="00974561" w:rsidRDefault="00173824" w:rsidP="00173824">
      <w:pPr>
        <w:spacing w:after="200" w:line="276" w:lineRule="auto"/>
        <w:ind w:left="360"/>
        <w:contextualSpacing/>
        <w:rPr>
          <w:bCs/>
          <w:color w:val="000000"/>
          <w:lang w:val="en-GB" w:eastAsia="en-US"/>
        </w:rPr>
      </w:pPr>
    </w:p>
    <w:p w14:paraId="71B92D9B" w14:textId="77777777" w:rsidR="00173824" w:rsidRPr="00974561" w:rsidRDefault="00173824" w:rsidP="00173824">
      <w:pPr>
        <w:pBdr>
          <w:top w:val="single" w:sz="4" w:space="1" w:color="auto"/>
        </w:pBdr>
        <w:spacing w:before="200"/>
        <w:rPr>
          <w:color w:val="000000"/>
          <w:lang w:val="en"/>
        </w:rPr>
      </w:pPr>
    </w:p>
    <w:p w14:paraId="6817850C" w14:textId="025E9807" w:rsidR="00173824" w:rsidRPr="002A51A0" w:rsidRDefault="00173824" w:rsidP="00173824">
      <w:pPr>
        <w:rPr>
          <w:color w:val="2F5496" w:themeColor="accent5" w:themeShade="BF"/>
          <w:lang w:val="en"/>
        </w:rPr>
      </w:pPr>
      <w:r w:rsidRPr="002A51A0">
        <w:rPr>
          <w:i/>
          <w:iCs/>
          <w:color w:val="2F5496" w:themeColor="accent5" w:themeShade="BF"/>
        </w:rPr>
        <w:t>Strengthening Pathways for Adults Learners in Gippsland (SPALG)</w:t>
      </w:r>
      <w:r w:rsidR="002413D5" w:rsidRPr="002A51A0">
        <w:rPr>
          <w:bCs/>
          <w:color w:val="2F5496" w:themeColor="accent5" w:themeShade="BF"/>
          <w:lang w:val="en-GB" w:eastAsia="en-US"/>
        </w:rPr>
        <w:t xml:space="preserve"> T</w:t>
      </w:r>
      <w:r w:rsidRPr="002A51A0">
        <w:rPr>
          <w:bCs/>
          <w:color w:val="2F5496" w:themeColor="accent5" w:themeShade="BF"/>
          <w:lang w:val="en-GB" w:eastAsia="en-US"/>
        </w:rPr>
        <w:t>oolkit</w:t>
      </w:r>
      <w:r w:rsidRPr="002A51A0">
        <w:rPr>
          <w:color w:val="2F5496" w:themeColor="accent5" w:themeShade="BF"/>
          <w:lang w:val="en"/>
        </w:rPr>
        <w:t xml:space="preserve"> </w:t>
      </w:r>
    </w:p>
    <w:p w14:paraId="7A39F18F" w14:textId="77777777" w:rsidR="00173824" w:rsidRPr="002A51A0" w:rsidRDefault="00173824" w:rsidP="00A851CE">
      <w:pPr>
        <w:rPr>
          <w:b/>
          <w:bCs/>
          <w:color w:val="000000"/>
          <w:u w:val="single"/>
        </w:rPr>
      </w:pPr>
    </w:p>
    <w:p w14:paraId="16006D61" w14:textId="77C76C45" w:rsidR="00173824" w:rsidRPr="002A51A0" w:rsidRDefault="00A1663E" w:rsidP="00A851CE">
      <w:pPr>
        <w:rPr>
          <w:color w:val="000000"/>
        </w:rPr>
      </w:pPr>
      <w:r w:rsidRPr="002A51A0">
        <w:rPr>
          <w:iCs/>
          <w:color w:val="000000"/>
        </w:rPr>
        <w:t xml:space="preserve">The </w:t>
      </w:r>
      <w:r w:rsidRPr="002A51A0">
        <w:rPr>
          <w:i/>
          <w:iCs/>
          <w:color w:val="000000"/>
        </w:rPr>
        <w:t xml:space="preserve">Strengthening Pathways for Adults Learners in Gippsland (SPALG) </w:t>
      </w:r>
      <w:r w:rsidRPr="002A51A0">
        <w:rPr>
          <w:iCs/>
          <w:color w:val="000000"/>
        </w:rPr>
        <w:t xml:space="preserve">project was funded through the ACFEB and </w:t>
      </w:r>
      <w:r w:rsidR="002A51A0" w:rsidRPr="002A51A0">
        <w:rPr>
          <w:iCs/>
          <w:color w:val="000000"/>
        </w:rPr>
        <w:t>the Department</w:t>
      </w:r>
      <w:r w:rsidRPr="002A51A0">
        <w:rPr>
          <w:iCs/>
          <w:color w:val="000000"/>
        </w:rPr>
        <w:t xml:space="preserve"> between January 2016 and December 2019. As part of the project, a toolkit</w:t>
      </w:r>
      <w:r w:rsidR="00A851CE" w:rsidRPr="002A51A0">
        <w:rPr>
          <w:color w:val="000000"/>
        </w:rPr>
        <w:t xml:space="preserve"> has been designed</w:t>
      </w:r>
      <w:r w:rsidR="00173824" w:rsidRPr="002A51A0">
        <w:rPr>
          <w:color w:val="000000"/>
        </w:rPr>
        <w:t>.</w:t>
      </w:r>
    </w:p>
    <w:p w14:paraId="6961B80A" w14:textId="77777777" w:rsidR="00173824" w:rsidRPr="002A51A0" w:rsidRDefault="00173824" w:rsidP="00A851CE">
      <w:pPr>
        <w:rPr>
          <w:color w:val="000000"/>
        </w:rPr>
      </w:pPr>
    </w:p>
    <w:p w14:paraId="00F0B570" w14:textId="5B3B8289" w:rsidR="00A851CE" w:rsidRPr="002A51A0" w:rsidRDefault="00173824" w:rsidP="00A851CE">
      <w:pPr>
        <w:rPr>
          <w:color w:val="000000"/>
        </w:rPr>
      </w:pPr>
      <w:r w:rsidRPr="002A51A0">
        <w:rPr>
          <w:color w:val="000000"/>
        </w:rPr>
        <w:t>The purpose of the toolkit is</w:t>
      </w:r>
      <w:r w:rsidR="00A851CE" w:rsidRPr="002A51A0">
        <w:rPr>
          <w:color w:val="000000"/>
        </w:rPr>
        <w:t xml:space="preserve"> to support innovation in the Learn Local sector </w:t>
      </w:r>
      <w:r w:rsidR="00A1663E" w:rsidRPr="002A51A0">
        <w:rPr>
          <w:color w:val="000000"/>
        </w:rPr>
        <w:t xml:space="preserve">across Victoria </w:t>
      </w:r>
      <w:r w:rsidR="00A851CE" w:rsidRPr="002A51A0">
        <w:rPr>
          <w:color w:val="000000"/>
        </w:rPr>
        <w:t xml:space="preserve">with information, resources and engagement strategies that can be used when delivering place-based initiatives. </w:t>
      </w:r>
    </w:p>
    <w:p w14:paraId="2D6D2962" w14:textId="77777777" w:rsidR="00A851CE" w:rsidRPr="002A51A0" w:rsidRDefault="00A851CE" w:rsidP="00A851CE">
      <w:pPr>
        <w:rPr>
          <w:color w:val="000000"/>
        </w:rPr>
      </w:pPr>
    </w:p>
    <w:p w14:paraId="4FD96812" w14:textId="77777777" w:rsidR="00A851CE" w:rsidRPr="002A51A0" w:rsidRDefault="00A851CE" w:rsidP="00A851CE">
      <w:pPr>
        <w:rPr>
          <w:b/>
          <w:bCs/>
          <w:color w:val="000000"/>
        </w:rPr>
      </w:pPr>
      <w:r w:rsidRPr="002A51A0">
        <w:rPr>
          <w:b/>
          <w:bCs/>
          <w:color w:val="000000"/>
        </w:rPr>
        <w:t>Resources include:</w:t>
      </w:r>
    </w:p>
    <w:p w14:paraId="627A6D37" w14:textId="77777777" w:rsidR="00A851CE" w:rsidRPr="002A51A0" w:rsidRDefault="00A851CE" w:rsidP="00A851CE">
      <w:pPr>
        <w:rPr>
          <w:rFonts w:asciiTheme="minorHAnsi" w:hAnsiTheme="minorHAnsi" w:cstheme="minorHAnsi"/>
          <w:b/>
          <w:bCs/>
          <w:color w:val="000000"/>
        </w:rPr>
      </w:pPr>
    </w:p>
    <w:p w14:paraId="0DBCC414" w14:textId="77777777" w:rsidR="00A851CE" w:rsidRPr="002A51A0" w:rsidRDefault="00A851CE" w:rsidP="00A851CE">
      <w:pPr>
        <w:pStyle w:val="ListParagraph"/>
        <w:numPr>
          <w:ilvl w:val="0"/>
          <w:numId w:val="27"/>
        </w:numPr>
        <w:spacing w:after="160" w:line="252" w:lineRule="auto"/>
        <w:jc w:val="left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</w:rPr>
        <w:t>The full suite of ‘</w:t>
      </w:r>
      <w:r w:rsidRPr="002A51A0">
        <w:rPr>
          <w:rFonts w:asciiTheme="minorHAnsi" w:hAnsiTheme="minorHAnsi" w:cstheme="minorHAnsi"/>
          <w:i/>
          <w:iCs/>
          <w:color w:val="000000"/>
        </w:rPr>
        <w:t>Kick Start your Career in …..’</w:t>
      </w:r>
      <w:r w:rsidRPr="002A51A0">
        <w:rPr>
          <w:rFonts w:asciiTheme="minorHAnsi" w:hAnsiTheme="minorHAnsi" w:cstheme="minorHAnsi"/>
          <w:color w:val="000000"/>
        </w:rPr>
        <w:t xml:space="preserve"> course documents which contextualises language, literacy, numeracy, digital literacy and employability skills for industry.</w:t>
      </w:r>
    </w:p>
    <w:p w14:paraId="1DBAF8BA" w14:textId="77777777" w:rsidR="00A851CE" w:rsidRPr="002A51A0" w:rsidRDefault="00A851CE" w:rsidP="00A851CE">
      <w:pPr>
        <w:pStyle w:val="ListParagraph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</w:rPr>
        <w:t xml:space="preserve">Six complete teaching programs developed in the skill shortage areas of health, disability, construction, call centres, digital technologies and Language Literacy and Numeracy (LLN). </w:t>
      </w:r>
    </w:p>
    <w:p w14:paraId="28E4B9A9" w14:textId="77777777" w:rsidR="00A851CE" w:rsidRPr="002A51A0" w:rsidRDefault="00A851CE" w:rsidP="00A851CE">
      <w:pPr>
        <w:pStyle w:val="ListParagraph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  <w:lang w:eastAsia="en-AU"/>
        </w:rPr>
        <w:t>A full set of resources including curriculum, teaching materials, A-frames and session plans. Online Moodle versions are also available for many of the courses. </w:t>
      </w:r>
    </w:p>
    <w:p w14:paraId="69B343CF" w14:textId="77777777" w:rsidR="00A851CE" w:rsidRPr="002A51A0" w:rsidRDefault="00A851CE" w:rsidP="00A851CE">
      <w:pPr>
        <w:pStyle w:val="ListParagraph"/>
        <w:rPr>
          <w:rFonts w:asciiTheme="minorHAnsi" w:hAnsiTheme="minorHAnsi" w:cstheme="minorHAnsi"/>
          <w:color w:val="000000"/>
        </w:rPr>
      </w:pPr>
    </w:p>
    <w:p w14:paraId="1D3D5DFA" w14:textId="77777777" w:rsidR="00A851CE" w:rsidRPr="002A51A0" w:rsidRDefault="00A851CE" w:rsidP="00A851CE">
      <w:pPr>
        <w:pStyle w:val="ListParagraph"/>
        <w:numPr>
          <w:ilvl w:val="0"/>
          <w:numId w:val="27"/>
        </w:numPr>
        <w:spacing w:after="160" w:line="252" w:lineRule="auto"/>
        <w:jc w:val="left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</w:rPr>
        <w:t xml:space="preserve">Guides to working through a co-design approach with industry partners and how to create a Community of Practice for Learn Local providers </w:t>
      </w:r>
    </w:p>
    <w:p w14:paraId="564B0A5F" w14:textId="77777777" w:rsidR="00A851CE" w:rsidRPr="002A51A0" w:rsidRDefault="00A851CE" w:rsidP="00A851CE">
      <w:pPr>
        <w:pStyle w:val="ListParagraph"/>
        <w:rPr>
          <w:rFonts w:asciiTheme="minorHAnsi" w:hAnsiTheme="minorHAnsi" w:cstheme="minorHAnsi"/>
          <w:color w:val="000000"/>
        </w:rPr>
      </w:pPr>
    </w:p>
    <w:p w14:paraId="17D9D474" w14:textId="77777777" w:rsidR="00A851CE" w:rsidRPr="002A51A0" w:rsidRDefault="00A851CE" w:rsidP="00A851CE">
      <w:pPr>
        <w:pStyle w:val="ListParagraph"/>
        <w:numPr>
          <w:ilvl w:val="0"/>
          <w:numId w:val="27"/>
        </w:numPr>
        <w:spacing w:after="160" w:line="252" w:lineRule="auto"/>
        <w:jc w:val="left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</w:rPr>
        <w:t xml:space="preserve">A detailed checklist providing Learn Local providers with a step by step guide on how to implement and deliver an industry supported </w:t>
      </w:r>
      <w:r w:rsidRPr="002A51A0">
        <w:rPr>
          <w:rFonts w:asciiTheme="minorHAnsi" w:hAnsiTheme="minorHAnsi" w:cstheme="minorHAnsi"/>
          <w:i/>
          <w:iCs/>
          <w:color w:val="000000"/>
        </w:rPr>
        <w:t>Kick Start</w:t>
      </w:r>
      <w:r w:rsidRPr="002A51A0">
        <w:rPr>
          <w:rFonts w:asciiTheme="minorHAnsi" w:hAnsiTheme="minorHAnsi" w:cstheme="minorHAnsi"/>
          <w:color w:val="000000"/>
        </w:rPr>
        <w:t xml:space="preserve"> course</w:t>
      </w:r>
    </w:p>
    <w:p w14:paraId="1AB815DF" w14:textId="77777777" w:rsidR="00A851CE" w:rsidRPr="002A51A0" w:rsidRDefault="00A851CE" w:rsidP="00A851CE">
      <w:pPr>
        <w:pStyle w:val="ListParagraph"/>
        <w:rPr>
          <w:rFonts w:asciiTheme="minorHAnsi" w:hAnsiTheme="minorHAnsi" w:cstheme="minorHAnsi"/>
          <w:color w:val="000000"/>
        </w:rPr>
      </w:pPr>
    </w:p>
    <w:p w14:paraId="232BDA8A" w14:textId="77777777" w:rsidR="00A851CE" w:rsidRPr="002A51A0" w:rsidRDefault="00A851CE" w:rsidP="00A851CE">
      <w:pPr>
        <w:pStyle w:val="ListParagraph"/>
        <w:numPr>
          <w:ilvl w:val="0"/>
          <w:numId w:val="27"/>
        </w:numPr>
        <w:spacing w:after="160" w:line="252" w:lineRule="auto"/>
        <w:jc w:val="left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</w:rPr>
        <w:t>A model for the Learn Local sector on how to work with jobactives and design programs targeting job seekers</w:t>
      </w:r>
    </w:p>
    <w:p w14:paraId="646BA165" w14:textId="77777777" w:rsidR="00A851CE" w:rsidRPr="002A51A0" w:rsidRDefault="00A851CE" w:rsidP="00A851CE">
      <w:pPr>
        <w:pStyle w:val="ListParagraph"/>
        <w:rPr>
          <w:rFonts w:asciiTheme="minorHAnsi" w:hAnsiTheme="minorHAnsi" w:cstheme="minorHAnsi"/>
          <w:color w:val="000000"/>
        </w:rPr>
      </w:pPr>
    </w:p>
    <w:p w14:paraId="101B818D" w14:textId="77777777" w:rsidR="00A851CE" w:rsidRPr="002A51A0" w:rsidRDefault="00A851CE" w:rsidP="00A851CE">
      <w:pPr>
        <w:pStyle w:val="ListParagraph"/>
        <w:numPr>
          <w:ilvl w:val="0"/>
          <w:numId w:val="27"/>
        </w:numPr>
        <w:spacing w:after="160" w:line="252" w:lineRule="auto"/>
        <w:jc w:val="left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</w:rPr>
        <w:t>A range of case studies and short videos showcasing student success stories and industry/Learn Local partnerships</w:t>
      </w:r>
    </w:p>
    <w:p w14:paraId="0A45BA3E" w14:textId="77777777" w:rsidR="00A851CE" w:rsidRPr="002A51A0" w:rsidRDefault="00A851CE" w:rsidP="00A851CE">
      <w:pPr>
        <w:pStyle w:val="ListParagraph"/>
        <w:rPr>
          <w:rFonts w:asciiTheme="minorHAnsi" w:hAnsiTheme="minorHAnsi" w:cstheme="minorHAnsi"/>
          <w:color w:val="000000"/>
        </w:rPr>
      </w:pPr>
    </w:p>
    <w:p w14:paraId="3006A2F5" w14:textId="77777777" w:rsidR="00A851CE" w:rsidRPr="002A51A0" w:rsidRDefault="00A851CE" w:rsidP="00A851CE">
      <w:pPr>
        <w:pStyle w:val="ListParagraph"/>
        <w:numPr>
          <w:ilvl w:val="0"/>
          <w:numId w:val="27"/>
        </w:numPr>
        <w:spacing w:after="160" w:line="252" w:lineRule="auto"/>
        <w:jc w:val="left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</w:rPr>
        <w:t xml:space="preserve">A range of marketing collateral including; course flyer templates; a guide to developing a social media campaign for the sector; e-newsletters; a editable brochure outlining the value proposition of the sector; course guides and much more </w:t>
      </w:r>
    </w:p>
    <w:p w14:paraId="09A660F5" w14:textId="77777777" w:rsidR="00A851CE" w:rsidRPr="002A51A0" w:rsidRDefault="00A851CE" w:rsidP="00A851CE">
      <w:pPr>
        <w:pStyle w:val="ListParagraph"/>
        <w:rPr>
          <w:rFonts w:asciiTheme="minorHAnsi" w:hAnsiTheme="minorHAnsi" w:cstheme="minorHAnsi"/>
          <w:color w:val="000000"/>
        </w:rPr>
      </w:pPr>
    </w:p>
    <w:p w14:paraId="4EE24336" w14:textId="026BA6BF" w:rsidR="00A851CE" w:rsidRPr="002A51A0" w:rsidRDefault="00A851CE" w:rsidP="00A851CE">
      <w:pPr>
        <w:pStyle w:val="ListParagraph"/>
        <w:numPr>
          <w:ilvl w:val="0"/>
          <w:numId w:val="27"/>
        </w:numPr>
        <w:spacing w:after="160" w:line="252" w:lineRule="auto"/>
        <w:jc w:val="left"/>
        <w:rPr>
          <w:rFonts w:asciiTheme="minorHAnsi" w:hAnsiTheme="minorHAnsi" w:cstheme="minorHAnsi"/>
          <w:color w:val="000000"/>
        </w:rPr>
      </w:pPr>
      <w:r w:rsidRPr="002A51A0">
        <w:rPr>
          <w:rFonts w:asciiTheme="minorHAnsi" w:hAnsiTheme="minorHAnsi" w:cstheme="minorHAnsi"/>
          <w:color w:val="000000"/>
        </w:rPr>
        <w:t>Links to a range of other useful resources/guidelin</w:t>
      </w:r>
      <w:r w:rsidR="002A51A0">
        <w:rPr>
          <w:rFonts w:asciiTheme="minorHAnsi" w:hAnsiTheme="minorHAnsi" w:cstheme="minorHAnsi"/>
          <w:color w:val="000000"/>
        </w:rPr>
        <w:t>es developed by the Department</w:t>
      </w:r>
      <w:r w:rsidRPr="002A51A0">
        <w:rPr>
          <w:rFonts w:asciiTheme="minorHAnsi" w:hAnsiTheme="minorHAnsi" w:cstheme="minorHAnsi"/>
          <w:color w:val="000000"/>
        </w:rPr>
        <w:t>/ACFE</w:t>
      </w:r>
      <w:r w:rsidR="002A51A0">
        <w:rPr>
          <w:rFonts w:asciiTheme="minorHAnsi" w:hAnsiTheme="minorHAnsi" w:cstheme="minorHAnsi"/>
          <w:color w:val="000000"/>
        </w:rPr>
        <w:t xml:space="preserve"> Board.</w:t>
      </w:r>
    </w:p>
    <w:p w14:paraId="59394EE6" w14:textId="6206F8CE" w:rsidR="00A851CE" w:rsidRPr="002A51A0" w:rsidRDefault="00A851CE" w:rsidP="00A851CE">
      <w:pPr>
        <w:rPr>
          <w:color w:val="000000"/>
        </w:rPr>
      </w:pPr>
      <w:r w:rsidRPr="002A51A0">
        <w:rPr>
          <w:color w:val="000000"/>
        </w:rPr>
        <w:t>The toolkit and addition</w:t>
      </w:r>
      <w:r w:rsidR="002A51A0">
        <w:rPr>
          <w:color w:val="000000"/>
        </w:rPr>
        <w:t xml:space="preserve">al resources can be accessed at: </w:t>
      </w:r>
      <w:hyperlink r:id="rId10" w:history="1">
        <w:r w:rsidR="002A51A0" w:rsidRPr="00B05945">
          <w:rPr>
            <w:rStyle w:val="Hyperlink"/>
          </w:rPr>
          <w:t>www.gippslandlearnlocal.community/spalg-toolkit</w:t>
        </w:r>
      </w:hyperlink>
      <w:r w:rsidRPr="002A51A0">
        <w:rPr>
          <w:color w:val="000000"/>
        </w:rPr>
        <w:t xml:space="preserve"> </w:t>
      </w:r>
    </w:p>
    <w:p w14:paraId="1A18746E" w14:textId="37376652" w:rsidR="00052DB9" w:rsidRPr="002A51A0" w:rsidRDefault="00052DB9" w:rsidP="00A851CE">
      <w:pPr>
        <w:rPr>
          <w:color w:val="000000"/>
        </w:rPr>
      </w:pPr>
    </w:p>
    <w:p w14:paraId="635D20C4" w14:textId="526766CB" w:rsidR="00052DB9" w:rsidRPr="002A51A0" w:rsidRDefault="00052DB9" w:rsidP="00A851CE">
      <w:pPr>
        <w:rPr>
          <w:color w:val="000000"/>
        </w:rPr>
      </w:pPr>
      <w:r w:rsidRPr="002A51A0">
        <w:rPr>
          <w:color w:val="auto"/>
          <w:lang w:val="en"/>
        </w:rPr>
        <w:t>Each Learn Local provider will shortly receive a printed copy of the toolkit.</w:t>
      </w:r>
    </w:p>
    <w:p w14:paraId="6B587B49" w14:textId="3C7E7D7B" w:rsidR="00173824" w:rsidRPr="002A51A0" w:rsidRDefault="00173824" w:rsidP="00A851CE">
      <w:pPr>
        <w:rPr>
          <w:color w:val="000000"/>
        </w:rPr>
      </w:pPr>
    </w:p>
    <w:p w14:paraId="3D8541D6" w14:textId="4F575861" w:rsidR="00173824" w:rsidRPr="002A51A0" w:rsidRDefault="00173824" w:rsidP="00173824">
      <w:pPr>
        <w:shd w:val="clear" w:color="auto" w:fill="FFFFFF"/>
        <w:rPr>
          <w:bCs/>
          <w:color w:val="000000"/>
          <w:lang w:val="en-GB" w:eastAsia="en-US"/>
        </w:rPr>
      </w:pPr>
      <w:r w:rsidRPr="002A51A0">
        <w:rPr>
          <w:bCs/>
          <w:color w:val="000000"/>
          <w:lang w:val="en-GB" w:eastAsia="en-US"/>
        </w:rPr>
        <w:t>If you have any questions about the toolkit, please contact the regional contact for your area.</w:t>
      </w:r>
      <w:bookmarkStart w:id="0" w:name="_GoBack"/>
      <w:bookmarkEnd w:id="0"/>
    </w:p>
    <w:p w14:paraId="5BA0A921" w14:textId="77777777" w:rsidR="00173824" w:rsidRPr="002A51A0" w:rsidRDefault="00173824" w:rsidP="00A851CE">
      <w:pPr>
        <w:rPr>
          <w:color w:val="000000"/>
        </w:rPr>
      </w:pPr>
    </w:p>
    <w:p w14:paraId="53C13D33" w14:textId="7FA0A846" w:rsidR="000B2628" w:rsidRPr="002A51A0" w:rsidRDefault="000B2628" w:rsidP="00A851CE">
      <w:pPr>
        <w:spacing w:before="120"/>
        <w:jc w:val="left"/>
        <w:rPr>
          <w:rStyle w:val="Hyperlink"/>
          <w:rFonts w:cs="Arial"/>
          <w:color w:val="000000" w:themeColor="text1"/>
          <w:u w:val="none"/>
          <w:lang w:val="en"/>
        </w:rPr>
      </w:pPr>
    </w:p>
    <w:sectPr w:rsidR="000B2628" w:rsidRPr="002A51A0" w:rsidSect="002A51A0">
      <w:pgSz w:w="11907" w:h="16840" w:code="9"/>
      <w:pgMar w:top="1134" w:right="992" w:bottom="709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6AF0" w14:textId="77777777" w:rsidR="009962A9" w:rsidRDefault="009962A9" w:rsidP="00846881">
      <w:r>
        <w:separator/>
      </w:r>
    </w:p>
  </w:endnote>
  <w:endnote w:type="continuationSeparator" w:id="0">
    <w:p w14:paraId="4D3D0537" w14:textId="77777777" w:rsidR="009962A9" w:rsidRDefault="009962A9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E5DA" w14:textId="77777777" w:rsidR="009962A9" w:rsidRDefault="009962A9" w:rsidP="00846881">
      <w:r>
        <w:separator/>
      </w:r>
    </w:p>
  </w:footnote>
  <w:footnote w:type="continuationSeparator" w:id="0">
    <w:p w14:paraId="274DCEB1" w14:textId="77777777" w:rsidR="009962A9" w:rsidRDefault="009962A9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71F8"/>
    <w:multiLevelType w:val="hybridMultilevel"/>
    <w:tmpl w:val="F46EA2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18"/>
  </w:num>
  <w:num w:numId="5">
    <w:abstractNumId w:val="1"/>
  </w:num>
  <w:num w:numId="6">
    <w:abstractNumId w:val="16"/>
  </w:num>
  <w:num w:numId="7">
    <w:abstractNumId w:val="9"/>
  </w:num>
  <w:num w:numId="8">
    <w:abstractNumId w:val="23"/>
  </w:num>
  <w:num w:numId="9">
    <w:abstractNumId w:val="15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8"/>
  </w:num>
  <w:num w:numId="15">
    <w:abstractNumId w:val="26"/>
  </w:num>
  <w:num w:numId="16">
    <w:abstractNumId w:val="22"/>
  </w:num>
  <w:num w:numId="17">
    <w:abstractNumId w:val="11"/>
  </w:num>
  <w:num w:numId="18">
    <w:abstractNumId w:val="5"/>
  </w:num>
  <w:num w:numId="19">
    <w:abstractNumId w:val="25"/>
  </w:num>
  <w:num w:numId="20">
    <w:abstractNumId w:val="12"/>
  </w:num>
  <w:num w:numId="21">
    <w:abstractNumId w:val="17"/>
  </w:num>
  <w:num w:numId="22">
    <w:abstractNumId w:val="7"/>
  </w:num>
  <w:num w:numId="23">
    <w:abstractNumId w:val="21"/>
  </w:num>
  <w:num w:numId="24">
    <w:abstractNumId w:val="14"/>
  </w:num>
  <w:num w:numId="25">
    <w:abstractNumId w:val="2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1926"/>
    <w:rsid w:val="0002288F"/>
    <w:rsid w:val="0002677B"/>
    <w:rsid w:val="00035017"/>
    <w:rsid w:val="00042423"/>
    <w:rsid w:val="000425DB"/>
    <w:rsid w:val="00044F33"/>
    <w:rsid w:val="00052DB9"/>
    <w:rsid w:val="00060214"/>
    <w:rsid w:val="00060EA4"/>
    <w:rsid w:val="000701E5"/>
    <w:rsid w:val="000715DE"/>
    <w:rsid w:val="0008021C"/>
    <w:rsid w:val="000901F6"/>
    <w:rsid w:val="000A28AF"/>
    <w:rsid w:val="000B1133"/>
    <w:rsid w:val="000B2628"/>
    <w:rsid w:val="000C3753"/>
    <w:rsid w:val="000C472B"/>
    <w:rsid w:val="000C782C"/>
    <w:rsid w:val="000E70E3"/>
    <w:rsid w:val="000E7BF0"/>
    <w:rsid w:val="00105130"/>
    <w:rsid w:val="001079BD"/>
    <w:rsid w:val="0011333F"/>
    <w:rsid w:val="001214D4"/>
    <w:rsid w:val="00125617"/>
    <w:rsid w:val="00136133"/>
    <w:rsid w:val="001411A4"/>
    <w:rsid w:val="00154ECF"/>
    <w:rsid w:val="00157432"/>
    <w:rsid w:val="00164821"/>
    <w:rsid w:val="00170BBA"/>
    <w:rsid w:val="00173824"/>
    <w:rsid w:val="001807E6"/>
    <w:rsid w:val="00181F47"/>
    <w:rsid w:val="001A352C"/>
    <w:rsid w:val="001B6D16"/>
    <w:rsid w:val="001C0117"/>
    <w:rsid w:val="001C0BDB"/>
    <w:rsid w:val="001C0F9B"/>
    <w:rsid w:val="001C4930"/>
    <w:rsid w:val="001D0056"/>
    <w:rsid w:val="001D2F77"/>
    <w:rsid w:val="001E4F45"/>
    <w:rsid w:val="001F3ECD"/>
    <w:rsid w:val="00201D8D"/>
    <w:rsid w:val="00206E94"/>
    <w:rsid w:val="00213CB1"/>
    <w:rsid w:val="0022166C"/>
    <w:rsid w:val="00231621"/>
    <w:rsid w:val="00234DCA"/>
    <w:rsid w:val="002413D5"/>
    <w:rsid w:val="002414DC"/>
    <w:rsid w:val="00241D70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38CF"/>
    <w:rsid w:val="002A24E2"/>
    <w:rsid w:val="002A51A0"/>
    <w:rsid w:val="002B15E5"/>
    <w:rsid w:val="002B4875"/>
    <w:rsid w:val="002B61F2"/>
    <w:rsid w:val="002D3E86"/>
    <w:rsid w:val="002D610A"/>
    <w:rsid w:val="002E66D8"/>
    <w:rsid w:val="002F4067"/>
    <w:rsid w:val="00305553"/>
    <w:rsid w:val="003079DD"/>
    <w:rsid w:val="003150C7"/>
    <w:rsid w:val="00340366"/>
    <w:rsid w:val="00352C50"/>
    <w:rsid w:val="003547C4"/>
    <w:rsid w:val="00355714"/>
    <w:rsid w:val="00374A0E"/>
    <w:rsid w:val="00384947"/>
    <w:rsid w:val="003966A5"/>
    <w:rsid w:val="003A5544"/>
    <w:rsid w:val="003B2C9D"/>
    <w:rsid w:val="003B7B63"/>
    <w:rsid w:val="003C633A"/>
    <w:rsid w:val="003D454C"/>
    <w:rsid w:val="003F0B63"/>
    <w:rsid w:val="003F3D59"/>
    <w:rsid w:val="003F640F"/>
    <w:rsid w:val="00401995"/>
    <w:rsid w:val="00402D10"/>
    <w:rsid w:val="00414AB1"/>
    <w:rsid w:val="00421941"/>
    <w:rsid w:val="00423765"/>
    <w:rsid w:val="004239F9"/>
    <w:rsid w:val="004304A3"/>
    <w:rsid w:val="0044416E"/>
    <w:rsid w:val="00452FAE"/>
    <w:rsid w:val="004538C3"/>
    <w:rsid w:val="00453CAD"/>
    <w:rsid w:val="004604A8"/>
    <w:rsid w:val="00463997"/>
    <w:rsid w:val="0048144F"/>
    <w:rsid w:val="004821AD"/>
    <w:rsid w:val="004B182C"/>
    <w:rsid w:val="004C32C0"/>
    <w:rsid w:val="004C4887"/>
    <w:rsid w:val="004C7772"/>
    <w:rsid w:val="004E2787"/>
    <w:rsid w:val="004E29A2"/>
    <w:rsid w:val="004E42D2"/>
    <w:rsid w:val="004F1546"/>
    <w:rsid w:val="00505EC2"/>
    <w:rsid w:val="00506F42"/>
    <w:rsid w:val="00536911"/>
    <w:rsid w:val="00540C9F"/>
    <w:rsid w:val="00545CC1"/>
    <w:rsid w:val="005519A3"/>
    <w:rsid w:val="005543E8"/>
    <w:rsid w:val="00583630"/>
    <w:rsid w:val="00590B75"/>
    <w:rsid w:val="005A5EDE"/>
    <w:rsid w:val="005B4815"/>
    <w:rsid w:val="005C05FA"/>
    <w:rsid w:val="005C5D77"/>
    <w:rsid w:val="005D079D"/>
    <w:rsid w:val="005D5398"/>
    <w:rsid w:val="005E1085"/>
    <w:rsid w:val="005F153D"/>
    <w:rsid w:val="0060642E"/>
    <w:rsid w:val="0062065B"/>
    <w:rsid w:val="006254CC"/>
    <w:rsid w:val="00626260"/>
    <w:rsid w:val="006344F3"/>
    <w:rsid w:val="006404DE"/>
    <w:rsid w:val="006409D9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B7F05"/>
    <w:rsid w:val="006C4B49"/>
    <w:rsid w:val="006D4561"/>
    <w:rsid w:val="006F3184"/>
    <w:rsid w:val="006F5334"/>
    <w:rsid w:val="00717852"/>
    <w:rsid w:val="007269A9"/>
    <w:rsid w:val="00743BDE"/>
    <w:rsid w:val="00753651"/>
    <w:rsid w:val="007602BC"/>
    <w:rsid w:val="00761DFD"/>
    <w:rsid w:val="0076398D"/>
    <w:rsid w:val="00764A0A"/>
    <w:rsid w:val="00770AF9"/>
    <w:rsid w:val="007716FE"/>
    <w:rsid w:val="00772628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810ABD"/>
    <w:rsid w:val="008317C7"/>
    <w:rsid w:val="00846881"/>
    <w:rsid w:val="0085253B"/>
    <w:rsid w:val="00861794"/>
    <w:rsid w:val="00864AEB"/>
    <w:rsid w:val="00865959"/>
    <w:rsid w:val="00867D3A"/>
    <w:rsid w:val="00880ACA"/>
    <w:rsid w:val="00884527"/>
    <w:rsid w:val="0089186A"/>
    <w:rsid w:val="008A609E"/>
    <w:rsid w:val="008C1842"/>
    <w:rsid w:val="008D1C04"/>
    <w:rsid w:val="008D5441"/>
    <w:rsid w:val="008E0161"/>
    <w:rsid w:val="008E2680"/>
    <w:rsid w:val="008E2DD6"/>
    <w:rsid w:val="008E3316"/>
    <w:rsid w:val="008E53DE"/>
    <w:rsid w:val="008F3646"/>
    <w:rsid w:val="00903B41"/>
    <w:rsid w:val="00933C17"/>
    <w:rsid w:val="00944E61"/>
    <w:rsid w:val="009548AD"/>
    <w:rsid w:val="00965E53"/>
    <w:rsid w:val="00967BCD"/>
    <w:rsid w:val="009706F1"/>
    <w:rsid w:val="00973BF7"/>
    <w:rsid w:val="00982579"/>
    <w:rsid w:val="009843BA"/>
    <w:rsid w:val="009913B4"/>
    <w:rsid w:val="0099526E"/>
    <w:rsid w:val="00995CDB"/>
    <w:rsid w:val="009962A9"/>
    <w:rsid w:val="009A02DD"/>
    <w:rsid w:val="009B090C"/>
    <w:rsid w:val="009B5012"/>
    <w:rsid w:val="009C7B4C"/>
    <w:rsid w:val="009D5D01"/>
    <w:rsid w:val="009E1800"/>
    <w:rsid w:val="009E3636"/>
    <w:rsid w:val="00A011F2"/>
    <w:rsid w:val="00A0719A"/>
    <w:rsid w:val="00A14B2D"/>
    <w:rsid w:val="00A164BC"/>
    <w:rsid w:val="00A1663E"/>
    <w:rsid w:val="00A2083F"/>
    <w:rsid w:val="00A24A30"/>
    <w:rsid w:val="00A30E35"/>
    <w:rsid w:val="00A343CF"/>
    <w:rsid w:val="00A55A13"/>
    <w:rsid w:val="00A73441"/>
    <w:rsid w:val="00A74415"/>
    <w:rsid w:val="00A826B9"/>
    <w:rsid w:val="00A83FB3"/>
    <w:rsid w:val="00A851CE"/>
    <w:rsid w:val="00A9135E"/>
    <w:rsid w:val="00AA3C05"/>
    <w:rsid w:val="00AB7AB6"/>
    <w:rsid w:val="00AC402D"/>
    <w:rsid w:val="00AD07C3"/>
    <w:rsid w:val="00AD0AF3"/>
    <w:rsid w:val="00AD6A4D"/>
    <w:rsid w:val="00AE59A4"/>
    <w:rsid w:val="00AF0514"/>
    <w:rsid w:val="00AF06E4"/>
    <w:rsid w:val="00AF18DE"/>
    <w:rsid w:val="00AF467C"/>
    <w:rsid w:val="00B05E0A"/>
    <w:rsid w:val="00B211FC"/>
    <w:rsid w:val="00B247EB"/>
    <w:rsid w:val="00B25302"/>
    <w:rsid w:val="00B30654"/>
    <w:rsid w:val="00B3289A"/>
    <w:rsid w:val="00B33E4F"/>
    <w:rsid w:val="00B34886"/>
    <w:rsid w:val="00B35761"/>
    <w:rsid w:val="00B41E45"/>
    <w:rsid w:val="00B50E6E"/>
    <w:rsid w:val="00B5136F"/>
    <w:rsid w:val="00B56D79"/>
    <w:rsid w:val="00B632F5"/>
    <w:rsid w:val="00B64069"/>
    <w:rsid w:val="00B72FE6"/>
    <w:rsid w:val="00B950AB"/>
    <w:rsid w:val="00BB4A46"/>
    <w:rsid w:val="00BC23C8"/>
    <w:rsid w:val="00BC5681"/>
    <w:rsid w:val="00BC7819"/>
    <w:rsid w:val="00BD1D70"/>
    <w:rsid w:val="00BE143C"/>
    <w:rsid w:val="00BE2775"/>
    <w:rsid w:val="00BF5B84"/>
    <w:rsid w:val="00C03591"/>
    <w:rsid w:val="00C03A4A"/>
    <w:rsid w:val="00C137EE"/>
    <w:rsid w:val="00C13929"/>
    <w:rsid w:val="00C151BB"/>
    <w:rsid w:val="00C25A61"/>
    <w:rsid w:val="00C373FC"/>
    <w:rsid w:val="00C5041F"/>
    <w:rsid w:val="00C579E9"/>
    <w:rsid w:val="00C75A39"/>
    <w:rsid w:val="00C83B90"/>
    <w:rsid w:val="00CA0D2E"/>
    <w:rsid w:val="00CA2D61"/>
    <w:rsid w:val="00CB0BDA"/>
    <w:rsid w:val="00CB0D2D"/>
    <w:rsid w:val="00CB16A1"/>
    <w:rsid w:val="00CB2C50"/>
    <w:rsid w:val="00CB3905"/>
    <w:rsid w:val="00CC30D2"/>
    <w:rsid w:val="00CD0632"/>
    <w:rsid w:val="00CE69B8"/>
    <w:rsid w:val="00CF21C3"/>
    <w:rsid w:val="00CF35E5"/>
    <w:rsid w:val="00CF6891"/>
    <w:rsid w:val="00CF6C01"/>
    <w:rsid w:val="00D12B7E"/>
    <w:rsid w:val="00D130F4"/>
    <w:rsid w:val="00D20F04"/>
    <w:rsid w:val="00D2318E"/>
    <w:rsid w:val="00D26D6A"/>
    <w:rsid w:val="00D30F3E"/>
    <w:rsid w:val="00D33418"/>
    <w:rsid w:val="00D438E6"/>
    <w:rsid w:val="00D53A53"/>
    <w:rsid w:val="00D60024"/>
    <w:rsid w:val="00D60148"/>
    <w:rsid w:val="00D71AED"/>
    <w:rsid w:val="00D813EA"/>
    <w:rsid w:val="00D83E14"/>
    <w:rsid w:val="00DB0BCD"/>
    <w:rsid w:val="00DB7126"/>
    <w:rsid w:val="00DD6095"/>
    <w:rsid w:val="00DD6855"/>
    <w:rsid w:val="00DE167D"/>
    <w:rsid w:val="00DF2A51"/>
    <w:rsid w:val="00DF6688"/>
    <w:rsid w:val="00E05620"/>
    <w:rsid w:val="00E31F62"/>
    <w:rsid w:val="00E320A4"/>
    <w:rsid w:val="00E63520"/>
    <w:rsid w:val="00E64028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21C1"/>
    <w:rsid w:val="00EE4BD9"/>
    <w:rsid w:val="00EE5A7F"/>
    <w:rsid w:val="00EE5E95"/>
    <w:rsid w:val="00F103E0"/>
    <w:rsid w:val="00F11CAC"/>
    <w:rsid w:val="00F13297"/>
    <w:rsid w:val="00F16F7C"/>
    <w:rsid w:val="00F17667"/>
    <w:rsid w:val="00F2110D"/>
    <w:rsid w:val="00F22AC5"/>
    <w:rsid w:val="00F24B4E"/>
    <w:rsid w:val="00F30F82"/>
    <w:rsid w:val="00F343D3"/>
    <w:rsid w:val="00F37F3D"/>
    <w:rsid w:val="00F4089F"/>
    <w:rsid w:val="00F453C5"/>
    <w:rsid w:val="00F47367"/>
    <w:rsid w:val="00F72301"/>
    <w:rsid w:val="00F77690"/>
    <w:rsid w:val="00F8781E"/>
    <w:rsid w:val="00F93F26"/>
    <w:rsid w:val="00FB322D"/>
    <w:rsid w:val="00FC6923"/>
    <w:rsid w:val="00FD2E5F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3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F22AC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ippslandlearnlocal.community/spalg-toolk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SPALG Toolkit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F858C-DA81-47E2-91E9-35E1B8B7C0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F3148AB5-E883-4D20-B56B-97BA5EB3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5FC31-590D-4B85-840E-ED3BF1AFD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2019/07/30 PIRE Branch Memo: Learn Local trainers and tutors are invited to attend a professional development course on the PQF kit.</vt:lpstr>
    </vt:vector>
  </TitlesOfParts>
  <Company/>
  <LinksUpToDate>false</LinksUpToDate>
  <CharactersWithSpaces>2757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 Memo_SPALG Toolkit</dc:title>
  <dc:subject/>
  <dc:creator/>
  <cp:keywords/>
  <cp:lastModifiedBy/>
  <cp:revision>1</cp:revision>
  <dcterms:created xsi:type="dcterms:W3CDTF">2019-11-18T22:01:00Z</dcterms:created>
  <dcterms:modified xsi:type="dcterms:W3CDTF">2019-11-18T22:01:00Z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