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4D0B" w14:textId="77777777" w:rsidR="00D813EA" w:rsidRPr="00BC23C8" w:rsidRDefault="00D813EA" w:rsidP="002653D5">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13204D0C" w14:textId="77777777" w:rsidR="001C0BDB" w:rsidRPr="00BC23C8" w:rsidRDefault="00D813EA" w:rsidP="002653D5">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13204D0D" w14:textId="77777777" w:rsidR="00545CC1" w:rsidRPr="005E7970" w:rsidRDefault="00254C93" w:rsidP="002653D5">
      <w:pPr>
        <w:spacing w:before="200"/>
        <w:jc w:val="left"/>
        <w:rPr>
          <w:rFonts w:asciiTheme="minorHAnsi" w:hAnsiTheme="minorHAnsi" w:cstheme="minorHAnsi"/>
          <w:color w:val="2F5496" w:themeColor="accent5" w:themeShade="BF"/>
          <w:szCs w:val="24"/>
          <w:lang w:val="en"/>
        </w:rPr>
      </w:pPr>
      <w:r w:rsidRPr="005E7970">
        <w:rPr>
          <w:rFonts w:asciiTheme="minorHAnsi" w:hAnsiTheme="minorHAnsi" w:cstheme="minorHAnsi"/>
          <w:color w:val="2F5496" w:themeColor="accent5" w:themeShade="BF"/>
          <w:szCs w:val="24"/>
          <w:lang w:val="en"/>
        </w:rPr>
        <w:t>P</w:t>
      </w:r>
      <w:r w:rsidR="00C03591" w:rsidRPr="005E7970">
        <w:rPr>
          <w:rFonts w:asciiTheme="minorHAnsi" w:hAnsiTheme="minorHAnsi" w:cstheme="minorHAnsi"/>
          <w:color w:val="2F5496" w:themeColor="accent5" w:themeShade="BF"/>
          <w:szCs w:val="24"/>
          <w:lang w:val="en"/>
        </w:rPr>
        <w:t>articipation, Inclusion and</w:t>
      </w:r>
      <w:r w:rsidR="00B35761" w:rsidRPr="005E7970">
        <w:rPr>
          <w:rFonts w:asciiTheme="minorHAnsi" w:hAnsiTheme="minorHAnsi" w:cstheme="minorHAnsi"/>
          <w:color w:val="2F5496" w:themeColor="accent5" w:themeShade="BF"/>
          <w:szCs w:val="24"/>
          <w:lang w:val="en"/>
        </w:rPr>
        <w:t xml:space="preserve"> Regional Engagement </w:t>
      </w:r>
      <w:r w:rsidR="00C03591" w:rsidRPr="005E7970">
        <w:rPr>
          <w:rFonts w:asciiTheme="minorHAnsi" w:hAnsiTheme="minorHAnsi" w:cstheme="minorHAnsi"/>
          <w:color w:val="2F5496" w:themeColor="accent5" w:themeShade="BF"/>
          <w:szCs w:val="24"/>
          <w:lang w:val="en"/>
        </w:rPr>
        <w:t xml:space="preserve">— </w:t>
      </w:r>
      <w:r w:rsidR="00B35761" w:rsidRPr="005E7970">
        <w:rPr>
          <w:rFonts w:asciiTheme="minorHAnsi" w:hAnsiTheme="minorHAnsi" w:cstheme="minorHAnsi"/>
          <w:color w:val="2F5496" w:themeColor="accent5" w:themeShade="BF"/>
          <w:szCs w:val="24"/>
          <w:lang w:val="en"/>
        </w:rPr>
        <w:t xml:space="preserve">Branch </w:t>
      </w:r>
      <w:r w:rsidR="00D813EA" w:rsidRPr="005E7970">
        <w:rPr>
          <w:rFonts w:asciiTheme="minorHAnsi" w:hAnsiTheme="minorHAnsi" w:cstheme="minorHAnsi"/>
          <w:color w:val="2F5496" w:themeColor="accent5" w:themeShade="BF"/>
          <w:szCs w:val="24"/>
          <w:lang w:val="en"/>
        </w:rPr>
        <w:t>Mem</w:t>
      </w:r>
      <w:r w:rsidR="0085253B" w:rsidRPr="005E7970">
        <w:rPr>
          <w:rFonts w:asciiTheme="minorHAnsi" w:hAnsiTheme="minorHAnsi" w:cstheme="minorHAnsi"/>
          <w:color w:val="2F5496" w:themeColor="accent5" w:themeShade="BF"/>
          <w:szCs w:val="24"/>
          <w:lang w:val="en"/>
        </w:rPr>
        <w:t>o</w:t>
      </w:r>
    </w:p>
    <w:p w14:paraId="13204D0E" w14:textId="77777777" w:rsidR="00CB2C50" w:rsidRPr="005E7970" w:rsidRDefault="00545CC1" w:rsidP="002653D5">
      <w:pPr>
        <w:spacing w:before="0" w:after="0" w:line="240" w:lineRule="atLeast"/>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szCs w:val="24"/>
          <w:lang w:val="en-GB" w:eastAsia="en-US"/>
        </w:rPr>
        <w:t>TO:</w:t>
      </w:r>
      <w:r w:rsidR="003547C4"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CB2C50" w:rsidRPr="005E7970">
        <w:rPr>
          <w:rFonts w:asciiTheme="minorHAnsi" w:hAnsiTheme="minorHAnsi" w:cstheme="minorHAnsi"/>
          <w:color w:val="000000" w:themeColor="text1"/>
          <w:szCs w:val="24"/>
          <w:lang w:val="en-GB" w:eastAsia="en-US"/>
        </w:rPr>
        <w:t>ACFE Board</w:t>
      </w:r>
    </w:p>
    <w:p w14:paraId="13204D0F" w14:textId="77777777" w:rsidR="00CB2C50" w:rsidRPr="005E7970" w:rsidRDefault="00CB2C50" w:rsidP="002653D5">
      <w:pPr>
        <w:spacing w:before="0" w:after="0" w:line="240" w:lineRule="atLeast"/>
        <w:jc w:val="left"/>
        <w:rPr>
          <w:rFonts w:asciiTheme="minorHAnsi" w:hAnsiTheme="minorHAnsi" w:cstheme="minorHAnsi"/>
          <w: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ACFE Regional Councils</w:t>
      </w:r>
    </w:p>
    <w:p w14:paraId="13204D10" w14:textId="77777777" w:rsidR="00B17E34" w:rsidRDefault="00545CC1" w:rsidP="002653D5">
      <w:pPr>
        <w:spacing w:before="0" w:after="0" w:line="240" w:lineRule="atLeast"/>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7A161B" w:rsidRPr="005E7970">
        <w:rPr>
          <w:rFonts w:asciiTheme="minorHAnsi" w:hAnsiTheme="minorHAnsi" w:cstheme="minorHAnsi"/>
          <w:color w:val="000000" w:themeColor="text1"/>
          <w:szCs w:val="24"/>
          <w:lang w:val="en-GB" w:eastAsia="en-US"/>
        </w:rPr>
        <w:t>Adult education i</w:t>
      </w:r>
      <w:r w:rsidR="00DB0BCD" w:rsidRPr="005E7970">
        <w:rPr>
          <w:rFonts w:asciiTheme="minorHAnsi" w:hAnsiTheme="minorHAnsi" w:cstheme="minorHAnsi"/>
          <w:color w:val="000000" w:themeColor="text1"/>
          <w:szCs w:val="24"/>
          <w:lang w:val="en-GB" w:eastAsia="en-US"/>
        </w:rPr>
        <w:t>nstitutions</w:t>
      </w:r>
    </w:p>
    <w:p w14:paraId="13204D11" w14:textId="77777777" w:rsidR="00B17E34" w:rsidRPr="00B17E34" w:rsidRDefault="00B17E34" w:rsidP="002653D5">
      <w:pPr>
        <w:spacing w:before="0" w:after="0" w:line="240" w:lineRule="atLeast"/>
        <w:ind w:left="720" w:firstLine="720"/>
        <w:jc w:val="left"/>
        <w:rPr>
          <w:rFonts w:asciiTheme="minorHAnsi" w:hAnsiTheme="minorHAnsi" w:cstheme="minorHAnsi"/>
          <w:color w:val="000000" w:themeColor="text1"/>
          <w:szCs w:val="24"/>
          <w:lang w:val="en-GB" w:eastAsia="en-US"/>
        </w:rPr>
      </w:pPr>
      <w:r>
        <w:rPr>
          <w:color w:val="000000" w:themeColor="text1"/>
          <w:szCs w:val="24"/>
          <w:lang w:val="en-GB" w:eastAsia="en-US"/>
        </w:rPr>
        <w:t>Learn Local s</w:t>
      </w:r>
      <w:r w:rsidRPr="00BC23C8">
        <w:rPr>
          <w:color w:val="000000" w:themeColor="text1"/>
          <w:szCs w:val="24"/>
          <w:lang w:val="en-GB" w:eastAsia="en-US"/>
        </w:rPr>
        <w:t>takeholders</w:t>
      </w:r>
    </w:p>
    <w:p w14:paraId="13204D12" w14:textId="77777777" w:rsidR="00DB0BCD" w:rsidRPr="005E7970" w:rsidRDefault="00545CC1" w:rsidP="002653D5">
      <w:pPr>
        <w:spacing w:before="0" w:after="0" w:line="240" w:lineRule="atLeast"/>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3079DD" w:rsidRPr="005E7970">
        <w:rPr>
          <w:rFonts w:asciiTheme="minorHAnsi" w:hAnsiTheme="minorHAnsi" w:cstheme="minorHAnsi"/>
          <w:color w:val="000000" w:themeColor="text1"/>
          <w:szCs w:val="24"/>
          <w:lang w:val="en-GB" w:eastAsia="en-US"/>
        </w:rPr>
        <w:t xml:space="preserve">PIRE </w:t>
      </w:r>
      <w:r w:rsidR="007A161B" w:rsidRPr="005E7970">
        <w:rPr>
          <w:rFonts w:asciiTheme="minorHAnsi" w:hAnsiTheme="minorHAnsi" w:cstheme="minorHAnsi"/>
          <w:color w:val="000000" w:themeColor="text1"/>
          <w:szCs w:val="24"/>
          <w:lang w:val="en-GB" w:eastAsia="en-US"/>
        </w:rPr>
        <w:t>Branch s</w:t>
      </w:r>
      <w:r w:rsidR="00DB0BCD" w:rsidRPr="005E7970">
        <w:rPr>
          <w:rFonts w:asciiTheme="minorHAnsi" w:hAnsiTheme="minorHAnsi" w:cstheme="minorHAnsi"/>
          <w:color w:val="000000" w:themeColor="text1"/>
          <w:szCs w:val="24"/>
          <w:lang w:val="en-GB" w:eastAsia="en-US"/>
        </w:rPr>
        <w:t>taff</w:t>
      </w:r>
    </w:p>
    <w:p w14:paraId="13204D13" w14:textId="77777777" w:rsidR="003547C4" w:rsidRPr="005E7970" w:rsidRDefault="003547C4" w:rsidP="002653D5">
      <w:pPr>
        <w:spacing w:before="0" w:after="0" w:line="240" w:lineRule="atLeast"/>
        <w:ind w:left="720" w:firstLine="720"/>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Registered</w:t>
      </w:r>
      <w:r w:rsidRPr="005E7970">
        <w:rPr>
          <w:rFonts w:asciiTheme="minorHAnsi" w:hAnsiTheme="minorHAnsi" w:cstheme="minorHAnsi"/>
          <w:b/>
          <w:color w:val="000000" w:themeColor="text1"/>
          <w:szCs w:val="24"/>
          <w:lang w:val="en-GB" w:eastAsia="en-US"/>
        </w:rPr>
        <w:t xml:space="preserve"> </w:t>
      </w:r>
      <w:r w:rsidRPr="005E7970">
        <w:rPr>
          <w:rFonts w:asciiTheme="minorHAnsi" w:hAnsiTheme="minorHAnsi" w:cstheme="minorHAnsi"/>
          <w:color w:val="000000" w:themeColor="text1"/>
          <w:szCs w:val="24"/>
          <w:lang w:val="en-GB" w:eastAsia="en-US"/>
        </w:rPr>
        <w:t>Learn Local providers — ALL</w:t>
      </w:r>
    </w:p>
    <w:p w14:paraId="13204D14" w14:textId="77777777" w:rsidR="009D5D01" w:rsidRPr="005E7970" w:rsidRDefault="009D5D01" w:rsidP="002653D5">
      <w:pPr>
        <w:spacing w:before="120"/>
        <w:jc w:val="left"/>
        <w:rPr>
          <w:rFonts w:asciiTheme="minorHAnsi" w:hAnsiTheme="minorHAnsi" w:cstheme="minorHAnsi"/>
          <w:b/>
          <w:color w:val="000000" w:themeColor="text1"/>
          <w:szCs w:val="20"/>
          <w:lang w:val="en-GB" w:eastAsia="en-US"/>
        </w:rPr>
      </w:pPr>
      <w:r w:rsidRPr="005E7970">
        <w:rPr>
          <w:rFonts w:asciiTheme="minorHAnsi" w:hAnsiTheme="minorHAnsi" w:cstheme="minorHAnsi"/>
          <w:b/>
          <w:color w:val="000000" w:themeColor="text1"/>
          <w:lang w:val="en-GB" w:eastAsia="en-US"/>
        </w:rPr>
        <w:t>FROM</w:t>
      </w:r>
      <w:r w:rsidR="00414AB1" w:rsidRPr="005E7970">
        <w:rPr>
          <w:rFonts w:asciiTheme="minorHAnsi" w:hAnsiTheme="minorHAnsi" w:cstheme="minorHAnsi"/>
          <w:b/>
          <w:color w:val="000000" w:themeColor="text1"/>
          <w:lang w:val="en-GB" w:eastAsia="en-US"/>
        </w:rPr>
        <w:t>:</w:t>
      </w:r>
      <w:r w:rsidR="00D30F3E" w:rsidRPr="005E7970">
        <w:rPr>
          <w:rFonts w:asciiTheme="minorHAnsi" w:hAnsiTheme="minorHAnsi" w:cstheme="minorHAnsi"/>
          <w:b/>
          <w:color w:val="000000" w:themeColor="text1"/>
          <w:lang w:val="en-GB" w:eastAsia="en-US"/>
        </w:rPr>
        <w:tab/>
      </w:r>
      <w:r w:rsidR="007D77E2" w:rsidRPr="005E7970">
        <w:rPr>
          <w:rFonts w:asciiTheme="minorHAnsi" w:hAnsiTheme="minorHAnsi" w:cstheme="minorHAnsi"/>
          <w:color w:val="000000" w:themeColor="text1"/>
          <w:lang w:val="en-GB" w:eastAsia="en-US"/>
        </w:rPr>
        <w:t>Edu De Hue</w:t>
      </w:r>
      <w:r w:rsidR="002D610A" w:rsidRPr="005E7970">
        <w:rPr>
          <w:rFonts w:asciiTheme="minorHAnsi" w:hAnsiTheme="minorHAnsi" w:cstheme="minorHAnsi"/>
          <w:color w:val="000000" w:themeColor="text1"/>
          <w:szCs w:val="24"/>
          <w:lang w:val="en-GB" w:eastAsia="en-US"/>
        </w:rPr>
        <w:t xml:space="preserve">, </w:t>
      </w:r>
      <w:r w:rsidR="007D77E2" w:rsidRPr="005E7970">
        <w:rPr>
          <w:rFonts w:asciiTheme="minorHAnsi" w:hAnsiTheme="minorHAnsi" w:cstheme="minorHAnsi"/>
          <w:color w:val="000000" w:themeColor="text1"/>
          <w:szCs w:val="24"/>
          <w:lang w:val="en-GB" w:eastAsia="en-US"/>
        </w:rPr>
        <w:t>A/</w:t>
      </w:r>
      <w:r w:rsidR="0029046F" w:rsidRPr="005E7970">
        <w:rPr>
          <w:rFonts w:asciiTheme="minorHAnsi" w:hAnsiTheme="minorHAnsi" w:cstheme="minorHAnsi"/>
          <w:color w:val="000000" w:themeColor="text1"/>
          <w:szCs w:val="24"/>
          <w:lang w:val="en-GB" w:eastAsia="en-US"/>
        </w:rPr>
        <w:t>D</w:t>
      </w:r>
      <w:r w:rsidR="004E29A2" w:rsidRPr="005E7970">
        <w:rPr>
          <w:rFonts w:asciiTheme="minorHAnsi" w:hAnsiTheme="minorHAnsi" w:cstheme="minorHAnsi"/>
          <w:color w:val="000000" w:themeColor="text1"/>
          <w:szCs w:val="24"/>
          <w:lang w:val="en-GB" w:eastAsia="en-US"/>
        </w:rPr>
        <w:t>irector</w:t>
      </w:r>
      <w:r w:rsidR="00F453C5" w:rsidRPr="005E7970">
        <w:rPr>
          <w:rFonts w:asciiTheme="minorHAnsi" w:hAnsiTheme="minorHAnsi" w:cstheme="minorHAnsi"/>
          <w:color w:val="000000" w:themeColor="text1"/>
          <w:szCs w:val="24"/>
          <w:lang w:val="en-GB" w:eastAsia="en-US"/>
        </w:rPr>
        <w:t xml:space="preserve"> </w:t>
      </w:r>
      <w:r w:rsidR="00F453C5" w:rsidRPr="005E7970">
        <w:rPr>
          <w:rFonts w:asciiTheme="minorHAnsi" w:hAnsiTheme="minorHAnsi" w:cstheme="minorHAnsi"/>
          <w:color w:val="000000" w:themeColor="text1"/>
          <w:lang w:val="en-GB" w:eastAsia="en-US"/>
        </w:rPr>
        <w:t xml:space="preserve">— </w:t>
      </w:r>
      <w:r w:rsidR="00C03591" w:rsidRPr="005E7970">
        <w:rPr>
          <w:rFonts w:asciiTheme="minorHAnsi" w:hAnsiTheme="minorHAnsi" w:cstheme="minorHAnsi"/>
          <w:color w:val="000000" w:themeColor="text1"/>
          <w:szCs w:val="24"/>
          <w:lang w:val="en-GB" w:eastAsia="en-US"/>
        </w:rPr>
        <w:t>Participation, Inclusion and</w:t>
      </w:r>
      <w:r w:rsidR="00254C93" w:rsidRPr="005E7970">
        <w:rPr>
          <w:rFonts w:asciiTheme="minorHAnsi" w:hAnsiTheme="minorHAnsi" w:cstheme="minorHAnsi"/>
          <w:color w:val="000000" w:themeColor="text1"/>
          <w:szCs w:val="24"/>
          <w:lang w:val="en-GB" w:eastAsia="en-US"/>
        </w:rPr>
        <w:t xml:space="preserve"> Regional Engagement </w:t>
      </w:r>
      <w:r w:rsidRPr="005E7970">
        <w:rPr>
          <w:rFonts w:asciiTheme="minorHAnsi" w:hAnsiTheme="minorHAnsi" w:cstheme="minorHAnsi"/>
          <w:color w:val="000000" w:themeColor="text1"/>
          <w:szCs w:val="24"/>
          <w:lang w:val="en-GB" w:eastAsia="en-US"/>
        </w:rPr>
        <w:t>Branch</w:t>
      </w:r>
    </w:p>
    <w:p w14:paraId="13204D15" w14:textId="1A4ABC9C" w:rsidR="009D5D01" w:rsidRPr="005E7970" w:rsidRDefault="009D5D01" w:rsidP="002653D5">
      <w:pPr>
        <w:spacing w:before="120"/>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lang w:val="en-GB" w:eastAsia="en-US"/>
        </w:rPr>
        <w:t>DATE:</w:t>
      </w:r>
      <w:r w:rsidRPr="005E7970">
        <w:rPr>
          <w:rFonts w:asciiTheme="minorHAnsi" w:hAnsiTheme="minorHAnsi" w:cstheme="minorHAnsi"/>
          <w:b/>
          <w:color w:val="000000" w:themeColor="text1"/>
          <w:lang w:val="en-GB" w:eastAsia="en-US"/>
        </w:rPr>
        <w:tab/>
      </w:r>
      <w:r w:rsidR="00D30F3E" w:rsidRPr="005E7970">
        <w:rPr>
          <w:rFonts w:asciiTheme="minorHAnsi" w:hAnsiTheme="minorHAnsi" w:cstheme="minorHAnsi"/>
          <w:b/>
          <w:color w:val="000000" w:themeColor="text1"/>
          <w:lang w:val="en-GB" w:eastAsia="en-US"/>
        </w:rPr>
        <w:tab/>
      </w:r>
      <w:r w:rsidR="00C32CB8" w:rsidRPr="00C32CB8">
        <w:rPr>
          <w:rFonts w:asciiTheme="minorHAnsi" w:hAnsiTheme="minorHAnsi" w:cstheme="minorHAnsi"/>
          <w:color w:val="000000" w:themeColor="text1"/>
          <w:lang w:val="en-GB" w:eastAsia="en-US"/>
        </w:rPr>
        <w:t>1</w:t>
      </w:r>
      <w:r w:rsidR="00583E35">
        <w:rPr>
          <w:rFonts w:asciiTheme="minorHAnsi" w:hAnsiTheme="minorHAnsi" w:cstheme="minorHAnsi"/>
          <w:color w:val="000000" w:themeColor="text1"/>
          <w:lang w:val="en-GB" w:eastAsia="en-US"/>
        </w:rPr>
        <w:t>4</w:t>
      </w:r>
      <w:r w:rsidR="00AE3762" w:rsidRPr="005E7970">
        <w:rPr>
          <w:rFonts w:asciiTheme="minorHAnsi" w:hAnsiTheme="minorHAnsi" w:cstheme="minorHAnsi"/>
          <w:color w:val="000000" w:themeColor="text1"/>
          <w:lang w:val="en-GB" w:eastAsia="en-US"/>
        </w:rPr>
        <w:t>/</w:t>
      </w:r>
      <w:r w:rsidR="00C32CB8">
        <w:rPr>
          <w:rFonts w:asciiTheme="minorHAnsi" w:hAnsiTheme="minorHAnsi" w:cstheme="minorHAnsi"/>
          <w:color w:val="000000" w:themeColor="text1"/>
          <w:lang w:val="en-GB" w:eastAsia="en-US"/>
        </w:rPr>
        <w:t>11</w:t>
      </w:r>
      <w:r w:rsidR="00CB2C50" w:rsidRPr="005E7970">
        <w:rPr>
          <w:rFonts w:asciiTheme="minorHAnsi" w:hAnsiTheme="minorHAnsi" w:cstheme="minorHAnsi"/>
          <w:color w:val="000000" w:themeColor="text1"/>
          <w:lang w:val="en-GB" w:eastAsia="en-US"/>
        </w:rPr>
        <w:t>/</w:t>
      </w:r>
      <w:r w:rsidR="001807E6" w:rsidRPr="005E7970">
        <w:rPr>
          <w:rFonts w:asciiTheme="minorHAnsi" w:hAnsiTheme="minorHAnsi" w:cstheme="minorHAnsi"/>
          <w:color w:val="000000" w:themeColor="text1"/>
          <w:lang w:val="en-GB" w:eastAsia="en-US"/>
        </w:rPr>
        <w:t>2019</w:t>
      </w:r>
    </w:p>
    <w:p w14:paraId="13204D16" w14:textId="3CD8135D" w:rsidR="001807E6" w:rsidRPr="005E7970" w:rsidRDefault="009D5D01" w:rsidP="002653D5">
      <w:pPr>
        <w:spacing w:before="0"/>
        <w:ind w:left="1440" w:hanging="1440"/>
        <w:jc w:val="left"/>
        <w:rPr>
          <w:rFonts w:asciiTheme="minorHAnsi" w:hAnsiTheme="minorHAnsi" w:cstheme="minorHAnsi"/>
          <w:b/>
          <w:color w:val="000000" w:themeColor="text1"/>
          <w:szCs w:val="20"/>
          <w:lang w:eastAsia="en-US"/>
        </w:rPr>
      </w:pPr>
      <w:r w:rsidRPr="005E7970">
        <w:rPr>
          <w:rFonts w:asciiTheme="minorHAnsi" w:hAnsiTheme="minorHAnsi" w:cstheme="minorHAnsi"/>
          <w:b/>
          <w:color w:val="000000" w:themeColor="text1"/>
          <w:lang w:val="en-GB" w:eastAsia="en-US"/>
        </w:rPr>
        <w:t>SUBJECT</w:t>
      </w:r>
      <w:r w:rsidR="00D30F3E" w:rsidRPr="005E7970">
        <w:rPr>
          <w:rFonts w:asciiTheme="minorHAnsi" w:hAnsiTheme="minorHAnsi" w:cstheme="minorHAnsi"/>
          <w:b/>
          <w:color w:val="000000" w:themeColor="text1"/>
          <w:lang w:val="en-GB" w:eastAsia="en-US"/>
        </w:rPr>
        <w:t xml:space="preserve">: </w:t>
      </w:r>
      <w:r w:rsidR="00D30F3E" w:rsidRPr="005E7970">
        <w:rPr>
          <w:rFonts w:asciiTheme="minorHAnsi" w:hAnsiTheme="minorHAnsi" w:cstheme="minorHAnsi"/>
          <w:b/>
          <w:color w:val="000000" w:themeColor="text1"/>
          <w:lang w:val="en-GB" w:eastAsia="en-US"/>
        </w:rPr>
        <w:tab/>
      </w:r>
      <w:r w:rsidR="00C8753E">
        <w:rPr>
          <w:rFonts w:asciiTheme="minorHAnsi" w:hAnsiTheme="minorHAnsi" w:cstheme="minorHAnsi"/>
          <w:b/>
          <w:color w:val="000000" w:themeColor="text1"/>
          <w:lang w:val="en-GB" w:eastAsia="en-US"/>
        </w:rPr>
        <w:t>Ministerial Statement on the Future of Adult Community Education in Victoria 2020-25</w:t>
      </w:r>
      <w:r w:rsidR="006C5853" w:rsidRPr="005E7970">
        <w:rPr>
          <w:rFonts w:asciiTheme="minorHAnsi" w:hAnsiTheme="minorHAnsi" w:cstheme="minorHAnsi"/>
          <w:b/>
          <w:color w:val="000000" w:themeColor="text1"/>
          <w:lang w:val="en-GB" w:eastAsia="en-US"/>
        </w:rPr>
        <w:t xml:space="preserve"> </w:t>
      </w:r>
    </w:p>
    <w:p w14:paraId="13204D17" w14:textId="77777777" w:rsidR="00810ABD" w:rsidRPr="005E7970" w:rsidRDefault="00810ABD" w:rsidP="002653D5">
      <w:pPr>
        <w:pBdr>
          <w:bottom w:val="single" w:sz="4" w:space="1" w:color="auto"/>
        </w:pBdr>
        <w:spacing w:before="0"/>
        <w:jc w:val="left"/>
        <w:rPr>
          <w:rFonts w:asciiTheme="minorHAnsi" w:hAnsiTheme="minorHAnsi" w:cstheme="minorHAnsi"/>
          <w:color w:val="5B9BD5" w:themeColor="accent1"/>
          <w:lang w:val="en"/>
        </w:rPr>
      </w:pPr>
    </w:p>
    <w:p w14:paraId="13204D18" w14:textId="77777777" w:rsidR="006F3184" w:rsidRPr="005E7970" w:rsidRDefault="00DB0BCD" w:rsidP="002653D5">
      <w:pPr>
        <w:pStyle w:val="Heading2"/>
        <w:rPr>
          <w:lang w:val="en"/>
        </w:rPr>
      </w:pPr>
      <w:r w:rsidRPr="005E7970">
        <w:rPr>
          <w:lang w:val="en"/>
        </w:rPr>
        <w:t>A</w:t>
      </w:r>
      <w:r w:rsidR="0027439D" w:rsidRPr="005E7970">
        <w:rPr>
          <w:lang w:val="en"/>
        </w:rPr>
        <w:t>ctions</w:t>
      </w:r>
      <w:r w:rsidR="00AE3762" w:rsidRPr="005E7970">
        <w:rPr>
          <w:lang w:val="en"/>
        </w:rPr>
        <w:t xml:space="preserve"> / Critical Dates:</w:t>
      </w:r>
    </w:p>
    <w:p w14:paraId="13204D1C" w14:textId="1E387C8F" w:rsidR="00810ABD" w:rsidRPr="002653D5" w:rsidRDefault="002653D5" w:rsidP="002653D5">
      <w:pPr>
        <w:pStyle w:val="NormalWeb"/>
        <w:numPr>
          <w:ilvl w:val="0"/>
          <w:numId w:val="31"/>
        </w:numPr>
        <w:spacing w:after="120"/>
        <w:ind w:left="284" w:hanging="284"/>
        <w:rPr>
          <w:rFonts w:asciiTheme="minorHAnsi" w:hAnsiTheme="minorHAnsi" w:cstheme="minorHAnsi"/>
          <w:sz w:val="22"/>
          <w:szCs w:val="22"/>
          <w:lang w:val="en"/>
        </w:rPr>
      </w:pPr>
      <w:r w:rsidRPr="002653D5">
        <w:rPr>
          <w:rFonts w:asciiTheme="minorHAnsi" w:hAnsiTheme="minorHAnsi" w:cstheme="minorHAnsi"/>
          <w:bCs/>
          <w:color w:val="000000" w:themeColor="text1"/>
          <w:sz w:val="22"/>
          <w:szCs w:val="22"/>
          <w:lang w:val="en-GB"/>
        </w:rPr>
        <w:t xml:space="preserve">Download a copy of the </w:t>
      </w:r>
      <w:proofErr w:type="spellStart"/>
      <w:r>
        <w:rPr>
          <w:rFonts w:asciiTheme="minorHAnsi" w:hAnsiTheme="minorHAnsi" w:cstheme="minorHAnsi"/>
          <w:bCs/>
          <w:color w:val="000000" w:themeColor="text1"/>
          <w:sz w:val="22"/>
          <w:szCs w:val="22"/>
          <w:lang w:val="en-GB"/>
        </w:rPr>
        <w:t>Mi</w:t>
      </w:r>
      <w:r w:rsidRPr="002653D5">
        <w:rPr>
          <w:rFonts w:asciiTheme="minorHAnsi" w:hAnsiTheme="minorHAnsi" w:cstheme="minorHAnsi"/>
          <w:sz w:val="22"/>
          <w:szCs w:val="22"/>
          <w:lang w:val="en"/>
        </w:rPr>
        <w:t>nisterial</w:t>
      </w:r>
      <w:proofErr w:type="spellEnd"/>
      <w:r w:rsidRPr="002653D5">
        <w:rPr>
          <w:rFonts w:asciiTheme="minorHAnsi" w:hAnsiTheme="minorHAnsi" w:cstheme="minorHAnsi"/>
          <w:sz w:val="22"/>
          <w:szCs w:val="22"/>
          <w:lang w:val="en"/>
        </w:rPr>
        <w:t xml:space="preserve"> Statement from the Department of Education and Training’s website, see:</w:t>
      </w:r>
      <w:r>
        <w:rPr>
          <w:rFonts w:asciiTheme="minorHAnsi" w:hAnsiTheme="minorHAnsi" w:cstheme="minorHAnsi"/>
          <w:sz w:val="22"/>
          <w:szCs w:val="22"/>
          <w:lang w:val="en"/>
        </w:rPr>
        <w:t xml:space="preserve"> </w:t>
      </w:r>
      <w:hyperlink r:id="rId12" w:history="1">
        <w:r w:rsidRPr="00DB6DDE">
          <w:rPr>
            <w:rStyle w:val="Hyperlink"/>
            <w:rFonts w:asciiTheme="minorHAnsi" w:hAnsiTheme="minorHAnsi" w:cstheme="minorHAnsi"/>
            <w:sz w:val="22"/>
            <w:szCs w:val="22"/>
            <w:lang w:val="en"/>
          </w:rPr>
          <w:t>Ministerial Statement on the Future of Adult Community Education in Victoria 2020-25</w:t>
        </w:r>
      </w:hyperlink>
    </w:p>
    <w:p w14:paraId="13204D1D" w14:textId="77777777" w:rsidR="00B17E34" w:rsidRDefault="00B17E34" w:rsidP="002653D5">
      <w:pPr>
        <w:pBdr>
          <w:top w:val="single" w:sz="4" w:space="1" w:color="auto"/>
        </w:pBdr>
        <w:spacing w:before="0"/>
        <w:jc w:val="left"/>
        <w:rPr>
          <w:rFonts w:asciiTheme="minorHAnsi" w:hAnsiTheme="minorHAnsi" w:cstheme="minorHAnsi"/>
          <w:color w:val="2F5496" w:themeColor="accent5" w:themeShade="BF"/>
          <w:lang w:val="en"/>
        </w:rPr>
      </w:pPr>
    </w:p>
    <w:p w14:paraId="55B70F00" w14:textId="613A4EF4" w:rsidR="00F14B6A" w:rsidRPr="005E7970" w:rsidRDefault="00A43E1A" w:rsidP="002653D5">
      <w:pPr>
        <w:pStyle w:val="Heading2"/>
        <w:spacing w:line="240" w:lineRule="atLeast"/>
        <w:rPr>
          <w:bCs/>
          <w:i/>
          <w:lang w:val="en-GB"/>
        </w:rPr>
      </w:pPr>
      <w:r>
        <w:rPr>
          <w:lang w:val="en"/>
        </w:rPr>
        <w:t>Ministerial Statement on the Future of Adult Community Education in Victoria</w:t>
      </w:r>
      <w:r w:rsidR="002653D5">
        <w:rPr>
          <w:lang w:val="en"/>
        </w:rPr>
        <w:t xml:space="preserve"> 2020-25</w:t>
      </w:r>
    </w:p>
    <w:p w14:paraId="64555DE6" w14:textId="6861EBE8" w:rsidR="00F14B6A" w:rsidRPr="002653D5" w:rsidRDefault="002653D5" w:rsidP="002653D5">
      <w:pPr>
        <w:rPr>
          <w:rFonts w:asciiTheme="minorHAnsi" w:hAnsiTheme="minorHAnsi" w:cstheme="minorHAnsi"/>
          <w:color w:val="auto"/>
        </w:rPr>
      </w:pPr>
      <w:r w:rsidRPr="002653D5">
        <w:rPr>
          <w:rFonts w:asciiTheme="minorHAnsi" w:hAnsiTheme="minorHAnsi" w:cstheme="minorHAnsi"/>
          <w:color w:val="auto"/>
        </w:rPr>
        <w:t xml:space="preserve">The Minister for Training and Skills and the Minister for Higher </w:t>
      </w:r>
      <w:r w:rsidRPr="003D4AD7">
        <w:rPr>
          <w:rFonts w:asciiTheme="minorHAnsi" w:hAnsiTheme="minorHAnsi" w:cstheme="minorHAnsi"/>
          <w:color w:val="auto"/>
        </w:rPr>
        <w:t>Education, the Hon Gayle Tierney MP, has released a Ministerial Statement outlining a six-year reform agenda for adult</w:t>
      </w:r>
      <w:r w:rsidRPr="002653D5">
        <w:rPr>
          <w:rFonts w:asciiTheme="minorHAnsi" w:hAnsiTheme="minorHAnsi" w:cstheme="minorHAnsi"/>
          <w:color w:val="auto"/>
        </w:rPr>
        <w:t xml:space="preserve"> community education in Victoria.</w:t>
      </w:r>
    </w:p>
    <w:p w14:paraId="2707A473" w14:textId="77777777" w:rsidR="002653D5" w:rsidRPr="002653D5" w:rsidRDefault="002653D5" w:rsidP="002653D5">
      <w:pPr>
        <w:pStyle w:val="NormalWeb"/>
        <w:spacing w:after="120"/>
        <w:rPr>
          <w:rFonts w:asciiTheme="minorHAnsi" w:hAnsiTheme="minorHAnsi" w:cstheme="minorHAnsi"/>
          <w:sz w:val="22"/>
          <w:szCs w:val="22"/>
          <w:lang w:val="en"/>
        </w:rPr>
      </w:pPr>
      <w:r w:rsidRPr="002653D5">
        <w:rPr>
          <w:rFonts w:asciiTheme="minorHAnsi" w:hAnsiTheme="minorHAnsi" w:cstheme="minorHAnsi"/>
          <w:sz w:val="22"/>
          <w:szCs w:val="22"/>
          <w:lang w:val="en"/>
        </w:rPr>
        <w:t>Adult community education plays an integral role in Victoria’s broader education sector. Victoria leads Australia in providing accessible and tailored lifelong learning opportunities for adult learners seeking to develop the skills they need for work, further study, and to participate fully in the Victorian community.</w:t>
      </w:r>
    </w:p>
    <w:p w14:paraId="6B3C8FFD" w14:textId="77777777" w:rsidR="002653D5" w:rsidRPr="002653D5" w:rsidRDefault="002653D5" w:rsidP="002653D5">
      <w:pPr>
        <w:pStyle w:val="NormalWeb"/>
        <w:spacing w:after="120"/>
        <w:rPr>
          <w:rFonts w:asciiTheme="minorHAnsi" w:hAnsiTheme="minorHAnsi" w:cstheme="minorHAnsi"/>
          <w:sz w:val="22"/>
          <w:szCs w:val="22"/>
          <w:lang w:val="en"/>
        </w:rPr>
      </w:pPr>
      <w:r w:rsidRPr="002653D5">
        <w:rPr>
          <w:rFonts w:asciiTheme="minorHAnsi" w:hAnsiTheme="minorHAnsi" w:cstheme="minorHAnsi"/>
          <w:sz w:val="22"/>
          <w:szCs w:val="22"/>
          <w:lang w:val="en"/>
        </w:rPr>
        <w:t>This Ministerial Statement aims to fulfil the Victorian Government’s commitment to uniting the adult community education sector with a focus on learners, and to build recognition of the distinct and invaluable role the sector plays.</w:t>
      </w:r>
    </w:p>
    <w:p w14:paraId="0D6CD04E" w14:textId="77777777" w:rsidR="002653D5" w:rsidRPr="002653D5" w:rsidRDefault="002653D5" w:rsidP="002653D5">
      <w:pPr>
        <w:pStyle w:val="NormalWeb"/>
        <w:spacing w:after="120"/>
        <w:rPr>
          <w:rFonts w:asciiTheme="minorHAnsi" w:hAnsiTheme="minorHAnsi" w:cstheme="minorHAnsi"/>
          <w:sz w:val="22"/>
          <w:szCs w:val="22"/>
          <w:lang w:val="en"/>
        </w:rPr>
      </w:pPr>
      <w:r w:rsidRPr="002653D5">
        <w:rPr>
          <w:rFonts w:asciiTheme="minorHAnsi" w:hAnsiTheme="minorHAnsi" w:cstheme="minorHAnsi"/>
          <w:sz w:val="22"/>
          <w:szCs w:val="22"/>
          <w:lang w:val="en"/>
        </w:rPr>
        <w:t xml:space="preserve">It establishes a reform agenda for the six years 2020 to 2025, focusing the Adult, Community and Further Education Board and the adult community education sector on adult literacy, numeracy, employability and digital skills training. </w:t>
      </w:r>
    </w:p>
    <w:p w14:paraId="227FE953" w14:textId="77777777" w:rsidR="002653D5" w:rsidRPr="002653D5" w:rsidRDefault="002653D5" w:rsidP="002653D5">
      <w:pPr>
        <w:pStyle w:val="NormalWeb"/>
        <w:spacing w:after="120"/>
        <w:rPr>
          <w:rFonts w:asciiTheme="minorHAnsi" w:hAnsiTheme="minorHAnsi" w:cstheme="minorHAnsi"/>
          <w:sz w:val="22"/>
          <w:szCs w:val="22"/>
          <w:lang w:val="en"/>
        </w:rPr>
      </w:pPr>
      <w:r w:rsidRPr="002653D5">
        <w:rPr>
          <w:rFonts w:asciiTheme="minorHAnsi" w:hAnsiTheme="minorHAnsi" w:cstheme="minorHAnsi"/>
          <w:sz w:val="22"/>
          <w:szCs w:val="22"/>
          <w:lang w:val="en"/>
        </w:rPr>
        <w:t>It also identifies a strengthened role for the sector in supporting students to enter and successfully complete TAFE and university courses; and in upskilling and reskilling low-skilled workers who may be vulnerable to becoming unemployed as work changes.</w:t>
      </w:r>
    </w:p>
    <w:p w14:paraId="2026D658" w14:textId="02A285E7" w:rsidR="002653D5" w:rsidRDefault="002653D5" w:rsidP="002653D5">
      <w:pPr>
        <w:pStyle w:val="NormalWeb"/>
        <w:spacing w:after="120"/>
        <w:rPr>
          <w:rFonts w:asciiTheme="minorHAnsi" w:hAnsiTheme="minorHAnsi" w:cstheme="minorHAnsi"/>
          <w:sz w:val="22"/>
          <w:szCs w:val="22"/>
          <w:lang w:val="en"/>
        </w:rPr>
      </w:pPr>
      <w:r w:rsidRPr="002653D5">
        <w:rPr>
          <w:rFonts w:asciiTheme="minorHAnsi" w:hAnsiTheme="minorHAnsi" w:cstheme="minorHAnsi"/>
          <w:sz w:val="22"/>
          <w:szCs w:val="22"/>
          <w:lang w:val="en"/>
        </w:rPr>
        <w:t xml:space="preserve">The Ministerial Statement on the Future of Adult Community Education in Victoria 2020–25 is the first Victorian Government statement on adult community education since that made by the Hon Lynne </w:t>
      </w:r>
      <w:proofErr w:type="spellStart"/>
      <w:r w:rsidRPr="002653D5">
        <w:rPr>
          <w:rFonts w:asciiTheme="minorHAnsi" w:hAnsiTheme="minorHAnsi" w:cstheme="minorHAnsi"/>
          <w:sz w:val="22"/>
          <w:szCs w:val="22"/>
          <w:lang w:val="en"/>
        </w:rPr>
        <w:t>Kosky</w:t>
      </w:r>
      <w:proofErr w:type="spellEnd"/>
      <w:r w:rsidRPr="002653D5">
        <w:rPr>
          <w:rFonts w:asciiTheme="minorHAnsi" w:hAnsiTheme="minorHAnsi" w:cstheme="minorHAnsi"/>
          <w:sz w:val="22"/>
          <w:szCs w:val="22"/>
          <w:lang w:val="en"/>
        </w:rPr>
        <w:t xml:space="preserve"> as Minister for Education and Training in 2004.</w:t>
      </w:r>
    </w:p>
    <w:p w14:paraId="2FF7B042" w14:textId="0376B8AA" w:rsidR="002653D5" w:rsidRDefault="002653D5" w:rsidP="002653D5">
      <w:pPr>
        <w:pStyle w:val="NormalWeb"/>
        <w:spacing w:after="120"/>
        <w:rPr>
          <w:rFonts w:asciiTheme="minorHAnsi" w:hAnsiTheme="minorHAnsi" w:cstheme="minorHAnsi"/>
          <w:sz w:val="22"/>
          <w:szCs w:val="22"/>
          <w:lang w:val="en"/>
        </w:rPr>
      </w:pPr>
      <w:r>
        <w:rPr>
          <w:rFonts w:asciiTheme="minorHAnsi" w:hAnsiTheme="minorHAnsi" w:cstheme="minorHAnsi"/>
          <w:sz w:val="22"/>
          <w:szCs w:val="22"/>
          <w:lang w:val="en"/>
        </w:rPr>
        <w:t xml:space="preserve">Please see the Department’s website for a copy of the Ministerial Statement, see: </w:t>
      </w:r>
      <w:hyperlink r:id="rId13" w:history="1">
        <w:r w:rsidRPr="00DB6DDE">
          <w:rPr>
            <w:rStyle w:val="Hyperlink"/>
            <w:rFonts w:asciiTheme="minorHAnsi" w:hAnsiTheme="minorHAnsi" w:cstheme="minorHAnsi"/>
            <w:sz w:val="22"/>
            <w:szCs w:val="22"/>
            <w:lang w:val="en"/>
          </w:rPr>
          <w:t>Ministerial Statement on the Future of Adult Community Education in Victoria 2020-25</w:t>
        </w:r>
      </w:hyperlink>
      <w:bookmarkStart w:id="0" w:name="_GoBack"/>
      <w:bookmarkEnd w:id="0"/>
    </w:p>
    <w:p w14:paraId="0FA40C56" w14:textId="77777777" w:rsidR="002653D5" w:rsidRPr="00F14B6A" w:rsidRDefault="002653D5" w:rsidP="002653D5">
      <w:pPr>
        <w:rPr>
          <w:color w:val="auto"/>
        </w:rPr>
      </w:pPr>
    </w:p>
    <w:p w14:paraId="13204D29" w14:textId="1119DFD4" w:rsidR="002A280D" w:rsidRPr="00C8753E" w:rsidRDefault="002A280D" w:rsidP="002653D5">
      <w:pPr>
        <w:spacing w:before="120" w:line="240" w:lineRule="auto"/>
        <w:jc w:val="left"/>
        <w:rPr>
          <w:rFonts w:asciiTheme="minorHAnsi" w:hAnsiTheme="minorHAnsi" w:cstheme="minorHAnsi"/>
          <w:color w:val="000000" w:themeColor="text1"/>
        </w:rPr>
      </w:pPr>
    </w:p>
    <w:p w14:paraId="13204D3C" w14:textId="77777777" w:rsidR="00581D67" w:rsidRPr="00BC23C8" w:rsidRDefault="00581D67" w:rsidP="002653D5">
      <w:pPr>
        <w:jc w:val="left"/>
        <w:rPr>
          <w:color w:val="000000" w:themeColor="text1"/>
          <w:lang w:val="en"/>
        </w:rPr>
      </w:pPr>
    </w:p>
    <w:sectPr w:rsidR="00581D67" w:rsidRPr="00BC23C8" w:rsidSect="00105284">
      <w:footerReference w:type="first" r:id="rId14"/>
      <w:pgSz w:w="11907" w:h="16840" w:code="9"/>
      <w:pgMar w:top="568" w:right="992" w:bottom="709" w:left="992"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C36F" w14:textId="77777777" w:rsidR="00B30657" w:rsidRDefault="00B30657" w:rsidP="00846881">
      <w:r>
        <w:separator/>
      </w:r>
    </w:p>
  </w:endnote>
  <w:endnote w:type="continuationSeparator" w:id="0">
    <w:p w14:paraId="366DC8C5" w14:textId="77777777" w:rsidR="00B30657" w:rsidRDefault="00B30657" w:rsidP="00846881">
      <w:r>
        <w:continuationSeparator/>
      </w:r>
    </w:p>
  </w:endnote>
  <w:endnote w:type="continuationNotice" w:id="1">
    <w:p w14:paraId="45DF2228" w14:textId="77777777" w:rsidR="00B30657" w:rsidRDefault="00B306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4D43" w14:textId="54A52DA0" w:rsidR="00FB40A6" w:rsidRPr="00DF2A51" w:rsidRDefault="00FB40A6"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DB6DDE">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0D89" w14:textId="77777777" w:rsidR="00B30657" w:rsidRDefault="00B30657" w:rsidP="00846881">
      <w:r>
        <w:separator/>
      </w:r>
    </w:p>
  </w:footnote>
  <w:footnote w:type="continuationSeparator" w:id="0">
    <w:p w14:paraId="222D555B" w14:textId="77777777" w:rsidR="00B30657" w:rsidRDefault="00B30657" w:rsidP="00846881">
      <w:r>
        <w:continuationSeparator/>
      </w:r>
    </w:p>
  </w:footnote>
  <w:footnote w:type="continuationNotice" w:id="1">
    <w:p w14:paraId="164223C3" w14:textId="77777777" w:rsidR="00B30657" w:rsidRDefault="00B3065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226DBE"/>
    <w:multiLevelType w:val="hybridMultilevel"/>
    <w:tmpl w:val="E2568D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5141F70"/>
    <w:multiLevelType w:val="hybridMultilevel"/>
    <w:tmpl w:val="639E2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B57DB4"/>
    <w:multiLevelType w:val="hybridMultilevel"/>
    <w:tmpl w:val="33E2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8247C"/>
    <w:multiLevelType w:val="hybridMultilevel"/>
    <w:tmpl w:val="A37E840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 w15:restartNumberingAfterBreak="0">
    <w:nsid w:val="4E8D4279"/>
    <w:multiLevelType w:val="hybridMultilevel"/>
    <w:tmpl w:val="B06C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E1FFA"/>
    <w:multiLevelType w:val="hybridMultilevel"/>
    <w:tmpl w:val="5C98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0"/>
  </w:num>
  <w:num w:numId="4">
    <w:abstractNumId w:val="22"/>
  </w:num>
  <w:num w:numId="5">
    <w:abstractNumId w:val="1"/>
  </w:num>
  <w:num w:numId="6">
    <w:abstractNumId w:val="20"/>
  </w:num>
  <w:num w:numId="7">
    <w:abstractNumId w:val="9"/>
  </w:num>
  <w:num w:numId="8">
    <w:abstractNumId w:val="28"/>
  </w:num>
  <w:num w:numId="9">
    <w:abstractNumId w:val="18"/>
  </w:num>
  <w:num w:numId="10">
    <w:abstractNumId w:val="16"/>
  </w:num>
  <w:num w:numId="11">
    <w:abstractNumId w:val="11"/>
  </w:num>
  <w:num w:numId="12">
    <w:abstractNumId w:val="4"/>
  </w:num>
  <w:num w:numId="13">
    <w:abstractNumId w:val="23"/>
  </w:num>
  <w:num w:numId="14">
    <w:abstractNumId w:val="8"/>
  </w:num>
  <w:num w:numId="15">
    <w:abstractNumId w:val="31"/>
  </w:num>
  <w:num w:numId="16">
    <w:abstractNumId w:val="27"/>
  </w:num>
  <w:num w:numId="17">
    <w:abstractNumId w:val="12"/>
  </w:num>
  <w:num w:numId="18">
    <w:abstractNumId w:val="5"/>
  </w:num>
  <w:num w:numId="19">
    <w:abstractNumId w:val="30"/>
  </w:num>
  <w:num w:numId="20">
    <w:abstractNumId w:val="13"/>
  </w:num>
  <w:num w:numId="21">
    <w:abstractNumId w:val="21"/>
  </w:num>
  <w:num w:numId="22">
    <w:abstractNumId w:val="6"/>
  </w:num>
  <w:num w:numId="23">
    <w:abstractNumId w:val="26"/>
  </w:num>
  <w:num w:numId="24">
    <w:abstractNumId w:val="17"/>
  </w:num>
  <w:num w:numId="25">
    <w:abstractNumId w:val="2"/>
  </w:num>
  <w:num w:numId="26">
    <w:abstractNumId w:val="25"/>
  </w:num>
  <w:num w:numId="27">
    <w:abstractNumId w:val="7"/>
  </w:num>
  <w:num w:numId="28">
    <w:abstractNumId w:val="15"/>
  </w:num>
  <w:num w:numId="29">
    <w:abstractNumId w:val="10"/>
  </w:num>
  <w:num w:numId="30">
    <w:abstractNumId w:val="24"/>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31C62"/>
    <w:rsid w:val="000425DB"/>
    <w:rsid w:val="00044F33"/>
    <w:rsid w:val="00060214"/>
    <w:rsid w:val="00060EA4"/>
    <w:rsid w:val="000701E5"/>
    <w:rsid w:val="000715DE"/>
    <w:rsid w:val="0008021C"/>
    <w:rsid w:val="000901F6"/>
    <w:rsid w:val="000A28AF"/>
    <w:rsid w:val="000B1133"/>
    <w:rsid w:val="000C3753"/>
    <w:rsid w:val="000C782C"/>
    <w:rsid w:val="000E70E3"/>
    <w:rsid w:val="000E7BF0"/>
    <w:rsid w:val="00105130"/>
    <w:rsid w:val="00105284"/>
    <w:rsid w:val="001079BD"/>
    <w:rsid w:val="0011333F"/>
    <w:rsid w:val="001214D4"/>
    <w:rsid w:val="00121E90"/>
    <w:rsid w:val="00122021"/>
    <w:rsid w:val="00125617"/>
    <w:rsid w:val="00136133"/>
    <w:rsid w:val="001411A4"/>
    <w:rsid w:val="00154ECF"/>
    <w:rsid w:val="00157432"/>
    <w:rsid w:val="001807E6"/>
    <w:rsid w:val="00181F47"/>
    <w:rsid w:val="00181F79"/>
    <w:rsid w:val="001A352C"/>
    <w:rsid w:val="001A58D3"/>
    <w:rsid w:val="001C0117"/>
    <w:rsid w:val="001C0BDB"/>
    <w:rsid w:val="001C4930"/>
    <w:rsid w:val="001D0056"/>
    <w:rsid w:val="001D2F77"/>
    <w:rsid w:val="001E4F45"/>
    <w:rsid w:val="001F3ECD"/>
    <w:rsid w:val="00201D8D"/>
    <w:rsid w:val="00206E94"/>
    <w:rsid w:val="00213CB1"/>
    <w:rsid w:val="002152E8"/>
    <w:rsid w:val="0022166C"/>
    <w:rsid w:val="00231621"/>
    <w:rsid w:val="00234DCA"/>
    <w:rsid w:val="00241DCD"/>
    <w:rsid w:val="00242E0D"/>
    <w:rsid w:val="00254C93"/>
    <w:rsid w:val="0025725C"/>
    <w:rsid w:val="0026349B"/>
    <w:rsid w:val="00264866"/>
    <w:rsid w:val="002653D5"/>
    <w:rsid w:val="00266331"/>
    <w:rsid w:val="00270E29"/>
    <w:rsid w:val="0027439D"/>
    <w:rsid w:val="002774C1"/>
    <w:rsid w:val="002831C1"/>
    <w:rsid w:val="00284B19"/>
    <w:rsid w:val="00286BE2"/>
    <w:rsid w:val="0029046F"/>
    <w:rsid w:val="002938CF"/>
    <w:rsid w:val="002A090B"/>
    <w:rsid w:val="002A24E2"/>
    <w:rsid w:val="002A280D"/>
    <w:rsid w:val="002A4690"/>
    <w:rsid w:val="002B15E5"/>
    <w:rsid w:val="002B4AC7"/>
    <w:rsid w:val="002B61F2"/>
    <w:rsid w:val="002D0DA1"/>
    <w:rsid w:val="002D610A"/>
    <w:rsid w:val="002F4067"/>
    <w:rsid w:val="00305553"/>
    <w:rsid w:val="003079DD"/>
    <w:rsid w:val="003150C7"/>
    <w:rsid w:val="00322E40"/>
    <w:rsid w:val="003278DD"/>
    <w:rsid w:val="00340366"/>
    <w:rsid w:val="00352C50"/>
    <w:rsid w:val="003547C4"/>
    <w:rsid w:val="00355714"/>
    <w:rsid w:val="00361796"/>
    <w:rsid w:val="00362C32"/>
    <w:rsid w:val="00384947"/>
    <w:rsid w:val="00386BCD"/>
    <w:rsid w:val="003966A5"/>
    <w:rsid w:val="003A5544"/>
    <w:rsid w:val="003B2C9D"/>
    <w:rsid w:val="003B7B63"/>
    <w:rsid w:val="003D454C"/>
    <w:rsid w:val="003D4AD7"/>
    <w:rsid w:val="003F0B63"/>
    <w:rsid w:val="003F3D59"/>
    <w:rsid w:val="003F640F"/>
    <w:rsid w:val="00414AB1"/>
    <w:rsid w:val="00423765"/>
    <w:rsid w:val="004239F9"/>
    <w:rsid w:val="004304A3"/>
    <w:rsid w:val="0044416E"/>
    <w:rsid w:val="00447B52"/>
    <w:rsid w:val="00453CAD"/>
    <w:rsid w:val="004604A8"/>
    <w:rsid w:val="00463997"/>
    <w:rsid w:val="0048144F"/>
    <w:rsid w:val="004821AD"/>
    <w:rsid w:val="004B182C"/>
    <w:rsid w:val="004C32C0"/>
    <w:rsid w:val="004C7772"/>
    <w:rsid w:val="004E29A2"/>
    <w:rsid w:val="004E42D2"/>
    <w:rsid w:val="004F1050"/>
    <w:rsid w:val="004F1546"/>
    <w:rsid w:val="00505EC2"/>
    <w:rsid w:val="00506F42"/>
    <w:rsid w:val="00525074"/>
    <w:rsid w:val="00536911"/>
    <w:rsid w:val="00540C9F"/>
    <w:rsid w:val="00542B79"/>
    <w:rsid w:val="00545CC1"/>
    <w:rsid w:val="005519A3"/>
    <w:rsid w:val="005543E8"/>
    <w:rsid w:val="00581D67"/>
    <w:rsid w:val="00583630"/>
    <w:rsid w:val="00583E35"/>
    <w:rsid w:val="00584BB9"/>
    <w:rsid w:val="00590B75"/>
    <w:rsid w:val="005A7AC5"/>
    <w:rsid w:val="005B4815"/>
    <w:rsid w:val="005C05FA"/>
    <w:rsid w:val="005C400F"/>
    <w:rsid w:val="005C5D77"/>
    <w:rsid w:val="005C77C0"/>
    <w:rsid w:val="005D079D"/>
    <w:rsid w:val="005D1E72"/>
    <w:rsid w:val="005D5398"/>
    <w:rsid w:val="005D7AC5"/>
    <w:rsid w:val="005E1085"/>
    <w:rsid w:val="005E3BA6"/>
    <w:rsid w:val="005E6A61"/>
    <w:rsid w:val="005E7970"/>
    <w:rsid w:val="005F153D"/>
    <w:rsid w:val="0060642E"/>
    <w:rsid w:val="006254CC"/>
    <w:rsid w:val="00626260"/>
    <w:rsid w:val="006344F3"/>
    <w:rsid w:val="006404DE"/>
    <w:rsid w:val="006409D9"/>
    <w:rsid w:val="00643E8A"/>
    <w:rsid w:val="00651785"/>
    <w:rsid w:val="0065500B"/>
    <w:rsid w:val="00660967"/>
    <w:rsid w:val="00663B17"/>
    <w:rsid w:val="006834B9"/>
    <w:rsid w:val="00687039"/>
    <w:rsid w:val="00692130"/>
    <w:rsid w:val="006935A8"/>
    <w:rsid w:val="00696854"/>
    <w:rsid w:val="006A1696"/>
    <w:rsid w:val="006A3BB0"/>
    <w:rsid w:val="006A5387"/>
    <w:rsid w:val="006C5853"/>
    <w:rsid w:val="006D4561"/>
    <w:rsid w:val="006E0DF1"/>
    <w:rsid w:val="006E653E"/>
    <w:rsid w:val="006F3184"/>
    <w:rsid w:val="006F5334"/>
    <w:rsid w:val="00717852"/>
    <w:rsid w:val="007269A9"/>
    <w:rsid w:val="0074036E"/>
    <w:rsid w:val="007602BC"/>
    <w:rsid w:val="0076398D"/>
    <w:rsid w:val="00764A0A"/>
    <w:rsid w:val="00770AF9"/>
    <w:rsid w:val="007716FE"/>
    <w:rsid w:val="00772628"/>
    <w:rsid w:val="00790C20"/>
    <w:rsid w:val="00791F9E"/>
    <w:rsid w:val="007951E1"/>
    <w:rsid w:val="007A161B"/>
    <w:rsid w:val="007A3F91"/>
    <w:rsid w:val="007B3FD2"/>
    <w:rsid w:val="007C7747"/>
    <w:rsid w:val="007D5961"/>
    <w:rsid w:val="007D77E2"/>
    <w:rsid w:val="007E360A"/>
    <w:rsid w:val="007E59F5"/>
    <w:rsid w:val="00805C63"/>
    <w:rsid w:val="00810ABD"/>
    <w:rsid w:val="008130C2"/>
    <w:rsid w:val="008317C7"/>
    <w:rsid w:val="00831A49"/>
    <w:rsid w:val="00846881"/>
    <w:rsid w:val="0085253B"/>
    <w:rsid w:val="00861794"/>
    <w:rsid w:val="00865959"/>
    <w:rsid w:val="00867D3A"/>
    <w:rsid w:val="00880ACA"/>
    <w:rsid w:val="00884527"/>
    <w:rsid w:val="0089186A"/>
    <w:rsid w:val="008C1842"/>
    <w:rsid w:val="008D1B9B"/>
    <w:rsid w:val="008D5441"/>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913B4"/>
    <w:rsid w:val="0099526E"/>
    <w:rsid w:val="00995CDB"/>
    <w:rsid w:val="00997A5A"/>
    <w:rsid w:val="009B090C"/>
    <w:rsid w:val="009B5012"/>
    <w:rsid w:val="009C5A84"/>
    <w:rsid w:val="009C7B4C"/>
    <w:rsid w:val="009D5D01"/>
    <w:rsid w:val="009E3636"/>
    <w:rsid w:val="00A011F2"/>
    <w:rsid w:val="00A14B2D"/>
    <w:rsid w:val="00A2083F"/>
    <w:rsid w:val="00A24A30"/>
    <w:rsid w:val="00A30E35"/>
    <w:rsid w:val="00A43E1A"/>
    <w:rsid w:val="00A55A13"/>
    <w:rsid w:val="00A73441"/>
    <w:rsid w:val="00A74415"/>
    <w:rsid w:val="00A83FB3"/>
    <w:rsid w:val="00A9135E"/>
    <w:rsid w:val="00A967D5"/>
    <w:rsid w:val="00AA3C05"/>
    <w:rsid w:val="00AB7AB6"/>
    <w:rsid w:val="00AC402D"/>
    <w:rsid w:val="00AD07C3"/>
    <w:rsid w:val="00AD0AF3"/>
    <w:rsid w:val="00AD64E7"/>
    <w:rsid w:val="00AD6A4D"/>
    <w:rsid w:val="00AE0451"/>
    <w:rsid w:val="00AE3762"/>
    <w:rsid w:val="00AE59A4"/>
    <w:rsid w:val="00AF0514"/>
    <w:rsid w:val="00AF06E4"/>
    <w:rsid w:val="00AF18DE"/>
    <w:rsid w:val="00B05E0A"/>
    <w:rsid w:val="00B17E34"/>
    <w:rsid w:val="00B211FC"/>
    <w:rsid w:val="00B25302"/>
    <w:rsid w:val="00B30654"/>
    <w:rsid w:val="00B30657"/>
    <w:rsid w:val="00B30972"/>
    <w:rsid w:val="00B3289A"/>
    <w:rsid w:val="00B33E4F"/>
    <w:rsid w:val="00B35761"/>
    <w:rsid w:val="00B41E45"/>
    <w:rsid w:val="00B50E6E"/>
    <w:rsid w:val="00B5136F"/>
    <w:rsid w:val="00B56D79"/>
    <w:rsid w:val="00B632F5"/>
    <w:rsid w:val="00B64069"/>
    <w:rsid w:val="00B72FE6"/>
    <w:rsid w:val="00B950AB"/>
    <w:rsid w:val="00BB4A46"/>
    <w:rsid w:val="00BC1D3A"/>
    <w:rsid w:val="00BC23C8"/>
    <w:rsid w:val="00BC6D2F"/>
    <w:rsid w:val="00BD1D70"/>
    <w:rsid w:val="00BE143C"/>
    <w:rsid w:val="00BF453C"/>
    <w:rsid w:val="00BF5B84"/>
    <w:rsid w:val="00C03591"/>
    <w:rsid w:val="00C0597E"/>
    <w:rsid w:val="00C137EE"/>
    <w:rsid w:val="00C13929"/>
    <w:rsid w:val="00C151BB"/>
    <w:rsid w:val="00C17A4D"/>
    <w:rsid w:val="00C32CB8"/>
    <w:rsid w:val="00C33400"/>
    <w:rsid w:val="00C373FC"/>
    <w:rsid w:val="00C41802"/>
    <w:rsid w:val="00C4593A"/>
    <w:rsid w:val="00C5041F"/>
    <w:rsid w:val="00C52428"/>
    <w:rsid w:val="00C579E9"/>
    <w:rsid w:val="00C75A39"/>
    <w:rsid w:val="00C83B90"/>
    <w:rsid w:val="00C8753E"/>
    <w:rsid w:val="00CA0D2E"/>
    <w:rsid w:val="00CA2D61"/>
    <w:rsid w:val="00CA42D6"/>
    <w:rsid w:val="00CB0D2D"/>
    <w:rsid w:val="00CB16A1"/>
    <w:rsid w:val="00CB2C50"/>
    <w:rsid w:val="00CB3905"/>
    <w:rsid w:val="00CC30D2"/>
    <w:rsid w:val="00CD0632"/>
    <w:rsid w:val="00CE69B8"/>
    <w:rsid w:val="00CF35E5"/>
    <w:rsid w:val="00CF6891"/>
    <w:rsid w:val="00CF6C01"/>
    <w:rsid w:val="00D130F4"/>
    <w:rsid w:val="00D1381A"/>
    <w:rsid w:val="00D30F3E"/>
    <w:rsid w:val="00D33418"/>
    <w:rsid w:val="00D53A53"/>
    <w:rsid w:val="00D55F9E"/>
    <w:rsid w:val="00D60148"/>
    <w:rsid w:val="00D724ED"/>
    <w:rsid w:val="00D76A12"/>
    <w:rsid w:val="00D813EA"/>
    <w:rsid w:val="00D83E14"/>
    <w:rsid w:val="00DB0BCD"/>
    <w:rsid w:val="00DB152E"/>
    <w:rsid w:val="00DB6DDE"/>
    <w:rsid w:val="00DB7126"/>
    <w:rsid w:val="00DD04BD"/>
    <w:rsid w:val="00DD6095"/>
    <w:rsid w:val="00DD6855"/>
    <w:rsid w:val="00DF2A51"/>
    <w:rsid w:val="00DF6688"/>
    <w:rsid w:val="00E02699"/>
    <w:rsid w:val="00E05620"/>
    <w:rsid w:val="00E31F62"/>
    <w:rsid w:val="00E320A4"/>
    <w:rsid w:val="00E41DEF"/>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030DF"/>
    <w:rsid w:val="00F11CAC"/>
    <w:rsid w:val="00F13297"/>
    <w:rsid w:val="00F14B6A"/>
    <w:rsid w:val="00F17667"/>
    <w:rsid w:val="00F2110D"/>
    <w:rsid w:val="00F24B4E"/>
    <w:rsid w:val="00F30F82"/>
    <w:rsid w:val="00F343D3"/>
    <w:rsid w:val="00F453C5"/>
    <w:rsid w:val="00F47367"/>
    <w:rsid w:val="00F72301"/>
    <w:rsid w:val="00F77690"/>
    <w:rsid w:val="00F8781E"/>
    <w:rsid w:val="00F93F26"/>
    <w:rsid w:val="00F9479F"/>
    <w:rsid w:val="00FA7A2A"/>
    <w:rsid w:val="00FB322D"/>
    <w:rsid w:val="00FB40A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04D0B"/>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34"/>
    <w:pPr>
      <w:spacing w:before="160" w:after="120" w:line="280" w:lineRule="atLeast"/>
    </w:p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paragraph" w:customStyle="1" w:styleId="ESBodyText">
    <w:name w:val="ES_Body Text"/>
    <w:basedOn w:val="Normal"/>
    <w:link w:val="ESBodyTextChar"/>
    <w:qFormat/>
    <w:rsid w:val="00AD64E7"/>
    <w:pPr>
      <w:spacing w:before="120" w:line="260" w:lineRule="atLeast"/>
      <w:jc w:val="left"/>
    </w:pPr>
    <w:rPr>
      <w:rFonts w:ascii="Calibri Light" w:eastAsiaTheme="minorEastAsia" w:hAnsi="Calibri Light"/>
      <w:color w:val="auto"/>
      <w:szCs w:val="18"/>
      <w:lang w:val="en-US" w:eastAsia="en-US"/>
    </w:rPr>
  </w:style>
  <w:style w:type="character" w:customStyle="1" w:styleId="ESBodyTextChar">
    <w:name w:val="ES_Body Text Char"/>
    <w:link w:val="ESBodyText"/>
    <w:rsid w:val="00AD64E7"/>
    <w:rPr>
      <w:rFonts w:ascii="Calibri Light" w:eastAsiaTheme="minorEastAsia" w:hAnsi="Calibri Light"/>
      <w:color w:val="auto"/>
      <w:szCs w:val="18"/>
      <w:lang w:val="en-US" w:eastAsia="en-US"/>
    </w:rPr>
  </w:style>
  <w:style w:type="character" w:customStyle="1" w:styleId="UnresolvedMention">
    <w:name w:val="Unresolved Mention"/>
    <w:basedOn w:val="DefaultParagraphFont"/>
    <w:uiPriority w:val="99"/>
    <w:semiHidden/>
    <w:unhideWhenUsed/>
    <w:rsid w:val="00584BB9"/>
    <w:rPr>
      <w:color w:val="605E5C"/>
      <w:shd w:val="clear" w:color="auto" w:fill="E1DFDD"/>
    </w:rPr>
  </w:style>
  <w:style w:type="paragraph" w:styleId="NormalWeb">
    <w:name w:val="Normal (Web)"/>
    <w:basedOn w:val="Normal"/>
    <w:uiPriority w:val="99"/>
    <w:unhideWhenUsed/>
    <w:rsid w:val="002653D5"/>
    <w:pPr>
      <w:spacing w:before="0" w:after="0" w:line="240" w:lineRule="auto"/>
      <w:jc w:val="left"/>
    </w:pPr>
    <w:rPr>
      <w:rFonts w:ascii="inherit" w:hAnsi="inherit"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09548">
      <w:bodyDiv w:val="1"/>
      <w:marLeft w:val="0"/>
      <w:marRight w:val="0"/>
      <w:marTop w:val="0"/>
      <w:marBottom w:val="0"/>
      <w:divBdr>
        <w:top w:val="none" w:sz="0" w:space="0" w:color="auto"/>
        <w:left w:val="none" w:sz="0" w:space="0" w:color="auto"/>
        <w:bottom w:val="none" w:sz="0" w:space="0" w:color="auto"/>
        <w:right w:val="none" w:sz="0" w:space="0" w:color="auto"/>
      </w:divBdr>
      <w:divsChild>
        <w:div w:id="1296913235">
          <w:marLeft w:val="0"/>
          <w:marRight w:val="0"/>
          <w:marTop w:val="0"/>
          <w:marBottom w:val="0"/>
          <w:divBdr>
            <w:top w:val="none" w:sz="0" w:space="0" w:color="auto"/>
            <w:left w:val="none" w:sz="0" w:space="0" w:color="auto"/>
            <w:bottom w:val="none" w:sz="0" w:space="0" w:color="auto"/>
            <w:right w:val="none" w:sz="0" w:space="0" w:color="auto"/>
          </w:divBdr>
          <w:divsChild>
            <w:div w:id="1838492260">
              <w:marLeft w:val="0"/>
              <w:marRight w:val="0"/>
              <w:marTop w:val="0"/>
              <w:marBottom w:val="0"/>
              <w:divBdr>
                <w:top w:val="none" w:sz="0" w:space="0" w:color="auto"/>
                <w:left w:val="none" w:sz="0" w:space="0" w:color="auto"/>
                <w:bottom w:val="none" w:sz="0" w:space="0" w:color="auto"/>
                <w:right w:val="none" w:sz="0" w:space="0" w:color="auto"/>
              </w:divBdr>
              <w:divsChild>
                <w:div w:id="1120564031">
                  <w:marLeft w:val="0"/>
                  <w:marRight w:val="0"/>
                  <w:marTop w:val="0"/>
                  <w:marBottom w:val="0"/>
                  <w:divBdr>
                    <w:top w:val="none" w:sz="0" w:space="0" w:color="auto"/>
                    <w:left w:val="none" w:sz="0" w:space="0" w:color="auto"/>
                    <w:bottom w:val="none" w:sz="0" w:space="0" w:color="auto"/>
                    <w:right w:val="none" w:sz="0" w:space="0" w:color="auto"/>
                  </w:divBdr>
                  <w:divsChild>
                    <w:div w:id="317996925">
                      <w:marLeft w:val="0"/>
                      <w:marRight w:val="0"/>
                      <w:marTop w:val="0"/>
                      <w:marBottom w:val="0"/>
                      <w:divBdr>
                        <w:top w:val="none" w:sz="0" w:space="0" w:color="auto"/>
                        <w:left w:val="none" w:sz="0" w:space="0" w:color="auto"/>
                        <w:bottom w:val="none" w:sz="0" w:space="0" w:color="auto"/>
                        <w:right w:val="none" w:sz="0" w:space="0" w:color="auto"/>
                      </w:divBdr>
                      <w:divsChild>
                        <w:div w:id="294141433">
                          <w:marLeft w:val="0"/>
                          <w:marRight w:val="0"/>
                          <w:marTop w:val="0"/>
                          <w:marBottom w:val="0"/>
                          <w:divBdr>
                            <w:top w:val="none" w:sz="0" w:space="0" w:color="auto"/>
                            <w:left w:val="none" w:sz="0" w:space="0" w:color="auto"/>
                            <w:bottom w:val="none" w:sz="0" w:space="0" w:color="auto"/>
                            <w:right w:val="none" w:sz="0" w:space="0" w:color="auto"/>
                          </w:divBdr>
                          <w:divsChild>
                            <w:div w:id="1139952706">
                              <w:marLeft w:val="0"/>
                              <w:marRight w:val="0"/>
                              <w:marTop w:val="0"/>
                              <w:marBottom w:val="0"/>
                              <w:divBdr>
                                <w:top w:val="none" w:sz="0" w:space="0" w:color="auto"/>
                                <w:left w:val="none" w:sz="0" w:space="0" w:color="auto"/>
                                <w:bottom w:val="none" w:sz="0" w:space="0" w:color="auto"/>
                                <w:right w:val="none" w:sz="0" w:space="0" w:color="auto"/>
                              </w:divBdr>
                              <w:divsChild>
                                <w:div w:id="1064720982">
                                  <w:marLeft w:val="0"/>
                                  <w:marRight w:val="0"/>
                                  <w:marTop w:val="0"/>
                                  <w:marBottom w:val="0"/>
                                  <w:divBdr>
                                    <w:top w:val="none" w:sz="0" w:space="0" w:color="auto"/>
                                    <w:left w:val="none" w:sz="0" w:space="0" w:color="auto"/>
                                    <w:bottom w:val="none" w:sz="0" w:space="0" w:color="auto"/>
                                    <w:right w:val="none" w:sz="0" w:space="0" w:color="auto"/>
                                  </w:divBdr>
                                  <w:divsChild>
                                    <w:div w:id="24065546">
                                      <w:marLeft w:val="0"/>
                                      <w:marRight w:val="0"/>
                                      <w:marTop w:val="0"/>
                                      <w:marBottom w:val="0"/>
                                      <w:divBdr>
                                        <w:top w:val="none" w:sz="0" w:space="0" w:color="auto"/>
                                        <w:left w:val="none" w:sz="0" w:space="0" w:color="auto"/>
                                        <w:bottom w:val="none" w:sz="0" w:space="0" w:color="auto"/>
                                        <w:right w:val="none" w:sz="0" w:space="0" w:color="auto"/>
                                      </w:divBdr>
                                      <w:divsChild>
                                        <w:div w:id="814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training/providers/learnlocal/Pages/min-statement-adult-educatio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training/providers/learnlocal/Pages/min-statement-adult-edu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Ministerial Statement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3" ma:contentTypeDescription="DET Document" ma:contentTypeScope="" ma:versionID="8cb254bf7619e9a480ddac7c80a1806c">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682709877baa1300c492e10196ccdf77"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URL" ma:index="3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2020 Pre-accredited Procurement"/>
          <xsd:enumeration value="ACE Summit"/>
          <xsd:enumeration value="ACFE-TAFE Partnership"/>
          <xsd:enumeration value="ACFE-TAFE Relationships"/>
          <xsd:enumeration value="ACFEB Strategy"/>
          <xsd:enumeration value="ACFEB Web"/>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rand and Value Proposition"/>
          <xsd:enumeration value="Brimbank Learning Futures"/>
          <xsd:enumeration value="Business Cases"/>
          <xsd:enumeration value="CAE Course Guide"/>
          <xsd:enumeration value="CAIF"/>
          <xsd:enumeration value="CAIF 9"/>
          <xsd:enumeration value="CAIF 10"/>
          <xsd:enumeration value="CAIF 11"/>
          <xsd:enumeration value="CAIF Evaluation"/>
          <xsd:enumeration value="CAIF Outcomes Analysis Project"/>
          <xsd:enumeration value="Cert I Developing Independence"/>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er Engagement A-Frame Program Pilot (LEAP)"/>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LNE"/>
          <xsd:enumeration value="LLN Initiative"/>
          <xsd:enumeration value="LL Quality Partnerships"/>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gn"/>
          <xsd:enumeration value="Pre-accredited allocations"/>
          <xsd:enumeration value="Pre-accredited Dashboard"/>
          <xsd:enumeration value="Pre-Accredited Learner Outcome Analysis"/>
          <xsd:enumeration value="Pre-Accredited Training"/>
          <xsd:enumeration value="Pre-accredited Training Research Project"/>
          <xsd:enumeration value="Pre-accredited Training Work Experience"/>
          <xsd:enumeration value="Purse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udent Management System (SMS) Project"/>
          <xsd:enumeration value="Student Satisfaction Survey"/>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ET Literacy and Numeracy Reform"/>
          <xsd:enumeration value="Victorian Learn Local Awards"/>
          <xsd:enumeration value="WLC"/>
          <xsd:enumeration value="Wurreker Implementation Reporting"/>
          <xsd:enumeration value="Youth Access Initiative"/>
          <xsd:enumeration value="Young People Transitioning from Care Initiative"/>
          <xsd:enumeration value="Youth Foyers"/>
          <xsd:enumeration value="Youth Taskforce"/>
          <xsd:enumeration value="Unspecified"/>
          <xsd:enumeration value="VALBEC"/>
          <xsd:enumeration value="Cert GE"/>
          <xsd:enumeration value="Pre-accredited Quality Framework"/>
          <xsd:enumeration value="Future Digital Literacy Need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rief"/>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posal"/>
          <xsd:enumeration value="Report"/>
          <xsd:enumeration value="Specification"/>
          <xsd:enumeration value="Template"/>
          <xsd:enumeration value="Procurement"/>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D02F9CC0-E823-4B4D-B5F0-DD88A8FA2AA8}"/>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1966e606-8b69-4075-9ef8-a409e80aaa70"/>
    <ds:schemaRef ds:uri="2448c47a-0c10-4e7b-b9c8-5b12d6d373e0"/>
    <ds:schemaRef ds:uri="http://schemas.microsoft.com/Sharepoint/v3"/>
    <ds:schemaRef ds:uri="http://schemas.microsoft.com/sharepoint/v4"/>
    <ds:schemaRef ds:uri="b731327e-dde1-4362-ab85-4b03d633e5ee"/>
    <ds:schemaRef ds:uri="http://schemas.microsoft.com/sharepoint/v3"/>
  </ds:schemaRefs>
</ds:datastoreItem>
</file>

<file path=customXml/itemProps4.xml><?xml version="1.0" encoding="utf-8"?>
<ds:datastoreItem xmlns:ds="http://schemas.openxmlformats.org/officeDocument/2006/customXml" ds:itemID="{74BC4CF6-FC1E-4A71-82FC-82437C5D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962E3F-6189-48C3-80CF-EC79F86C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36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pbmemo202002_2020 Family Learning Partnerships EOI PIRE Branch Memo</vt:lpstr>
    </vt:vector>
  </TitlesOfParts>
  <Company>Dept. Of Education and Training (DE&amp;T)</Company>
  <LinksUpToDate>false</LinksUpToDate>
  <CharactersWithSpaces>2713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memo regarding Ministerial Statement</dc:title>
  <dc:creator>08306670</dc:creator>
  <cp:lastModifiedBy>Georgie Marinucci</cp:lastModifiedBy>
  <cp:revision>5</cp:revision>
  <cp:lastPrinted>2019-11-14T00:59:00Z</cp:lastPrinted>
  <dcterms:created xsi:type="dcterms:W3CDTF">2019-11-14T00:28:00Z</dcterms:created>
  <dcterms:modified xsi:type="dcterms:W3CDTF">2019-11-14T04:05:00Z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{1847eec8-6fba-421b-9a4e-9ea4f3da7a15}</vt:lpwstr>
  </property>
  <property fmtid="{D5CDD505-2E9C-101B-9397-08002B2CF9AE}" pid="15" name="RecordPoint_RecordNumberSubmitted">
    <vt:lpwstr>R20190572591</vt:lpwstr>
  </property>
  <property fmtid="{D5CDD505-2E9C-101B-9397-08002B2CF9AE}" pid="16" name="RecordPoint_SubmissionCompleted">
    <vt:lpwstr>2019-11-10T08:31:54.1233143+11:00</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