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5DF9" w14:textId="77777777" w:rsidR="00FC70D6" w:rsidRPr="00FC70D6" w:rsidRDefault="00FC70D6" w:rsidP="00FC70D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2F5496"/>
          <w:sz w:val="32"/>
          <w:szCs w:val="32"/>
          <w:lang w:val="en"/>
        </w:rPr>
      </w:pPr>
      <w:r w:rsidRPr="00FC70D6">
        <w:rPr>
          <w:rFonts w:ascii="Arial" w:hAnsi="Arial" w:cs="Arial"/>
          <w:color w:val="2F5496"/>
          <w:sz w:val="32"/>
          <w:szCs w:val="32"/>
          <w:lang w:val="en"/>
        </w:rPr>
        <w:t>Department of Education and Training</w:t>
      </w:r>
    </w:p>
    <w:p w14:paraId="53FA11B7" w14:textId="77777777" w:rsidR="00FC70D6" w:rsidRPr="00FC70D6" w:rsidRDefault="00FC70D6" w:rsidP="00FC70D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2F5496"/>
          <w:sz w:val="32"/>
          <w:szCs w:val="32"/>
          <w:lang w:val="en"/>
        </w:rPr>
      </w:pPr>
      <w:r w:rsidRPr="00FC70D6">
        <w:rPr>
          <w:rFonts w:ascii="Arial" w:hAnsi="Arial" w:cs="Arial"/>
          <w:color w:val="2F5496"/>
          <w:sz w:val="32"/>
          <w:szCs w:val="32"/>
          <w:lang w:val="en"/>
        </w:rPr>
        <w:t>Higher Education and Skills Group</w:t>
      </w:r>
    </w:p>
    <w:p w14:paraId="3B8687DA" w14:textId="77777777" w:rsidR="00FC70D6" w:rsidRPr="00FC70D6" w:rsidRDefault="00FC70D6" w:rsidP="00FC70D6">
      <w:pPr>
        <w:overflowPunct/>
        <w:autoSpaceDE/>
        <w:autoSpaceDN/>
        <w:adjustRightInd/>
        <w:spacing w:before="200" w:after="200"/>
        <w:textAlignment w:val="auto"/>
        <w:rPr>
          <w:rFonts w:ascii="Arial" w:hAnsi="Arial" w:cs="Arial"/>
          <w:color w:val="2F5496"/>
          <w:sz w:val="22"/>
          <w:szCs w:val="24"/>
          <w:lang w:val="en"/>
        </w:rPr>
      </w:pPr>
      <w:r w:rsidRPr="00FC70D6">
        <w:rPr>
          <w:rFonts w:ascii="Arial" w:hAnsi="Arial" w:cs="Arial"/>
          <w:color w:val="2F5496"/>
          <w:sz w:val="22"/>
          <w:szCs w:val="24"/>
          <w:lang w:val="en"/>
        </w:rPr>
        <w:t>Participation, Inclusion and Regional Engagement — Branch Memo</w:t>
      </w:r>
    </w:p>
    <w:p w14:paraId="33167F07" w14:textId="77777777" w:rsidR="00FC70D6" w:rsidRPr="00FC70D6" w:rsidRDefault="00FC70D6" w:rsidP="00FC70D6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4"/>
          <w:lang w:val="en-GB" w:eastAsia="en-US"/>
        </w:rPr>
        <w:t>TO:</w:t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  <w:t>ACFE Board</w:t>
      </w:r>
    </w:p>
    <w:p w14:paraId="0113F84D" w14:textId="77777777" w:rsidR="00FC70D6" w:rsidRPr="00FC70D6" w:rsidRDefault="00FC70D6" w:rsidP="00FC70D6">
      <w:pPr>
        <w:overflowPunct/>
        <w:autoSpaceDE/>
        <w:autoSpaceDN/>
        <w:adjustRightInd/>
        <w:textAlignment w:val="auto"/>
        <w:rPr>
          <w:rFonts w:ascii="Arial" w:hAnsi="Arial" w:cs="Arial"/>
          <w:i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  <w:t>ACFE Regional Councils</w:t>
      </w:r>
    </w:p>
    <w:p w14:paraId="762963C2" w14:textId="77777777" w:rsidR="00FC70D6" w:rsidRPr="00FC70D6" w:rsidRDefault="00FC70D6" w:rsidP="00FC70D6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  <w:t>Adult education institutions</w:t>
      </w:r>
    </w:p>
    <w:p w14:paraId="2CE4F5C0" w14:textId="77777777" w:rsidR="00FC70D6" w:rsidRPr="00FC70D6" w:rsidRDefault="00FC70D6" w:rsidP="00FC70D6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  <w:t>PIRE Branch staff</w:t>
      </w:r>
    </w:p>
    <w:p w14:paraId="66B497E5" w14:textId="77777777" w:rsidR="00FC70D6" w:rsidRPr="00FC70D6" w:rsidRDefault="00FC70D6" w:rsidP="00FC70D6">
      <w:pPr>
        <w:overflowPunct/>
        <w:autoSpaceDE/>
        <w:autoSpaceDN/>
        <w:adjustRightInd/>
        <w:ind w:left="720" w:firstLine="72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>Registered</w:t>
      </w:r>
      <w:r w:rsidRPr="00FC70D6">
        <w:rPr>
          <w:rFonts w:ascii="Arial" w:hAnsi="Arial" w:cs="Arial"/>
          <w:b/>
          <w:color w:val="000000"/>
          <w:sz w:val="22"/>
          <w:szCs w:val="24"/>
          <w:lang w:val="en-GB" w:eastAsia="en-US"/>
        </w:rPr>
        <w:t xml:space="preserve"> </w:t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Learn Local providers </w:t>
      </w:r>
    </w:p>
    <w:p w14:paraId="39342188" w14:textId="77777777" w:rsidR="00FC70D6" w:rsidRPr="00FC70D6" w:rsidRDefault="00FC70D6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color w:val="000000"/>
          <w:sz w:val="22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FROM:</w:t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Ryan Collins, Director </w:t>
      </w:r>
      <w:r w:rsidRPr="00FC70D6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— </w:t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>Participation, Inclusion and Regional Engagement Branch</w:t>
      </w:r>
    </w:p>
    <w:p w14:paraId="1FF7231E" w14:textId="761A8669" w:rsidR="00FC70D6" w:rsidRPr="00FC70D6" w:rsidRDefault="00FC70D6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DATE:</w:t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FA2DAA" w:rsidRPr="00E93D0E">
        <w:rPr>
          <w:rFonts w:ascii="Arial" w:hAnsi="Arial" w:cs="Arial"/>
          <w:sz w:val="22"/>
          <w:szCs w:val="22"/>
          <w:lang w:val="en-GB" w:eastAsia="en-US"/>
        </w:rPr>
        <w:t>14</w:t>
      </w:r>
      <w:r w:rsidR="00AB3BB4" w:rsidRPr="00E93D0E">
        <w:rPr>
          <w:rFonts w:ascii="Arial" w:hAnsi="Arial" w:cs="Arial"/>
          <w:sz w:val="22"/>
          <w:szCs w:val="22"/>
          <w:lang w:val="en-GB" w:eastAsia="en-US"/>
        </w:rPr>
        <w:t>/05/2019</w:t>
      </w:r>
    </w:p>
    <w:p w14:paraId="0FA27909" w14:textId="72A35EE1" w:rsidR="000C3558" w:rsidRPr="000C3558" w:rsidRDefault="00FC70D6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SUBJECT: </w:t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  <w:t>2019 Victorian Learn Local Awards</w:t>
      </w:r>
      <w:r w:rsidR="000C3558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 – </w:t>
      </w:r>
      <w:r w:rsidR="00436F50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Calling for expressions of interest for table and stage decorations,</w:t>
      </w:r>
      <w:r w:rsidR="00FA2DA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 and</w:t>
      </w:r>
      <w:r w:rsidR="00436F50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 entertainment</w:t>
      </w:r>
      <w:r w:rsidR="00CD6718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 for Presentation Dinner</w:t>
      </w:r>
    </w:p>
    <w:p w14:paraId="1544A9F6" w14:textId="41F203E4" w:rsidR="00974561" w:rsidRPr="00974561" w:rsidRDefault="00974561" w:rsidP="00974561">
      <w:pPr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color w:val="5B9BD5"/>
          <w:sz w:val="22"/>
          <w:szCs w:val="22"/>
          <w:lang w:val="en"/>
        </w:rPr>
      </w:pPr>
    </w:p>
    <w:p w14:paraId="0638F04D" w14:textId="737856B5" w:rsidR="00974561" w:rsidRPr="00974561" w:rsidRDefault="00974561" w:rsidP="00974561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color w:val="2F5496"/>
          <w:sz w:val="22"/>
          <w:szCs w:val="22"/>
          <w:lang w:val="en"/>
        </w:rPr>
      </w:pPr>
      <w:r w:rsidRPr="00974561">
        <w:rPr>
          <w:rFonts w:ascii="Arial" w:hAnsi="Arial" w:cs="Arial"/>
          <w:color w:val="2F5496"/>
          <w:sz w:val="22"/>
          <w:szCs w:val="22"/>
          <w:lang w:val="en"/>
        </w:rPr>
        <w:t>Actions</w:t>
      </w:r>
      <w:r w:rsidR="000C3558">
        <w:rPr>
          <w:rFonts w:ascii="Arial" w:hAnsi="Arial" w:cs="Arial"/>
          <w:color w:val="2F5496"/>
          <w:sz w:val="22"/>
          <w:szCs w:val="22"/>
          <w:lang w:val="en"/>
        </w:rPr>
        <w:t xml:space="preserve"> / Critical dates</w:t>
      </w:r>
    </w:p>
    <w:p w14:paraId="51677AB6" w14:textId="77777777" w:rsidR="00974561" w:rsidRPr="00974561" w:rsidRDefault="00974561" w:rsidP="0097456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  <w:lang w:val="en"/>
        </w:rPr>
      </w:pPr>
    </w:p>
    <w:p w14:paraId="09DB6F90" w14:textId="75C29BF7" w:rsidR="00974561" w:rsidRPr="00974561" w:rsidRDefault="00436F50" w:rsidP="00974561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Opportunity for Learn Local </w:t>
      </w:r>
      <w:r w:rsidR="0010325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providers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to quote for table and stage decorations, </w:t>
      </w:r>
      <w:r w:rsidR="00FA2DAA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and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entertainment for </w:t>
      </w:r>
      <w:r w:rsidR="00CD6718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2019 Awards</w:t>
      </w:r>
      <w:r w:rsidR="00CD6718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Presentation Dinner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14:paraId="425399D0" w14:textId="0D25DE43" w:rsidR="00974561" w:rsidRPr="00F85C42" w:rsidRDefault="00436F50" w:rsidP="00974561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Expressions of interest close on </w:t>
      </w:r>
      <w:r w:rsidR="00FF5B1C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Friday 14</w:t>
      </w:r>
      <w:r w:rsidRPr="00E93D0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June 2019</w:t>
      </w:r>
      <w:r w:rsidRPr="00074AD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14:paraId="5D0343CC" w14:textId="77777777" w:rsidR="00F85C42" w:rsidRPr="00974561" w:rsidRDefault="00F85C42" w:rsidP="00F85C42">
      <w:pPr>
        <w:overflowPunct/>
        <w:autoSpaceDE/>
        <w:autoSpaceDN/>
        <w:adjustRightInd/>
        <w:spacing w:after="200" w:line="276" w:lineRule="auto"/>
        <w:ind w:left="360"/>
        <w:contextualSpacing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1C40AABD" w14:textId="77777777" w:rsidR="00974561" w:rsidRPr="00974561" w:rsidRDefault="00974561" w:rsidP="00974561">
      <w:pPr>
        <w:pBdr>
          <w:top w:val="single" w:sz="4" w:space="1" w:color="auto"/>
        </w:pBdr>
        <w:overflowPunct/>
        <w:autoSpaceDE/>
        <w:autoSpaceDN/>
        <w:adjustRightInd/>
        <w:spacing w:before="200"/>
        <w:textAlignment w:val="auto"/>
        <w:rPr>
          <w:rFonts w:ascii="Arial" w:hAnsi="Arial" w:cs="Arial"/>
          <w:color w:val="000000"/>
          <w:sz w:val="22"/>
          <w:szCs w:val="22"/>
          <w:lang w:val="en"/>
        </w:rPr>
      </w:pPr>
    </w:p>
    <w:p w14:paraId="3B9110F7" w14:textId="77777777" w:rsidR="00974561" w:rsidRPr="00974561" w:rsidRDefault="00974561" w:rsidP="00974561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  <w:r w:rsidRPr="00974561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>2019 Victorian Learn Local Awards</w:t>
      </w:r>
    </w:p>
    <w:p w14:paraId="4965D355" w14:textId="2B61898B" w:rsidR="00974561" w:rsidRPr="00FC70D6" w:rsidRDefault="00974561" w:rsidP="00FC70D6">
      <w:pPr>
        <w:rPr>
          <w:rFonts w:ascii="Arial" w:hAnsi="Arial" w:cs="Arial"/>
          <w:sz w:val="22"/>
          <w:szCs w:val="22"/>
          <w:lang w:val="en"/>
        </w:rPr>
      </w:pPr>
    </w:p>
    <w:p w14:paraId="40EDECAB" w14:textId="5E867DA5" w:rsidR="00436F50" w:rsidRDefault="00436F50" w:rsidP="00660A2B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/>
          <w:b/>
          <w:color w:val="000000"/>
          <w:sz w:val="22"/>
          <w:lang w:val="en-GB" w:eastAsia="en-US"/>
        </w:rPr>
      </w:pPr>
      <w:r w:rsidRPr="00D1206B">
        <w:rPr>
          <w:rFonts w:ascii="Arial" w:hAnsi="Arial" w:cs="Arial"/>
          <w:sz w:val="22"/>
          <w:szCs w:val="22"/>
        </w:rPr>
        <w:t>The 201</w:t>
      </w:r>
      <w:r>
        <w:rPr>
          <w:rFonts w:ascii="Arial" w:hAnsi="Arial" w:cs="Arial"/>
          <w:sz w:val="22"/>
          <w:szCs w:val="22"/>
        </w:rPr>
        <w:t>9</w:t>
      </w:r>
      <w:r w:rsidRPr="00D1206B">
        <w:rPr>
          <w:rFonts w:ascii="Arial" w:hAnsi="Arial" w:cs="Arial"/>
          <w:sz w:val="22"/>
          <w:szCs w:val="22"/>
        </w:rPr>
        <w:t xml:space="preserve"> Victorian Learn Local Awards </w:t>
      </w:r>
      <w:r>
        <w:rPr>
          <w:rFonts w:ascii="Arial" w:hAnsi="Arial" w:cs="Arial"/>
          <w:sz w:val="22"/>
          <w:szCs w:val="22"/>
        </w:rPr>
        <w:t>P</w:t>
      </w:r>
      <w:r w:rsidRPr="00D1206B">
        <w:rPr>
          <w:rFonts w:ascii="Arial" w:hAnsi="Arial" w:cs="Arial"/>
          <w:sz w:val="22"/>
          <w:szCs w:val="22"/>
        </w:rPr>
        <w:t xml:space="preserve">resentation </w:t>
      </w:r>
      <w:r>
        <w:rPr>
          <w:rFonts w:ascii="Arial" w:hAnsi="Arial" w:cs="Arial"/>
          <w:sz w:val="22"/>
          <w:szCs w:val="22"/>
        </w:rPr>
        <w:t>Dinner will be held on Friday 23 August 2019</w:t>
      </w:r>
      <w:r w:rsidRPr="00D1206B">
        <w:rPr>
          <w:rFonts w:ascii="Arial" w:hAnsi="Arial" w:cs="Arial"/>
          <w:sz w:val="22"/>
          <w:szCs w:val="22"/>
        </w:rPr>
        <w:t xml:space="preserve"> from approximately </w:t>
      </w:r>
      <w:r w:rsidRPr="00E93D0E">
        <w:rPr>
          <w:rFonts w:ascii="Arial" w:hAnsi="Arial" w:cs="Arial"/>
          <w:sz w:val="22"/>
          <w:szCs w:val="22"/>
        </w:rPr>
        <w:t>6.30pm to 10.30pm</w:t>
      </w:r>
      <w:r w:rsidR="00660A2B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r w:rsidRPr="00E93D0E">
        <w:rPr>
          <w:rFonts w:ascii="Arial" w:hAnsi="Arial" w:cs="Arial"/>
          <w:sz w:val="22"/>
          <w:szCs w:val="22"/>
        </w:rPr>
        <w:t>Mural Hall, Melbourne</w:t>
      </w:r>
      <w:r w:rsidRPr="00D1206B">
        <w:rPr>
          <w:rFonts w:ascii="Arial" w:hAnsi="Arial" w:cs="Arial"/>
          <w:sz w:val="22"/>
          <w:szCs w:val="22"/>
        </w:rPr>
        <w:t>.</w:t>
      </w:r>
      <w:r w:rsidR="00B1740E">
        <w:rPr>
          <w:rFonts w:ascii="Arial" w:hAnsi="Arial" w:cs="Arial"/>
          <w:sz w:val="22"/>
          <w:szCs w:val="22"/>
        </w:rPr>
        <w:t xml:space="preserve"> </w:t>
      </w:r>
      <w:r w:rsidRPr="00D1206B">
        <w:rPr>
          <w:rFonts w:ascii="Arial" w:hAnsi="Arial" w:cs="Arial"/>
          <w:sz w:val="22"/>
          <w:szCs w:val="22"/>
        </w:rPr>
        <w:t xml:space="preserve">The Awards </w:t>
      </w:r>
      <w:r>
        <w:rPr>
          <w:rFonts w:ascii="Arial" w:hAnsi="Arial" w:cs="Arial"/>
          <w:sz w:val="22"/>
          <w:szCs w:val="22"/>
        </w:rPr>
        <w:t>showcase the valuable work</w:t>
      </w:r>
      <w:r w:rsidRPr="00D120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D1206B">
        <w:rPr>
          <w:rFonts w:ascii="Arial" w:hAnsi="Arial" w:cs="Arial"/>
          <w:sz w:val="22"/>
          <w:szCs w:val="22"/>
        </w:rPr>
        <w:t xml:space="preserve"> significant contribution of </w:t>
      </w:r>
      <w:r>
        <w:rPr>
          <w:rFonts w:ascii="Arial" w:hAnsi="Arial" w:cs="Arial"/>
          <w:sz w:val="22"/>
          <w:szCs w:val="22"/>
        </w:rPr>
        <w:t xml:space="preserve">Learn Local </w:t>
      </w:r>
      <w:r w:rsidR="00B1740E">
        <w:rPr>
          <w:rFonts w:ascii="Arial" w:hAnsi="Arial" w:cs="Arial"/>
          <w:sz w:val="22"/>
          <w:szCs w:val="22"/>
        </w:rPr>
        <w:t>providers</w:t>
      </w:r>
      <w:r w:rsidRPr="00D1206B">
        <w:rPr>
          <w:rFonts w:ascii="Arial" w:hAnsi="Arial" w:cs="Arial"/>
          <w:sz w:val="22"/>
          <w:szCs w:val="22"/>
        </w:rPr>
        <w:t xml:space="preserve">, and the presentation </w:t>
      </w:r>
      <w:r w:rsidR="00B1740E">
        <w:rPr>
          <w:rFonts w:ascii="Arial" w:hAnsi="Arial" w:cs="Arial"/>
          <w:sz w:val="22"/>
          <w:szCs w:val="22"/>
        </w:rPr>
        <w:t>dinner</w:t>
      </w:r>
      <w:r w:rsidR="00B1740E" w:rsidRPr="00D1206B">
        <w:rPr>
          <w:rFonts w:ascii="Arial" w:hAnsi="Arial" w:cs="Arial"/>
          <w:sz w:val="22"/>
          <w:szCs w:val="22"/>
        </w:rPr>
        <w:t xml:space="preserve"> </w:t>
      </w:r>
      <w:r w:rsidRPr="00D1206B">
        <w:rPr>
          <w:rFonts w:ascii="Arial" w:hAnsi="Arial" w:cs="Arial"/>
          <w:sz w:val="22"/>
          <w:szCs w:val="22"/>
        </w:rPr>
        <w:t xml:space="preserve">is an opportunity </w:t>
      </w:r>
      <w:r>
        <w:rPr>
          <w:rFonts w:ascii="Arial" w:hAnsi="Arial" w:cs="Arial"/>
          <w:sz w:val="22"/>
          <w:szCs w:val="22"/>
        </w:rPr>
        <w:t xml:space="preserve">for us all </w:t>
      </w:r>
      <w:r w:rsidRPr="00D1206B">
        <w:rPr>
          <w:rFonts w:ascii="Arial" w:hAnsi="Arial" w:cs="Arial"/>
          <w:sz w:val="22"/>
          <w:szCs w:val="22"/>
        </w:rPr>
        <w:t>to come to</w:t>
      </w:r>
      <w:r>
        <w:rPr>
          <w:rFonts w:ascii="Arial" w:hAnsi="Arial" w:cs="Arial"/>
          <w:sz w:val="22"/>
          <w:szCs w:val="22"/>
        </w:rPr>
        <w:t>gether and celebrate our achievements.</w:t>
      </w:r>
    </w:p>
    <w:p w14:paraId="48BF8B75" w14:textId="7B3169E8" w:rsidR="0083788A" w:rsidRPr="00FC70D6" w:rsidRDefault="0083788A" w:rsidP="00660A2B">
      <w:pPr>
        <w:rPr>
          <w:lang w:val="en"/>
        </w:rPr>
      </w:pPr>
    </w:p>
    <w:p w14:paraId="785CE2E9" w14:textId="77777777" w:rsidR="00CD6718" w:rsidRDefault="00CD6718" w:rsidP="00CD6718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sz w:val="22"/>
          <w:szCs w:val="22"/>
        </w:rPr>
      </w:pPr>
    </w:p>
    <w:p w14:paraId="4AF78EBB" w14:textId="77777777" w:rsidR="00CD6718" w:rsidRDefault="00436F50" w:rsidP="00CD6718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  <w:r w:rsidRPr="00CD6718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>Expression of interest - Table and Stage Decorations</w:t>
      </w:r>
    </w:p>
    <w:p w14:paraId="333B5FB3" w14:textId="5F75F2FC" w:rsidR="00436F50" w:rsidRPr="00CD6718" w:rsidRDefault="00436F50" w:rsidP="00CD6718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  <w:r w:rsidRPr="00CD6718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 xml:space="preserve"> </w:t>
      </w:r>
    </w:p>
    <w:p w14:paraId="07D313B2" w14:textId="69B6BF92" w:rsidR="00436F50" w:rsidRDefault="00436F50" w:rsidP="00436F50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right="397"/>
        <w:textAlignment w:val="auto"/>
        <w:rPr>
          <w:rFonts w:ascii="Arial" w:hAnsi="Arial" w:cs="Arial"/>
          <w:sz w:val="22"/>
          <w:szCs w:val="22"/>
        </w:rPr>
      </w:pPr>
      <w:r w:rsidRPr="00D1206B">
        <w:rPr>
          <w:rFonts w:ascii="Arial" w:hAnsi="Arial" w:cs="Arial"/>
          <w:sz w:val="22"/>
          <w:szCs w:val="22"/>
        </w:rPr>
        <w:t xml:space="preserve">We are seeking expressions of interest from Learn Local </w:t>
      </w:r>
      <w:r w:rsidR="00B60DDD">
        <w:rPr>
          <w:rFonts w:ascii="Arial" w:hAnsi="Arial" w:cs="Arial"/>
          <w:sz w:val="22"/>
          <w:szCs w:val="22"/>
        </w:rPr>
        <w:t>providers</w:t>
      </w:r>
      <w:r w:rsidR="00B60DDD" w:rsidRPr="00D1206B">
        <w:rPr>
          <w:rFonts w:ascii="Arial" w:hAnsi="Arial" w:cs="Arial"/>
          <w:sz w:val="22"/>
          <w:szCs w:val="22"/>
        </w:rPr>
        <w:t xml:space="preserve"> </w:t>
      </w:r>
      <w:r w:rsidRPr="00D1206B">
        <w:rPr>
          <w:rFonts w:ascii="Arial" w:hAnsi="Arial" w:cs="Arial"/>
          <w:sz w:val="22"/>
          <w:szCs w:val="22"/>
        </w:rPr>
        <w:t xml:space="preserve">with the capacity to </w:t>
      </w:r>
      <w:r>
        <w:rPr>
          <w:rFonts w:ascii="Arial" w:hAnsi="Arial" w:cs="Arial"/>
          <w:sz w:val="22"/>
          <w:szCs w:val="22"/>
        </w:rPr>
        <w:t xml:space="preserve">provide decorative table centrepieces and a matching stage piece to feature on the main stage. </w:t>
      </w:r>
    </w:p>
    <w:p w14:paraId="47A759F2" w14:textId="22E03329" w:rsidR="00436F50" w:rsidRDefault="00436F50" w:rsidP="00436F50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right="397"/>
        <w:textAlignment w:val="auto"/>
        <w:rPr>
          <w:rFonts w:ascii="Arial" w:hAnsi="Arial" w:cs="Arial"/>
          <w:sz w:val="22"/>
          <w:szCs w:val="22"/>
        </w:rPr>
      </w:pPr>
      <w:r w:rsidRPr="00D1206B">
        <w:rPr>
          <w:rFonts w:ascii="Arial" w:hAnsi="Arial" w:cs="Arial"/>
          <w:sz w:val="22"/>
          <w:szCs w:val="22"/>
        </w:rPr>
        <w:t xml:space="preserve">We anticipate there will be </w:t>
      </w:r>
      <w:r>
        <w:rPr>
          <w:rFonts w:ascii="Arial" w:hAnsi="Arial" w:cs="Arial"/>
          <w:sz w:val="22"/>
          <w:szCs w:val="22"/>
        </w:rPr>
        <w:t xml:space="preserve">approx. </w:t>
      </w:r>
      <w:r w:rsidR="00B60DDD" w:rsidRPr="00E93D0E">
        <w:rPr>
          <w:rFonts w:ascii="Arial" w:hAnsi="Arial" w:cs="Arial"/>
          <w:sz w:val="22"/>
          <w:szCs w:val="22"/>
        </w:rPr>
        <w:t xml:space="preserve">35 </w:t>
      </w:r>
      <w:r w:rsidRPr="00E93D0E">
        <w:rPr>
          <w:rFonts w:ascii="Arial" w:hAnsi="Arial" w:cs="Arial"/>
          <w:sz w:val="22"/>
          <w:szCs w:val="22"/>
        </w:rPr>
        <w:t>tables</w:t>
      </w:r>
      <w:r w:rsidRPr="00D1206B">
        <w:rPr>
          <w:rFonts w:ascii="Arial" w:hAnsi="Arial" w:cs="Arial"/>
          <w:sz w:val="22"/>
          <w:szCs w:val="22"/>
        </w:rPr>
        <w:t xml:space="preserve"> at the event and your organisation will need to be able to provide </w:t>
      </w:r>
      <w:r>
        <w:rPr>
          <w:rFonts w:ascii="Arial" w:hAnsi="Arial" w:cs="Arial"/>
          <w:sz w:val="22"/>
          <w:szCs w:val="22"/>
        </w:rPr>
        <w:t>the following:</w:t>
      </w:r>
    </w:p>
    <w:p w14:paraId="7A328149" w14:textId="0E176DAF" w:rsidR="00436F50" w:rsidRPr="00CF4136" w:rsidRDefault="00B60DDD" w:rsidP="00436F50">
      <w:pPr>
        <w:pStyle w:val="ListParagraph"/>
        <w:numPr>
          <w:ilvl w:val="0"/>
          <w:numId w:val="39"/>
        </w:numPr>
        <w:tabs>
          <w:tab w:val="left" w:pos="1080"/>
        </w:tabs>
        <w:spacing w:after="120" w:line="240" w:lineRule="auto"/>
        <w:ind w:left="426" w:right="397" w:hanging="284"/>
        <w:rPr>
          <w:rFonts w:ascii="Arial" w:hAnsi="Arial"/>
          <w:color w:val="000000"/>
          <w:lang w:val="en-GB"/>
        </w:rPr>
      </w:pPr>
      <w:r w:rsidRPr="00CF4136">
        <w:rPr>
          <w:rFonts w:ascii="Arial" w:hAnsi="Arial"/>
          <w:color w:val="000000"/>
          <w:lang w:val="en-GB"/>
        </w:rPr>
        <w:t>3</w:t>
      </w:r>
      <w:r>
        <w:rPr>
          <w:rFonts w:ascii="Arial" w:hAnsi="Arial"/>
          <w:color w:val="000000"/>
          <w:lang w:val="en-GB"/>
        </w:rPr>
        <w:t xml:space="preserve">5 </w:t>
      </w:r>
      <w:r w:rsidR="00436F50" w:rsidRPr="00CF4136">
        <w:rPr>
          <w:rFonts w:ascii="Arial" w:hAnsi="Arial"/>
          <w:color w:val="000000"/>
          <w:lang w:val="en-GB"/>
        </w:rPr>
        <w:t>x</w:t>
      </w:r>
      <w:r w:rsidR="00436F50">
        <w:rPr>
          <w:rFonts w:ascii="Arial" w:hAnsi="Arial"/>
          <w:color w:val="000000"/>
          <w:lang w:val="en-GB"/>
        </w:rPr>
        <w:t xml:space="preserve"> decorative table </w:t>
      </w:r>
      <w:r w:rsidR="00436F50" w:rsidRPr="00CF4136">
        <w:rPr>
          <w:rFonts w:ascii="Arial" w:hAnsi="Arial"/>
          <w:color w:val="000000"/>
          <w:lang w:val="en-GB"/>
        </w:rPr>
        <w:t>centrepieces</w:t>
      </w:r>
      <w:r w:rsidR="00436F50">
        <w:rPr>
          <w:rFonts w:ascii="Arial" w:hAnsi="Arial"/>
          <w:color w:val="000000"/>
          <w:lang w:val="en-GB"/>
        </w:rPr>
        <w:t xml:space="preserve"> (a</w:t>
      </w:r>
      <w:r w:rsidR="00436F50" w:rsidRPr="00CF4136">
        <w:rPr>
          <w:rFonts w:ascii="Arial" w:hAnsi="Arial"/>
          <w:color w:val="000000"/>
          <w:lang w:val="en-GB"/>
        </w:rPr>
        <w:t>ppropri</w:t>
      </w:r>
      <w:r w:rsidR="00436F50">
        <w:rPr>
          <w:rFonts w:ascii="Arial" w:hAnsi="Arial"/>
          <w:color w:val="000000"/>
          <w:lang w:val="en-GB"/>
        </w:rPr>
        <w:t>ate size - doesn’t affect guest</w:t>
      </w:r>
      <w:r w:rsidR="00436F50" w:rsidRPr="00CF4136">
        <w:rPr>
          <w:rFonts w:ascii="Arial" w:hAnsi="Arial"/>
          <w:color w:val="000000"/>
          <w:lang w:val="en-GB"/>
        </w:rPr>
        <w:t xml:space="preserve"> </w:t>
      </w:r>
      <w:r w:rsidR="00436F50">
        <w:rPr>
          <w:rFonts w:ascii="Arial" w:hAnsi="Arial"/>
          <w:color w:val="000000"/>
          <w:lang w:val="en-GB"/>
        </w:rPr>
        <w:t xml:space="preserve">sight </w:t>
      </w:r>
      <w:r w:rsidR="00436F50" w:rsidRPr="00CF4136">
        <w:rPr>
          <w:rFonts w:ascii="Arial" w:hAnsi="Arial"/>
          <w:color w:val="000000"/>
          <w:lang w:val="en-GB"/>
        </w:rPr>
        <w:t>lines t</w:t>
      </w:r>
      <w:r w:rsidR="00436F50">
        <w:rPr>
          <w:rFonts w:ascii="Arial" w:hAnsi="Arial"/>
          <w:color w:val="000000"/>
          <w:lang w:val="en-GB"/>
        </w:rPr>
        <w:t>o the stage)</w:t>
      </w:r>
    </w:p>
    <w:p w14:paraId="7E96CEB1" w14:textId="77777777" w:rsidR="00436F50" w:rsidRPr="00CF4136" w:rsidRDefault="00436F50" w:rsidP="00436F50">
      <w:pPr>
        <w:pStyle w:val="ListParagraph"/>
        <w:numPr>
          <w:ilvl w:val="0"/>
          <w:numId w:val="39"/>
        </w:numPr>
        <w:tabs>
          <w:tab w:val="left" w:pos="1080"/>
        </w:tabs>
        <w:spacing w:after="120" w:line="240" w:lineRule="auto"/>
        <w:ind w:left="426" w:right="397" w:hanging="284"/>
        <w:rPr>
          <w:rFonts w:ascii="Arial" w:hAnsi="Arial"/>
          <w:color w:val="000000"/>
          <w:lang w:val="en-GB"/>
        </w:rPr>
      </w:pPr>
      <w:r>
        <w:rPr>
          <w:rFonts w:ascii="Arial" w:hAnsi="Arial"/>
          <w:color w:val="000000"/>
          <w:lang w:val="en-GB"/>
        </w:rPr>
        <w:t>1 x matching decorative stage piece</w:t>
      </w:r>
    </w:p>
    <w:p w14:paraId="7A846232" w14:textId="24BECA87" w:rsidR="00436F50" w:rsidRPr="0092614A" w:rsidRDefault="00436F50" w:rsidP="00436F50">
      <w:pPr>
        <w:pStyle w:val="ListParagraph"/>
        <w:numPr>
          <w:ilvl w:val="0"/>
          <w:numId w:val="39"/>
        </w:numPr>
        <w:tabs>
          <w:tab w:val="left" w:pos="1080"/>
        </w:tabs>
        <w:spacing w:after="120" w:line="240" w:lineRule="auto"/>
        <w:ind w:left="426" w:right="397" w:hanging="284"/>
        <w:rPr>
          <w:rFonts w:ascii="Arial" w:hAnsi="Arial"/>
          <w:color w:val="000000"/>
          <w:lang w:val="en-GB"/>
        </w:rPr>
      </w:pPr>
      <w:r w:rsidRPr="0092614A">
        <w:rPr>
          <w:rFonts w:ascii="Arial" w:hAnsi="Arial"/>
          <w:color w:val="000000"/>
          <w:lang w:val="en-GB"/>
        </w:rPr>
        <w:t xml:space="preserve">In line with the </w:t>
      </w:r>
      <w:r w:rsidR="00B60DDD" w:rsidRPr="0092614A">
        <w:rPr>
          <w:rFonts w:ascii="Arial" w:hAnsi="Arial"/>
          <w:color w:val="000000"/>
          <w:lang w:val="en-GB"/>
        </w:rPr>
        <w:t xml:space="preserve">new </w:t>
      </w:r>
      <w:r w:rsidRPr="0092614A">
        <w:rPr>
          <w:rFonts w:ascii="Arial" w:hAnsi="Arial"/>
          <w:color w:val="000000"/>
          <w:lang w:val="en-GB"/>
        </w:rPr>
        <w:t>2019 Learn Local Awards branding/colours -</w:t>
      </w:r>
      <w:hyperlink r:id="rId12" w:history="1">
        <w:r w:rsidRPr="0092614A">
          <w:rPr>
            <w:rStyle w:val="Hyperlink"/>
            <w:rFonts w:ascii="Arial" w:hAnsi="Arial"/>
            <w:lang w:val="en-GB"/>
          </w:rPr>
          <w:t>www.education.vic.gov.au/learnlocalawards</w:t>
        </w:r>
      </w:hyperlink>
      <w:r w:rsidR="00E93D0E" w:rsidRPr="0092614A">
        <w:rPr>
          <w:rStyle w:val="Hyperlink"/>
          <w:rFonts w:ascii="Arial" w:hAnsi="Arial"/>
          <w:color w:val="auto"/>
          <w:u w:val="none"/>
          <w:lang w:val="en-GB"/>
        </w:rPr>
        <w:t xml:space="preserve">. (See </w:t>
      </w:r>
      <w:hyperlink r:id="rId13" w:history="1">
        <w:r w:rsidR="00E93D0E" w:rsidRPr="0092614A">
          <w:rPr>
            <w:rStyle w:val="Hyperlink"/>
            <w:rFonts w:ascii="Arial" w:hAnsi="Arial"/>
            <w:lang w:val="en-GB"/>
          </w:rPr>
          <w:t>Memo 2019/04/23a</w:t>
        </w:r>
      </w:hyperlink>
      <w:r w:rsidR="00B30164" w:rsidRPr="0092614A">
        <w:rPr>
          <w:rStyle w:val="Hyperlink"/>
          <w:rFonts w:ascii="Arial" w:hAnsi="Arial"/>
          <w:color w:val="auto"/>
          <w:u w:val="none"/>
          <w:lang w:val="en-GB"/>
        </w:rPr>
        <w:t xml:space="preserve"> for link to promotional materials)</w:t>
      </w:r>
    </w:p>
    <w:p w14:paraId="43B808C8" w14:textId="77777777" w:rsidR="00436F50" w:rsidRPr="00583651" w:rsidRDefault="00436F50" w:rsidP="00436F50">
      <w:pPr>
        <w:pStyle w:val="ListParagraph"/>
        <w:numPr>
          <w:ilvl w:val="0"/>
          <w:numId w:val="39"/>
        </w:numPr>
        <w:tabs>
          <w:tab w:val="left" w:pos="1080"/>
        </w:tabs>
        <w:spacing w:after="120" w:line="240" w:lineRule="auto"/>
        <w:ind w:left="426" w:right="397" w:hanging="284"/>
        <w:rPr>
          <w:rFonts w:ascii="Arial" w:hAnsi="Arial"/>
          <w:color w:val="000000"/>
          <w:lang w:val="en-GB"/>
        </w:rPr>
      </w:pPr>
      <w:r w:rsidRPr="00583651">
        <w:rPr>
          <w:rFonts w:ascii="Arial" w:hAnsi="Arial"/>
          <w:color w:val="000000"/>
          <w:lang w:val="en-GB"/>
        </w:rPr>
        <w:t>Set up prior to and removed post event</w:t>
      </w:r>
    </w:p>
    <w:p w14:paraId="0635BACD" w14:textId="0CB55011" w:rsidR="00436F50" w:rsidRPr="00583651" w:rsidRDefault="00436F50" w:rsidP="00436F50">
      <w:pPr>
        <w:pStyle w:val="ListParagraph"/>
        <w:numPr>
          <w:ilvl w:val="0"/>
          <w:numId w:val="39"/>
        </w:numPr>
        <w:tabs>
          <w:tab w:val="left" w:pos="1080"/>
        </w:tabs>
        <w:spacing w:after="120" w:line="240" w:lineRule="auto"/>
        <w:ind w:left="426" w:right="397" w:hanging="284"/>
        <w:rPr>
          <w:rFonts w:ascii="Arial" w:hAnsi="Arial"/>
          <w:color w:val="000000"/>
          <w:lang w:val="en-GB"/>
        </w:rPr>
      </w:pPr>
      <w:r w:rsidRPr="00583651">
        <w:rPr>
          <w:rFonts w:ascii="Arial" w:hAnsi="Arial"/>
          <w:color w:val="000000"/>
          <w:lang w:val="en-GB"/>
        </w:rPr>
        <w:t>Non-weighted balloons</w:t>
      </w:r>
      <w:r w:rsidR="002A30E8">
        <w:rPr>
          <w:rFonts w:ascii="Arial" w:hAnsi="Arial"/>
          <w:color w:val="000000"/>
          <w:lang w:val="en-GB"/>
        </w:rPr>
        <w:t xml:space="preserve"> and </w:t>
      </w:r>
      <w:r w:rsidRPr="00583651">
        <w:rPr>
          <w:rFonts w:ascii="Arial" w:hAnsi="Arial"/>
          <w:color w:val="000000"/>
          <w:lang w:val="en-GB"/>
        </w:rPr>
        <w:t>smoke or haze producing</w:t>
      </w:r>
      <w:r>
        <w:rPr>
          <w:rFonts w:ascii="Arial" w:hAnsi="Arial"/>
          <w:color w:val="000000"/>
          <w:lang w:val="en-GB"/>
        </w:rPr>
        <w:t xml:space="preserve"> </w:t>
      </w:r>
      <w:r w:rsidRPr="00583651">
        <w:rPr>
          <w:rFonts w:ascii="Arial" w:hAnsi="Arial"/>
          <w:color w:val="000000"/>
          <w:lang w:val="en-GB"/>
        </w:rPr>
        <w:t xml:space="preserve">items not permitted </w:t>
      </w:r>
    </w:p>
    <w:p w14:paraId="564BEB4A" w14:textId="1E33576B" w:rsidR="00436F50" w:rsidRPr="00583651" w:rsidRDefault="00436F50" w:rsidP="00E93D0E">
      <w:pPr>
        <w:pStyle w:val="ListParagraph"/>
        <w:tabs>
          <w:tab w:val="left" w:pos="1080"/>
        </w:tabs>
        <w:spacing w:after="120" w:line="240" w:lineRule="auto"/>
        <w:ind w:left="426" w:right="397"/>
        <w:rPr>
          <w:rFonts w:ascii="Arial" w:hAnsi="Arial"/>
          <w:color w:val="000000"/>
          <w:lang w:val="en-GB"/>
        </w:rPr>
      </w:pPr>
    </w:p>
    <w:p w14:paraId="398E6527" w14:textId="4A01F424" w:rsidR="00436F50" w:rsidRPr="00D67ED3" w:rsidRDefault="00436F50" w:rsidP="00436F50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right="397"/>
        <w:textAlignment w:val="auto"/>
        <w:rPr>
          <w:rFonts w:ascii="Arial" w:hAnsi="Arial" w:cs="Arial"/>
          <w:sz w:val="22"/>
          <w:szCs w:val="22"/>
        </w:rPr>
      </w:pPr>
      <w:r w:rsidRPr="00CF4136">
        <w:rPr>
          <w:rFonts w:ascii="Arial" w:hAnsi="Arial" w:cs="Arial"/>
          <w:sz w:val="22"/>
          <w:szCs w:val="22"/>
        </w:rPr>
        <w:t xml:space="preserve">If your </w:t>
      </w:r>
      <w:r w:rsidR="002A30E8">
        <w:rPr>
          <w:rFonts w:ascii="Arial" w:hAnsi="Arial" w:cs="Arial"/>
          <w:sz w:val="22"/>
          <w:szCs w:val="22"/>
        </w:rPr>
        <w:t>provider</w:t>
      </w:r>
      <w:r w:rsidR="002A30E8" w:rsidRPr="00CF4136">
        <w:rPr>
          <w:rFonts w:ascii="Arial" w:hAnsi="Arial" w:cs="Arial"/>
          <w:sz w:val="22"/>
          <w:szCs w:val="22"/>
        </w:rPr>
        <w:t xml:space="preserve"> </w:t>
      </w:r>
      <w:r w:rsidRPr="00CF4136">
        <w:rPr>
          <w:rFonts w:ascii="Arial" w:hAnsi="Arial" w:cs="Arial"/>
          <w:sz w:val="22"/>
          <w:szCs w:val="22"/>
        </w:rPr>
        <w:t>has the capacity to provide</w:t>
      </w:r>
      <w:r>
        <w:rPr>
          <w:rFonts w:ascii="Arial" w:hAnsi="Arial" w:cs="Arial"/>
          <w:sz w:val="22"/>
          <w:szCs w:val="22"/>
        </w:rPr>
        <w:t>/</w:t>
      </w:r>
      <w:r w:rsidRPr="00CF4136">
        <w:rPr>
          <w:rFonts w:ascii="Arial" w:hAnsi="Arial" w:cs="Arial"/>
          <w:sz w:val="22"/>
          <w:szCs w:val="22"/>
        </w:rPr>
        <w:t xml:space="preserve">manage the above elements and you are interested in submitting a quote for this event, </w:t>
      </w:r>
      <w:r w:rsidRPr="00D1206B">
        <w:rPr>
          <w:rFonts w:ascii="Arial" w:hAnsi="Arial" w:cs="Arial"/>
          <w:sz w:val="22"/>
          <w:szCs w:val="22"/>
        </w:rPr>
        <w:t>please email</w:t>
      </w:r>
      <w:r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Pr="001B6204">
          <w:rPr>
            <w:rStyle w:val="Hyperlink"/>
            <w:rFonts w:ascii="Arial" w:hAnsi="Arial" w:cs="Arial"/>
            <w:sz w:val="22"/>
            <w:szCs w:val="22"/>
          </w:rPr>
          <w:t>learnlocal@edumail.vic.gov.au</w:t>
        </w:r>
      </w:hyperlink>
      <w:r w:rsidRPr="001B6204">
        <w:rPr>
          <w:rFonts w:ascii="Arial" w:hAnsi="Arial" w:cs="Arial"/>
          <w:sz w:val="22"/>
          <w:szCs w:val="22"/>
        </w:rPr>
        <w:t xml:space="preserve"> by</w:t>
      </w:r>
      <w:r w:rsidR="00FF5B1C">
        <w:rPr>
          <w:rFonts w:ascii="Arial" w:hAnsi="Arial" w:cs="Arial"/>
          <w:sz w:val="22"/>
          <w:szCs w:val="22"/>
        </w:rPr>
        <w:t xml:space="preserve"> Friday 14</w:t>
      </w:r>
      <w:bookmarkStart w:id="0" w:name="_GoBack"/>
      <w:bookmarkEnd w:id="0"/>
      <w:r w:rsidR="002A30E8">
        <w:rPr>
          <w:rFonts w:ascii="Arial" w:hAnsi="Arial" w:cs="Arial"/>
          <w:sz w:val="22"/>
          <w:szCs w:val="22"/>
        </w:rPr>
        <w:t xml:space="preserve"> June 2019</w:t>
      </w:r>
      <w:r w:rsidRPr="000B0449">
        <w:rPr>
          <w:rFonts w:ascii="Arial" w:hAnsi="Arial" w:cs="Arial"/>
          <w:sz w:val="22"/>
          <w:szCs w:val="22"/>
        </w:rPr>
        <w:t>.</w:t>
      </w:r>
    </w:p>
    <w:p w14:paraId="26CB58E5" w14:textId="77777777" w:rsidR="00436F50" w:rsidRDefault="00436F50" w:rsidP="00436F50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right="397"/>
        <w:textAlignment w:val="auto"/>
        <w:rPr>
          <w:rFonts w:ascii="Arial" w:hAnsi="Arial" w:cs="Arial"/>
          <w:b/>
          <w:sz w:val="22"/>
          <w:szCs w:val="22"/>
        </w:rPr>
      </w:pPr>
    </w:p>
    <w:p w14:paraId="6114980B" w14:textId="77777777" w:rsidR="00E93D0E" w:rsidRDefault="00E93D0E" w:rsidP="00CD6718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  <w:r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br w:type="page"/>
      </w:r>
    </w:p>
    <w:p w14:paraId="621E06DB" w14:textId="0F058038" w:rsidR="00436F50" w:rsidRDefault="00436F50" w:rsidP="00CD6718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  <w:r w:rsidRPr="00CD6718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lastRenderedPageBreak/>
        <w:t>Expression of interest –</w:t>
      </w:r>
      <w:r w:rsidR="00D17D77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 xml:space="preserve"> </w:t>
      </w:r>
      <w:r w:rsidRPr="00CD6718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 xml:space="preserve">Entertainment </w:t>
      </w:r>
    </w:p>
    <w:p w14:paraId="19F379E4" w14:textId="77777777" w:rsidR="00CD6718" w:rsidRPr="00CD6718" w:rsidRDefault="00CD6718" w:rsidP="00CD6718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</w:p>
    <w:p w14:paraId="34F9EC35" w14:textId="562B334F" w:rsidR="00436F50" w:rsidRDefault="00436F50" w:rsidP="00436F50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right="397"/>
        <w:textAlignment w:val="auto"/>
        <w:rPr>
          <w:rFonts w:ascii="Arial" w:hAnsi="Arial" w:cs="Arial"/>
          <w:sz w:val="22"/>
          <w:szCs w:val="22"/>
        </w:rPr>
      </w:pPr>
      <w:r w:rsidRPr="00D1206B">
        <w:rPr>
          <w:rFonts w:ascii="Arial" w:hAnsi="Arial" w:cs="Arial"/>
          <w:sz w:val="22"/>
          <w:szCs w:val="22"/>
        </w:rPr>
        <w:t xml:space="preserve">We are </w:t>
      </w:r>
      <w:r>
        <w:rPr>
          <w:rFonts w:ascii="Arial" w:hAnsi="Arial" w:cs="Arial"/>
          <w:sz w:val="22"/>
          <w:szCs w:val="22"/>
        </w:rPr>
        <w:t xml:space="preserve">also </w:t>
      </w:r>
      <w:r w:rsidRPr="00D1206B">
        <w:rPr>
          <w:rFonts w:ascii="Arial" w:hAnsi="Arial" w:cs="Arial"/>
          <w:sz w:val="22"/>
          <w:szCs w:val="22"/>
        </w:rPr>
        <w:t xml:space="preserve">seeking expressions of interest from Learn Local </w:t>
      </w:r>
      <w:r w:rsidR="00D17D77">
        <w:rPr>
          <w:rFonts w:ascii="Arial" w:hAnsi="Arial" w:cs="Arial"/>
          <w:sz w:val="22"/>
          <w:szCs w:val="22"/>
        </w:rPr>
        <w:t>providers</w:t>
      </w:r>
      <w:r w:rsidR="00D17D77" w:rsidRPr="00D1206B">
        <w:rPr>
          <w:rFonts w:ascii="Arial" w:hAnsi="Arial" w:cs="Arial"/>
          <w:sz w:val="22"/>
          <w:szCs w:val="22"/>
        </w:rPr>
        <w:t xml:space="preserve"> </w:t>
      </w:r>
      <w:r w:rsidRPr="00D1206B">
        <w:rPr>
          <w:rFonts w:ascii="Arial" w:hAnsi="Arial" w:cs="Arial"/>
          <w:sz w:val="22"/>
          <w:szCs w:val="22"/>
        </w:rPr>
        <w:t>able to p</w:t>
      </w:r>
      <w:r>
        <w:rPr>
          <w:rFonts w:ascii="Arial" w:hAnsi="Arial" w:cs="Arial"/>
          <w:sz w:val="22"/>
          <w:szCs w:val="22"/>
        </w:rPr>
        <w:t xml:space="preserve">rovide </w:t>
      </w:r>
      <w:r w:rsidR="006411D4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tertainment </w:t>
      </w:r>
      <w:r w:rsidR="007D590F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the 2019</w:t>
      </w:r>
      <w:r w:rsidRPr="00D1206B">
        <w:rPr>
          <w:rFonts w:ascii="Arial" w:hAnsi="Arial" w:cs="Arial"/>
          <w:sz w:val="22"/>
          <w:szCs w:val="22"/>
        </w:rPr>
        <w:t xml:space="preserve"> Awards </w:t>
      </w:r>
      <w:r>
        <w:rPr>
          <w:rFonts w:ascii="Arial" w:hAnsi="Arial" w:cs="Arial"/>
          <w:sz w:val="22"/>
          <w:szCs w:val="22"/>
        </w:rPr>
        <w:t xml:space="preserve">event. </w:t>
      </w:r>
      <w:r w:rsidR="007D590F">
        <w:rPr>
          <w:rFonts w:ascii="Arial" w:hAnsi="Arial" w:cs="Arial"/>
          <w:sz w:val="22"/>
          <w:szCs w:val="22"/>
        </w:rPr>
        <w:t>It can be musical or artistic in nature and suitable for ceremony entertainment</w:t>
      </w:r>
      <w:r>
        <w:rPr>
          <w:rFonts w:ascii="Arial" w:hAnsi="Arial" w:cs="Arial"/>
          <w:sz w:val="22"/>
          <w:szCs w:val="22"/>
        </w:rPr>
        <w:t xml:space="preserve"> (i</w:t>
      </w:r>
      <w:r w:rsidR="00E93D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e. small performance group, solo artist,</w:t>
      </w:r>
      <w:r w:rsidR="007D590F">
        <w:rPr>
          <w:rFonts w:ascii="Arial" w:hAnsi="Arial" w:cs="Arial"/>
          <w:sz w:val="22"/>
          <w:szCs w:val="22"/>
        </w:rPr>
        <w:t xml:space="preserve"> band,</w:t>
      </w:r>
      <w:r>
        <w:rPr>
          <w:rFonts w:ascii="Arial" w:hAnsi="Arial" w:cs="Arial"/>
          <w:sz w:val="22"/>
          <w:szCs w:val="22"/>
        </w:rPr>
        <w:t xml:space="preserve"> roving entertainers, etc</w:t>
      </w:r>
      <w:r w:rsidR="00CD67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). The entertainment should be self-sufficient in terms of the set up/pack down and operation of any equipment including instruments, etc.</w:t>
      </w:r>
    </w:p>
    <w:p w14:paraId="72E76F43" w14:textId="4581222C" w:rsidR="00436F50" w:rsidRDefault="00436F50" w:rsidP="00436F50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right="397"/>
        <w:textAlignment w:val="auto"/>
        <w:rPr>
          <w:rFonts w:ascii="Arial" w:hAnsi="Arial" w:cs="Arial"/>
          <w:sz w:val="22"/>
          <w:szCs w:val="22"/>
          <w:highlight w:val="yellow"/>
        </w:rPr>
      </w:pPr>
      <w:r w:rsidRPr="00D1206B">
        <w:rPr>
          <w:rFonts w:ascii="Arial" w:hAnsi="Arial" w:cs="Arial"/>
          <w:sz w:val="22"/>
          <w:szCs w:val="22"/>
        </w:rPr>
        <w:t xml:space="preserve">If your </w:t>
      </w:r>
      <w:r w:rsidR="007D590F">
        <w:rPr>
          <w:rFonts w:ascii="Arial" w:hAnsi="Arial" w:cs="Arial"/>
          <w:sz w:val="22"/>
          <w:szCs w:val="22"/>
        </w:rPr>
        <w:t>provider</w:t>
      </w:r>
      <w:r w:rsidR="007D590F" w:rsidRPr="00D1206B">
        <w:rPr>
          <w:rFonts w:ascii="Arial" w:hAnsi="Arial" w:cs="Arial"/>
          <w:sz w:val="22"/>
          <w:szCs w:val="22"/>
        </w:rPr>
        <w:t xml:space="preserve"> </w:t>
      </w:r>
      <w:r w:rsidRPr="00D1206B">
        <w:rPr>
          <w:rFonts w:ascii="Arial" w:hAnsi="Arial" w:cs="Arial"/>
          <w:sz w:val="22"/>
          <w:szCs w:val="22"/>
        </w:rPr>
        <w:t>has the capacity to provide suitable entertainers</w:t>
      </w:r>
      <w:r>
        <w:rPr>
          <w:rFonts w:ascii="Arial" w:hAnsi="Arial" w:cs="Arial"/>
          <w:sz w:val="22"/>
          <w:szCs w:val="22"/>
        </w:rPr>
        <w:t>/performers</w:t>
      </w:r>
      <w:r w:rsidRPr="00D1206B">
        <w:rPr>
          <w:rFonts w:ascii="Arial" w:hAnsi="Arial" w:cs="Arial"/>
          <w:sz w:val="22"/>
          <w:szCs w:val="22"/>
        </w:rPr>
        <w:t xml:space="preserve"> and you are interested in submitting a </w:t>
      </w:r>
      <w:r>
        <w:rPr>
          <w:rFonts w:ascii="Arial" w:hAnsi="Arial" w:cs="Arial"/>
          <w:sz w:val="22"/>
          <w:szCs w:val="22"/>
        </w:rPr>
        <w:t>concept</w:t>
      </w:r>
      <w:r w:rsidRPr="00D120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D1206B">
        <w:rPr>
          <w:rFonts w:ascii="Arial" w:hAnsi="Arial" w:cs="Arial"/>
          <w:sz w:val="22"/>
          <w:szCs w:val="22"/>
        </w:rPr>
        <w:t>quote</w:t>
      </w:r>
      <w:r>
        <w:rPr>
          <w:rFonts w:ascii="Arial" w:hAnsi="Arial" w:cs="Arial"/>
          <w:sz w:val="22"/>
          <w:szCs w:val="22"/>
        </w:rPr>
        <w:t xml:space="preserve"> </w:t>
      </w:r>
      <w:r w:rsidRPr="00D1206B">
        <w:rPr>
          <w:rFonts w:ascii="Arial" w:hAnsi="Arial" w:cs="Arial"/>
          <w:sz w:val="22"/>
          <w:szCs w:val="22"/>
        </w:rPr>
        <w:t xml:space="preserve">for this event, please email </w:t>
      </w:r>
      <w:hyperlink r:id="rId15" w:history="1">
        <w:r w:rsidRPr="006B1F74">
          <w:rPr>
            <w:rStyle w:val="Hyperlink"/>
            <w:rFonts w:ascii="Arial" w:hAnsi="Arial" w:cs="Arial"/>
            <w:sz w:val="22"/>
            <w:szCs w:val="22"/>
          </w:rPr>
          <w:t>learnlocal@edumail.vic.gov.au</w:t>
        </w:r>
      </w:hyperlink>
      <w:r>
        <w:rPr>
          <w:rFonts w:ascii="Arial" w:hAnsi="Arial" w:cs="Arial"/>
          <w:sz w:val="22"/>
          <w:szCs w:val="22"/>
        </w:rPr>
        <w:t xml:space="preserve"> by </w:t>
      </w:r>
      <w:r w:rsidR="00074AD9">
        <w:rPr>
          <w:rFonts w:ascii="Arial" w:hAnsi="Arial" w:cs="Arial"/>
          <w:sz w:val="22"/>
          <w:szCs w:val="22"/>
        </w:rPr>
        <w:t xml:space="preserve">Friday </w:t>
      </w:r>
      <w:r w:rsidR="00FF5B1C">
        <w:rPr>
          <w:rFonts w:ascii="Arial" w:hAnsi="Arial" w:cs="Arial"/>
          <w:sz w:val="22"/>
          <w:szCs w:val="22"/>
        </w:rPr>
        <w:t>14</w:t>
      </w:r>
      <w:r w:rsidR="00074AD9">
        <w:rPr>
          <w:rFonts w:ascii="Arial" w:hAnsi="Arial" w:cs="Arial"/>
          <w:sz w:val="22"/>
          <w:szCs w:val="22"/>
        </w:rPr>
        <w:t xml:space="preserve"> June 2019.</w:t>
      </w:r>
    </w:p>
    <w:p w14:paraId="33A45E84" w14:textId="77777777" w:rsidR="00436F50" w:rsidRDefault="00436F50" w:rsidP="00436F50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right="397"/>
        <w:textAlignment w:val="auto"/>
        <w:rPr>
          <w:rFonts w:ascii="Arial" w:hAnsi="Arial" w:cs="Arial"/>
          <w:b/>
          <w:sz w:val="22"/>
          <w:szCs w:val="22"/>
        </w:rPr>
      </w:pPr>
    </w:p>
    <w:p w14:paraId="6DE40878" w14:textId="2C97EC68" w:rsidR="00436F50" w:rsidRDefault="00436F50" w:rsidP="00CD6718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  <w:r w:rsidRPr="00CD6718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>More information</w:t>
      </w:r>
    </w:p>
    <w:p w14:paraId="5B551DAF" w14:textId="77777777" w:rsidR="00CD6718" w:rsidRPr="00CD6718" w:rsidRDefault="00CD6718" w:rsidP="00CD6718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</w:p>
    <w:p w14:paraId="6025DCD3" w14:textId="2E2789FA" w:rsidR="00436F50" w:rsidRPr="00552C57" w:rsidRDefault="00436F50" w:rsidP="00436F50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right="39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any </w:t>
      </w:r>
      <w:r w:rsidR="00074AD9">
        <w:rPr>
          <w:rFonts w:ascii="Arial" w:hAnsi="Arial" w:cs="Arial"/>
          <w:sz w:val="22"/>
          <w:szCs w:val="22"/>
        </w:rPr>
        <w:t xml:space="preserve">enquiries </w:t>
      </w:r>
      <w:r>
        <w:rPr>
          <w:rFonts w:ascii="Arial" w:hAnsi="Arial" w:cs="Arial"/>
          <w:sz w:val="22"/>
          <w:szCs w:val="22"/>
        </w:rPr>
        <w:t>about the above opportunities</w:t>
      </w:r>
      <w:r w:rsidRPr="00D1206B">
        <w:rPr>
          <w:rFonts w:ascii="Arial" w:hAnsi="Arial" w:cs="Arial"/>
          <w:sz w:val="22"/>
          <w:szCs w:val="22"/>
        </w:rPr>
        <w:t xml:space="preserve">, please contact </w:t>
      </w:r>
      <w:r w:rsidR="00074AD9">
        <w:rPr>
          <w:rFonts w:ascii="Arial" w:hAnsi="Arial" w:cs="Arial"/>
          <w:sz w:val="22"/>
          <w:szCs w:val="22"/>
        </w:rPr>
        <w:t xml:space="preserve">Louisa Harrington </w:t>
      </w:r>
      <w:r w:rsidRPr="00D1206B">
        <w:rPr>
          <w:rFonts w:ascii="Arial" w:hAnsi="Arial" w:cs="Arial"/>
          <w:sz w:val="22"/>
          <w:szCs w:val="22"/>
        </w:rPr>
        <w:t xml:space="preserve">on </w:t>
      </w:r>
      <w:r w:rsidRPr="00E93D0E">
        <w:rPr>
          <w:rFonts w:ascii="Arial" w:hAnsi="Arial" w:cs="Arial"/>
          <w:sz w:val="22"/>
          <w:szCs w:val="22"/>
        </w:rPr>
        <w:t>(03</w:t>
      </w:r>
      <w:r w:rsidR="00CD6718" w:rsidRPr="00E93D0E">
        <w:rPr>
          <w:rFonts w:ascii="Arial" w:hAnsi="Arial" w:cs="Arial"/>
          <w:sz w:val="22"/>
          <w:szCs w:val="22"/>
        </w:rPr>
        <w:t>)</w:t>
      </w:r>
      <w:r w:rsidR="00074AD9">
        <w:rPr>
          <w:rFonts w:ascii="Arial" w:hAnsi="Arial" w:cs="Arial"/>
          <w:sz w:val="22"/>
          <w:szCs w:val="22"/>
        </w:rPr>
        <w:t xml:space="preserve"> </w:t>
      </w:r>
      <w:r w:rsidR="00074AD9" w:rsidRPr="00074AD9">
        <w:rPr>
          <w:rFonts w:ascii="Arial" w:hAnsi="Arial" w:cs="Arial"/>
          <w:sz w:val="22"/>
          <w:szCs w:val="22"/>
        </w:rPr>
        <w:t>7022</w:t>
      </w:r>
      <w:r w:rsidR="00074AD9">
        <w:rPr>
          <w:rFonts w:ascii="Arial" w:hAnsi="Arial" w:cs="Arial"/>
          <w:sz w:val="22"/>
          <w:szCs w:val="22"/>
        </w:rPr>
        <w:t xml:space="preserve"> 1462 </w:t>
      </w:r>
      <w:r w:rsidRPr="00D1206B">
        <w:rPr>
          <w:rFonts w:ascii="Arial" w:hAnsi="Arial" w:cs="Arial"/>
          <w:sz w:val="22"/>
          <w:szCs w:val="22"/>
        </w:rPr>
        <w:t>or emai</w:t>
      </w:r>
      <w:r>
        <w:rPr>
          <w:rFonts w:ascii="Arial" w:hAnsi="Arial" w:cs="Arial"/>
          <w:sz w:val="22"/>
          <w:szCs w:val="22"/>
        </w:rPr>
        <w:t xml:space="preserve">l </w:t>
      </w:r>
      <w:hyperlink r:id="rId16" w:history="1">
        <w:r w:rsidRPr="001B5669">
          <w:rPr>
            <w:rStyle w:val="Hyperlink"/>
            <w:rFonts w:ascii="Arial" w:hAnsi="Arial" w:cs="Arial"/>
            <w:sz w:val="22"/>
            <w:szCs w:val="22"/>
          </w:rPr>
          <w:t>learnlocal@edumail.vic.gov.au</w:t>
        </w:r>
      </w:hyperlink>
      <w:r w:rsidRPr="001B566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For more information about the Awards</w:t>
      </w:r>
      <w:r w:rsidR="00074AD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visit </w:t>
      </w:r>
      <w:hyperlink r:id="rId17" w:history="1">
        <w:r w:rsidRPr="00E75DBD">
          <w:rPr>
            <w:rStyle w:val="Hyperlink"/>
            <w:rFonts w:ascii="Arial" w:hAnsi="Arial" w:cs="Arial"/>
            <w:sz w:val="22"/>
            <w:szCs w:val="22"/>
          </w:rPr>
          <w:t>www.education.vic.gov.au/learnlocalawards</w:t>
        </w:r>
      </w:hyperlink>
      <w:r w:rsidR="00CD6718">
        <w:rPr>
          <w:rStyle w:val="Hyperlink"/>
          <w:rFonts w:ascii="Arial" w:hAnsi="Arial" w:cs="Arial"/>
          <w:sz w:val="22"/>
          <w:szCs w:val="22"/>
          <w:u w:val="none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3D60B2" w14:textId="77777777" w:rsidR="00436F50" w:rsidRPr="00D67ED3" w:rsidRDefault="00436F50" w:rsidP="00436F50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right="397"/>
        <w:textAlignment w:val="auto"/>
        <w:rPr>
          <w:rFonts w:ascii="Arial" w:hAnsi="Arial" w:cs="Arial"/>
          <w:sz w:val="22"/>
          <w:szCs w:val="22"/>
        </w:rPr>
      </w:pPr>
    </w:p>
    <w:p w14:paraId="7E8F0B7D" w14:textId="7B94BF55" w:rsidR="00744059" w:rsidRPr="00FC70D6" w:rsidRDefault="00744059" w:rsidP="00FC70D6">
      <w:pPr>
        <w:ind w:right="-268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sectPr w:rsidR="00744059" w:rsidRPr="00FC70D6" w:rsidSect="00612CB1">
      <w:footerReference w:type="first" r:id="rId18"/>
      <w:pgSz w:w="11907" w:h="16840" w:code="9"/>
      <w:pgMar w:top="1134" w:right="992" w:bottom="1134" w:left="99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8EC43" w14:textId="77777777" w:rsidR="00B76DF6" w:rsidRDefault="00B76DF6" w:rsidP="00846881">
      <w:r>
        <w:separator/>
      </w:r>
    </w:p>
  </w:endnote>
  <w:endnote w:type="continuationSeparator" w:id="0">
    <w:p w14:paraId="49FAAE08" w14:textId="77777777" w:rsidR="00B76DF6" w:rsidRDefault="00B76DF6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FA53" w14:textId="101E3FC7"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FF5B1C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2E110DD5" w14:textId="77777777"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870E0" w14:textId="77777777" w:rsidR="00B76DF6" w:rsidRDefault="00B76DF6" w:rsidP="00846881">
      <w:r>
        <w:separator/>
      </w:r>
    </w:p>
  </w:footnote>
  <w:footnote w:type="continuationSeparator" w:id="0">
    <w:p w14:paraId="0A59687C" w14:textId="77777777" w:rsidR="00B76DF6" w:rsidRDefault="00B76DF6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058918"/>
    <w:multiLevelType w:val="hybridMultilevel"/>
    <w:tmpl w:val="42F2F5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1993"/>
    <w:multiLevelType w:val="hybridMultilevel"/>
    <w:tmpl w:val="8EBEBA4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30B318B"/>
    <w:multiLevelType w:val="hybridMultilevel"/>
    <w:tmpl w:val="965A9708"/>
    <w:lvl w:ilvl="0" w:tplc="587031FA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6C637F"/>
    <w:multiLevelType w:val="hybridMultilevel"/>
    <w:tmpl w:val="0B843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55E66"/>
    <w:multiLevelType w:val="hybridMultilevel"/>
    <w:tmpl w:val="5706076A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31A89"/>
    <w:multiLevelType w:val="hybridMultilevel"/>
    <w:tmpl w:val="0F680B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D241F9"/>
    <w:multiLevelType w:val="hybridMultilevel"/>
    <w:tmpl w:val="6FF69ABC"/>
    <w:lvl w:ilvl="0" w:tplc="566CF7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C4818"/>
    <w:multiLevelType w:val="hybridMultilevel"/>
    <w:tmpl w:val="4D345514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C470D6C"/>
    <w:multiLevelType w:val="hybridMultilevel"/>
    <w:tmpl w:val="26144D86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F5726"/>
    <w:multiLevelType w:val="hybridMultilevel"/>
    <w:tmpl w:val="2BF82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3072A"/>
    <w:multiLevelType w:val="hybridMultilevel"/>
    <w:tmpl w:val="F01E6BAC"/>
    <w:lvl w:ilvl="0" w:tplc="566CF77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436A20"/>
    <w:multiLevelType w:val="hybridMultilevel"/>
    <w:tmpl w:val="85BE5A5E"/>
    <w:lvl w:ilvl="0" w:tplc="566CF7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56FE0"/>
    <w:multiLevelType w:val="hybridMultilevel"/>
    <w:tmpl w:val="4730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E8F18"/>
    <w:multiLevelType w:val="hybridMultilevel"/>
    <w:tmpl w:val="C5F778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81E11"/>
    <w:multiLevelType w:val="hybridMultilevel"/>
    <w:tmpl w:val="2DEC2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96162"/>
    <w:multiLevelType w:val="hybridMultilevel"/>
    <w:tmpl w:val="7988BF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5566E"/>
    <w:multiLevelType w:val="hybridMultilevel"/>
    <w:tmpl w:val="E96A1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11055"/>
    <w:multiLevelType w:val="hybridMultilevel"/>
    <w:tmpl w:val="87B0D19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24"/>
  </w:num>
  <w:num w:numId="5">
    <w:abstractNumId w:val="2"/>
  </w:num>
  <w:num w:numId="6">
    <w:abstractNumId w:val="21"/>
  </w:num>
  <w:num w:numId="7">
    <w:abstractNumId w:val="9"/>
  </w:num>
  <w:num w:numId="8">
    <w:abstractNumId w:val="29"/>
  </w:num>
  <w:num w:numId="9">
    <w:abstractNumId w:val="19"/>
  </w:num>
  <w:num w:numId="10">
    <w:abstractNumId w:val="16"/>
  </w:num>
  <w:num w:numId="11">
    <w:abstractNumId w:val="10"/>
  </w:num>
  <w:num w:numId="12">
    <w:abstractNumId w:val="4"/>
  </w:num>
  <w:num w:numId="13">
    <w:abstractNumId w:val="25"/>
  </w:num>
  <w:num w:numId="14">
    <w:abstractNumId w:val="8"/>
  </w:num>
  <w:num w:numId="15">
    <w:abstractNumId w:val="38"/>
  </w:num>
  <w:num w:numId="16">
    <w:abstractNumId w:val="27"/>
  </w:num>
  <w:num w:numId="17">
    <w:abstractNumId w:val="11"/>
  </w:num>
  <w:num w:numId="18">
    <w:abstractNumId w:val="5"/>
  </w:num>
  <w:num w:numId="19">
    <w:abstractNumId w:val="33"/>
  </w:num>
  <w:num w:numId="20">
    <w:abstractNumId w:val="13"/>
  </w:num>
  <w:num w:numId="21">
    <w:abstractNumId w:val="22"/>
  </w:num>
  <w:num w:numId="22">
    <w:abstractNumId w:val="0"/>
  </w:num>
  <w:num w:numId="23">
    <w:abstractNumId w:val="15"/>
  </w:num>
  <w:num w:numId="24">
    <w:abstractNumId w:val="32"/>
  </w:num>
  <w:num w:numId="25">
    <w:abstractNumId w:val="7"/>
  </w:num>
  <w:num w:numId="26">
    <w:abstractNumId w:val="23"/>
  </w:num>
  <w:num w:numId="27">
    <w:abstractNumId w:val="35"/>
  </w:num>
  <w:num w:numId="28">
    <w:abstractNumId w:val="12"/>
  </w:num>
  <w:num w:numId="29">
    <w:abstractNumId w:val="31"/>
  </w:num>
  <w:num w:numId="30">
    <w:abstractNumId w:val="18"/>
  </w:num>
  <w:num w:numId="31">
    <w:abstractNumId w:val="20"/>
  </w:num>
  <w:num w:numId="32">
    <w:abstractNumId w:val="14"/>
  </w:num>
  <w:num w:numId="33">
    <w:abstractNumId w:val="34"/>
  </w:num>
  <w:num w:numId="34">
    <w:abstractNumId w:val="28"/>
  </w:num>
  <w:num w:numId="35">
    <w:abstractNumId w:val="26"/>
  </w:num>
  <w:num w:numId="36">
    <w:abstractNumId w:val="17"/>
  </w:num>
  <w:num w:numId="37">
    <w:abstractNumId w:val="36"/>
  </w:num>
  <w:num w:numId="38">
    <w:abstractNumId w:val="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47C66"/>
    <w:rsid w:val="00060214"/>
    <w:rsid w:val="00060EA4"/>
    <w:rsid w:val="000701E5"/>
    <w:rsid w:val="00074AD9"/>
    <w:rsid w:val="0008021C"/>
    <w:rsid w:val="000901F6"/>
    <w:rsid w:val="000A1224"/>
    <w:rsid w:val="000A28AF"/>
    <w:rsid w:val="000C3558"/>
    <w:rsid w:val="000C3753"/>
    <w:rsid w:val="000C782C"/>
    <w:rsid w:val="0010238B"/>
    <w:rsid w:val="00103253"/>
    <w:rsid w:val="00105130"/>
    <w:rsid w:val="001079BD"/>
    <w:rsid w:val="0011333F"/>
    <w:rsid w:val="001214D4"/>
    <w:rsid w:val="00125617"/>
    <w:rsid w:val="00140718"/>
    <w:rsid w:val="001411A4"/>
    <w:rsid w:val="00154ECF"/>
    <w:rsid w:val="00181F47"/>
    <w:rsid w:val="001860F8"/>
    <w:rsid w:val="001A352C"/>
    <w:rsid w:val="001C0117"/>
    <w:rsid w:val="001C0BDB"/>
    <w:rsid w:val="001C4930"/>
    <w:rsid w:val="001D2F77"/>
    <w:rsid w:val="001E4F45"/>
    <w:rsid w:val="001F4230"/>
    <w:rsid w:val="002016A9"/>
    <w:rsid w:val="00201D8D"/>
    <w:rsid w:val="00206E94"/>
    <w:rsid w:val="00213CB1"/>
    <w:rsid w:val="0022166C"/>
    <w:rsid w:val="00231621"/>
    <w:rsid w:val="00234DCA"/>
    <w:rsid w:val="002373E3"/>
    <w:rsid w:val="00241DCD"/>
    <w:rsid w:val="00242E0D"/>
    <w:rsid w:val="00254C93"/>
    <w:rsid w:val="0025725C"/>
    <w:rsid w:val="002622A7"/>
    <w:rsid w:val="00264866"/>
    <w:rsid w:val="002774C1"/>
    <w:rsid w:val="002823DF"/>
    <w:rsid w:val="002831C1"/>
    <w:rsid w:val="00284B19"/>
    <w:rsid w:val="0029046F"/>
    <w:rsid w:val="002938CF"/>
    <w:rsid w:val="002A24E2"/>
    <w:rsid w:val="002A30E8"/>
    <w:rsid w:val="002A7DC6"/>
    <w:rsid w:val="002B0955"/>
    <w:rsid w:val="002B15E5"/>
    <w:rsid w:val="002B61F2"/>
    <w:rsid w:val="002D610A"/>
    <w:rsid w:val="00305553"/>
    <w:rsid w:val="003079DD"/>
    <w:rsid w:val="003150C7"/>
    <w:rsid w:val="00331F3B"/>
    <w:rsid w:val="00340366"/>
    <w:rsid w:val="00344076"/>
    <w:rsid w:val="00352C50"/>
    <w:rsid w:val="00355714"/>
    <w:rsid w:val="00357F20"/>
    <w:rsid w:val="00372478"/>
    <w:rsid w:val="00384947"/>
    <w:rsid w:val="003966A5"/>
    <w:rsid w:val="003A3202"/>
    <w:rsid w:val="003B2C9D"/>
    <w:rsid w:val="003B5FFA"/>
    <w:rsid w:val="003B7B63"/>
    <w:rsid w:val="003C2438"/>
    <w:rsid w:val="003D454C"/>
    <w:rsid w:val="003F0B63"/>
    <w:rsid w:val="003F3A54"/>
    <w:rsid w:val="003F3D59"/>
    <w:rsid w:val="003F640F"/>
    <w:rsid w:val="00425BD4"/>
    <w:rsid w:val="0042735E"/>
    <w:rsid w:val="004304A3"/>
    <w:rsid w:val="00436F50"/>
    <w:rsid w:val="0044416E"/>
    <w:rsid w:val="00453CAD"/>
    <w:rsid w:val="00456439"/>
    <w:rsid w:val="004604A8"/>
    <w:rsid w:val="0046426B"/>
    <w:rsid w:val="0046510E"/>
    <w:rsid w:val="0048144F"/>
    <w:rsid w:val="00486662"/>
    <w:rsid w:val="00495B06"/>
    <w:rsid w:val="004A1C7D"/>
    <w:rsid w:val="004B182C"/>
    <w:rsid w:val="004C32C0"/>
    <w:rsid w:val="004C7772"/>
    <w:rsid w:val="004E29A2"/>
    <w:rsid w:val="004E42D2"/>
    <w:rsid w:val="00505EC2"/>
    <w:rsid w:val="00506F42"/>
    <w:rsid w:val="0051050C"/>
    <w:rsid w:val="00522F55"/>
    <w:rsid w:val="00536911"/>
    <w:rsid w:val="00540C9F"/>
    <w:rsid w:val="00545CC1"/>
    <w:rsid w:val="005543E8"/>
    <w:rsid w:val="00583630"/>
    <w:rsid w:val="00590B75"/>
    <w:rsid w:val="005B4272"/>
    <w:rsid w:val="005B4815"/>
    <w:rsid w:val="005C1649"/>
    <w:rsid w:val="005C5D77"/>
    <w:rsid w:val="005E1085"/>
    <w:rsid w:val="005F153D"/>
    <w:rsid w:val="00612CB1"/>
    <w:rsid w:val="006254CC"/>
    <w:rsid w:val="00626260"/>
    <w:rsid w:val="006277E9"/>
    <w:rsid w:val="006344F3"/>
    <w:rsid w:val="00637786"/>
    <w:rsid w:val="006409D9"/>
    <w:rsid w:val="006411D4"/>
    <w:rsid w:val="00651785"/>
    <w:rsid w:val="00660A2B"/>
    <w:rsid w:val="006834B9"/>
    <w:rsid w:val="00687039"/>
    <w:rsid w:val="006935A8"/>
    <w:rsid w:val="00696854"/>
    <w:rsid w:val="006A1696"/>
    <w:rsid w:val="006A303A"/>
    <w:rsid w:val="006A5387"/>
    <w:rsid w:val="006B4C10"/>
    <w:rsid w:val="006D4561"/>
    <w:rsid w:val="006E21EB"/>
    <w:rsid w:val="006F5334"/>
    <w:rsid w:val="00717852"/>
    <w:rsid w:val="00724EB2"/>
    <w:rsid w:val="00744059"/>
    <w:rsid w:val="007602BC"/>
    <w:rsid w:val="0076398D"/>
    <w:rsid w:val="00764A0A"/>
    <w:rsid w:val="00770AF9"/>
    <w:rsid w:val="007716FE"/>
    <w:rsid w:val="00772628"/>
    <w:rsid w:val="00782136"/>
    <w:rsid w:val="0078317F"/>
    <w:rsid w:val="00790C20"/>
    <w:rsid w:val="0079289D"/>
    <w:rsid w:val="007951E1"/>
    <w:rsid w:val="007A3F91"/>
    <w:rsid w:val="007D590F"/>
    <w:rsid w:val="007D5961"/>
    <w:rsid w:val="007D785F"/>
    <w:rsid w:val="007E360A"/>
    <w:rsid w:val="007E59F5"/>
    <w:rsid w:val="00812856"/>
    <w:rsid w:val="008317C7"/>
    <w:rsid w:val="0083788A"/>
    <w:rsid w:val="00846881"/>
    <w:rsid w:val="0085253B"/>
    <w:rsid w:val="008545F6"/>
    <w:rsid w:val="008601A4"/>
    <w:rsid w:val="00865959"/>
    <w:rsid w:val="00867D3A"/>
    <w:rsid w:val="008736BC"/>
    <w:rsid w:val="00875751"/>
    <w:rsid w:val="00880ACA"/>
    <w:rsid w:val="008857D2"/>
    <w:rsid w:val="0089186A"/>
    <w:rsid w:val="008D5441"/>
    <w:rsid w:val="008E2680"/>
    <w:rsid w:val="008E2DD6"/>
    <w:rsid w:val="008E53DE"/>
    <w:rsid w:val="008F0496"/>
    <w:rsid w:val="008F3646"/>
    <w:rsid w:val="00903B41"/>
    <w:rsid w:val="0092614A"/>
    <w:rsid w:val="00933C17"/>
    <w:rsid w:val="009548AD"/>
    <w:rsid w:val="00965E53"/>
    <w:rsid w:val="009706F1"/>
    <w:rsid w:val="00974561"/>
    <w:rsid w:val="00982579"/>
    <w:rsid w:val="009843BA"/>
    <w:rsid w:val="0099526E"/>
    <w:rsid w:val="009966E3"/>
    <w:rsid w:val="009B5012"/>
    <w:rsid w:val="009C2EC2"/>
    <w:rsid w:val="009C7B4C"/>
    <w:rsid w:val="009D5D01"/>
    <w:rsid w:val="009D6484"/>
    <w:rsid w:val="009D7458"/>
    <w:rsid w:val="009E3636"/>
    <w:rsid w:val="00A011F2"/>
    <w:rsid w:val="00A02E0E"/>
    <w:rsid w:val="00A07C24"/>
    <w:rsid w:val="00A14B2D"/>
    <w:rsid w:val="00A2083F"/>
    <w:rsid w:val="00A24A30"/>
    <w:rsid w:val="00A30E35"/>
    <w:rsid w:val="00A35E6C"/>
    <w:rsid w:val="00A722D4"/>
    <w:rsid w:val="00A83FB3"/>
    <w:rsid w:val="00A9135E"/>
    <w:rsid w:val="00A93E21"/>
    <w:rsid w:val="00AA3FCF"/>
    <w:rsid w:val="00AB3BB4"/>
    <w:rsid w:val="00AC402D"/>
    <w:rsid w:val="00AD0AF3"/>
    <w:rsid w:val="00AD6A4D"/>
    <w:rsid w:val="00AE59A4"/>
    <w:rsid w:val="00AF0514"/>
    <w:rsid w:val="00B05E0A"/>
    <w:rsid w:val="00B0795B"/>
    <w:rsid w:val="00B1740E"/>
    <w:rsid w:val="00B211FC"/>
    <w:rsid w:val="00B25302"/>
    <w:rsid w:val="00B30164"/>
    <w:rsid w:val="00B30654"/>
    <w:rsid w:val="00B33E4F"/>
    <w:rsid w:val="00B35761"/>
    <w:rsid w:val="00B41E45"/>
    <w:rsid w:val="00B5136F"/>
    <w:rsid w:val="00B56E36"/>
    <w:rsid w:val="00B60DDD"/>
    <w:rsid w:val="00B632F5"/>
    <w:rsid w:val="00B72FE6"/>
    <w:rsid w:val="00B76DF6"/>
    <w:rsid w:val="00B9287B"/>
    <w:rsid w:val="00B950AB"/>
    <w:rsid w:val="00BB4A46"/>
    <w:rsid w:val="00BB6020"/>
    <w:rsid w:val="00BD14FE"/>
    <w:rsid w:val="00BD2F53"/>
    <w:rsid w:val="00BE143C"/>
    <w:rsid w:val="00BF5B84"/>
    <w:rsid w:val="00C151BB"/>
    <w:rsid w:val="00C34357"/>
    <w:rsid w:val="00C373FC"/>
    <w:rsid w:val="00C41DBB"/>
    <w:rsid w:val="00C45933"/>
    <w:rsid w:val="00C46FA8"/>
    <w:rsid w:val="00C54A33"/>
    <w:rsid w:val="00C579E9"/>
    <w:rsid w:val="00C60EAE"/>
    <w:rsid w:val="00C75A39"/>
    <w:rsid w:val="00C83B90"/>
    <w:rsid w:val="00C85689"/>
    <w:rsid w:val="00CA0D2E"/>
    <w:rsid w:val="00CA2D61"/>
    <w:rsid w:val="00CB16A1"/>
    <w:rsid w:val="00CB2C50"/>
    <w:rsid w:val="00CB3905"/>
    <w:rsid w:val="00CD0632"/>
    <w:rsid w:val="00CD6718"/>
    <w:rsid w:val="00CE69B8"/>
    <w:rsid w:val="00CF02AB"/>
    <w:rsid w:val="00CF2F69"/>
    <w:rsid w:val="00CF35E5"/>
    <w:rsid w:val="00CF6891"/>
    <w:rsid w:val="00D17D77"/>
    <w:rsid w:val="00D31442"/>
    <w:rsid w:val="00D33418"/>
    <w:rsid w:val="00D53A53"/>
    <w:rsid w:val="00D57B74"/>
    <w:rsid w:val="00D60148"/>
    <w:rsid w:val="00D674D8"/>
    <w:rsid w:val="00D75CEB"/>
    <w:rsid w:val="00D813EA"/>
    <w:rsid w:val="00DB0BCD"/>
    <w:rsid w:val="00DB7126"/>
    <w:rsid w:val="00DD1E44"/>
    <w:rsid w:val="00DD6095"/>
    <w:rsid w:val="00DD6855"/>
    <w:rsid w:val="00DE0F38"/>
    <w:rsid w:val="00E003D3"/>
    <w:rsid w:val="00E05620"/>
    <w:rsid w:val="00E320A4"/>
    <w:rsid w:val="00E526E0"/>
    <w:rsid w:val="00E75548"/>
    <w:rsid w:val="00E83151"/>
    <w:rsid w:val="00E8321E"/>
    <w:rsid w:val="00E91E6B"/>
    <w:rsid w:val="00E92ADE"/>
    <w:rsid w:val="00E93D0E"/>
    <w:rsid w:val="00E97867"/>
    <w:rsid w:val="00EA2B5D"/>
    <w:rsid w:val="00EB08D9"/>
    <w:rsid w:val="00EB4473"/>
    <w:rsid w:val="00EB7001"/>
    <w:rsid w:val="00ED2074"/>
    <w:rsid w:val="00EE1B4E"/>
    <w:rsid w:val="00EE4BD9"/>
    <w:rsid w:val="00EE5E95"/>
    <w:rsid w:val="00F11CAC"/>
    <w:rsid w:val="00F13297"/>
    <w:rsid w:val="00F17667"/>
    <w:rsid w:val="00F24B4E"/>
    <w:rsid w:val="00F30F82"/>
    <w:rsid w:val="00F343D3"/>
    <w:rsid w:val="00F47367"/>
    <w:rsid w:val="00F61274"/>
    <w:rsid w:val="00F6295E"/>
    <w:rsid w:val="00F8182D"/>
    <w:rsid w:val="00F85C42"/>
    <w:rsid w:val="00F8781E"/>
    <w:rsid w:val="00F93F26"/>
    <w:rsid w:val="00FA2DAA"/>
    <w:rsid w:val="00FB20BE"/>
    <w:rsid w:val="00FC6923"/>
    <w:rsid w:val="00FC70D6"/>
    <w:rsid w:val="00FD6F89"/>
    <w:rsid w:val="00FE4C1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82CB2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D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Point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440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0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05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Documents/training/providers/learnlocal/memo/2019/pbmemo20190423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about/awards/Pages/learnlocal.aspx?Redirect=1" TargetMode="External"/><Relationship Id="rId17" Type="http://schemas.openxmlformats.org/officeDocument/2006/relationships/hyperlink" Target="http://www.education.vic.gov.au/learnlocalaw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arnlocal@edumail.vic.gov.au" TargetMode="Externa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yperlink" Target="mailto:learnlocal@edumail.vic.gov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earnlocal@edumail.vic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Branch memo regarding EOI for entertainment and table decorations for Learn Local Awards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5B5E7-8C45-4A02-B68D-5D97C563F4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086703-6398-4C3F-ADAD-F6042BE25E1D}"/>
</file>

<file path=customXml/itemProps3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C5E557-448B-4F78-83BE-FBA6BAE0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PIRE memo 1 April 2019</vt:lpstr>
    </vt:vector>
  </TitlesOfParts>
  <Company>Dept. Of Education and Training (DE&amp;T)</Company>
  <LinksUpToDate>false</LinksUpToDate>
  <CharactersWithSpaces>3477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PIRE memo 1 April 2019</dc:title>
  <dc:creator>08306670</dc:creator>
  <cp:lastModifiedBy>Georgie Marinucci</cp:lastModifiedBy>
  <cp:revision>3</cp:revision>
  <cp:lastPrinted>2019-04-28T22:52:00Z</cp:lastPrinted>
  <dcterms:created xsi:type="dcterms:W3CDTF">2019-05-14T03:34:00Z</dcterms:created>
  <dcterms:modified xsi:type="dcterms:W3CDTF">2019-05-14T03:36:00Z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