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5DF9" w14:textId="77777777" w:rsidR="00FC70D6" w:rsidRPr="00FC70D6" w:rsidRDefault="00FC70D6" w:rsidP="00FC70D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5496"/>
          <w:sz w:val="32"/>
          <w:szCs w:val="32"/>
          <w:lang w:val="en"/>
        </w:rPr>
      </w:pPr>
      <w:r w:rsidRPr="00FC70D6">
        <w:rPr>
          <w:rFonts w:ascii="Arial" w:hAnsi="Arial" w:cs="Arial"/>
          <w:color w:val="2F5496"/>
          <w:sz w:val="32"/>
          <w:szCs w:val="32"/>
          <w:lang w:val="en"/>
        </w:rPr>
        <w:t>Department of Education and Training</w:t>
      </w:r>
    </w:p>
    <w:p w14:paraId="53FA11B7" w14:textId="77777777" w:rsidR="00FC70D6" w:rsidRPr="00FC70D6" w:rsidRDefault="00FC70D6" w:rsidP="00FC70D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5496"/>
          <w:sz w:val="32"/>
          <w:szCs w:val="32"/>
          <w:lang w:val="en"/>
        </w:rPr>
      </w:pPr>
      <w:r w:rsidRPr="00FC70D6">
        <w:rPr>
          <w:rFonts w:ascii="Arial" w:hAnsi="Arial" w:cs="Arial"/>
          <w:color w:val="2F5496"/>
          <w:sz w:val="32"/>
          <w:szCs w:val="32"/>
          <w:lang w:val="en"/>
        </w:rPr>
        <w:t>Higher Education and Skills Group</w:t>
      </w:r>
    </w:p>
    <w:p w14:paraId="3B8687DA" w14:textId="77777777" w:rsidR="00FC70D6" w:rsidRPr="00FC70D6" w:rsidRDefault="00FC70D6" w:rsidP="00FC70D6">
      <w:pPr>
        <w:overflowPunct/>
        <w:autoSpaceDE/>
        <w:autoSpaceDN/>
        <w:adjustRightInd/>
        <w:spacing w:before="200" w:after="200"/>
        <w:textAlignment w:val="auto"/>
        <w:rPr>
          <w:rFonts w:ascii="Arial" w:hAnsi="Arial" w:cs="Arial"/>
          <w:color w:val="2F5496"/>
          <w:sz w:val="22"/>
          <w:szCs w:val="24"/>
          <w:lang w:val="en"/>
        </w:rPr>
      </w:pPr>
      <w:r w:rsidRPr="00FC70D6">
        <w:rPr>
          <w:rFonts w:ascii="Arial" w:hAnsi="Arial" w:cs="Arial"/>
          <w:color w:val="2F5496"/>
          <w:sz w:val="22"/>
          <w:szCs w:val="24"/>
          <w:lang w:val="en"/>
        </w:rPr>
        <w:t>Participation, Inclusion and Regional Engagement — Branch Memo</w:t>
      </w:r>
    </w:p>
    <w:p w14:paraId="4464DEEA" w14:textId="7F3042C2" w:rsidR="003B21E5" w:rsidRDefault="00FC70D6" w:rsidP="005323C5">
      <w:pPr>
        <w:overflowPunct/>
        <w:autoSpaceDE/>
        <w:autoSpaceDN/>
        <w:adjustRightInd/>
        <w:ind w:left="1440" w:hanging="144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4"/>
          <w:lang w:val="en-GB" w:eastAsia="en-US"/>
        </w:rPr>
        <w:t>TO:</w:t>
      </w:r>
      <w:r w:rsidR="005323C5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Registered</w:t>
      </w:r>
      <w:r w:rsidRPr="00FC70D6">
        <w:rPr>
          <w:rFonts w:ascii="Arial" w:hAnsi="Arial" w:cs="Arial"/>
          <w:b/>
          <w:color w:val="000000"/>
          <w:sz w:val="22"/>
          <w:szCs w:val="24"/>
          <w:lang w:val="en-GB" w:eastAsia="en-US"/>
        </w:rPr>
        <w:t xml:space="preserve"> 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Learn Local providers</w:t>
      </w:r>
      <w:r w:rsidR="003B21E5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 – All</w:t>
      </w:r>
    </w:p>
    <w:p w14:paraId="201E5D99" w14:textId="77777777" w:rsidR="003B21E5" w:rsidRDefault="003B21E5" w:rsidP="003B21E5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>
        <w:rPr>
          <w:rFonts w:ascii="Arial" w:hAnsi="Arial" w:cs="Arial"/>
          <w:color w:val="000000"/>
          <w:sz w:val="22"/>
          <w:szCs w:val="24"/>
          <w:lang w:val="en-GB" w:eastAsia="en-US"/>
        </w:rPr>
        <w:t>ACFE Board</w:t>
      </w:r>
    </w:p>
    <w:p w14:paraId="287B6863" w14:textId="77777777" w:rsidR="003B21E5" w:rsidRDefault="003B21E5" w:rsidP="003B21E5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>
        <w:rPr>
          <w:rFonts w:ascii="Arial" w:hAnsi="Arial" w:cs="Arial"/>
          <w:color w:val="000000"/>
          <w:sz w:val="22"/>
          <w:szCs w:val="24"/>
          <w:lang w:val="en-GB" w:eastAsia="en-US"/>
        </w:rPr>
        <w:t>ACFE Regional Councils</w:t>
      </w:r>
    </w:p>
    <w:p w14:paraId="7C3A024A" w14:textId="77777777" w:rsidR="003B21E5" w:rsidRDefault="003B21E5" w:rsidP="003B21E5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>
        <w:rPr>
          <w:rFonts w:ascii="Arial" w:hAnsi="Arial" w:cs="Arial"/>
          <w:color w:val="000000"/>
          <w:sz w:val="22"/>
          <w:szCs w:val="24"/>
          <w:lang w:val="en-GB" w:eastAsia="en-US"/>
        </w:rPr>
        <w:t>Adult Education Institutions</w:t>
      </w:r>
    </w:p>
    <w:p w14:paraId="0EE9AE42" w14:textId="77777777" w:rsidR="003B21E5" w:rsidRDefault="003B21E5" w:rsidP="003B21E5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>
        <w:rPr>
          <w:rFonts w:ascii="Arial" w:hAnsi="Arial" w:cs="Arial"/>
          <w:color w:val="000000"/>
          <w:sz w:val="22"/>
          <w:szCs w:val="24"/>
          <w:lang w:val="en-GB" w:eastAsia="en-US"/>
        </w:rPr>
        <w:t>Peak Bodies &amp; Key Stakeholders</w:t>
      </w:r>
    </w:p>
    <w:p w14:paraId="66B497E5" w14:textId="7E474331" w:rsidR="00FC70D6" w:rsidRPr="00FC70D6" w:rsidRDefault="005323C5" w:rsidP="003B21E5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>
        <w:rPr>
          <w:rFonts w:ascii="Arial" w:hAnsi="Arial" w:cs="Arial"/>
          <w:color w:val="000000"/>
          <w:sz w:val="22"/>
          <w:szCs w:val="24"/>
          <w:lang w:val="en-GB" w:eastAsia="en-US"/>
        </w:rPr>
        <w:t>PIRE Branch Staff</w:t>
      </w:r>
      <w:r w:rsidR="00FC70D6"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 </w:t>
      </w:r>
    </w:p>
    <w:p w14:paraId="39342188" w14:textId="77777777"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color w:val="000000"/>
          <w:sz w:val="22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FROM: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Ryan Collins, Director </w:t>
      </w:r>
      <w:r w:rsidRPr="00FC70D6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— 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Participation, Inclusion and Regional Engagement Branch</w:t>
      </w:r>
    </w:p>
    <w:p w14:paraId="1FF7231E" w14:textId="54D7BA7A"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DATE: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FE435D">
        <w:rPr>
          <w:rFonts w:ascii="Arial" w:hAnsi="Arial" w:cs="Arial"/>
          <w:color w:val="000000"/>
          <w:sz w:val="22"/>
          <w:szCs w:val="22"/>
          <w:lang w:val="en-GB" w:eastAsia="en-US"/>
        </w:rPr>
        <w:t>23</w:t>
      </w:r>
      <w:r w:rsidRPr="00FC70D6">
        <w:rPr>
          <w:rFonts w:ascii="Arial" w:hAnsi="Arial" w:cs="Arial"/>
          <w:color w:val="000000"/>
          <w:sz w:val="22"/>
          <w:szCs w:val="22"/>
          <w:lang w:val="en-GB" w:eastAsia="en-US"/>
        </w:rPr>
        <w:t>/04/2019</w:t>
      </w:r>
    </w:p>
    <w:p w14:paraId="670AFF07" w14:textId="110B5FEF"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color w:val="000000"/>
          <w:sz w:val="22"/>
          <w:lang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SUBJECT: 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  <w:t xml:space="preserve">2019 </w:t>
      </w:r>
      <w:r w:rsidR="003364C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Learn Local Course Guides</w:t>
      </w:r>
    </w:p>
    <w:p w14:paraId="1544A9F6" w14:textId="41F203E4" w:rsidR="00974561" w:rsidRPr="00974561" w:rsidRDefault="00974561" w:rsidP="00974561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color w:val="5B9BD5"/>
          <w:sz w:val="22"/>
          <w:szCs w:val="22"/>
          <w:lang w:val="en"/>
        </w:rPr>
      </w:pPr>
    </w:p>
    <w:p w14:paraId="0638F04D" w14:textId="77777777" w:rsidR="00974561" w:rsidRPr="00974561" w:rsidRDefault="00974561" w:rsidP="00974561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2F5496"/>
          <w:sz w:val="22"/>
          <w:szCs w:val="22"/>
          <w:lang w:val="en"/>
        </w:rPr>
      </w:pPr>
      <w:r w:rsidRPr="00974561">
        <w:rPr>
          <w:rFonts w:ascii="Arial" w:hAnsi="Arial" w:cs="Arial"/>
          <w:color w:val="2F5496"/>
          <w:sz w:val="22"/>
          <w:szCs w:val="22"/>
          <w:lang w:val="en"/>
        </w:rPr>
        <w:t>Actions</w:t>
      </w:r>
    </w:p>
    <w:p w14:paraId="51677AB6" w14:textId="77777777" w:rsidR="00974561" w:rsidRPr="00974561" w:rsidRDefault="00974561" w:rsidP="0097456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lang w:val="en"/>
        </w:rPr>
      </w:pPr>
    </w:p>
    <w:p w14:paraId="09DB6F90" w14:textId="14240759" w:rsidR="00974561" w:rsidRPr="00974561" w:rsidRDefault="003364CA" w:rsidP="00974561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Distribute Learn Local Course Guides to key organisation contacts in your local community</w:t>
      </w:r>
      <w:r w:rsidR="00974561" w:rsidRPr="0097456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425399D0" w14:textId="05EBB7F2" w:rsidR="00974561" w:rsidRPr="00F85C42" w:rsidRDefault="003364CA" w:rsidP="00974561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Provide any</w:t>
      </w:r>
      <w:r w:rsidR="00B3040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surplus </w:t>
      </w:r>
      <w:bookmarkStart w:id="0" w:name="_GoBack"/>
      <w:bookmarkEnd w:id="0"/>
      <w:r w:rsidR="00B3040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Guides to your regional c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ontacts for reallocation if necessary</w:t>
      </w:r>
    </w:p>
    <w:p w14:paraId="5D0343CC" w14:textId="77777777" w:rsidR="00F85C42" w:rsidRPr="00974561" w:rsidRDefault="00F85C42" w:rsidP="00F85C42">
      <w:pPr>
        <w:overflowPunct/>
        <w:autoSpaceDE/>
        <w:autoSpaceDN/>
        <w:adjustRightInd/>
        <w:spacing w:after="200" w:line="276" w:lineRule="auto"/>
        <w:ind w:left="360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C40AABD" w14:textId="77777777" w:rsidR="00974561" w:rsidRPr="00974561" w:rsidRDefault="00974561" w:rsidP="00974561">
      <w:pPr>
        <w:pBdr>
          <w:top w:val="single" w:sz="4" w:space="1" w:color="auto"/>
        </w:pBdr>
        <w:overflowPunct/>
        <w:autoSpaceDE/>
        <w:autoSpaceDN/>
        <w:adjustRightInd/>
        <w:spacing w:before="200"/>
        <w:textAlignment w:val="auto"/>
        <w:rPr>
          <w:rFonts w:ascii="Arial" w:hAnsi="Arial" w:cs="Arial"/>
          <w:color w:val="000000"/>
          <w:sz w:val="22"/>
          <w:szCs w:val="22"/>
          <w:lang w:val="en"/>
        </w:rPr>
      </w:pPr>
    </w:p>
    <w:p w14:paraId="3B9110F7" w14:textId="4899AE18" w:rsidR="00974561" w:rsidRPr="00974561" w:rsidRDefault="00974561" w:rsidP="00974561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 w:rsidRPr="00974561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 xml:space="preserve">2019 </w:t>
      </w:r>
      <w:r w:rsidR="003364CA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>Learn Local Course Guide</w:t>
      </w:r>
    </w:p>
    <w:p w14:paraId="4965D355" w14:textId="2B61898B" w:rsidR="00974561" w:rsidRPr="00FC70D6" w:rsidRDefault="00974561" w:rsidP="00FC70D6">
      <w:pPr>
        <w:rPr>
          <w:rFonts w:ascii="Arial" w:hAnsi="Arial" w:cs="Arial"/>
          <w:sz w:val="22"/>
          <w:szCs w:val="22"/>
          <w:lang w:val="en"/>
        </w:rPr>
      </w:pPr>
    </w:p>
    <w:p w14:paraId="74D293FA" w14:textId="543AC12B" w:rsidR="008908E1" w:rsidRDefault="008908E1" w:rsidP="00941A43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Earlier this year</w:t>
      </w:r>
      <w:r w:rsidR="00B30403">
        <w:rPr>
          <w:rFonts w:ascii="Arial" w:hAnsi="Arial" w:cs="Arial"/>
          <w:sz w:val="22"/>
          <w:szCs w:val="22"/>
          <w:lang w:val="en"/>
        </w:rPr>
        <w:t>,</w:t>
      </w:r>
      <w:r>
        <w:rPr>
          <w:rFonts w:ascii="Arial" w:hAnsi="Arial" w:cs="Arial"/>
          <w:sz w:val="22"/>
          <w:szCs w:val="22"/>
          <w:lang w:val="en"/>
        </w:rPr>
        <w:t xml:space="preserve"> a Learn Local Course Guide was developed and trial</w:t>
      </w:r>
      <w:r w:rsidR="00B30403">
        <w:rPr>
          <w:rFonts w:ascii="Arial" w:hAnsi="Arial" w:cs="Arial"/>
          <w:sz w:val="22"/>
          <w:szCs w:val="22"/>
          <w:lang w:val="en"/>
        </w:rPr>
        <w:t>l</w:t>
      </w:r>
      <w:r>
        <w:rPr>
          <w:rFonts w:ascii="Arial" w:hAnsi="Arial" w:cs="Arial"/>
          <w:sz w:val="22"/>
          <w:szCs w:val="22"/>
          <w:lang w:val="en"/>
        </w:rPr>
        <w:t xml:space="preserve">ed for the Gippsland Region.  </w:t>
      </w:r>
      <w:r w:rsidR="00B30403">
        <w:rPr>
          <w:rFonts w:ascii="Arial" w:hAnsi="Arial" w:cs="Arial"/>
          <w:sz w:val="22"/>
          <w:szCs w:val="22"/>
          <w:lang w:val="en"/>
        </w:rPr>
        <w:t>The Guide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B30403">
        <w:rPr>
          <w:rFonts w:ascii="Arial" w:hAnsi="Arial" w:cs="Arial"/>
          <w:sz w:val="22"/>
          <w:szCs w:val="22"/>
          <w:lang w:val="en"/>
        </w:rPr>
        <w:t>was l</w:t>
      </w:r>
      <w:r w:rsidR="00B30403">
        <w:rPr>
          <w:rFonts w:ascii="Arial" w:hAnsi="Arial" w:cs="Arial"/>
          <w:sz w:val="22"/>
          <w:szCs w:val="22"/>
          <w:lang w:val="en"/>
        </w:rPr>
        <w:t>aunched by the Minister for Training and Skills</w:t>
      </w:r>
      <w:r w:rsidR="00B30403">
        <w:rPr>
          <w:rFonts w:ascii="Arial" w:hAnsi="Arial" w:cs="Arial"/>
          <w:sz w:val="22"/>
          <w:szCs w:val="22"/>
          <w:lang w:val="en"/>
        </w:rPr>
        <w:t xml:space="preserve"> and has been </w:t>
      </w:r>
      <w:r>
        <w:rPr>
          <w:rFonts w:ascii="Arial" w:hAnsi="Arial" w:cs="Arial"/>
          <w:sz w:val="22"/>
          <w:szCs w:val="22"/>
          <w:lang w:val="en"/>
        </w:rPr>
        <w:t>strongly endor</w:t>
      </w:r>
      <w:r w:rsidR="00E13748">
        <w:rPr>
          <w:rFonts w:ascii="Arial" w:hAnsi="Arial" w:cs="Arial"/>
          <w:sz w:val="22"/>
          <w:szCs w:val="22"/>
          <w:lang w:val="en"/>
        </w:rPr>
        <w:t xml:space="preserve">sed by Learn Local providers </w:t>
      </w:r>
      <w:r>
        <w:rPr>
          <w:rFonts w:ascii="Arial" w:hAnsi="Arial" w:cs="Arial"/>
          <w:sz w:val="22"/>
          <w:szCs w:val="22"/>
          <w:lang w:val="en"/>
        </w:rPr>
        <w:t>as a valuable marketing and promotion tool</w:t>
      </w:r>
      <w:r w:rsidR="00B30403">
        <w:rPr>
          <w:rFonts w:ascii="Arial" w:hAnsi="Arial" w:cs="Arial"/>
          <w:sz w:val="22"/>
          <w:szCs w:val="22"/>
          <w:lang w:val="en"/>
        </w:rPr>
        <w:t>. It has also been well received by potential learners</w:t>
      </w:r>
      <w:r>
        <w:rPr>
          <w:rFonts w:ascii="Arial" w:hAnsi="Arial" w:cs="Arial"/>
          <w:sz w:val="22"/>
          <w:szCs w:val="22"/>
          <w:lang w:val="en"/>
        </w:rPr>
        <w:t xml:space="preserve">.  This success has prompted the development of similar </w:t>
      </w:r>
      <w:r w:rsidR="00B30403">
        <w:rPr>
          <w:rFonts w:ascii="Arial" w:hAnsi="Arial" w:cs="Arial"/>
          <w:sz w:val="22"/>
          <w:szCs w:val="22"/>
          <w:lang w:val="en"/>
        </w:rPr>
        <w:t>g</w:t>
      </w:r>
      <w:r>
        <w:rPr>
          <w:rFonts w:ascii="Arial" w:hAnsi="Arial" w:cs="Arial"/>
          <w:sz w:val="22"/>
          <w:szCs w:val="22"/>
          <w:lang w:val="en"/>
        </w:rPr>
        <w:t xml:space="preserve">uides across the State.  </w:t>
      </w:r>
    </w:p>
    <w:p w14:paraId="10858E39" w14:textId="77777777" w:rsidR="008908E1" w:rsidRDefault="008908E1" w:rsidP="00941A43">
      <w:pPr>
        <w:rPr>
          <w:rFonts w:ascii="Arial" w:hAnsi="Arial" w:cs="Arial"/>
          <w:sz w:val="22"/>
          <w:szCs w:val="22"/>
          <w:lang w:val="en"/>
        </w:rPr>
      </w:pPr>
    </w:p>
    <w:p w14:paraId="6C8F14F1" w14:textId="1E56435E" w:rsidR="00873711" w:rsidRDefault="00873711" w:rsidP="00941A43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purpose of the Guide</w:t>
      </w:r>
      <w:r w:rsidR="00F675A7">
        <w:rPr>
          <w:rFonts w:ascii="Arial" w:hAnsi="Arial" w:cs="Arial"/>
          <w:sz w:val="22"/>
          <w:szCs w:val="22"/>
          <w:lang w:val="en"/>
        </w:rPr>
        <w:t>s</w:t>
      </w:r>
      <w:r>
        <w:rPr>
          <w:rFonts w:ascii="Arial" w:hAnsi="Arial" w:cs="Arial"/>
          <w:sz w:val="22"/>
          <w:szCs w:val="22"/>
          <w:lang w:val="en"/>
        </w:rPr>
        <w:t xml:space="preserve"> is to </w:t>
      </w:r>
      <w:r w:rsidR="00EE6FAF">
        <w:rPr>
          <w:rFonts w:ascii="Arial" w:hAnsi="Arial" w:cs="Arial"/>
          <w:sz w:val="22"/>
          <w:szCs w:val="22"/>
          <w:lang w:val="en"/>
        </w:rPr>
        <w:t xml:space="preserve">promote Learn Local Courses to </w:t>
      </w:r>
      <w:r w:rsidR="00E13748">
        <w:rPr>
          <w:rFonts w:ascii="Arial" w:hAnsi="Arial" w:cs="Arial"/>
          <w:sz w:val="22"/>
          <w:szCs w:val="22"/>
          <w:lang w:val="en"/>
        </w:rPr>
        <w:t xml:space="preserve">industry, </w:t>
      </w:r>
      <w:r>
        <w:rPr>
          <w:rFonts w:ascii="Arial" w:hAnsi="Arial" w:cs="Arial"/>
          <w:sz w:val="22"/>
          <w:szCs w:val="22"/>
          <w:lang w:val="en"/>
        </w:rPr>
        <w:t>relevant c</w:t>
      </w:r>
      <w:r w:rsidR="003B21E5">
        <w:rPr>
          <w:rFonts w:ascii="Arial" w:hAnsi="Arial" w:cs="Arial"/>
          <w:sz w:val="22"/>
          <w:szCs w:val="22"/>
          <w:lang w:val="en"/>
        </w:rPr>
        <w:t>ommunity organisations such as libraries, l</w:t>
      </w:r>
      <w:r>
        <w:rPr>
          <w:rFonts w:ascii="Arial" w:hAnsi="Arial" w:cs="Arial"/>
          <w:sz w:val="22"/>
          <w:szCs w:val="22"/>
          <w:lang w:val="en"/>
        </w:rPr>
        <w:t xml:space="preserve">ocal </w:t>
      </w:r>
      <w:r w:rsidR="003B21E5">
        <w:rPr>
          <w:rFonts w:ascii="Arial" w:hAnsi="Arial" w:cs="Arial"/>
          <w:sz w:val="22"/>
          <w:szCs w:val="22"/>
          <w:lang w:val="en"/>
        </w:rPr>
        <w:t>g</w:t>
      </w:r>
      <w:r>
        <w:rPr>
          <w:rFonts w:ascii="Arial" w:hAnsi="Arial" w:cs="Arial"/>
          <w:sz w:val="22"/>
          <w:szCs w:val="22"/>
          <w:lang w:val="en"/>
        </w:rPr>
        <w:t>overnment, and agencies who provide support an</w:t>
      </w:r>
      <w:r w:rsidR="00E13748">
        <w:rPr>
          <w:rFonts w:ascii="Arial" w:hAnsi="Arial" w:cs="Arial"/>
          <w:sz w:val="22"/>
          <w:szCs w:val="22"/>
          <w:lang w:val="en"/>
        </w:rPr>
        <w:t>d assistance to adult learners</w:t>
      </w:r>
      <w:r>
        <w:rPr>
          <w:rFonts w:ascii="Arial" w:hAnsi="Arial" w:cs="Arial"/>
          <w:sz w:val="22"/>
          <w:szCs w:val="22"/>
          <w:lang w:val="en"/>
        </w:rPr>
        <w:t>.</w:t>
      </w:r>
    </w:p>
    <w:p w14:paraId="1D159FBF" w14:textId="1E197099" w:rsidR="00B9480B" w:rsidRDefault="00B9480B" w:rsidP="00941A43">
      <w:pPr>
        <w:rPr>
          <w:rFonts w:ascii="Arial" w:hAnsi="Arial" w:cs="Arial"/>
          <w:sz w:val="22"/>
          <w:szCs w:val="22"/>
          <w:lang w:val="en"/>
        </w:rPr>
      </w:pPr>
    </w:p>
    <w:p w14:paraId="5BECE647" w14:textId="16FA7D39" w:rsidR="007D25BC" w:rsidRDefault="00873711" w:rsidP="007D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E</w:t>
      </w:r>
      <w:r w:rsidR="00941A43">
        <w:rPr>
          <w:rFonts w:ascii="Arial" w:hAnsi="Arial" w:cs="Arial"/>
          <w:sz w:val="22"/>
          <w:szCs w:val="22"/>
          <w:lang w:val="en"/>
        </w:rPr>
        <w:t xml:space="preserve">ach Learn Local </w:t>
      </w:r>
      <w:r w:rsidR="00E13748">
        <w:rPr>
          <w:rFonts w:ascii="Arial" w:hAnsi="Arial" w:cs="Arial"/>
          <w:sz w:val="22"/>
          <w:szCs w:val="22"/>
          <w:lang w:val="en"/>
        </w:rPr>
        <w:t>provider</w:t>
      </w:r>
      <w:r>
        <w:rPr>
          <w:rFonts w:ascii="Arial" w:hAnsi="Arial" w:cs="Arial"/>
          <w:sz w:val="22"/>
          <w:szCs w:val="22"/>
          <w:lang w:val="en"/>
        </w:rPr>
        <w:t xml:space="preserve"> will shortly receive </w:t>
      </w:r>
      <w:r w:rsidR="00941A43">
        <w:rPr>
          <w:rFonts w:ascii="Arial" w:hAnsi="Arial" w:cs="Arial"/>
          <w:sz w:val="22"/>
          <w:szCs w:val="22"/>
          <w:lang w:val="en"/>
        </w:rPr>
        <w:t xml:space="preserve">around 25 </w:t>
      </w:r>
      <w:r w:rsidR="00B30403">
        <w:rPr>
          <w:rFonts w:ascii="Arial" w:hAnsi="Arial" w:cs="Arial"/>
          <w:sz w:val="22"/>
          <w:szCs w:val="22"/>
          <w:lang w:val="en"/>
        </w:rPr>
        <w:t xml:space="preserve">copies of the 2019 Learn Local </w:t>
      </w:r>
      <w:r w:rsidR="00F675A7">
        <w:rPr>
          <w:rFonts w:ascii="Arial" w:hAnsi="Arial" w:cs="Arial"/>
          <w:sz w:val="22"/>
          <w:szCs w:val="22"/>
          <w:lang w:val="en"/>
        </w:rPr>
        <w:t xml:space="preserve">Course </w:t>
      </w:r>
      <w:r>
        <w:rPr>
          <w:rFonts w:ascii="Arial" w:hAnsi="Arial" w:cs="Arial"/>
          <w:sz w:val="22"/>
          <w:szCs w:val="22"/>
          <w:lang w:val="en"/>
        </w:rPr>
        <w:t>G</w:t>
      </w:r>
      <w:r w:rsidR="00941A43">
        <w:rPr>
          <w:rFonts w:ascii="Arial" w:hAnsi="Arial" w:cs="Arial"/>
          <w:sz w:val="22"/>
          <w:szCs w:val="22"/>
          <w:lang w:val="en"/>
        </w:rPr>
        <w:t>uide</w:t>
      </w:r>
      <w:r w:rsidR="00B30403">
        <w:rPr>
          <w:rFonts w:ascii="Arial" w:hAnsi="Arial" w:cs="Arial"/>
          <w:sz w:val="22"/>
          <w:szCs w:val="22"/>
          <w:lang w:val="en"/>
        </w:rPr>
        <w:t xml:space="preserve"> for their region</w:t>
      </w:r>
      <w:r w:rsidR="00941A43">
        <w:rPr>
          <w:rFonts w:ascii="Arial" w:hAnsi="Arial" w:cs="Arial"/>
          <w:sz w:val="22"/>
          <w:szCs w:val="22"/>
          <w:lang w:val="en"/>
        </w:rPr>
        <w:t xml:space="preserve"> (more for </w:t>
      </w:r>
      <w:r w:rsidR="00E13748">
        <w:rPr>
          <w:rFonts w:ascii="Arial" w:hAnsi="Arial" w:cs="Arial"/>
          <w:sz w:val="22"/>
          <w:szCs w:val="22"/>
          <w:lang w:val="en"/>
        </w:rPr>
        <w:t>larger Learn Local providers</w:t>
      </w:r>
      <w:r w:rsidR="00941A43">
        <w:rPr>
          <w:rFonts w:ascii="Arial" w:hAnsi="Arial" w:cs="Arial"/>
          <w:sz w:val="22"/>
          <w:szCs w:val="22"/>
          <w:lang w:val="en"/>
        </w:rPr>
        <w:t xml:space="preserve">).  </w:t>
      </w:r>
      <w:r w:rsidR="007D25BC">
        <w:rPr>
          <w:rFonts w:ascii="Arial" w:hAnsi="Arial" w:cs="Arial"/>
          <w:sz w:val="22"/>
          <w:szCs w:val="22"/>
        </w:rPr>
        <w:t>PDF’s of t</w:t>
      </w:r>
      <w:r w:rsidR="007D25BC" w:rsidRPr="00B9480B">
        <w:rPr>
          <w:rFonts w:ascii="Arial" w:hAnsi="Arial" w:cs="Arial"/>
          <w:sz w:val="22"/>
          <w:szCs w:val="22"/>
        </w:rPr>
        <w:t>he brochure</w:t>
      </w:r>
      <w:r w:rsidR="007D25BC">
        <w:rPr>
          <w:rFonts w:ascii="Arial" w:hAnsi="Arial" w:cs="Arial"/>
          <w:sz w:val="22"/>
          <w:szCs w:val="22"/>
        </w:rPr>
        <w:t xml:space="preserve">s will also be available at </w:t>
      </w:r>
      <w:hyperlink r:id="rId11" w:history="1">
        <w:r w:rsidR="007D25BC" w:rsidRPr="00EC6131">
          <w:rPr>
            <w:rStyle w:val="Hyperlink"/>
            <w:rFonts w:ascii="Arial" w:hAnsi="Arial" w:cs="Arial"/>
            <w:sz w:val="22"/>
            <w:szCs w:val="22"/>
          </w:rPr>
          <w:t>www.learnlocal.org.au</w:t>
        </w:r>
      </w:hyperlink>
      <w:r w:rsidR="007D25BC">
        <w:rPr>
          <w:rFonts w:ascii="Arial" w:hAnsi="Arial" w:cs="Arial"/>
          <w:sz w:val="22"/>
          <w:szCs w:val="22"/>
        </w:rPr>
        <w:t xml:space="preserve">  The PDF versions will also link directly to all Learn Local provider</w:t>
      </w:r>
      <w:r w:rsidR="007D25BC" w:rsidRPr="00B9480B">
        <w:rPr>
          <w:rFonts w:ascii="Arial" w:hAnsi="Arial" w:cs="Arial"/>
          <w:sz w:val="22"/>
          <w:szCs w:val="22"/>
        </w:rPr>
        <w:t xml:space="preserve"> websites.  </w:t>
      </w:r>
    </w:p>
    <w:p w14:paraId="00236CC1" w14:textId="77777777" w:rsidR="007D25BC" w:rsidRPr="00B9480B" w:rsidRDefault="007D25BC" w:rsidP="007D25BC">
      <w:pPr>
        <w:rPr>
          <w:rFonts w:ascii="Arial" w:hAnsi="Arial" w:cs="Arial"/>
          <w:sz w:val="22"/>
          <w:szCs w:val="22"/>
        </w:rPr>
      </w:pPr>
    </w:p>
    <w:p w14:paraId="086E2E7C" w14:textId="35D8F1FB" w:rsidR="00EE6FAF" w:rsidRDefault="00B30403" w:rsidP="00EE6FAF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G</w:t>
      </w:r>
      <w:r w:rsidR="00EE6FAF">
        <w:rPr>
          <w:rFonts w:ascii="Arial" w:hAnsi="Arial" w:cs="Arial"/>
          <w:sz w:val="22"/>
          <w:szCs w:val="22"/>
          <w:lang w:val="en"/>
        </w:rPr>
        <w:t>uides have bee</w:t>
      </w:r>
      <w:r w:rsidR="005C2BAA">
        <w:rPr>
          <w:rFonts w:ascii="Arial" w:hAnsi="Arial" w:cs="Arial"/>
          <w:sz w:val="22"/>
          <w:szCs w:val="22"/>
          <w:lang w:val="en"/>
        </w:rPr>
        <w:t>n designed for public display and</w:t>
      </w:r>
      <w:r w:rsidR="00EE6FAF">
        <w:rPr>
          <w:rFonts w:ascii="Arial" w:hAnsi="Arial" w:cs="Arial"/>
          <w:sz w:val="22"/>
          <w:szCs w:val="22"/>
          <w:lang w:val="en"/>
        </w:rPr>
        <w:t xml:space="preserve"> to enable staff in community organisations to better understand and refer adult learners to appropriate local training options.</w:t>
      </w:r>
    </w:p>
    <w:p w14:paraId="16A2872D" w14:textId="77777777" w:rsidR="00F675A7" w:rsidRDefault="00F675A7" w:rsidP="00EE6FAF">
      <w:pPr>
        <w:rPr>
          <w:rFonts w:ascii="Arial" w:hAnsi="Arial" w:cs="Arial"/>
          <w:sz w:val="22"/>
          <w:szCs w:val="22"/>
          <w:lang w:val="en"/>
        </w:rPr>
      </w:pPr>
    </w:p>
    <w:p w14:paraId="42935327" w14:textId="2F212FA1" w:rsidR="00E85663" w:rsidRDefault="00B30403" w:rsidP="00FC70D6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Each G</w:t>
      </w:r>
      <w:r w:rsidR="00873711">
        <w:rPr>
          <w:rFonts w:ascii="Arial" w:hAnsi="Arial" w:cs="Arial"/>
          <w:sz w:val="22"/>
          <w:szCs w:val="22"/>
          <w:lang w:val="en"/>
        </w:rPr>
        <w:t xml:space="preserve">uide folds out to an </w:t>
      </w:r>
      <w:r w:rsidR="00F03177">
        <w:rPr>
          <w:rFonts w:ascii="Arial" w:hAnsi="Arial" w:cs="Arial"/>
          <w:sz w:val="22"/>
          <w:szCs w:val="22"/>
          <w:lang w:val="en"/>
        </w:rPr>
        <w:t xml:space="preserve">A2 size </w:t>
      </w:r>
      <w:r w:rsidR="005C2BAA">
        <w:rPr>
          <w:rFonts w:ascii="Arial" w:hAnsi="Arial" w:cs="Arial"/>
          <w:sz w:val="22"/>
          <w:szCs w:val="22"/>
          <w:lang w:val="en"/>
        </w:rPr>
        <w:t>easy-to-</w:t>
      </w:r>
      <w:r w:rsidR="00873711">
        <w:rPr>
          <w:rFonts w:ascii="Arial" w:hAnsi="Arial" w:cs="Arial"/>
          <w:sz w:val="22"/>
          <w:szCs w:val="22"/>
          <w:lang w:val="en"/>
        </w:rPr>
        <w:t>read list of cour</w:t>
      </w:r>
      <w:r w:rsidR="00E13748">
        <w:rPr>
          <w:rFonts w:ascii="Arial" w:hAnsi="Arial" w:cs="Arial"/>
          <w:sz w:val="22"/>
          <w:szCs w:val="22"/>
          <w:lang w:val="en"/>
        </w:rPr>
        <w:t>ses by Learn Local providers</w:t>
      </w:r>
      <w:r w:rsidR="00873711">
        <w:rPr>
          <w:rFonts w:ascii="Arial" w:hAnsi="Arial" w:cs="Arial"/>
          <w:sz w:val="22"/>
          <w:szCs w:val="22"/>
          <w:lang w:val="en"/>
        </w:rPr>
        <w:t xml:space="preserve"> and to</w:t>
      </w:r>
      <w:r w:rsidR="003B21E5">
        <w:rPr>
          <w:rFonts w:ascii="Arial" w:hAnsi="Arial" w:cs="Arial"/>
          <w:sz w:val="22"/>
          <w:szCs w:val="22"/>
          <w:lang w:val="en"/>
        </w:rPr>
        <w:t>wns or l</w:t>
      </w:r>
      <w:r w:rsidR="006B6A8E">
        <w:rPr>
          <w:rFonts w:ascii="Arial" w:hAnsi="Arial" w:cs="Arial"/>
          <w:sz w:val="22"/>
          <w:szCs w:val="22"/>
          <w:lang w:val="en"/>
        </w:rPr>
        <w:t xml:space="preserve">ocal </w:t>
      </w:r>
      <w:r w:rsidR="003B21E5">
        <w:rPr>
          <w:rFonts w:ascii="Arial" w:hAnsi="Arial" w:cs="Arial"/>
          <w:sz w:val="22"/>
          <w:szCs w:val="22"/>
          <w:lang w:val="en"/>
        </w:rPr>
        <w:t>g</w:t>
      </w:r>
      <w:r w:rsidR="006B6A8E">
        <w:rPr>
          <w:rFonts w:ascii="Arial" w:hAnsi="Arial" w:cs="Arial"/>
          <w:sz w:val="22"/>
          <w:szCs w:val="22"/>
          <w:lang w:val="en"/>
        </w:rPr>
        <w:t xml:space="preserve">overnment </w:t>
      </w:r>
      <w:r w:rsidR="003B21E5">
        <w:rPr>
          <w:rFonts w:ascii="Arial" w:hAnsi="Arial" w:cs="Arial"/>
          <w:sz w:val="22"/>
          <w:szCs w:val="22"/>
          <w:lang w:val="en"/>
        </w:rPr>
        <w:t>a</w:t>
      </w:r>
      <w:r w:rsidR="006B6A8E">
        <w:rPr>
          <w:rFonts w:ascii="Arial" w:hAnsi="Arial" w:cs="Arial"/>
          <w:sz w:val="22"/>
          <w:szCs w:val="22"/>
          <w:lang w:val="en"/>
        </w:rPr>
        <w:t xml:space="preserve">reas. </w:t>
      </w:r>
      <w:r w:rsidR="00873711">
        <w:rPr>
          <w:rFonts w:ascii="Arial" w:hAnsi="Arial" w:cs="Arial"/>
          <w:sz w:val="22"/>
          <w:szCs w:val="22"/>
          <w:lang w:val="en"/>
        </w:rPr>
        <w:t>There is also useful information to explain the benefits of courses delivered</w:t>
      </w:r>
      <w:r w:rsidR="00E13748">
        <w:rPr>
          <w:rFonts w:ascii="Arial" w:hAnsi="Arial" w:cs="Arial"/>
          <w:sz w:val="22"/>
          <w:szCs w:val="22"/>
          <w:lang w:val="en"/>
        </w:rPr>
        <w:t xml:space="preserve"> by Learn Local providers</w:t>
      </w:r>
      <w:r w:rsidR="006B6A8E">
        <w:rPr>
          <w:rFonts w:ascii="Arial" w:hAnsi="Arial" w:cs="Arial"/>
          <w:sz w:val="22"/>
          <w:szCs w:val="22"/>
          <w:lang w:val="en"/>
        </w:rPr>
        <w:t xml:space="preserve">. </w:t>
      </w:r>
      <w:r w:rsidR="003364CA">
        <w:rPr>
          <w:rFonts w:ascii="Arial" w:hAnsi="Arial" w:cs="Arial"/>
          <w:sz w:val="22"/>
          <w:szCs w:val="22"/>
          <w:lang w:val="en"/>
        </w:rPr>
        <w:t>T</w:t>
      </w:r>
      <w:r w:rsidR="006B6A8E">
        <w:rPr>
          <w:rFonts w:ascii="Arial" w:hAnsi="Arial" w:cs="Arial"/>
          <w:sz w:val="22"/>
          <w:szCs w:val="22"/>
          <w:lang w:val="en"/>
        </w:rPr>
        <w:t>he G</w:t>
      </w:r>
      <w:r w:rsidR="003364CA">
        <w:rPr>
          <w:rFonts w:ascii="Arial" w:hAnsi="Arial" w:cs="Arial"/>
          <w:sz w:val="22"/>
          <w:szCs w:val="22"/>
          <w:lang w:val="en"/>
        </w:rPr>
        <w:t>uides have been prepared using the agreed 2019 Delivery Plans fr</w:t>
      </w:r>
      <w:r w:rsidR="00E13748">
        <w:rPr>
          <w:rFonts w:ascii="Arial" w:hAnsi="Arial" w:cs="Arial"/>
          <w:sz w:val="22"/>
          <w:szCs w:val="22"/>
          <w:lang w:val="en"/>
        </w:rPr>
        <w:t>om each Learn Local provider</w:t>
      </w:r>
      <w:r w:rsidR="008908E1">
        <w:rPr>
          <w:rFonts w:ascii="Arial" w:hAnsi="Arial" w:cs="Arial"/>
          <w:sz w:val="22"/>
          <w:szCs w:val="22"/>
          <w:lang w:val="en"/>
        </w:rPr>
        <w:t xml:space="preserve"> and were current at the time of printing.</w:t>
      </w:r>
      <w:r w:rsidR="003364CA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All providers are encouraged to keep their websites up to date with current offerings.</w:t>
      </w:r>
    </w:p>
    <w:p w14:paraId="39DC201B" w14:textId="77777777" w:rsidR="00E85663" w:rsidRDefault="00E85663" w:rsidP="00FC70D6">
      <w:pPr>
        <w:rPr>
          <w:rFonts w:ascii="Arial" w:hAnsi="Arial" w:cs="Arial"/>
          <w:sz w:val="22"/>
          <w:szCs w:val="22"/>
          <w:lang w:val="en"/>
        </w:rPr>
      </w:pPr>
    </w:p>
    <w:p w14:paraId="0DE28608" w14:textId="014FFE0C" w:rsidR="00D636B6" w:rsidRDefault="003364CA" w:rsidP="00FC70D6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Guide is intended for multiple uses rather than as a </w:t>
      </w:r>
      <w:r w:rsidR="00D636B6">
        <w:rPr>
          <w:rFonts w:ascii="Arial" w:hAnsi="Arial" w:cs="Arial"/>
          <w:sz w:val="22"/>
          <w:szCs w:val="22"/>
          <w:lang w:val="en"/>
        </w:rPr>
        <w:t>giveaway to</w:t>
      </w:r>
      <w:r>
        <w:rPr>
          <w:rFonts w:ascii="Arial" w:hAnsi="Arial" w:cs="Arial"/>
          <w:sz w:val="22"/>
          <w:szCs w:val="22"/>
          <w:lang w:val="en"/>
        </w:rPr>
        <w:t xml:space="preserve"> a </w:t>
      </w:r>
      <w:r w:rsidR="00E13748">
        <w:rPr>
          <w:rFonts w:ascii="Arial" w:hAnsi="Arial" w:cs="Arial"/>
          <w:sz w:val="22"/>
          <w:szCs w:val="22"/>
          <w:lang w:val="en"/>
        </w:rPr>
        <w:t>potential learner</w:t>
      </w:r>
      <w:r>
        <w:rPr>
          <w:rFonts w:ascii="Arial" w:hAnsi="Arial" w:cs="Arial"/>
          <w:sz w:val="22"/>
          <w:szCs w:val="22"/>
          <w:lang w:val="en"/>
        </w:rPr>
        <w:t xml:space="preserve">.  For this reason </w:t>
      </w:r>
      <w:r w:rsidR="00E13748">
        <w:rPr>
          <w:rFonts w:ascii="Arial" w:hAnsi="Arial" w:cs="Arial"/>
          <w:sz w:val="22"/>
          <w:szCs w:val="22"/>
          <w:lang w:val="en"/>
        </w:rPr>
        <w:t>we are encouraging each Learn Local provider</w:t>
      </w:r>
      <w:r w:rsidR="00D636B6">
        <w:rPr>
          <w:rFonts w:ascii="Arial" w:hAnsi="Arial" w:cs="Arial"/>
          <w:sz w:val="22"/>
          <w:szCs w:val="22"/>
          <w:lang w:val="en"/>
        </w:rPr>
        <w:t xml:space="preserve"> to use existing relationships with key organisations </w:t>
      </w:r>
      <w:r w:rsidR="00EE6FAF">
        <w:rPr>
          <w:rFonts w:ascii="Arial" w:hAnsi="Arial" w:cs="Arial"/>
          <w:sz w:val="22"/>
          <w:szCs w:val="22"/>
          <w:lang w:val="en"/>
        </w:rPr>
        <w:t xml:space="preserve">to </w:t>
      </w:r>
      <w:r w:rsidR="003B21E5">
        <w:rPr>
          <w:rFonts w:ascii="Arial" w:hAnsi="Arial" w:cs="Arial"/>
          <w:sz w:val="22"/>
          <w:szCs w:val="22"/>
          <w:lang w:val="en"/>
        </w:rPr>
        <w:t>arrange for display such as on library n</w:t>
      </w:r>
      <w:r w:rsidR="00EE6FAF">
        <w:rPr>
          <w:rFonts w:ascii="Arial" w:hAnsi="Arial" w:cs="Arial"/>
          <w:sz w:val="22"/>
          <w:szCs w:val="22"/>
          <w:lang w:val="en"/>
        </w:rPr>
        <w:t xml:space="preserve">otice </w:t>
      </w:r>
      <w:r w:rsidR="003B21E5">
        <w:rPr>
          <w:rFonts w:ascii="Arial" w:hAnsi="Arial" w:cs="Arial"/>
          <w:sz w:val="22"/>
          <w:szCs w:val="22"/>
          <w:lang w:val="en"/>
        </w:rPr>
        <w:t>b</w:t>
      </w:r>
      <w:r w:rsidR="00EE6FAF">
        <w:rPr>
          <w:rFonts w:ascii="Arial" w:hAnsi="Arial" w:cs="Arial"/>
          <w:sz w:val="22"/>
          <w:szCs w:val="22"/>
          <w:lang w:val="en"/>
        </w:rPr>
        <w:t xml:space="preserve">oards or to </w:t>
      </w:r>
      <w:r w:rsidR="00D636B6">
        <w:rPr>
          <w:rFonts w:ascii="Arial" w:hAnsi="Arial" w:cs="Arial"/>
          <w:sz w:val="22"/>
          <w:szCs w:val="22"/>
          <w:lang w:val="en"/>
        </w:rPr>
        <w:t>make available as a resource to staff who work with people w</w:t>
      </w:r>
      <w:r w:rsidR="00E13748">
        <w:rPr>
          <w:rFonts w:ascii="Arial" w:hAnsi="Arial" w:cs="Arial"/>
          <w:sz w:val="22"/>
          <w:szCs w:val="22"/>
          <w:lang w:val="en"/>
        </w:rPr>
        <w:t>ho could benefit from pre-accredited c</w:t>
      </w:r>
      <w:r w:rsidR="00D636B6">
        <w:rPr>
          <w:rFonts w:ascii="Arial" w:hAnsi="Arial" w:cs="Arial"/>
          <w:sz w:val="22"/>
          <w:szCs w:val="22"/>
          <w:lang w:val="en"/>
        </w:rPr>
        <w:t>ourses.</w:t>
      </w:r>
    </w:p>
    <w:p w14:paraId="68164904" w14:textId="77777777" w:rsidR="00D636B6" w:rsidRDefault="00D636B6" w:rsidP="00FC70D6">
      <w:pPr>
        <w:rPr>
          <w:rFonts w:ascii="Arial" w:hAnsi="Arial" w:cs="Arial"/>
          <w:sz w:val="22"/>
          <w:szCs w:val="22"/>
          <w:lang w:val="en"/>
        </w:rPr>
      </w:pPr>
    </w:p>
    <w:p w14:paraId="5CC379AA" w14:textId="0866094C" w:rsidR="00D636B6" w:rsidRDefault="00D636B6" w:rsidP="00FC70D6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Suggested optio</w:t>
      </w:r>
      <w:r w:rsidR="00F675A7">
        <w:rPr>
          <w:rFonts w:ascii="Arial" w:hAnsi="Arial" w:cs="Arial"/>
          <w:sz w:val="22"/>
          <w:szCs w:val="22"/>
          <w:lang w:val="en"/>
        </w:rPr>
        <w:t>ns for Learn Local providers</w:t>
      </w:r>
      <w:r>
        <w:rPr>
          <w:rFonts w:ascii="Arial" w:hAnsi="Arial" w:cs="Arial"/>
          <w:sz w:val="22"/>
          <w:szCs w:val="22"/>
          <w:lang w:val="en"/>
        </w:rPr>
        <w:t xml:space="preserve"> to distribute the Guide</w:t>
      </w:r>
      <w:r w:rsidR="00B30403">
        <w:rPr>
          <w:rFonts w:ascii="Arial" w:hAnsi="Arial" w:cs="Arial"/>
          <w:sz w:val="22"/>
          <w:szCs w:val="22"/>
          <w:lang w:val="en"/>
        </w:rPr>
        <w:t>s</w:t>
      </w:r>
      <w:r w:rsidR="00EE6FAF">
        <w:rPr>
          <w:rFonts w:ascii="Arial" w:hAnsi="Arial" w:cs="Arial"/>
          <w:sz w:val="22"/>
          <w:szCs w:val="22"/>
          <w:lang w:val="en"/>
        </w:rPr>
        <w:t xml:space="preserve"> include</w:t>
      </w:r>
      <w:r>
        <w:rPr>
          <w:rFonts w:ascii="Arial" w:hAnsi="Arial" w:cs="Arial"/>
          <w:sz w:val="22"/>
          <w:szCs w:val="22"/>
          <w:lang w:val="en"/>
        </w:rPr>
        <w:t>:</w:t>
      </w:r>
    </w:p>
    <w:p w14:paraId="3FF4F444" w14:textId="77777777" w:rsidR="00D636B6" w:rsidRDefault="00D636B6" w:rsidP="00FC70D6">
      <w:pPr>
        <w:rPr>
          <w:rFonts w:ascii="Arial" w:hAnsi="Arial" w:cs="Arial"/>
          <w:sz w:val="22"/>
          <w:szCs w:val="22"/>
          <w:lang w:val="en"/>
        </w:rPr>
      </w:pPr>
    </w:p>
    <w:p w14:paraId="745EBF3C" w14:textId="77777777" w:rsidR="00D636B6" w:rsidRDefault="00D636B6" w:rsidP="00D636B6">
      <w:pPr>
        <w:pStyle w:val="ListParagraph"/>
        <w:numPr>
          <w:ilvl w:val="0"/>
          <w:numId w:val="38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>Libraries</w:t>
      </w:r>
    </w:p>
    <w:p w14:paraId="64BA75D4" w14:textId="4E7DBA71" w:rsidR="00D636B6" w:rsidRDefault="00EE6FAF" w:rsidP="00D636B6">
      <w:pPr>
        <w:pStyle w:val="ListParagraph"/>
        <w:numPr>
          <w:ilvl w:val="0"/>
          <w:numId w:val="38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Agencies that work with vulnerable people</w:t>
      </w:r>
    </w:p>
    <w:p w14:paraId="533B1F61" w14:textId="20E9662B" w:rsidR="00D636B6" w:rsidRDefault="003B21E5" w:rsidP="00D636B6">
      <w:pPr>
        <w:pStyle w:val="ListParagraph"/>
        <w:numPr>
          <w:ilvl w:val="0"/>
          <w:numId w:val="38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Employment a</w:t>
      </w:r>
      <w:r w:rsidR="00D636B6">
        <w:rPr>
          <w:rFonts w:ascii="Arial" w:hAnsi="Arial" w:cs="Arial"/>
          <w:lang w:val="en"/>
        </w:rPr>
        <w:t>gencies</w:t>
      </w:r>
      <w:r w:rsidR="00E13748">
        <w:rPr>
          <w:rFonts w:ascii="Arial" w:hAnsi="Arial" w:cs="Arial"/>
          <w:lang w:val="en"/>
        </w:rPr>
        <w:t>/JobActives</w:t>
      </w:r>
      <w:r w:rsidR="00B30403">
        <w:rPr>
          <w:rFonts w:ascii="Arial" w:hAnsi="Arial" w:cs="Arial"/>
          <w:lang w:val="en"/>
        </w:rPr>
        <w:t>/Jobs Victoria Employment Network providers</w:t>
      </w:r>
    </w:p>
    <w:p w14:paraId="7B875627" w14:textId="13A6A69E" w:rsidR="00D636B6" w:rsidRDefault="003B21E5" w:rsidP="00D636B6">
      <w:pPr>
        <w:pStyle w:val="ListParagraph"/>
        <w:numPr>
          <w:ilvl w:val="0"/>
          <w:numId w:val="38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Shopping c</w:t>
      </w:r>
      <w:r w:rsidR="00D636B6">
        <w:rPr>
          <w:rFonts w:ascii="Arial" w:hAnsi="Arial" w:cs="Arial"/>
          <w:lang w:val="en"/>
        </w:rPr>
        <w:t xml:space="preserve">entre </w:t>
      </w:r>
      <w:r>
        <w:rPr>
          <w:rFonts w:ascii="Arial" w:hAnsi="Arial" w:cs="Arial"/>
          <w:lang w:val="en"/>
        </w:rPr>
        <w:t>notice b</w:t>
      </w:r>
      <w:r w:rsidR="00D636B6">
        <w:rPr>
          <w:rFonts w:ascii="Arial" w:hAnsi="Arial" w:cs="Arial"/>
          <w:lang w:val="en"/>
        </w:rPr>
        <w:t>oards</w:t>
      </w:r>
    </w:p>
    <w:p w14:paraId="4CD8C9C7" w14:textId="207CF8ED" w:rsidR="00D636B6" w:rsidRDefault="00D636B6" w:rsidP="00D636B6">
      <w:pPr>
        <w:pStyle w:val="ListParagraph"/>
        <w:numPr>
          <w:ilvl w:val="0"/>
          <w:numId w:val="38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TAFE </w:t>
      </w:r>
      <w:r w:rsidR="003B21E5">
        <w:rPr>
          <w:rFonts w:ascii="Arial" w:hAnsi="Arial" w:cs="Arial"/>
          <w:lang w:val="en"/>
        </w:rPr>
        <w:t>Institutes</w:t>
      </w:r>
      <w:r w:rsidR="00B30403">
        <w:rPr>
          <w:rFonts w:ascii="Arial" w:hAnsi="Arial" w:cs="Arial"/>
          <w:lang w:val="en"/>
        </w:rPr>
        <w:t xml:space="preserve"> and other training providers</w:t>
      </w:r>
    </w:p>
    <w:p w14:paraId="4A546167" w14:textId="1B709EBF" w:rsidR="004A1947" w:rsidRDefault="004A1947" w:rsidP="00D636B6">
      <w:pPr>
        <w:pStyle w:val="ListParagraph"/>
        <w:numPr>
          <w:ilvl w:val="0"/>
          <w:numId w:val="38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Skills &amp; Job Centres</w:t>
      </w:r>
    </w:p>
    <w:p w14:paraId="5A383A3F" w14:textId="043177BF" w:rsidR="00D636B6" w:rsidRDefault="003B21E5" w:rsidP="00D636B6">
      <w:pPr>
        <w:pStyle w:val="ListParagraph"/>
        <w:numPr>
          <w:ilvl w:val="0"/>
          <w:numId w:val="38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Health f</w:t>
      </w:r>
      <w:r w:rsidR="00D636B6">
        <w:rPr>
          <w:rFonts w:ascii="Arial" w:hAnsi="Arial" w:cs="Arial"/>
          <w:lang w:val="en"/>
        </w:rPr>
        <w:t>acilities</w:t>
      </w:r>
    </w:p>
    <w:p w14:paraId="00EB0162" w14:textId="48C0816E" w:rsidR="00D636B6" w:rsidRDefault="003B21E5" w:rsidP="00D636B6">
      <w:pPr>
        <w:pStyle w:val="ListParagraph"/>
        <w:numPr>
          <w:ilvl w:val="0"/>
          <w:numId w:val="38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Local g</w:t>
      </w:r>
      <w:r w:rsidR="00D636B6">
        <w:rPr>
          <w:rFonts w:ascii="Arial" w:hAnsi="Arial" w:cs="Arial"/>
          <w:lang w:val="en"/>
        </w:rPr>
        <w:t xml:space="preserve">overnment </w:t>
      </w:r>
      <w:r>
        <w:rPr>
          <w:rFonts w:ascii="Arial" w:hAnsi="Arial" w:cs="Arial"/>
          <w:lang w:val="en"/>
        </w:rPr>
        <w:t>s</w:t>
      </w:r>
      <w:r w:rsidR="00D636B6">
        <w:rPr>
          <w:rFonts w:ascii="Arial" w:hAnsi="Arial" w:cs="Arial"/>
          <w:lang w:val="en"/>
        </w:rPr>
        <w:t>taff</w:t>
      </w:r>
    </w:p>
    <w:p w14:paraId="48BF8B75" w14:textId="5161A415" w:rsidR="0083788A" w:rsidRPr="00FC70D6" w:rsidRDefault="0083788A" w:rsidP="00FC70D6">
      <w:pPr>
        <w:pStyle w:val="Heading3"/>
        <w:rPr>
          <w:rFonts w:ascii="Arial" w:hAnsi="Arial" w:cs="Arial"/>
          <w:color w:val="auto"/>
          <w:sz w:val="22"/>
          <w:szCs w:val="22"/>
          <w:lang w:val="en"/>
        </w:rPr>
      </w:pPr>
    </w:p>
    <w:p w14:paraId="7755D44D" w14:textId="103DF290" w:rsidR="005C1649" w:rsidRPr="00FC70D6" w:rsidRDefault="00495B06" w:rsidP="00FC70D6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2"/>
          <w:szCs w:val="22"/>
          <w:lang w:val="en"/>
        </w:rPr>
      </w:pPr>
      <w:r w:rsidRPr="00FC70D6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 xml:space="preserve">Key dates for the </w:t>
      </w:r>
      <w:r w:rsidR="00D636B6">
        <w:rPr>
          <w:rFonts w:ascii="Arial" w:hAnsi="Arial" w:cs="Arial"/>
          <w:color w:val="2F5496" w:themeColor="accent5" w:themeShade="BF"/>
          <w:sz w:val="22"/>
          <w:szCs w:val="22"/>
          <w:lang w:val="en"/>
        </w:rPr>
        <w:t>Learn Local Course Guide</w:t>
      </w:r>
    </w:p>
    <w:p w14:paraId="6D934631" w14:textId="074448DE" w:rsidR="00744059" w:rsidRDefault="00744059" w:rsidP="00FC70D6">
      <w:pPr>
        <w:rPr>
          <w:rFonts w:ascii="Arial" w:hAnsi="Arial" w:cs="Arial"/>
          <w:sz w:val="22"/>
          <w:szCs w:val="22"/>
        </w:rPr>
      </w:pPr>
    </w:p>
    <w:p w14:paraId="543FB49F" w14:textId="08AB5D52" w:rsidR="00875751" w:rsidRPr="00404A1E" w:rsidRDefault="00D636B6" w:rsidP="00875751">
      <w:pPr>
        <w:rPr>
          <w:rFonts w:ascii="Arial" w:hAnsi="Arial" w:cs="Arial"/>
          <w:color w:val="000000" w:themeColor="text1"/>
          <w:sz w:val="22"/>
          <w:szCs w:val="22"/>
        </w:rPr>
      </w:pPr>
      <w:r w:rsidRPr="00404A1E">
        <w:rPr>
          <w:rFonts w:ascii="Arial" w:hAnsi="Arial" w:cs="Arial"/>
          <w:b/>
          <w:color w:val="000000" w:themeColor="text1"/>
          <w:sz w:val="22"/>
          <w:szCs w:val="22"/>
        </w:rPr>
        <w:t>End</w:t>
      </w:r>
      <w:r w:rsidR="00875751" w:rsidRPr="00404A1E">
        <w:rPr>
          <w:rFonts w:ascii="Arial" w:hAnsi="Arial" w:cs="Arial"/>
          <w:b/>
          <w:color w:val="000000" w:themeColor="text1"/>
          <w:sz w:val="22"/>
          <w:szCs w:val="22"/>
        </w:rPr>
        <w:t xml:space="preserve"> April</w:t>
      </w:r>
      <w:r w:rsidR="00404A1E">
        <w:rPr>
          <w:rFonts w:ascii="Arial" w:hAnsi="Arial" w:cs="Arial"/>
          <w:b/>
          <w:color w:val="000000" w:themeColor="text1"/>
          <w:sz w:val="22"/>
          <w:szCs w:val="22"/>
        </w:rPr>
        <w:t xml:space="preserve">:  </w:t>
      </w:r>
      <w:r w:rsidRPr="00404A1E">
        <w:rPr>
          <w:rFonts w:ascii="Arial" w:hAnsi="Arial" w:cs="Arial"/>
          <w:color w:val="000000" w:themeColor="text1"/>
          <w:sz w:val="22"/>
          <w:szCs w:val="22"/>
        </w:rPr>
        <w:t>Likely date for arrival of Learn Local Course Guides</w:t>
      </w:r>
    </w:p>
    <w:p w14:paraId="4B163028" w14:textId="51B12828" w:rsidR="00EE6FAF" w:rsidRDefault="00775604" w:rsidP="00FC70D6">
      <w:pPr>
        <w:ind w:right="-7"/>
        <w:rPr>
          <w:rFonts w:ascii="Arial" w:hAnsi="Arial" w:cs="Arial"/>
          <w:sz w:val="22"/>
          <w:szCs w:val="22"/>
        </w:rPr>
      </w:pPr>
      <w:r w:rsidRPr="00775604">
        <w:rPr>
          <w:rFonts w:ascii="Arial" w:hAnsi="Arial" w:cs="Arial"/>
          <w:b/>
          <w:sz w:val="22"/>
          <w:szCs w:val="22"/>
        </w:rPr>
        <w:t>April- May:</w:t>
      </w:r>
      <w:r>
        <w:rPr>
          <w:rFonts w:ascii="Arial" w:hAnsi="Arial" w:cs="Arial"/>
          <w:sz w:val="22"/>
          <w:szCs w:val="22"/>
        </w:rPr>
        <w:t xml:space="preserve">  Distribution of Course Guides to key organisati</w:t>
      </w:r>
      <w:r w:rsidR="004A1947">
        <w:rPr>
          <w:rFonts w:ascii="Arial" w:hAnsi="Arial" w:cs="Arial"/>
          <w:sz w:val="22"/>
          <w:szCs w:val="22"/>
        </w:rPr>
        <w:t>ons by Learn Local providers</w:t>
      </w:r>
      <w:r>
        <w:rPr>
          <w:rFonts w:ascii="Arial" w:hAnsi="Arial" w:cs="Arial"/>
          <w:sz w:val="22"/>
          <w:szCs w:val="22"/>
        </w:rPr>
        <w:t>.</w:t>
      </w:r>
    </w:p>
    <w:p w14:paraId="5DE3CF7F" w14:textId="77777777" w:rsidR="00775604" w:rsidRPr="00404A1E" w:rsidRDefault="00775604" w:rsidP="00FC70D6">
      <w:pPr>
        <w:ind w:right="-7"/>
        <w:rPr>
          <w:rFonts w:ascii="Arial" w:hAnsi="Arial" w:cs="Arial"/>
          <w:sz w:val="22"/>
          <w:szCs w:val="22"/>
        </w:rPr>
      </w:pPr>
    </w:p>
    <w:p w14:paraId="6A6B6752" w14:textId="7E84167A" w:rsidR="00D636B6" w:rsidRPr="00404A1E" w:rsidRDefault="00744059" w:rsidP="00FC70D6">
      <w:pPr>
        <w:ind w:right="-268"/>
        <w:rPr>
          <w:rFonts w:ascii="Arial" w:hAnsi="Arial" w:cs="Arial"/>
          <w:color w:val="000000"/>
          <w:sz w:val="22"/>
          <w:szCs w:val="22"/>
          <w:lang w:val="en-GB"/>
        </w:rPr>
      </w:pPr>
      <w:r w:rsidRPr="00404A1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775604">
        <w:rPr>
          <w:rFonts w:ascii="Arial" w:hAnsi="Arial" w:cs="Arial"/>
          <w:color w:val="000000"/>
          <w:sz w:val="22"/>
          <w:szCs w:val="22"/>
          <w:lang w:val="en-GB"/>
        </w:rPr>
        <w:t>t is expected that Guides may become exhausted in some areas and we</w:t>
      </w:r>
      <w:r w:rsidRPr="00404A1E">
        <w:rPr>
          <w:rFonts w:ascii="Arial" w:hAnsi="Arial" w:cs="Arial"/>
          <w:color w:val="000000"/>
          <w:sz w:val="22"/>
          <w:szCs w:val="22"/>
          <w:lang w:val="en-GB"/>
        </w:rPr>
        <w:t xml:space="preserve"> encourage you </w:t>
      </w:r>
      <w:r w:rsidR="00D636B6" w:rsidRPr="00404A1E">
        <w:rPr>
          <w:rFonts w:ascii="Arial" w:hAnsi="Arial" w:cs="Arial"/>
          <w:color w:val="000000"/>
          <w:sz w:val="22"/>
          <w:szCs w:val="22"/>
          <w:lang w:val="en-GB"/>
        </w:rPr>
        <w:t xml:space="preserve">to </w:t>
      </w:r>
      <w:r w:rsidR="00775604">
        <w:rPr>
          <w:rFonts w:ascii="Arial" w:hAnsi="Arial" w:cs="Arial"/>
          <w:color w:val="000000"/>
          <w:sz w:val="22"/>
          <w:szCs w:val="22"/>
          <w:lang w:val="en-GB"/>
        </w:rPr>
        <w:t xml:space="preserve">return any surplus for distribution at Learn Local Provider Forums or to your Regional Office </w:t>
      </w:r>
      <w:r w:rsidR="00B30403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775604">
        <w:rPr>
          <w:rFonts w:ascii="Arial" w:hAnsi="Arial" w:cs="Arial"/>
          <w:color w:val="000000"/>
          <w:sz w:val="22"/>
          <w:szCs w:val="22"/>
          <w:lang w:val="en-GB"/>
        </w:rPr>
        <w:t>taff.</w:t>
      </w:r>
    </w:p>
    <w:p w14:paraId="62E8705D" w14:textId="77777777" w:rsidR="00D636B6" w:rsidRPr="00404A1E" w:rsidRDefault="00D636B6" w:rsidP="00FC70D6">
      <w:pPr>
        <w:ind w:right="-268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EC325CE" w14:textId="465622AE" w:rsidR="00D636B6" w:rsidRPr="00404A1E" w:rsidRDefault="00744059" w:rsidP="00FC70D6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404A1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If you have any questions about the </w:t>
      </w:r>
      <w:r w:rsidR="00D636B6" w:rsidRPr="00404A1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Guides</w:t>
      </w:r>
      <w:r w:rsidRPr="00404A1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, including </w:t>
      </w:r>
      <w:r w:rsidR="00D636B6" w:rsidRPr="00404A1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distribution arrangements</w:t>
      </w:r>
      <w:r w:rsidRPr="00404A1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please contact </w:t>
      </w:r>
      <w:r w:rsidR="00B3040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r</w:t>
      </w:r>
      <w:r w:rsidR="00D636B6" w:rsidRPr="00404A1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egional contact for your area.</w:t>
      </w:r>
    </w:p>
    <w:sectPr w:rsidR="00D636B6" w:rsidRPr="00404A1E" w:rsidSect="00667234">
      <w:footerReference w:type="first" r:id="rId12"/>
      <w:pgSz w:w="11907" w:h="16840" w:code="9"/>
      <w:pgMar w:top="1134" w:right="992" w:bottom="1276" w:left="99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523A" w14:textId="77777777" w:rsidR="0096043F" w:rsidRDefault="0096043F" w:rsidP="00846881">
      <w:r>
        <w:separator/>
      </w:r>
    </w:p>
  </w:endnote>
  <w:endnote w:type="continuationSeparator" w:id="0">
    <w:p w14:paraId="66032750" w14:textId="77777777" w:rsidR="0096043F" w:rsidRDefault="0096043F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FA53" w14:textId="754FFCE9"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667234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2E110DD5" w14:textId="77777777"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B081F" w14:textId="77777777" w:rsidR="0096043F" w:rsidRDefault="0096043F" w:rsidP="00846881">
      <w:r>
        <w:separator/>
      </w:r>
    </w:p>
  </w:footnote>
  <w:footnote w:type="continuationSeparator" w:id="0">
    <w:p w14:paraId="2C2F8791" w14:textId="77777777" w:rsidR="0096043F" w:rsidRDefault="0096043F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058918"/>
    <w:multiLevelType w:val="hybridMultilevel"/>
    <w:tmpl w:val="42F2F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318B"/>
    <w:multiLevelType w:val="hybridMultilevel"/>
    <w:tmpl w:val="965A9708"/>
    <w:lvl w:ilvl="0" w:tplc="587031FA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C637F"/>
    <w:multiLevelType w:val="hybridMultilevel"/>
    <w:tmpl w:val="0B843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5E66"/>
    <w:multiLevelType w:val="hybridMultilevel"/>
    <w:tmpl w:val="5706076A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1A89"/>
    <w:multiLevelType w:val="hybridMultilevel"/>
    <w:tmpl w:val="0F680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241F9"/>
    <w:multiLevelType w:val="hybridMultilevel"/>
    <w:tmpl w:val="6FF69ABC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C4818"/>
    <w:multiLevelType w:val="hybridMultilevel"/>
    <w:tmpl w:val="4D345514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470D6C"/>
    <w:multiLevelType w:val="hybridMultilevel"/>
    <w:tmpl w:val="26144D86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F5726"/>
    <w:multiLevelType w:val="hybridMultilevel"/>
    <w:tmpl w:val="2BF82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072A"/>
    <w:multiLevelType w:val="hybridMultilevel"/>
    <w:tmpl w:val="F01E6BAC"/>
    <w:lvl w:ilvl="0" w:tplc="566CF77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36A20"/>
    <w:multiLevelType w:val="hybridMultilevel"/>
    <w:tmpl w:val="85BE5A5E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45722"/>
    <w:multiLevelType w:val="hybridMultilevel"/>
    <w:tmpl w:val="0846B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56FE0"/>
    <w:multiLevelType w:val="hybridMultilevel"/>
    <w:tmpl w:val="4730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E8F18"/>
    <w:multiLevelType w:val="hybridMultilevel"/>
    <w:tmpl w:val="C5F778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81E11"/>
    <w:multiLevelType w:val="hybridMultilevel"/>
    <w:tmpl w:val="2DEC2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96162"/>
    <w:multiLevelType w:val="hybridMultilevel"/>
    <w:tmpl w:val="7988BF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5566E"/>
    <w:multiLevelType w:val="hybridMultilevel"/>
    <w:tmpl w:val="E96A1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23"/>
  </w:num>
  <w:num w:numId="5">
    <w:abstractNumId w:val="2"/>
  </w:num>
  <w:num w:numId="6">
    <w:abstractNumId w:val="20"/>
  </w:num>
  <w:num w:numId="7">
    <w:abstractNumId w:val="8"/>
  </w:num>
  <w:num w:numId="8">
    <w:abstractNumId w:val="28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24"/>
  </w:num>
  <w:num w:numId="14">
    <w:abstractNumId w:val="7"/>
  </w:num>
  <w:num w:numId="15">
    <w:abstractNumId w:val="37"/>
  </w:num>
  <w:num w:numId="16">
    <w:abstractNumId w:val="26"/>
  </w:num>
  <w:num w:numId="17">
    <w:abstractNumId w:val="10"/>
  </w:num>
  <w:num w:numId="18">
    <w:abstractNumId w:val="5"/>
  </w:num>
  <w:num w:numId="19">
    <w:abstractNumId w:val="33"/>
  </w:num>
  <w:num w:numId="20">
    <w:abstractNumId w:val="12"/>
  </w:num>
  <w:num w:numId="21">
    <w:abstractNumId w:val="21"/>
  </w:num>
  <w:num w:numId="22">
    <w:abstractNumId w:val="0"/>
  </w:num>
  <w:num w:numId="23">
    <w:abstractNumId w:val="14"/>
  </w:num>
  <w:num w:numId="24">
    <w:abstractNumId w:val="32"/>
  </w:num>
  <w:num w:numId="25">
    <w:abstractNumId w:val="6"/>
  </w:num>
  <w:num w:numId="26">
    <w:abstractNumId w:val="22"/>
  </w:num>
  <w:num w:numId="27">
    <w:abstractNumId w:val="35"/>
  </w:num>
  <w:num w:numId="28">
    <w:abstractNumId w:val="11"/>
  </w:num>
  <w:num w:numId="29">
    <w:abstractNumId w:val="31"/>
  </w:num>
  <w:num w:numId="30">
    <w:abstractNumId w:val="17"/>
  </w:num>
  <w:num w:numId="31">
    <w:abstractNumId w:val="19"/>
  </w:num>
  <w:num w:numId="32">
    <w:abstractNumId w:val="13"/>
  </w:num>
  <w:num w:numId="33">
    <w:abstractNumId w:val="34"/>
  </w:num>
  <w:num w:numId="34">
    <w:abstractNumId w:val="27"/>
  </w:num>
  <w:num w:numId="35">
    <w:abstractNumId w:val="25"/>
  </w:num>
  <w:num w:numId="36">
    <w:abstractNumId w:val="16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47C66"/>
    <w:rsid w:val="00060214"/>
    <w:rsid w:val="00060EA4"/>
    <w:rsid w:val="000701E5"/>
    <w:rsid w:val="0008021C"/>
    <w:rsid w:val="000901F6"/>
    <w:rsid w:val="000A1224"/>
    <w:rsid w:val="000A28AF"/>
    <w:rsid w:val="000C3753"/>
    <w:rsid w:val="000C782C"/>
    <w:rsid w:val="0010238B"/>
    <w:rsid w:val="00105130"/>
    <w:rsid w:val="001079BD"/>
    <w:rsid w:val="0011333F"/>
    <w:rsid w:val="001214D4"/>
    <w:rsid w:val="00125617"/>
    <w:rsid w:val="00140718"/>
    <w:rsid w:val="001411A4"/>
    <w:rsid w:val="00154ECF"/>
    <w:rsid w:val="00181F47"/>
    <w:rsid w:val="001860F8"/>
    <w:rsid w:val="001A352C"/>
    <w:rsid w:val="001C0117"/>
    <w:rsid w:val="001C0BDB"/>
    <w:rsid w:val="001C4930"/>
    <w:rsid w:val="001D2F77"/>
    <w:rsid w:val="001E4F45"/>
    <w:rsid w:val="001F4230"/>
    <w:rsid w:val="00201D8D"/>
    <w:rsid w:val="00206E94"/>
    <w:rsid w:val="002073AF"/>
    <w:rsid w:val="00213CB1"/>
    <w:rsid w:val="0022166C"/>
    <w:rsid w:val="00231621"/>
    <w:rsid w:val="00234DCA"/>
    <w:rsid w:val="00241DCD"/>
    <w:rsid w:val="00242E0D"/>
    <w:rsid w:val="00254C93"/>
    <w:rsid w:val="0025725C"/>
    <w:rsid w:val="002622A7"/>
    <w:rsid w:val="00264866"/>
    <w:rsid w:val="002774C1"/>
    <w:rsid w:val="002831C1"/>
    <w:rsid w:val="00284B19"/>
    <w:rsid w:val="0029046F"/>
    <w:rsid w:val="002938CF"/>
    <w:rsid w:val="002A24E2"/>
    <w:rsid w:val="002A7DC6"/>
    <w:rsid w:val="002B0955"/>
    <w:rsid w:val="002B15E5"/>
    <w:rsid w:val="002B61F2"/>
    <w:rsid w:val="002D610A"/>
    <w:rsid w:val="00305553"/>
    <w:rsid w:val="003079DD"/>
    <w:rsid w:val="003150C7"/>
    <w:rsid w:val="00331F3B"/>
    <w:rsid w:val="003364CA"/>
    <w:rsid w:val="00340366"/>
    <w:rsid w:val="00344076"/>
    <w:rsid w:val="00352C50"/>
    <w:rsid w:val="00355714"/>
    <w:rsid w:val="00357F20"/>
    <w:rsid w:val="00372478"/>
    <w:rsid w:val="00384947"/>
    <w:rsid w:val="003966A5"/>
    <w:rsid w:val="003A3202"/>
    <w:rsid w:val="003B21E5"/>
    <w:rsid w:val="003B2C9D"/>
    <w:rsid w:val="003B5FFA"/>
    <w:rsid w:val="003B7B63"/>
    <w:rsid w:val="003C2438"/>
    <w:rsid w:val="003D454C"/>
    <w:rsid w:val="003F0B63"/>
    <w:rsid w:val="003F3A54"/>
    <w:rsid w:val="003F3D59"/>
    <w:rsid w:val="003F640F"/>
    <w:rsid w:val="00404A1E"/>
    <w:rsid w:val="00425BD4"/>
    <w:rsid w:val="0042735E"/>
    <w:rsid w:val="004304A3"/>
    <w:rsid w:val="0044416E"/>
    <w:rsid w:val="00453CAD"/>
    <w:rsid w:val="00456439"/>
    <w:rsid w:val="004604A8"/>
    <w:rsid w:val="0046426B"/>
    <w:rsid w:val="0046510E"/>
    <w:rsid w:val="0048144F"/>
    <w:rsid w:val="00495B06"/>
    <w:rsid w:val="004A1947"/>
    <w:rsid w:val="004B182C"/>
    <w:rsid w:val="004C32C0"/>
    <w:rsid w:val="004C7772"/>
    <w:rsid w:val="004E29A2"/>
    <w:rsid w:val="004E42D2"/>
    <w:rsid w:val="00505EC2"/>
    <w:rsid w:val="00506F42"/>
    <w:rsid w:val="00522F55"/>
    <w:rsid w:val="005323C5"/>
    <w:rsid w:val="00536911"/>
    <w:rsid w:val="00540C9F"/>
    <w:rsid w:val="00545CC1"/>
    <w:rsid w:val="005543E8"/>
    <w:rsid w:val="00583630"/>
    <w:rsid w:val="00590B75"/>
    <w:rsid w:val="005B4272"/>
    <w:rsid w:val="005B4815"/>
    <w:rsid w:val="005C1649"/>
    <w:rsid w:val="005C2BAA"/>
    <w:rsid w:val="005C5D77"/>
    <w:rsid w:val="005E1085"/>
    <w:rsid w:val="005F153D"/>
    <w:rsid w:val="00612CB1"/>
    <w:rsid w:val="006254CC"/>
    <w:rsid w:val="00626260"/>
    <w:rsid w:val="006277E9"/>
    <w:rsid w:val="006344F3"/>
    <w:rsid w:val="006409D9"/>
    <w:rsid w:val="00651785"/>
    <w:rsid w:val="00667234"/>
    <w:rsid w:val="006834B9"/>
    <w:rsid w:val="00687039"/>
    <w:rsid w:val="006935A8"/>
    <w:rsid w:val="00696854"/>
    <w:rsid w:val="006A1696"/>
    <w:rsid w:val="006A303A"/>
    <w:rsid w:val="006A5387"/>
    <w:rsid w:val="006B4C10"/>
    <w:rsid w:val="006B6A8E"/>
    <w:rsid w:val="006D4561"/>
    <w:rsid w:val="006E21EB"/>
    <w:rsid w:val="006F5334"/>
    <w:rsid w:val="007127B5"/>
    <w:rsid w:val="00717852"/>
    <w:rsid w:val="00724EB2"/>
    <w:rsid w:val="00744059"/>
    <w:rsid w:val="007602BC"/>
    <w:rsid w:val="0076398D"/>
    <w:rsid w:val="00764A0A"/>
    <w:rsid w:val="00770AF9"/>
    <w:rsid w:val="007716FE"/>
    <w:rsid w:val="00772628"/>
    <w:rsid w:val="00775604"/>
    <w:rsid w:val="00782136"/>
    <w:rsid w:val="0078317F"/>
    <w:rsid w:val="00790C20"/>
    <w:rsid w:val="007951E1"/>
    <w:rsid w:val="007A3F91"/>
    <w:rsid w:val="007D25BC"/>
    <w:rsid w:val="007D5961"/>
    <w:rsid w:val="007E360A"/>
    <w:rsid w:val="007E59F5"/>
    <w:rsid w:val="007E7ADF"/>
    <w:rsid w:val="008317C7"/>
    <w:rsid w:val="0083788A"/>
    <w:rsid w:val="00844B86"/>
    <w:rsid w:val="00846881"/>
    <w:rsid w:val="0085253B"/>
    <w:rsid w:val="008545F6"/>
    <w:rsid w:val="008601A4"/>
    <w:rsid w:val="00865959"/>
    <w:rsid w:val="00867D3A"/>
    <w:rsid w:val="008736BC"/>
    <w:rsid w:val="00873711"/>
    <w:rsid w:val="00875751"/>
    <w:rsid w:val="00880ACA"/>
    <w:rsid w:val="008857D2"/>
    <w:rsid w:val="008908E1"/>
    <w:rsid w:val="0089186A"/>
    <w:rsid w:val="008D5441"/>
    <w:rsid w:val="008E2680"/>
    <w:rsid w:val="008E2DD6"/>
    <w:rsid w:val="008E53DE"/>
    <w:rsid w:val="008F0496"/>
    <w:rsid w:val="008F3646"/>
    <w:rsid w:val="00903B41"/>
    <w:rsid w:val="00933C17"/>
    <w:rsid w:val="00941A43"/>
    <w:rsid w:val="009548AD"/>
    <w:rsid w:val="0096043F"/>
    <w:rsid w:val="00965E53"/>
    <w:rsid w:val="009706F1"/>
    <w:rsid w:val="00974561"/>
    <w:rsid w:val="00982579"/>
    <w:rsid w:val="009843BA"/>
    <w:rsid w:val="0099526E"/>
    <w:rsid w:val="009966E3"/>
    <w:rsid w:val="009B5012"/>
    <w:rsid w:val="009C2EC2"/>
    <w:rsid w:val="009C7B4C"/>
    <w:rsid w:val="009D5D01"/>
    <w:rsid w:val="009D6484"/>
    <w:rsid w:val="009E3636"/>
    <w:rsid w:val="00A011F2"/>
    <w:rsid w:val="00A02E0E"/>
    <w:rsid w:val="00A07C24"/>
    <w:rsid w:val="00A14B2D"/>
    <w:rsid w:val="00A2083F"/>
    <w:rsid w:val="00A24A30"/>
    <w:rsid w:val="00A30E35"/>
    <w:rsid w:val="00A35E6C"/>
    <w:rsid w:val="00A83FB3"/>
    <w:rsid w:val="00A9135E"/>
    <w:rsid w:val="00AC402D"/>
    <w:rsid w:val="00AD0AF3"/>
    <w:rsid w:val="00AD6A4D"/>
    <w:rsid w:val="00AE59A4"/>
    <w:rsid w:val="00AF0514"/>
    <w:rsid w:val="00B05E0A"/>
    <w:rsid w:val="00B211FC"/>
    <w:rsid w:val="00B25302"/>
    <w:rsid w:val="00B30403"/>
    <w:rsid w:val="00B30654"/>
    <w:rsid w:val="00B33E4F"/>
    <w:rsid w:val="00B35761"/>
    <w:rsid w:val="00B41E45"/>
    <w:rsid w:val="00B5136F"/>
    <w:rsid w:val="00B632F5"/>
    <w:rsid w:val="00B72FE6"/>
    <w:rsid w:val="00B9480B"/>
    <w:rsid w:val="00B950AB"/>
    <w:rsid w:val="00BB4A46"/>
    <w:rsid w:val="00BD14FE"/>
    <w:rsid w:val="00BE143C"/>
    <w:rsid w:val="00BF5B84"/>
    <w:rsid w:val="00C151BB"/>
    <w:rsid w:val="00C34357"/>
    <w:rsid w:val="00C373FC"/>
    <w:rsid w:val="00C41DBB"/>
    <w:rsid w:val="00C45933"/>
    <w:rsid w:val="00C46FA8"/>
    <w:rsid w:val="00C579E9"/>
    <w:rsid w:val="00C60EAE"/>
    <w:rsid w:val="00C75A39"/>
    <w:rsid w:val="00C83B90"/>
    <w:rsid w:val="00C85689"/>
    <w:rsid w:val="00CA0D2E"/>
    <w:rsid w:val="00CA2D61"/>
    <w:rsid w:val="00CB16A1"/>
    <w:rsid w:val="00CB2C50"/>
    <w:rsid w:val="00CB3905"/>
    <w:rsid w:val="00CD0632"/>
    <w:rsid w:val="00CE69B8"/>
    <w:rsid w:val="00CF02AB"/>
    <w:rsid w:val="00CF2F69"/>
    <w:rsid w:val="00CF35E5"/>
    <w:rsid w:val="00CF6891"/>
    <w:rsid w:val="00D33418"/>
    <w:rsid w:val="00D53A53"/>
    <w:rsid w:val="00D57B74"/>
    <w:rsid w:val="00D60148"/>
    <w:rsid w:val="00D636B6"/>
    <w:rsid w:val="00D813EA"/>
    <w:rsid w:val="00DB0BCD"/>
    <w:rsid w:val="00DB7126"/>
    <w:rsid w:val="00DD6095"/>
    <w:rsid w:val="00DD6855"/>
    <w:rsid w:val="00DE0F38"/>
    <w:rsid w:val="00E003D3"/>
    <w:rsid w:val="00E05620"/>
    <w:rsid w:val="00E13748"/>
    <w:rsid w:val="00E3092A"/>
    <w:rsid w:val="00E320A4"/>
    <w:rsid w:val="00E526E0"/>
    <w:rsid w:val="00E75548"/>
    <w:rsid w:val="00E83151"/>
    <w:rsid w:val="00E8321E"/>
    <w:rsid w:val="00E85663"/>
    <w:rsid w:val="00E91E6B"/>
    <w:rsid w:val="00E92ADE"/>
    <w:rsid w:val="00E97867"/>
    <w:rsid w:val="00EA2B5D"/>
    <w:rsid w:val="00EB08D9"/>
    <w:rsid w:val="00EB4473"/>
    <w:rsid w:val="00EB7001"/>
    <w:rsid w:val="00EE1B4E"/>
    <w:rsid w:val="00EE4BD9"/>
    <w:rsid w:val="00EE5E95"/>
    <w:rsid w:val="00EE6FAF"/>
    <w:rsid w:val="00F03177"/>
    <w:rsid w:val="00F11CAC"/>
    <w:rsid w:val="00F13297"/>
    <w:rsid w:val="00F17667"/>
    <w:rsid w:val="00F24B4E"/>
    <w:rsid w:val="00F30F82"/>
    <w:rsid w:val="00F343D3"/>
    <w:rsid w:val="00F47367"/>
    <w:rsid w:val="00F61274"/>
    <w:rsid w:val="00F675A7"/>
    <w:rsid w:val="00F8182D"/>
    <w:rsid w:val="00F85C42"/>
    <w:rsid w:val="00F8781E"/>
    <w:rsid w:val="00F93F26"/>
    <w:rsid w:val="00FB20BE"/>
    <w:rsid w:val="00FC6923"/>
    <w:rsid w:val="00FC70D6"/>
    <w:rsid w:val="00FD6F89"/>
    <w:rsid w:val="00FE435D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82CB2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440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0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arnlocal.org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about nominations opening for the 2019 Victorian Learn Local Awards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C7AD-A51F-495B-8D04-A0365D0702B0}"/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96B31DD8-7CC5-4E9D-B4B4-8BAEA7F9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 memo 1 April 2019</vt:lpstr>
    </vt:vector>
  </TitlesOfParts>
  <Company>Dept. Of Education and Training (DE&amp;T)</Company>
  <LinksUpToDate>false</LinksUpToDate>
  <CharactersWithSpaces>3492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 memo 1 April 2019</dc:title>
  <dc:creator>08306670</dc:creator>
  <cp:lastModifiedBy>Georgie Marinucci</cp:lastModifiedBy>
  <cp:revision>5</cp:revision>
  <cp:lastPrinted>2019-04-16T02:00:00Z</cp:lastPrinted>
  <dcterms:created xsi:type="dcterms:W3CDTF">2019-04-16T03:48:00Z</dcterms:created>
  <dcterms:modified xsi:type="dcterms:W3CDTF">2019-04-23T01:49:00Z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