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D251E1" w:rsidRDefault="00D813EA" w:rsidP="00BD1D70">
      <w:pPr>
        <w:jc w:val="center"/>
        <w:rPr>
          <w:b/>
          <w:color w:val="2F5496" w:themeColor="accent5" w:themeShade="BF"/>
          <w:sz w:val="32"/>
          <w:szCs w:val="32"/>
          <w:lang w:val="en"/>
        </w:rPr>
      </w:pPr>
      <w:r w:rsidRPr="00D251E1">
        <w:rPr>
          <w:b/>
          <w:color w:val="2F5496" w:themeColor="accent5" w:themeShade="BF"/>
          <w:sz w:val="32"/>
          <w:szCs w:val="32"/>
          <w:lang w:val="en"/>
        </w:rPr>
        <w:t>Department of Education and Training</w:t>
      </w:r>
    </w:p>
    <w:p w:rsidR="001C0BDB" w:rsidRPr="00D251E1" w:rsidRDefault="00D813EA" w:rsidP="00BD1D70">
      <w:pPr>
        <w:jc w:val="center"/>
        <w:rPr>
          <w:b/>
          <w:color w:val="2F5496" w:themeColor="accent5" w:themeShade="BF"/>
          <w:sz w:val="32"/>
          <w:szCs w:val="32"/>
          <w:lang w:val="en"/>
        </w:rPr>
      </w:pPr>
      <w:r w:rsidRPr="00D251E1">
        <w:rPr>
          <w:b/>
          <w:color w:val="2F5496" w:themeColor="accent5" w:themeShade="BF"/>
          <w:sz w:val="32"/>
          <w:szCs w:val="32"/>
          <w:lang w:val="en"/>
        </w:rPr>
        <w:t xml:space="preserve">Higher Education and Skills </w:t>
      </w:r>
    </w:p>
    <w:p w:rsidR="00545CC1" w:rsidRPr="0019755B" w:rsidRDefault="00254C93" w:rsidP="00B32C00">
      <w:pPr>
        <w:spacing w:before="200" w:after="200"/>
        <w:jc w:val="center"/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</w:pPr>
      <w:r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>P</w:t>
      </w:r>
      <w:r w:rsidR="00C03591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>articipation, Inclusion and</w:t>
      </w:r>
      <w:r w:rsidR="00B35761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 xml:space="preserve"> Regional </w:t>
      </w:r>
      <w:r w:rsidR="0019755B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>Engagement:</w:t>
      </w:r>
      <w:r w:rsidR="00C03591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 xml:space="preserve"> </w:t>
      </w:r>
      <w:r w:rsidR="00B35761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 xml:space="preserve">Branch </w:t>
      </w:r>
      <w:r w:rsidR="00D813EA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>Mem</w:t>
      </w:r>
      <w:r w:rsidR="0085253B" w:rsidRPr="0019755B">
        <w:rPr>
          <w:rFonts w:asciiTheme="majorHAnsi" w:hAnsiTheme="majorHAnsi" w:cstheme="majorHAnsi"/>
          <w:b/>
          <w:color w:val="2F5496" w:themeColor="accent5" w:themeShade="BF"/>
          <w:szCs w:val="24"/>
          <w:lang w:val="en"/>
        </w:rPr>
        <w:t>o</w:t>
      </w:r>
    </w:p>
    <w:p w:rsidR="00CB2C50" w:rsidRPr="005E7970" w:rsidRDefault="00545CC1" w:rsidP="00B32C00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CB2C5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:rsidR="00CB2C50" w:rsidRPr="005E7970" w:rsidRDefault="00CB2C50" w:rsidP="00B32C00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B32C0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Regional Councils</w:t>
      </w:r>
    </w:p>
    <w:p w:rsidR="00B17E34" w:rsidRDefault="00545CC1" w:rsidP="00B32C00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Adult education i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nstitutions</w:t>
      </w:r>
    </w:p>
    <w:p w:rsidR="00B17E34" w:rsidRPr="00B17E34" w:rsidRDefault="00B32C00" w:rsidP="00B32C00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ab/>
      </w:r>
      <w:r>
        <w:rPr>
          <w:color w:val="000000" w:themeColor="text1"/>
          <w:szCs w:val="24"/>
          <w:lang w:val="en-GB" w:eastAsia="en-US"/>
        </w:rPr>
        <w:tab/>
      </w:r>
      <w:r w:rsidR="00B17E34">
        <w:rPr>
          <w:color w:val="000000" w:themeColor="text1"/>
          <w:szCs w:val="24"/>
          <w:lang w:val="en-GB" w:eastAsia="en-US"/>
        </w:rPr>
        <w:t>Learn Local s</w:t>
      </w:r>
      <w:r w:rsidR="00B17E34" w:rsidRPr="00BC23C8">
        <w:rPr>
          <w:color w:val="000000" w:themeColor="text1"/>
          <w:szCs w:val="24"/>
          <w:lang w:val="en-GB" w:eastAsia="en-US"/>
        </w:rPr>
        <w:t>takeholders</w:t>
      </w:r>
    </w:p>
    <w:p w:rsidR="00DB0BCD" w:rsidRPr="005E7970" w:rsidRDefault="00545CC1" w:rsidP="00B32C00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:rsidR="003547C4" w:rsidRPr="005E7970" w:rsidRDefault="00B32C00" w:rsidP="00B32C00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="003547C4"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="006A60D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</w:t>
      </w:r>
    </w:p>
    <w:p w:rsidR="009D5D01" w:rsidRPr="005E7970" w:rsidRDefault="009D5D01" w:rsidP="00B32C00">
      <w:pPr>
        <w:tabs>
          <w:tab w:val="left" w:pos="1134"/>
        </w:tabs>
        <w:spacing w:before="120"/>
        <w:ind w:left="284" w:hanging="284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B32C0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7D77E2" w:rsidRPr="005E7970">
        <w:rPr>
          <w:rFonts w:asciiTheme="minorHAnsi" w:hAnsiTheme="minorHAnsi" w:cstheme="minorHAnsi"/>
          <w:color w:val="000000" w:themeColor="text1"/>
          <w:lang w:val="en-GB" w:eastAsia="en-US"/>
        </w:rPr>
        <w:t>Edu De Hue</w:t>
      </w:r>
      <w:r w:rsidR="002D610A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, </w:t>
      </w:r>
      <w:r w:rsidR="007D77E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A/</w:t>
      </w:r>
      <w:r w:rsidR="0029046F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D</w:t>
      </w:r>
      <w:r w:rsidR="004E29A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irector</w:t>
      </w:r>
      <w:r w:rsidR="00F453C5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F453C5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C03591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</w:t>
      </w:r>
      <w:r w:rsidR="00254C9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Regional Engagement </w:t>
      </w:r>
      <w:r w:rsidR="00135871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135871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</w:t>
      </w:r>
    </w:p>
    <w:p w:rsidR="009D5D01" w:rsidRPr="005E7970" w:rsidRDefault="009D5D01" w:rsidP="00B32C00">
      <w:pPr>
        <w:spacing w:before="120"/>
        <w:ind w:left="851" w:hanging="851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B32C0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0D1EE8">
        <w:rPr>
          <w:rFonts w:asciiTheme="minorHAnsi" w:hAnsiTheme="minorHAnsi" w:cstheme="minorHAnsi"/>
          <w:color w:val="000000" w:themeColor="text1"/>
          <w:lang w:val="en-GB" w:eastAsia="en-US"/>
        </w:rPr>
        <w:t>14/01</w:t>
      </w:r>
      <w:r w:rsidR="00CB2C50" w:rsidRPr="005E7970">
        <w:rPr>
          <w:rFonts w:asciiTheme="minorHAnsi" w:hAnsiTheme="minorHAnsi" w:cstheme="minorHAnsi"/>
          <w:color w:val="000000" w:themeColor="text1"/>
          <w:lang w:val="en-GB" w:eastAsia="en-US"/>
        </w:rPr>
        <w:t>/</w:t>
      </w:r>
      <w:r w:rsidR="000D1EE8">
        <w:rPr>
          <w:rFonts w:asciiTheme="minorHAnsi" w:hAnsiTheme="minorHAnsi" w:cstheme="minorHAnsi"/>
          <w:color w:val="000000" w:themeColor="text1"/>
          <w:lang w:val="en-GB" w:eastAsia="en-US"/>
        </w:rPr>
        <w:t>2020</w:t>
      </w:r>
    </w:p>
    <w:p w:rsidR="00B32C00" w:rsidRPr="00B32C00" w:rsidRDefault="009D5D01" w:rsidP="00135871">
      <w:pPr>
        <w:tabs>
          <w:tab w:val="left" w:pos="1134"/>
        </w:tabs>
        <w:spacing w:before="0" w:after="0"/>
        <w:ind w:left="284" w:right="-187" w:hanging="284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E82827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Revised </w:t>
      </w:r>
      <w:r w:rsidR="00B32C00" w:rsidRPr="00B32C0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ACFE Board </w:t>
      </w:r>
      <w:r w:rsidR="00E82827">
        <w:rPr>
          <w:rFonts w:asciiTheme="minorHAnsi" w:hAnsiTheme="minorHAnsi" w:cstheme="minorHAnsi"/>
          <w:b/>
          <w:color w:val="000000" w:themeColor="text1"/>
          <w:lang w:val="en-GB" w:eastAsia="en-US"/>
        </w:rPr>
        <w:t>Business and Governance Status (BGS)</w:t>
      </w:r>
      <w:r w:rsidR="00C96CA6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 Guidelines</w:t>
      </w:r>
    </w:p>
    <w:p w:rsidR="001807E6" w:rsidRPr="00B32C00" w:rsidRDefault="00B32C00" w:rsidP="00B32C00">
      <w:pPr>
        <w:tabs>
          <w:tab w:val="left" w:pos="1134"/>
        </w:tabs>
        <w:spacing w:before="0" w:after="0"/>
        <w:ind w:right="-425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B32C0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Pr="00B32C0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E82827">
        <w:rPr>
          <w:rFonts w:asciiTheme="minorHAnsi" w:hAnsiTheme="minorHAnsi" w:cstheme="minorHAnsi"/>
          <w:b/>
          <w:color w:val="000000" w:themeColor="text1"/>
          <w:lang w:val="en-GB" w:eastAsia="en-US"/>
        </w:rPr>
        <w:t>December 2019</w:t>
      </w:r>
      <w:r w:rsidR="00135871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</w:p>
    <w:p w:rsidR="00810ABD" w:rsidRPr="00B32C0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000000" w:themeColor="text1"/>
          <w:lang w:val="en"/>
        </w:rPr>
      </w:pPr>
    </w:p>
    <w:p w:rsidR="00135871" w:rsidRPr="00135871" w:rsidRDefault="00135871" w:rsidP="00135871">
      <w:pPr>
        <w:pStyle w:val="Heading2"/>
        <w:spacing w:before="0" w:after="0" w:line="240" w:lineRule="auto"/>
        <w:jc w:val="left"/>
        <w:rPr>
          <w:b/>
          <w:color w:val="2F5496" w:themeColor="accent5" w:themeShade="BF"/>
          <w:sz w:val="16"/>
          <w:szCs w:val="16"/>
          <w:lang w:val="en"/>
        </w:rPr>
      </w:pPr>
    </w:p>
    <w:p w:rsidR="006F3184" w:rsidRPr="00F64BFB" w:rsidRDefault="00DB0BCD" w:rsidP="00135871">
      <w:pPr>
        <w:pStyle w:val="Heading2"/>
        <w:spacing w:before="0" w:after="0" w:line="240" w:lineRule="auto"/>
        <w:jc w:val="left"/>
        <w:rPr>
          <w:b/>
          <w:color w:val="2F5496" w:themeColor="accent5" w:themeShade="BF"/>
          <w:lang w:val="en"/>
        </w:rPr>
      </w:pPr>
      <w:r w:rsidRPr="00F64BFB">
        <w:rPr>
          <w:b/>
          <w:color w:val="2F5496" w:themeColor="accent5" w:themeShade="BF"/>
          <w:lang w:val="en"/>
        </w:rPr>
        <w:t>A</w:t>
      </w:r>
      <w:r w:rsidR="0027439D" w:rsidRPr="00F64BFB">
        <w:rPr>
          <w:b/>
          <w:color w:val="2F5496" w:themeColor="accent5" w:themeShade="BF"/>
          <w:lang w:val="en"/>
        </w:rPr>
        <w:t>ctions</w:t>
      </w:r>
      <w:r w:rsidR="00AE3762" w:rsidRPr="00F64BFB">
        <w:rPr>
          <w:b/>
          <w:color w:val="2F5496" w:themeColor="accent5" w:themeShade="BF"/>
          <w:lang w:val="en"/>
        </w:rPr>
        <w:t xml:space="preserve"> / Critical Dates:</w:t>
      </w:r>
    </w:p>
    <w:p w:rsidR="00651177" w:rsidRDefault="00EF2BAF" w:rsidP="0039114A">
      <w:pPr>
        <w:pStyle w:val="ListParagraph"/>
        <w:numPr>
          <w:ilvl w:val="0"/>
          <w:numId w:val="31"/>
        </w:numPr>
        <w:spacing w:before="120" w:after="120" w:line="280" w:lineRule="atLeast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T</w:t>
      </w:r>
      <w:r w:rsidR="0091131D">
        <w:rPr>
          <w:rFonts w:asciiTheme="minorHAnsi" w:hAnsiTheme="minorHAnsi" w:cstheme="minorHAnsi"/>
          <w:bCs/>
          <w:color w:val="000000" w:themeColor="text1"/>
          <w:lang w:val="en-GB"/>
        </w:rPr>
        <w:t>he new Business and Governance Status</w:t>
      </w:r>
      <w:r w:rsidR="00DB2C6B">
        <w:rPr>
          <w:rFonts w:asciiTheme="minorHAnsi" w:hAnsiTheme="minorHAnsi" w:cstheme="minorHAnsi"/>
          <w:bCs/>
          <w:color w:val="000000" w:themeColor="text1"/>
          <w:lang w:val="en-GB"/>
        </w:rPr>
        <w:t xml:space="preserve"> Guidelines (December 2019), pages 12 and 13, </w:t>
      </w:r>
      <w:r w:rsidR="00651177">
        <w:rPr>
          <w:rFonts w:asciiTheme="minorHAnsi" w:hAnsiTheme="minorHAnsi" w:cstheme="minorHAnsi"/>
          <w:bCs/>
          <w:color w:val="000000" w:themeColor="text1"/>
          <w:lang w:val="en-GB"/>
        </w:rPr>
        <w:t>bec</w:t>
      </w:r>
      <w:r w:rsidR="000E7655">
        <w:rPr>
          <w:rFonts w:asciiTheme="minorHAnsi" w:hAnsiTheme="minorHAnsi" w:cstheme="minorHAnsi"/>
          <w:bCs/>
          <w:color w:val="000000" w:themeColor="text1"/>
          <w:lang w:val="en-GB"/>
        </w:rPr>
        <w:t>a</w:t>
      </w:r>
      <w:r w:rsidR="00651177">
        <w:rPr>
          <w:rFonts w:asciiTheme="minorHAnsi" w:hAnsiTheme="minorHAnsi" w:cstheme="minorHAnsi"/>
          <w:bCs/>
          <w:color w:val="000000" w:themeColor="text1"/>
          <w:lang w:val="en-GB"/>
        </w:rPr>
        <w:t>me effective</w:t>
      </w: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 from 1 January</w:t>
      </w:r>
      <w:r w:rsidR="00651177">
        <w:rPr>
          <w:rFonts w:asciiTheme="minorHAnsi" w:hAnsiTheme="minorHAnsi" w:cstheme="minorHAnsi"/>
          <w:bCs/>
          <w:color w:val="000000" w:themeColor="text1"/>
          <w:lang w:val="en-GB"/>
        </w:rPr>
        <w:t xml:space="preserve"> 2020.</w:t>
      </w:r>
    </w:p>
    <w:p w:rsidR="00651177" w:rsidRPr="00651177" w:rsidRDefault="00651177" w:rsidP="00651177">
      <w:pPr>
        <w:pStyle w:val="ListParagraph"/>
        <w:numPr>
          <w:ilvl w:val="0"/>
          <w:numId w:val="31"/>
        </w:numPr>
        <w:spacing w:before="120" w:after="120" w:line="280" w:lineRule="atLeast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Due dates remain unchanged - 3 months from your calendar or financial year end.</w:t>
      </w:r>
    </w:p>
    <w:p w:rsidR="00810ABD" w:rsidRDefault="002152E8" w:rsidP="0039114A">
      <w:pPr>
        <w:pStyle w:val="ListParagraph"/>
        <w:numPr>
          <w:ilvl w:val="0"/>
          <w:numId w:val="31"/>
        </w:numPr>
        <w:spacing w:before="120" w:after="120" w:line="280" w:lineRule="atLeast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>Contact your regional office if you have any questions</w:t>
      </w:r>
      <w:r w:rsidR="0027439D" w:rsidRPr="009C5A84">
        <w:rPr>
          <w:rFonts w:asciiTheme="minorHAnsi" w:hAnsiTheme="minorHAnsi" w:cstheme="minorHAnsi"/>
          <w:bCs/>
          <w:color w:val="000000" w:themeColor="text1"/>
          <w:lang w:val="en-GB"/>
        </w:rPr>
        <w:t>.</w:t>
      </w:r>
    </w:p>
    <w:p w:rsidR="00135871" w:rsidRDefault="00135871" w:rsidP="00135871">
      <w:pPr>
        <w:pStyle w:val="ListParagraph"/>
        <w:spacing w:before="0" w:after="0" w:line="240" w:lineRule="auto"/>
        <w:ind w:left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</w:p>
    <w:p w:rsidR="00B17E34" w:rsidRPr="0019755B" w:rsidRDefault="00B17E34" w:rsidP="00C17A4D">
      <w:pPr>
        <w:pBdr>
          <w:top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2F5496" w:themeColor="accent5" w:themeShade="BF"/>
          <w:sz w:val="16"/>
          <w:szCs w:val="16"/>
          <w:lang w:val="en"/>
        </w:rPr>
      </w:pPr>
    </w:p>
    <w:p w:rsidR="00F14B6A" w:rsidRPr="00F64BFB" w:rsidRDefault="00E82827" w:rsidP="0019755B">
      <w:pPr>
        <w:pStyle w:val="Heading2"/>
        <w:spacing w:line="240" w:lineRule="atLeast"/>
        <w:jc w:val="left"/>
        <w:rPr>
          <w:rFonts w:asciiTheme="minorHAnsi" w:hAnsiTheme="minorHAnsi" w:cstheme="minorHAnsi"/>
          <w:b/>
          <w:color w:val="2F5496" w:themeColor="accent5" w:themeShade="BF"/>
          <w:lang w:val="en-GB" w:eastAsia="en-US"/>
        </w:rPr>
      </w:pPr>
      <w:r>
        <w:rPr>
          <w:b/>
          <w:color w:val="2F5496" w:themeColor="accent5" w:themeShade="BF"/>
          <w:lang w:val="en"/>
        </w:rPr>
        <w:t>What are the changes to the Business and Governance Status</w:t>
      </w:r>
      <w:r w:rsidR="00C96CA6">
        <w:rPr>
          <w:b/>
          <w:color w:val="2F5496" w:themeColor="accent5" w:themeShade="BF"/>
          <w:lang w:val="en"/>
        </w:rPr>
        <w:t xml:space="preserve"> Guidelines?</w:t>
      </w:r>
    </w:p>
    <w:p w:rsidR="00E82827" w:rsidRPr="0091131D" w:rsidRDefault="00E82827" w:rsidP="0019755B">
      <w:pPr>
        <w:jc w:val="left"/>
        <w:rPr>
          <w:rFonts w:asciiTheme="minorHAnsi" w:hAnsiTheme="minorHAnsi" w:cstheme="minorHAnsi"/>
          <w:color w:val="auto"/>
        </w:rPr>
      </w:pPr>
      <w:r w:rsidRPr="0091131D">
        <w:rPr>
          <w:rFonts w:asciiTheme="minorHAnsi" w:hAnsiTheme="minorHAnsi" w:cstheme="minorHAnsi"/>
          <w:color w:val="auto"/>
        </w:rPr>
        <w:t>A revisit of the existing Business and Governance Status</w:t>
      </w:r>
      <w:r w:rsidR="005D156E" w:rsidRPr="0091131D">
        <w:rPr>
          <w:rFonts w:asciiTheme="minorHAnsi" w:hAnsiTheme="minorHAnsi" w:cstheme="minorHAnsi"/>
          <w:color w:val="auto"/>
        </w:rPr>
        <w:t xml:space="preserve"> (BGS)</w:t>
      </w:r>
      <w:r w:rsidRPr="0091131D">
        <w:rPr>
          <w:rFonts w:asciiTheme="minorHAnsi" w:hAnsiTheme="minorHAnsi" w:cstheme="minorHAnsi"/>
          <w:color w:val="auto"/>
        </w:rPr>
        <w:t xml:space="preserve"> process has resulted in some additional information requests to align the </w:t>
      </w:r>
      <w:r w:rsidR="005D156E" w:rsidRPr="0091131D">
        <w:rPr>
          <w:rFonts w:asciiTheme="minorHAnsi" w:hAnsiTheme="minorHAnsi" w:cstheme="minorHAnsi"/>
          <w:color w:val="auto"/>
        </w:rPr>
        <w:t>current BGS requirements</w:t>
      </w:r>
      <w:r w:rsidRPr="0091131D">
        <w:rPr>
          <w:rFonts w:asciiTheme="minorHAnsi" w:hAnsiTheme="minorHAnsi" w:cstheme="minorHAnsi"/>
          <w:color w:val="auto"/>
        </w:rPr>
        <w:t xml:space="preserve"> with existing governance processes.  This has resulted in the following new information requests as part of your new BGS submission requirements:</w:t>
      </w:r>
    </w:p>
    <w:p w:rsidR="00E82827" w:rsidRPr="000D1EE8" w:rsidRDefault="00E82827" w:rsidP="000E7655">
      <w:pPr>
        <w:pStyle w:val="ListParagraph"/>
        <w:numPr>
          <w:ilvl w:val="0"/>
          <w:numId w:val="37"/>
        </w:numPr>
        <w:jc w:val="left"/>
        <w:rPr>
          <w:rFonts w:asciiTheme="minorHAnsi" w:hAnsiTheme="minorHAnsi" w:cstheme="minorHAnsi"/>
          <w:color w:val="auto"/>
        </w:rPr>
      </w:pPr>
      <w:r w:rsidRPr="000D1EE8">
        <w:rPr>
          <w:rFonts w:asciiTheme="minorHAnsi" w:hAnsiTheme="minorHAnsi" w:cstheme="minorHAnsi"/>
          <w:color w:val="000000" w:themeColor="text1"/>
        </w:rPr>
        <w:t>Copy of current certificate of insurance to be attached to the assessment</w:t>
      </w:r>
    </w:p>
    <w:p w:rsidR="00E82827" w:rsidRPr="0091131D" w:rsidRDefault="00E82827" w:rsidP="000E7655">
      <w:pPr>
        <w:pStyle w:val="ListParagraph"/>
        <w:numPr>
          <w:ilvl w:val="0"/>
          <w:numId w:val="37"/>
        </w:numPr>
        <w:jc w:val="left"/>
        <w:rPr>
          <w:rFonts w:asciiTheme="minorHAnsi" w:hAnsiTheme="minorHAnsi" w:cstheme="minorHAnsi"/>
          <w:color w:val="auto"/>
        </w:rPr>
      </w:pPr>
      <w:r w:rsidRPr="0091131D">
        <w:rPr>
          <w:rFonts w:asciiTheme="minorHAnsi" w:hAnsiTheme="minorHAnsi" w:cstheme="minorHAnsi"/>
          <w:color w:val="auto"/>
        </w:rPr>
        <w:t>Addition of</w:t>
      </w:r>
      <w:r w:rsidR="005D156E" w:rsidRPr="0091131D">
        <w:rPr>
          <w:rFonts w:asciiTheme="minorHAnsi" w:hAnsiTheme="minorHAnsi" w:cstheme="minorHAnsi"/>
          <w:color w:val="auto"/>
        </w:rPr>
        <w:t xml:space="preserve"> Tier Three Reporting request for </w:t>
      </w:r>
      <w:r w:rsidRPr="0091131D">
        <w:rPr>
          <w:rFonts w:asciiTheme="minorHAnsi" w:hAnsiTheme="minorHAnsi" w:cstheme="minorHAnsi"/>
          <w:color w:val="auto"/>
        </w:rPr>
        <w:t>funding percentages as follows:</w:t>
      </w:r>
    </w:p>
    <w:p w:rsidR="00E82827" w:rsidRPr="0091131D" w:rsidRDefault="00E82827" w:rsidP="00E82827">
      <w:pPr>
        <w:pStyle w:val="ListParagraph"/>
        <w:numPr>
          <w:ilvl w:val="1"/>
          <w:numId w:val="37"/>
        </w:numPr>
        <w:jc w:val="left"/>
        <w:rPr>
          <w:rFonts w:asciiTheme="minorHAnsi" w:hAnsiTheme="minorHAnsi" w:cstheme="minorHAnsi"/>
          <w:color w:val="auto"/>
        </w:rPr>
      </w:pPr>
      <w:r w:rsidRPr="0091131D">
        <w:rPr>
          <w:rFonts w:asciiTheme="minorHAnsi" w:hAnsiTheme="minorHAnsi" w:cstheme="minorHAnsi"/>
          <w:color w:val="auto"/>
        </w:rPr>
        <w:t>ACFE Board funding as percentage of total funding</w:t>
      </w:r>
    </w:p>
    <w:p w:rsidR="005D156E" w:rsidRPr="0091131D" w:rsidRDefault="005D156E" w:rsidP="00E82827">
      <w:pPr>
        <w:pStyle w:val="ListParagraph"/>
        <w:numPr>
          <w:ilvl w:val="1"/>
          <w:numId w:val="37"/>
        </w:numPr>
        <w:jc w:val="left"/>
        <w:rPr>
          <w:rFonts w:asciiTheme="minorHAnsi" w:hAnsiTheme="minorHAnsi" w:cstheme="minorHAnsi"/>
          <w:color w:val="auto"/>
        </w:rPr>
      </w:pPr>
      <w:r w:rsidRPr="0091131D">
        <w:rPr>
          <w:rFonts w:asciiTheme="minorHAnsi" w:hAnsiTheme="minorHAnsi" w:cstheme="minorHAnsi"/>
          <w:color w:val="auto"/>
        </w:rPr>
        <w:t>DET Funding (Excluding ACFE Board) as percentage of total funding</w:t>
      </w:r>
    </w:p>
    <w:p w:rsidR="0019755B" w:rsidRPr="00DB2C6B" w:rsidRDefault="005D156E" w:rsidP="005D156E">
      <w:pPr>
        <w:pStyle w:val="ListParagraph"/>
        <w:numPr>
          <w:ilvl w:val="1"/>
          <w:numId w:val="37"/>
        </w:numPr>
        <w:jc w:val="left"/>
        <w:rPr>
          <w:rFonts w:asciiTheme="minorHAnsi" w:hAnsiTheme="minorHAnsi" w:cstheme="minorHAnsi"/>
          <w:b/>
          <w:color w:val="auto"/>
          <w:lang w:val="en"/>
        </w:rPr>
      </w:pPr>
      <w:r w:rsidRPr="00DB2C6B">
        <w:rPr>
          <w:rFonts w:asciiTheme="minorHAnsi" w:hAnsiTheme="minorHAnsi" w:cstheme="minorHAnsi"/>
          <w:color w:val="auto"/>
        </w:rPr>
        <w:t>Other Victorian Government funding as percentage of total funding</w:t>
      </w:r>
      <w:r w:rsidR="002B46F9">
        <w:rPr>
          <w:rFonts w:asciiTheme="minorHAnsi" w:hAnsiTheme="minorHAnsi" w:cstheme="minorHAnsi"/>
          <w:color w:val="auto"/>
        </w:rPr>
        <w:t>.</w:t>
      </w:r>
    </w:p>
    <w:p w:rsidR="0019755B" w:rsidRPr="00DB2C6B" w:rsidRDefault="0091131D" w:rsidP="0091131D">
      <w:pPr>
        <w:ind w:right="-329"/>
        <w:rPr>
          <w:rFonts w:asciiTheme="minorHAnsi" w:hAnsiTheme="minorHAnsi" w:cstheme="minorHAnsi"/>
          <w:color w:val="auto"/>
          <w:lang w:val="en"/>
        </w:rPr>
      </w:pPr>
      <w:r w:rsidRPr="00DB2C6B">
        <w:rPr>
          <w:rFonts w:asciiTheme="minorHAnsi" w:hAnsiTheme="minorHAnsi" w:cstheme="minorHAnsi"/>
          <w:color w:val="auto"/>
          <w:lang w:val="en"/>
        </w:rPr>
        <w:t>The ne</w:t>
      </w:r>
      <w:r w:rsidR="00866415" w:rsidRPr="00DB2C6B">
        <w:rPr>
          <w:rFonts w:asciiTheme="minorHAnsi" w:hAnsiTheme="minorHAnsi" w:cstheme="minorHAnsi"/>
          <w:color w:val="auto"/>
          <w:lang w:val="en"/>
        </w:rPr>
        <w:t>w BGS Guidelines (December 2019) can be found on the ACFE Board website:</w:t>
      </w:r>
    </w:p>
    <w:p w:rsidR="00866415" w:rsidRPr="00866415" w:rsidRDefault="000E7655" w:rsidP="0091131D">
      <w:pPr>
        <w:ind w:right="-329"/>
        <w:rPr>
          <w:rFonts w:asciiTheme="minorHAnsi" w:hAnsiTheme="minorHAnsi" w:cstheme="minorHAnsi"/>
          <w:lang w:val="en"/>
        </w:rPr>
      </w:pPr>
      <w:hyperlink r:id="rId11" w:history="1">
        <w:r w:rsidR="00866415" w:rsidRPr="00866415">
          <w:rPr>
            <w:rStyle w:val="Hyperlink"/>
            <w:rFonts w:asciiTheme="minorHAnsi" w:hAnsiTheme="minorHAnsi" w:cstheme="minorHAnsi"/>
            <w:lang w:val="en"/>
          </w:rPr>
          <w:t>https://www.education.vic.gov.au/training/providers/learnlocal/Pages/network.aspx</w:t>
        </w:r>
      </w:hyperlink>
    </w:p>
    <w:p w:rsidR="0091131D" w:rsidRPr="0091131D" w:rsidRDefault="0091131D" w:rsidP="0091131D">
      <w:pPr>
        <w:ind w:right="-329"/>
        <w:rPr>
          <w:rFonts w:asciiTheme="minorHAnsi" w:hAnsiTheme="minorHAnsi" w:cstheme="minorHAnsi"/>
          <w:sz w:val="16"/>
          <w:szCs w:val="16"/>
          <w:lang w:val="en"/>
        </w:rPr>
      </w:pPr>
    </w:p>
    <w:p w:rsidR="00DB2C6B" w:rsidRDefault="00DB2C6B">
      <w:pPr>
        <w:spacing w:before="0" w:after="0" w:line="240" w:lineRule="auto"/>
        <w:rPr>
          <w:rFonts w:asciiTheme="majorHAnsi" w:eastAsiaTheme="majorEastAsia" w:hAnsiTheme="majorHAnsi" w:cstheme="majorBidi"/>
          <w:b/>
          <w:color w:val="2F5496" w:themeColor="accent5" w:themeShade="BF"/>
          <w:sz w:val="26"/>
          <w:szCs w:val="26"/>
          <w:lang w:val="en"/>
        </w:rPr>
      </w:pPr>
      <w:r>
        <w:rPr>
          <w:b/>
          <w:color w:val="2F5496" w:themeColor="accent5" w:themeShade="BF"/>
          <w:lang w:val="en"/>
        </w:rPr>
        <w:br w:type="page"/>
      </w:r>
    </w:p>
    <w:p w:rsidR="00463997" w:rsidRPr="00F64BFB" w:rsidRDefault="005D156E" w:rsidP="00B17E34">
      <w:pPr>
        <w:pStyle w:val="Heading2"/>
        <w:spacing w:line="240" w:lineRule="atLeast"/>
        <w:rPr>
          <w:b/>
          <w:bCs/>
          <w:i/>
          <w:color w:val="2F5496" w:themeColor="accent5" w:themeShade="BF"/>
          <w:lang w:val="en-GB"/>
        </w:rPr>
      </w:pPr>
      <w:r>
        <w:rPr>
          <w:b/>
          <w:color w:val="2F5496" w:themeColor="accent5" w:themeShade="BF"/>
          <w:lang w:val="en"/>
        </w:rPr>
        <w:lastRenderedPageBreak/>
        <w:t xml:space="preserve">Timelines </w:t>
      </w:r>
    </w:p>
    <w:p w:rsidR="0091131D" w:rsidRDefault="0091131D" w:rsidP="005D156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The new BGS Guidelines (December 2019) bec</w:t>
      </w:r>
      <w:r w:rsidR="000E7655">
        <w:rPr>
          <w:rFonts w:asciiTheme="minorHAnsi" w:hAnsiTheme="minorHAnsi" w:cstheme="minorHAnsi"/>
          <w:color w:val="000000" w:themeColor="text1"/>
          <w:lang w:val="en"/>
        </w:rPr>
        <w:t>a</w:t>
      </w:r>
      <w:r>
        <w:rPr>
          <w:rFonts w:asciiTheme="minorHAnsi" w:hAnsiTheme="minorHAnsi" w:cstheme="minorHAnsi"/>
          <w:color w:val="000000" w:themeColor="text1"/>
          <w:lang w:val="en"/>
        </w:rPr>
        <w:t>me active from 1 January 2020.</w:t>
      </w:r>
    </w:p>
    <w:p w:rsidR="005D156E" w:rsidRPr="0091131D" w:rsidRDefault="003E5360" w:rsidP="005D156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91131D">
        <w:rPr>
          <w:rFonts w:asciiTheme="minorHAnsi" w:hAnsiTheme="minorHAnsi" w:cstheme="minorHAnsi"/>
          <w:color w:val="000000" w:themeColor="text1"/>
          <w:lang w:val="en"/>
        </w:rPr>
        <w:t xml:space="preserve">Reporting timelines do not change and </w:t>
      </w:r>
      <w:r w:rsidR="005D156E" w:rsidRPr="0091131D">
        <w:rPr>
          <w:rFonts w:asciiTheme="minorHAnsi" w:hAnsiTheme="minorHAnsi" w:cstheme="minorHAnsi"/>
          <w:color w:val="000000" w:themeColor="text1"/>
          <w:lang w:val="en"/>
        </w:rPr>
        <w:t xml:space="preserve">are determined by </w:t>
      </w:r>
      <w:r w:rsidRPr="0091131D">
        <w:rPr>
          <w:rFonts w:asciiTheme="minorHAnsi" w:hAnsiTheme="minorHAnsi" w:cstheme="minorHAnsi"/>
          <w:color w:val="000000" w:themeColor="text1"/>
          <w:lang w:val="en"/>
        </w:rPr>
        <w:t xml:space="preserve">your </w:t>
      </w:r>
      <w:r w:rsidR="005D156E" w:rsidRPr="0091131D">
        <w:rPr>
          <w:rFonts w:asciiTheme="minorHAnsi" w:hAnsiTheme="minorHAnsi" w:cstheme="minorHAnsi"/>
          <w:color w:val="000000" w:themeColor="text1"/>
          <w:lang w:val="en"/>
        </w:rPr>
        <w:t>Organisation</w:t>
      </w:r>
      <w:r w:rsidR="00651177">
        <w:rPr>
          <w:rFonts w:asciiTheme="minorHAnsi" w:hAnsiTheme="minorHAnsi" w:cstheme="minorHAnsi"/>
          <w:color w:val="000000" w:themeColor="text1"/>
          <w:lang w:val="en"/>
        </w:rPr>
        <w:t>’</w:t>
      </w:r>
      <w:r w:rsidR="005D156E" w:rsidRPr="0091131D">
        <w:rPr>
          <w:rFonts w:asciiTheme="minorHAnsi" w:hAnsiTheme="minorHAnsi" w:cstheme="minorHAnsi"/>
          <w:color w:val="000000" w:themeColor="text1"/>
          <w:lang w:val="en"/>
        </w:rPr>
        <w:t>s c</w:t>
      </w:r>
      <w:r w:rsidRPr="0091131D">
        <w:rPr>
          <w:rFonts w:asciiTheme="minorHAnsi" w:hAnsiTheme="minorHAnsi" w:cstheme="minorHAnsi"/>
          <w:color w:val="000000" w:themeColor="text1"/>
          <w:lang w:val="en"/>
        </w:rPr>
        <w:t>alendar or financial year cycle:</w:t>
      </w:r>
    </w:p>
    <w:p w:rsidR="005D156E" w:rsidRPr="0091131D" w:rsidRDefault="005D156E" w:rsidP="0091131D">
      <w:pPr>
        <w:pStyle w:val="ListParagraph"/>
        <w:numPr>
          <w:ilvl w:val="0"/>
          <w:numId w:val="39"/>
        </w:numPr>
        <w:spacing w:before="120"/>
        <w:jc w:val="left"/>
        <w:rPr>
          <w:rFonts w:asciiTheme="minorHAnsi" w:hAnsiTheme="minorHAnsi" w:cstheme="minorHAnsi"/>
          <w:color w:val="auto"/>
        </w:rPr>
      </w:pPr>
      <w:r w:rsidRPr="0091131D">
        <w:rPr>
          <w:rFonts w:asciiTheme="minorHAnsi" w:hAnsiTheme="minorHAnsi" w:cstheme="minorHAnsi"/>
          <w:color w:val="auto"/>
        </w:rPr>
        <w:t>Financial Year cycle - BGS assessments due 30 September</w:t>
      </w:r>
    </w:p>
    <w:p w:rsidR="005D156E" w:rsidRPr="0091131D" w:rsidRDefault="00866415" w:rsidP="0091131D">
      <w:pPr>
        <w:pStyle w:val="ListParagraph"/>
        <w:numPr>
          <w:ilvl w:val="0"/>
          <w:numId w:val="39"/>
        </w:num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auto"/>
        </w:rPr>
        <w:t>C</w:t>
      </w:r>
      <w:r w:rsidRPr="0091131D">
        <w:rPr>
          <w:rFonts w:asciiTheme="minorHAnsi" w:hAnsiTheme="minorHAnsi" w:cstheme="minorHAnsi"/>
          <w:color w:val="000000" w:themeColor="text1"/>
          <w:lang w:val="en"/>
        </w:rPr>
        <w:t>alendar</w:t>
      </w:r>
      <w:r w:rsidR="005D156E" w:rsidRPr="0091131D">
        <w:rPr>
          <w:rFonts w:asciiTheme="minorHAnsi" w:hAnsiTheme="minorHAnsi" w:cstheme="minorHAnsi"/>
          <w:color w:val="000000" w:themeColor="text1"/>
          <w:lang w:val="en"/>
        </w:rPr>
        <w:t xml:space="preserve"> Year cycle - BGS assessments due 31 March</w:t>
      </w:r>
      <w:r w:rsidR="00D76CE7">
        <w:rPr>
          <w:rFonts w:asciiTheme="minorHAnsi" w:hAnsiTheme="minorHAnsi" w:cstheme="minorHAnsi"/>
          <w:color w:val="000000" w:themeColor="text1"/>
          <w:lang w:val="en"/>
        </w:rPr>
        <w:t>.</w:t>
      </w:r>
    </w:p>
    <w:p w:rsidR="0091131D" w:rsidRPr="0091131D" w:rsidRDefault="0091131D" w:rsidP="0091131D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91131D">
        <w:rPr>
          <w:rFonts w:asciiTheme="minorHAnsi" w:hAnsiTheme="minorHAnsi" w:cstheme="minorHAnsi"/>
          <w:color w:val="000000" w:themeColor="text1"/>
          <w:lang w:val="en"/>
        </w:rPr>
        <w:t xml:space="preserve">Please be aware that delays in supplying a BGS will result in contracting being delayed. </w:t>
      </w:r>
    </w:p>
    <w:p w:rsidR="0091131D" w:rsidRPr="0091131D" w:rsidRDefault="0091131D" w:rsidP="0091131D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91131D">
        <w:rPr>
          <w:rFonts w:asciiTheme="minorHAnsi" w:hAnsiTheme="minorHAnsi" w:cstheme="minorHAnsi"/>
          <w:color w:val="000000" w:themeColor="text1"/>
          <w:lang w:val="en"/>
        </w:rPr>
        <w:t xml:space="preserve">If there is a delay in the reporting process beyond the due date, </w:t>
      </w:r>
      <w:r w:rsidR="00DB2C6B">
        <w:rPr>
          <w:rFonts w:asciiTheme="minorHAnsi" w:hAnsiTheme="minorHAnsi" w:cstheme="minorHAnsi"/>
          <w:color w:val="000000" w:themeColor="text1"/>
          <w:lang w:val="en"/>
        </w:rPr>
        <w:t>your o</w:t>
      </w:r>
      <w:r w:rsidRPr="0091131D">
        <w:rPr>
          <w:rFonts w:asciiTheme="minorHAnsi" w:hAnsiTheme="minorHAnsi" w:cstheme="minorHAnsi"/>
          <w:color w:val="000000" w:themeColor="text1"/>
          <w:lang w:val="en"/>
        </w:rPr>
        <w:t xml:space="preserve">rganisation will be required to provide an explanation in SAMS as to why their BGS </w:t>
      </w:r>
      <w:r>
        <w:rPr>
          <w:rFonts w:asciiTheme="minorHAnsi" w:hAnsiTheme="minorHAnsi" w:cstheme="minorHAnsi"/>
          <w:color w:val="000000" w:themeColor="text1"/>
          <w:lang w:val="en"/>
        </w:rPr>
        <w:t>was</w:t>
      </w:r>
      <w:r w:rsidRPr="0091131D">
        <w:rPr>
          <w:rFonts w:asciiTheme="minorHAnsi" w:hAnsiTheme="minorHAnsi" w:cstheme="minorHAnsi"/>
          <w:color w:val="000000" w:themeColor="text1"/>
          <w:lang w:val="en"/>
        </w:rPr>
        <w:t xml:space="preserve"> delayed.</w:t>
      </w:r>
    </w:p>
    <w:p w:rsidR="005D156E" w:rsidRPr="005D156E" w:rsidRDefault="005D156E" w:rsidP="005D156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</w:p>
    <w:p w:rsidR="005D156E" w:rsidRPr="0091131D" w:rsidRDefault="0091131D" w:rsidP="0091131D">
      <w:pPr>
        <w:pStyle w:val="Heading2"/>
        <w:spacing w:line="240" w:lineRule="atLeast"/>
        <w:rPr>
          <w:b/>
          <w:color w:val="2F5496" w:themeColor="accent5" w:themeShade="BF"/>
          <w:lang w:val="en"/>
        </w:rPr>
      </w:pPr>
      <w:r w:rsidRPr="0091131D">
        <w:rPr>
          <w:b/>
          <w:color w:val="2F5496" w:themeColor="accent5" w:themeShade="BF"/>
          <w:lang w:val="en"/>
        </w:rPr>
        <w:t>O</w:t>
      </w:r>
      <w:r w:rsidR="005D156E" w:rsidRPr="0091131D">
        <w:rPr>
          <w:b/>
          <w:color w:val="2F5496" w:themeColor="accent5" w:themeShade="BF"/>
          <w:lang w:val="en"/>
        </w:rPr>
        <w:t>ther information</w:t>
      </w:r>
    </w:p>
    <w:p w:rsidR="005D156E" w:rsidRDefault="005D156E" w:rsidP="005D156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>H</w:t>
      </w:r>
      <w:r w:rsidRPr="005D156E">
        <w:rPr>
          <w:rFonts w:asciiTheme="minorHAnsi" w:hAnsiTheme="minorHAnsi" w:cstheme="minorHAnsi"/>
          <w:color w:val="000000" w:themeColor="text1"/>
          <w:lang w:val="en"/>
        </w:rPr>
        <w:t xml:space="preserve">ard copies of the BGS assessments and financial reports </w:t>
      </w:r>
      <w:r>
        <w:rPr>
          <w:rFonts w:asciiTheme="minorHAnsi" w:hAnsiTheme="minorHAnsi" w:cstheme="minorHAnsi"/>
          <w:color w:val="000000" w:themeColor="text1"/>
          <w:lang w:val="en"/>
        </w:rPr>
        <w:t>are no</w:t>
      </w:r>
      <w:r w:rsidR="0091131D">
        <w:rPr>
          <w:rFonts w:asciiTheme="minorHAnsi" w:hAnsiTheme="minorHAnsi" w:cstheme="minorHAnsi"/>
          <w:color w:val="000000" w:themeColor="text1"/>
          <w:lang w:val="en"/>
        </w:rPr>
        <w:t>t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Pr="005D156E">
        <w:rPr>
          <w:rFonts w:asciiTheme="minorHAnsi" w:hAnsiTheme="minorHAnsi" w:cstheme="minorHAnsi"/>
          <w:color w:val="000000" w:themeColor="text1"/>
          <w:lang w:val="en"/>
        </w:rPr>
        <w:t>accepted.</w:t>
      </w:r>
    </w:p>
    <w:p w:rsidR="005D156E" w:rsidRPr="005D156E" w:rsidRDefault="005D156E" w:rsidP="005D156E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5D156E">
        <w:rPr>
          <w:rFonts w:asciiTheme="minorHAnsi" w:hAnsiTheme="minorHAnsi" w:cstheme="minorHAnsi"/>
          <w:color w:val="000000" w:themeColor="text1"/>
          <w:lang w:val="en"/>
        </w:rPr>
        <w:t>The SACC information, how to upload your BGS into SAMS2, is available on the Funded Agency Channel (FAC).</w:t>
      </w:r>
      <w:r w:rsidR="0091131D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hyperlink r:id="rId12" w:history="1">
        <w:r w:rsidR="0091131D" w:rsidRPr="00971B16">
          <w:rPr>
            <w:rStyle w:val="Hyperlink"/>
            <w:rFonts w:asciiTheme="minorHAnsi" w:hAnsiTheme="minorHAnsi" w:cstheme="minorHAnsi"/>
            <w:lang w:val="en"/>
          </w:rPr>
          <w:t>https://fac.dhhs.vic.gov.au/</w:t>
        </w:r>
      </w:hyperlink>
      <w:r w:rsidR="0091131D">
        <w:rPr>
          <w:rFonts w:asciiTheme="minorHAnsi" w:hAnsiTheme="minorHAnsi" w:cstheme="minorHAnsi"/>
          <w:color w:val="000000" w:themeColor="text1"/>
          <w:lang w:val="en"/>
        </w:rPr>
        <w:t>.</w:t>
      </w:r>
    </w:p>
    <w:p w:rsidR="0091131D" w:rsidRDefault="0091131D" w:rsidP="0091131D">
      <w:pPr>
        <w:spacing w:before="120"/>
        <w:jc w:val="left"/>
        <w:rPr>
          <w:rFonts w:asciiTheme="minorHAnsi" w:hAnsiTheme="minorHAnsi" w:cstheme="minorHAnsi"/>
          <w:color w:val="000000" w:themeColor="text1"/>
          <w:lang w:val="en"/>
        </w:rPr>
      </w:pPr>
    </w:p>
    <w:p w:rsidR="00EF2BAF" w:rsidRPr="00EF2BAF" w:rsidRDefault="0091131D" w:rsidP="0091131D">
      <w:pPr>
        <w:spacing w:before="120"/>
        <w:jc w:val="left"/>
        <w:rPr>
          <w:rFonts w:asciiTheme="minorHAnsi" w:hAnsiTheme="minorHAnsi" w:cstheme="minorHAnsi"/>
          <w:b/>
          <w:color w:val="auto"/>
          <w:lang w:val="en"/>
        </w:rPr>
      </w:pPr>
      <w:r w:rsidRPr="00EF2BAF">
        <w:rPr>
          <w:rFonts w:asciiTheme="minorHAnsi" w:hAnsiTheme="minorHAnsi" w:cstheme="minorHAnsi"/>
          <w:b/>
          <w:color w:val="auto"/>
          <w:lang w:val="en"/>
        </w:rPr>
        <w:t>Please note</w:t>
      </w:r>
      <w:r w:rsidR="00EF2BAF" w:rsidRPr="00EF2BAF">
        <w:rPr>
          <w:rFonts w:asciiTheme="minorHAnsi" w:hAnsiTheme="minorHAnsi" w:cstheme="minorHAnsi"/>
          <w:b/>
          <w:color w:val="auto"/>
          <w:lang w:val="en"/>
        </w:rPr>
        <w:t xml:space="preserve"> only the following information is required to be uploaded into SAMS2</w:t>
      </w:r>
    </w:p>
    <w:p w:rsidR="00EF2BAF" w:rsidRPr="00EF2BAF" w:rsidRDefault="00EF2BAF" w:rsidP="00EF2BAF">
      <w:pPr>
        <w:pStyle w:val="ListParagraph"/>
        <w:numPr>
          <w:ilvl w:val="0"/>
          <w:numId w:val="42"/>
        </w:numPr>
        <w:spacing w:before="0"/>
        <w:jc w:val="left"/>
        <w:rPr>
          <w:rFonts w:asciiTheme="minorHAnsi" w:hAnsiTheme="minorHAnsi" w:cstheme="minorHAnsi"/>
          <w:color w:val="auto"/>
        </w:rPr>
      </w:pPr>
      <w:r w:rsidRPr="00EF2BAF">
        <w:rPr>
          <w:rFonts w:asciiTheme="minorHAnsi" w:hAnsiTheme="minorHAnsi" w:cstheme="minorHAnsi"/>
          <w:color w:val="auto"/>
        </w:rPr>
        <w:t xml:space="preserve">A scanned copy of the completed </w:t>
      </w:r>
      <w:r w:rsidRPr="00EF2BAF">
        <w:rPr>
          <w:rFonts w:asciiTheme="minorHAnsi" w:hAnsiTheme="minorHAnsi" w:cstheme="minorHAnsi"/>
          <w:b/>
          <w:color w:val="auto"/>
        </w:rPr>
        <w:t>BGS Certification pages 12 and 13</w:t>
      </w:r>
      <w:r w:rsidR="00ED76ED">
        <w:rPr>
          <w:rFonts w:asciiTheme="minorHAnsi" w:hAnsiTheme="minorHAnsi" w:cstheme="minorHAnsi"/>
          <w:b/>
          <w:color w:val="auto"/>
        </w:rPr>
        <w:t>.</w:t>
      </w:r>
    </w:p>
    <w:p w:rsidR="00EF2BAF" w:rsidRPr="00EF2BAF" w:rsidRDefault="00EF2BAF" w:rsidP="00EF2BAF">
      <w:pPr>
        <w:pStyle w:val="ListParagraph"/>
        <w:numPr>
          <w:ilvl w:val="0"/>
          <w:numId w:val="42"/>
        </w:numPr>
        <w:spacing w:before="0"/>
        <w:jc w:val="left"/>
        <w:rPr>
          <w:rFonts w:asciiTheme="minorHAnsi" w:hAnsiTheme="minorHAnsi" w:cstheme="minorHAnsi"/>
          <w:color w:val="auto"/>
        </w:rPr>
      </w:pPr>
      <w:r w:rsidRPr="00EF2BAF">
        <w:rPr>
          <w:rFonts w:asciiTheme="minorHAnsi" w:hAnsiTheme="minorHAnsi" w:cstheme="minorHAnsi"/>
          <w:color w:val="auto"/>
        </w:rPr>
        <w:t xml:space="preserve">A scanned copy of the </w:t>
      </w:r>
      <w:r w:rsidRPr="00EF2BAF">
        <w:rPr>
          <w:rFonts w:asciiTheme="minorHAnsi" w:hAnsiTheme="minorHAnsi" w:cstheme="minorHAnsi"/>
          <w:b/>
          <w:color w:val="auto"/>
        </w:rPr>
        <w:t>organis</w:t>
      </w:r>
      <w:r>
        <w:rPr>
          <w:rFonts w:asciiTheme="minorHAnsi" w:hAnsiTheme="minorHAnsi" w:cstheme="minorHAnsi"/>
          <w:b/>
          <w:color w:val="auto"/>
        </w:rPr>
        <w:t>ation</w:t>
      </w:r>
      <w:r w:rsidR="00651177">
        <w:rPr>
          <w:rFonts w:asciiTheme="minorHAnsi" w:hAnsiTheme="minorHAnsi" w:cstheme="minorHAnsi"/>
          <w:b/>
          <w:color w:val="auto"/>
        </w:rPr>
        <w:t>’</w:t>
      </w:r>
      <w:r w:rsidRPr="00EF2BAF">
        <w:rPr>
          <w:rFonts w:asciiTheme="minorHAnsi" w:hAnsiTheme="minorHAnsi" w:cstheme="minorHAnsi"/>
          <w:b/>
          <w:color w:val="auto"/>
        </w:rPr>
        <w:t>s most recent Annual Financial Statements</w:t>
      </w:r>
      <w:r w:rsidR="00ED76ED">
        <w:rPr>
          <w:rFonts w:asciiTheme="minorHAnsi" w:hAnsiTheme="minorHAnsi" w:cstheme="minorHAnsi"/>
          <w:b/>
          <w:color w:val="auto"/>
        </w:rPr>
        <w:t>.</w:t>
      </w:r>
      <w:bookmarkStart w:id="0" w:name="_GoBack"/>
      <w:bookmarkEnd w:id="0"/>
    </w:p>
    <w:p w:rsidR="00EF2BAF" w:rsidRPr="00EF2BAF" w:rsidRDefault="00EF2BAF" w:rsidP="00EF2BAF">
      <w:pPr>
        <w:pStyle w:val="ListParagraph"/>
        <w:numPr>
          <w:ilvl w:val="0"/>
          <w:numId w:val="42"/>
        </w:numPr>
        <w:spacing w:before="0"/>
        <w:jc w:val="left"/>
        <w:rPr>
          <w:rFonts w:asciiTheme="minorHAnsi" w:hAnsiTheme="minorHAnsi" w:cstheme="minorHAnsi"/>
          <w:color w:val="auto"/>
        </w:rPr>
      </w:pPr>
      <w:r w:rsidRPr="00EF2BAF">
        <w:rPr>
          <w:rFonts w:asciiTheme="minorHAnsi" w:hAnsiTheme="minorHAnsi" w:cstheme="minorHAnsi"/>
          <w:color w:val="auto"/>
        </w:rPr>
        <w:t xml:space="preserve">A scanned copy of the </w:t>
      </w:r>
      <w:r>
        <w:rPr>
          <w:rFonts w:asciiTheme="minorHAnsi" w:hAnsiTheme="minorHAnsi" w:cstheme="minorHAnsi"/>
          <w:b/>
          <w:color w:val="auto"/>
        </w:rPr>
        <w:t>organisation</w:t>
      </w:r>
      <w:r w:rsidR="00651177">
        <w:rPr>
          <w:rFonts w:asciiTheme="minorHAnsi" w:hAnsiTheme="minorHAnsi" w:cstheme="minorHAnsi"/>
          <w:b/>
          <w:color w:val="auto"/>
        </w:rPr>
        <w:t>’</w:t>
      </w:r>
      <w:r w:rsidRPr="00EF2BAF">
        <w:rPr>
          <w:rFonts w:asciiTheme="minorHAnsi" w:hAnsiTheme="minorHAnsi" w:cstheme="minorHAnsi"/>
          <w:b/>
          <w:color w:val="auto"/>
        </w:rPr>
        <w:t>s current certificate of insurance</w:t>
      </w:r>
      <w:r w:rsidRPr="00EF2BAF">
        <w:rPr>
          <w:rFonts w:asciiTheme="minorHAnsi" w:hAnsiTheme="minorHAnsi" w:cstheme="minorHAnsi"/>
          <w:color w:val="auto"/>
        </w:rPr>
        <w:t>.</w:t>
      </w:r>
    </w:p>
    <w:p w:rsidR="00EF2BAF" w:rsidRPr="00EF2BAF" w:rsidRDefault="00EF2BAF" w:rsidP="00EF2BAF">
      <w:pPr>
        <w:pStyle w:val="ListParagraph"/>
        <w:numPr>
          <w:ilvl w:val="0"/>
          <w:numId w:val="42"/>
        </w:numPr>
        <w:spacing w:before="0"/>
        <w:jc w:val="left"/>
        <w:rPr>
          <w:rFonts w:asciiTheme="minorHAnsi" w:hAnsiTheme="minorHAnsi" w:cstheme="minorHAnsi"/>
          <w:color w:val="auto"/>
        </w:rPr>
      </w:pPr>
      <w:r w:rsidRPr="00EF2BAF">
        <w:rPr>
          <w:rFonts w:asciiTheme="minorHAnsi" w:hAnsiTheme="minorHAnsi" w:cstheme="minorHAnsi"/>
          <w:color w:val="auto"/>
        </w:rPr>
        <w:t>Any further information you wish to provide regarding the outcomes of the assessment.</w:t>
      </w:r>
    </w:p>
    <w:p w:rsidR="001A647F" w:rsidRPr="00EF2BAF" w:rsidRDefault="005D156E" w:rsidP="005D156E">
      <w:pPr>
        <w:spacing w:before="120"/>
        <w:jc w:val="left"/>
        <w:rPr>
          <w:rFonts w:asciiTheme="minorHAnsi" w:hAnsiTheme="minorHAnsi" w:cstheme="minorHAnsi"/>
          <w:color w:val="auto"/>
          <w:lang w:val="en"/>
        </w:rPr>
      </w:pPr>
      <w:r w:rsidRPr="00EF2BAF">
        <w:rPr>
          <w:rFonts w:asciiTheme="minorHAnsi" w:hAnsiTheme="minorHAnsi" w:cstheme="minorHAnsi"/>
          <w:color w:val="auto"/>
          <w:lang w:val="en"/>
        </w:rPr>
        <w:t xml:space="preserve">For any further queries, contact the Regional Manager for your region.  </w:t>
      </w:r>
    </w:p>
    <w:p w:rsidR="00581D67" w:rsidRPr="0019755B" w:rsidRDefault="00DB152E" w:rsidP="00F14B6A">
      <w:pPr>
        <w:pStyle w:val="Heading2"/>
        <w:spacing w:before="240"/>
        <w:rPr>
          <w:rFonts w:asciiTheme="minorHAnsi" w:hAnsiTheme="minorHAnsi" w:cstheme="minorHAnsi"/>
          <w:b/>
          <w:color w:val="2F5496" w:themeColor="accent5" w:themeShade="BF"/>
          <w:lang w:val="en"/>
        </w:rPr>
      </w:pPr>
      <w:r w:rsidRPr="0019755B">
        <w:rPr>
          <w:b/>
          <w:color w:val="2F5496" w:themeColor="accent5" w:themeShade="BF"/>
          <w:lang w:val="en"/>
        </w:rPr>
        <w:t>Regional Office</w:t>
      </w:r>
      <w:r w:rsidR="00266331" w:rsidRPr="0019755B">
        <w:rPr>
          <w:b/>
          <w:color w:val="2F5496" w:themeColor="accent5" w:themeShade="BF"/>
          <w:lang w:val="en"/>
        </w:rPr>
        <w:t xml:space="preserve"> Contact</w:t>
      </w:r>
      <w:r w:rsidR="0039114A">
        <w:rPr>
          <w:b/>
          <w:color w:val="2F5496" w:themeColor="accent5" w:themeShade="BF"/>
          <w:lang w:val="en"/>
        </w:rPr>
        <w:t>s</w:t>
      </w:r>
    </w:p>
    <w:tbl>
      <w:tblPr>
        <w:tblW w:w="478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2326"/>
        <w:gridCol w:w="1882"/>
        <w:gridCol w:w="2238"/>
      </w:tblGrid>
      <w:tr w:rsidR="00581D67" w:rsidRPr="005E7970" w:rsidTr="00831A49">
        <w:trPr>
          <w:trHeight w:val="374"/>
        </w:trPr>
        <w:tc>
          <w:tcPr>
            <w:tcW w:w="1267" w:type="pct"/>
            <w:shd w:val="clear" w:color="auto" w:fill="44546A" w:themeFill="text2"/>
          </w:tcPr>
          <w:p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North Western Victoria Region</w:t>
            </w:r>
          </w:p>
        </w:tc>
        <w:tc>
          <w:tcPr>
            <w:tcW w:w="1347" w:type="pct"/>
            <w:shd w:val="clear" w:color="auto" w:fill="44546A" w:themeFill="text2"/>
          </w:tcPr>
          <w:p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090" w:type="pct"/>
            <w:shd w:val="clear" w:color="auto" w:fill="44546A" w:themeFill="text2"/>
          </w:tcPr>
          <w:p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97" w:type="pct"/>
            <w:shd w:val="clear" w:color="auto" w:fill="44546A" w:themeFill="text2"/>
          </w:tcPr>
          <w:p w:rsidR="00581D67" w:rsidRPr="005E7970" w:rsidRDefault="00581D67" w:rsidP="007D77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7970">
              <w:rPr>
                <w:rFonts w:asciiTheme="minorHAnsi" w:hAnsiTheme="minorHAnsi" w:cstheme="minorHAnsi"/>
                <w:b/>
                <w:color w:val="FFFFFF" w:themeColor="background1"/>
              </w:rPr>
              <w:t>South Western Victoria Region</w:t>
            </w:r>
          </w:p>
        </w:tc>
      </w:tr>
      <w:tr w:rsidR="00581D67" w:rsidRPr="005E7970" w:rsidTr="00831A49">
        <w:trPr>
          <w:trHeight w:val="374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:rsidR="00581D67" w:rsidRPr="005E7970" w:rsidRDefault="00581D67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Kaye Callaghan</w:t>
            </w:r>
          </w:p>
          <w:p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 xml:space="preserve">Tel: </w:t>
            </w:r>
            <w:r w:rsidRPr="00FB40A6">
              <w:rPr>
                <w:rFonts w:asciiTheme="minorHAnsi" w:hAnsiTheme="minorHAnsi" w:cstheme="minorHAnsi"/>
                <w:color w:val="000000" w:themeColor="text1"/>
              </w:rPr>
              <w:t>4433 7582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:rsidR="00581D67" w:rsidRPr="005E7970" w:rsidRDefault="00C32CB8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Julie Hebert</w:t>
            </w:r>
          </w:p>
          <w:p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Tel: 7022 180</w:t>
            </w:r>
            <w:r w:rsidR="00831A49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:rsidR="00581D67" w:rsidRPr="005E7970" w:rsidRDefault="00581D67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Robyn Downie</w:t>
            </w:r>
          </w:p>
          <w:p w:rsidR="00581D67" w:rsidRPr="005E7970" w:rsidRDefault="00581D67" w:rsidP="00B17E34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Tel: 8904 2580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:rsidR="00581D67" w:rsidRPr="005E7970" w:rsidRDefault="00C32CB8" w:rsidP="00B17E34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David Harris</w:t>
            </w:r>
          </w:p>
          <w:p w:rsidR="00581D67" w:rsidRPr="005E7970" w:rsidRDefault="00581D67" w:rsidP="00831A49">
            <w:pPr>
              <w:spacing w:before="60" w:after="60" w:line="240" w:lineRule="atLeast"/>
              <w:ind w:left="142" w:right="142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E7970">
              <w:rPr>
                <w:rFonts w:asciiTheme="minorHAnsi" w:hAnsiTheme="minorHAnsi" w:cstheme="minorHAnsi"/>
                <w:color w:val="000000" w:themeColor="text1"/>
              </w:rPr>
              <w:t>Tel: 5215 520</w:t>
            </w:r>
            <w:r w:rsidR="00831A49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</w:tbl>
    <w:p w:rsidR="00581D67" w:rsidRPr="00BC23C8" w:rsidRDefault="00581D67" w:rsidP="00581D67">
      <w:pPr>
        <w:jc w:val="left"/>
        <w:rPr>
          <w:color w:val="000000" w:themeColor="text1"/>
          <w:lang w:val="en"/>
        </w:rPr>
      </w:pPr>
    </w:p>
    <w:sectPr w:rsidR="00581D67" w:rsidRPr="00BC23C8" w:rsidSect="0019755B">
      <w:pgSz w:w="11907" w:h="16840" w:code="9"/>
      <w:pgMar w:top="1134" w:right="1440" w:bottom="1134" w:left="1440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75" w:rsidRDefault="00164975" w:rsidP="00846881">
      <w:r>
        <w:separator/>
      </w:r>
    </w:p>
  </w:endnote>
  <w:endnote w:type="continuationSeparator" w:id="0">
    <w:p w:rsidR="00164975" w:rsidRDefault="00164975" w:rsidP="00846881">
      <w:r>
        <w:continuationSeparator/>
      </w:r>
    </w:p>
  </w:endnote>
  <w:endnote w:type="continuationNotice" w:id="1">
    <w:p w:rsidR="00164975" w:rsidRDefault="001649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75" w:rsidRDefault="00164975" w:rsidP="00846881">
      <w:r>
        <w:separator/>
      </w:r>
    </w:p>
  </w:footnote>
  <w:footnote w:type="continuationSeparator" w:id="0">
    <w:p w:rsidR="00164975" w:rsidRDefault="00164975" w:rsidP="00846881">
      <w:r>
        <w:continuationSeparator/>
      </w:r>
    </w:p>
  </w:footnote>
  <w:footnote w:type="continuationNotice" w:id="1">
    <w:p w:rsidR="00164975" w:rsidRDefault="0016497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35B3B"/>
    <w:multiLevelType w:val="hybridMultilevel"/>
    <w:tmpl w:val="809EBA74"/>
    <w:lvl w:ilvl="0" w:tplc="6D027B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0754"/>
    <w:multiLevelType w:val="hybridMultilevel"/>
    <w:tmpl w:val="C77EDA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138A6"/>
    <w:multiLevelType w:val="hybridMultilevel"/>
    <w:tmpl w:val="58F88D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223B1"/>
    <w:multiLevelType w:val="hybridMultilevel"/>
    <w:tmpl w:val="5FCEE648"/>
    <w:lvl w:ilvl="0" w:tplc="11E85AE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B57DB4"/>
    <w:multiLevelType w:val="hybridMultilevel"/>
    <w:tmpl w:val="33E2D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F2D"/>
    <w:multiLevelType w:val="hybridMultilevel"/>
    <w:tmpl w:val="27FEC12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E8D4279"/>
    <w:multiLevelType w:val="hybridMultilevel"/>
    <w:tmpl w:val="877AD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05CBC"/>
    <w:multiLevelType w:val="hybridMultilevel"/>
    <w:tmpl w:val="C8702F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131CA"/>
    <w:multiLevelType w:val="hybridMultilevel"/>
    <w:tmpl w:val="B908E2BC"/>
    <w:lvl w:ilvl="0" w:tplc="0C090001">
      <w:start w:val="1"/>
      <w:numFmt w:val="bullet"/>
      <w:lvlText w:val=""/>
      <w:lvlJc w:val="left"/>
      <w:pPr>
        <w:ind w:left="-5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abstractNum w:abstractNumId="3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F66517"/>
    <w:multiLevelType w:val="hybridMultilevel"/>
    <w:tmpl w:val="D50E028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C3B96"/>
    <w:multiLevelType w:val="hybridMultilevel"/>
    <w:tmpl w:val="7BF272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E02A45"/>
    <w:multiLevelType w:val="hybridMultilevel"/>
    <w:tmpl w:val="73AAAC96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0"/>
  </w:num>
  <w:num w:numId="4">
    <w:abstractNumId w:val="27"/>
  </w:num>
  <w:num w:numId="5">
    <w:abstractNumId w:val="1"/>
  </w:num>
  <w:num w:numId="6">
    <w:abstractNumId w:val="25"/>
  </w:num>
  <w:num w:numId="7">
    <w:abstractNumId w:val="11"/>
  </w:num>
  <w:num w:numId="8">
    <w:abstractNumId w:val="36"/>
  </w:num>
  <w:num w:numId="9">
    <w:abstractNumId w:val="23"/>
  </w:num>
  <w:num w:numId="10">
    <w:abstractNumId w:val="20"/>
  </w:num>
  <w:num w:numId="11">
    <w:abstractNumId w:val="13"/>
  </w:num>
  <w:num w:numId="12">
    <w:abstractNumId w:val="5"/>
  </w:num>
  <w:num w:numId="13">
    <w:abstractNumId w:val="28"/>
  </w:num>
  <w:num w:numId="14">
    <w:abstractNumId w:val="10"/>
  </w:num>
  <w:num w:numId="15">
    <w:abstractNumId w:val="41"/>
  </w:num>
  <w:num w:numId="16">
    <w:abstractNumId w:val="34"/>
  </w:num>
  <w:num w:numId="17">
    <w:abstractNumId w:val="14"/>
  </w:num>
  <w:num w:numId="18">
    <w:abstractNumId w:val="6"/>
  </w:num>
  <w:num w:numId="19">
    <w:abstractNumId w:val="40"/>
  </w:num>
  <w:num w:numId="20">
    <w:abstractNumId w:val="16"/>
  </w:num>
  <w:num w:numId="21">
    <w:abstractNumId w:val="26"/>
  </w:num>
  <w:num w:numId="22">
    <w:abstractNumId w:val="8"/>
  </w:num>
  <w:num w:numId="23">
    <w:abstractNumId w:val="33"/>
  </w:num>
  <w:num w:numId="24">
    <w:abstractNumId w:val="21"/>
  </w:num>
  <w:num w:numId="25">
    <w:abstractNumId w:val="2"/>
  </w:num>
  <w:num w:numId="26">
    <w:abstractNumId w:val="32"/>
  </w:num>
  <w:num w:numId="27">
    <w:abstractNumId w:val="9"/>
  </w:num>
  <w:num w:numId="28">
    <w:abstractNumId w:val="19"/>
  </w:num>
  <w:num w:numId="29">
    <w:abstractNumId w:val="12"/>
  </w:num>
  <w:num w:numId="30">
    <w:abstractNumId w:val="29"/>
  </w:num>
  <w:num w:numId="31">
    <w:abstractNumId w:val="24"/>
  </w:num>
  <w:num w:numId="32">
    <w:abstractNumId w:val="18"/>
  </w:num>
  <w:num w:numId="33">
    <w:abstractNumId w:val="35"/>
  </w:num>
  <w:num w:numId="34">
    <w:abstractNumId w:val="22"/>
  </w:num>
  <w:num w:numId="35">
    <w:abstractNumId w:val="37"/>
  </w:num>
  <w:num w:numId="36">
    <w:abstractNumId w:val="15"/>
  </w:num>
  <w:num w:numId="37">
    <w:abstractNumId w:val="39"/>
  </w:num>
  <w:num w:numId="38">
    <w:abstractNumId w:val="3"/>
  </w:num>
  <w:num w:numId="39">
    <w:abstractNumId w:val="7"/>
  </w:num>
  <w:num w:numId="40">
    <w:abstractNumId w:val="17"/>
  </w:num>
  <w:num w:numId="41">
    <w:abstractNumId w:val="3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14D4D"/>
    <w:rsid w:val="00021555"/>
    <w:rsid w:val="0002288F"/>
    <w:rsid w:val="0002677B"/>
    <w:rsid w:val="00031C62"/>
    <w:rsid w:val="000425DB"/>
    <w:rsid w:val="00044F33"/>
    <w:rsid w:val="00060214"/>
    <w:rsid w:val="00060EA4"/>
    <w:rsid w:val="000701E5"/>
    <w:rsid w:val="000715DE"/>
    <w:rsid w:val="0008021C"/>
    <w:rsid w:val="000841F6"/>
    <w:rsid w:val="000901F6"/>
    <w:rsid w:val="000A28AF"/>
    <w:rsid w:val="000B1133"/>
    <w:rsid w:val="000C3753"/>
    <w:rsid w:val="000C782C"/>
    <w:rsid w:val="000D1EE8"/>
    <w:rsid w:val="000E70E3"/>
    <w:rsid w:val="000E7655"/>
    <w:rsid w:val="000E7BF0"/>
    <w:rsid w:val="00105130"/>
    <w:rsid w:val="001079BD"/>
    <w:rsid w:val="0011333F"/>
    <w:rsid w:val="001214D4"/>
    <w:rsid w:val="00121E90"/>
    <w:rsid w:val="00122021"/>
    <w:rsid w:val="00125617"/>
    <w:rsid w:val="00132191"/>
    <w:rsid w:val="00135871"/>
    <w:rsid w:val="00136133"/>
    <w:rsid w:val="001411A4"/>
    <w:rsid w:val="00154ECF"/>
    <w:rsid w:val="00157432"/>
    <w:rsid w:val="00164975"/>
    <w:rsid w:val="001807E6"/>
    <w:rsid w:val="00181F47"/>
    <w:rsid w:val="0018680C"/>
    <w:rsid w:val="0019755B"/>
    <w:rsid w:val="001A352C"/>
    <w:rsid w:val="001A366C"/>
    <w:rsid w:val="001A58D3"/>
    <w:rsid w:val="001A647F"/>
    <w:rsid w:val="001C0117"/>
    <w:rsid w:val="001C099D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152E8"/>
    <w:rsid w:val="0022166C"/>
    <w:rsid w:val="00222ACE"/>
    <w:rsid w:val="00231621"/>
    <w:rsid w:val="00234DCA"/>
    <w:rsid w:val="00241DCD"/>
    <w:rsid w:val="00242E0D"/>
    <w:rsid w:val="00254C93"/>
    <w:rsid w:val="0025725C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B15E5"/>
    <w:rsid w:val="002B46F9"/>
    <w:rsid w:val="002B4AC7"/>
    <w:rsid w:val="002B61F2"/>
    <w:rsid w:val="002D0DA1"/>
    <w:rsid w:val="002D610A"/>
    <w:rsid w:val="002F4067"/>
    <w:rsid w:val="0030418D"/>
    <w:rsid w:val="00305553"/>
    <w:rsid w:val="003079DD"/>
    <w:rsid w:val="00310CD3"/>
    <w:rsid w:val="003150C7"/>
    <w:rsid w:val="00317B92"/>
    <w:rsid w:val="003278DD"/>
    <w:rsid w:val="00340366"/>
    <w:rsid w:val="00352C50"/>
    <w:rsid w:val="003547C4"/>
    <w:rsid w:val="00355714"/>
    <w:rsid w:val="00361796"/>
    <w:rsid w:val="00362C32"/>
    <w:rsid w:val="00384947"/>
    <w:rsid w:val="00386BCD"/>
    <w:rsid w:val="0039114A"/>
    <w:rsid w:val="003966A5"/>
    <w:rsid w:val="003A5544"/>
    <w:rsid w:val="003B2C9D"/>
    <w:rsid w:val="003B7B63"/>
    <w:rsid w:val="003D454C"/>
    <w:rsid w:val="003E5360"/>
    <w:rsid w:val="003F0B63"/>
    <w:rsid w:val="003F3D59"/>
    <w:rsid w:val="003F640F"/>
    <w:rsid w:val="00414AB1"/>
    <w:rsid w:val="00423765"/>
    <w:rsid w:val="004239F9"/>
    <w:rsid w:val="004304A3"/>
    <w:rsid w:val="004418E1"/>
    <w:rsid w:val="00443F28"/>
    <w:rsid w:val="0044416E"/>
    <w:rsid w:val="00447B52"/>
    <w:rsid w:val="00453CAD"/>
    <w:rsid w:val="004604A8"/>
    <w:rsid w:val="00463997"/>
    <w:rsid w:val="0048144F"/>
    <w:rsid w:val="004821AD"/>
    <w:rsid w:val="004A53F9"/>
    <w:rsid w:val="004B182C"/>
    <w:rsid w:val="004C32C0"/>
    <w:rsid w:val="004C7772"/>
    <w:rsid w:val="004D4E97"/>
    <w:rsid w:val="004D5C88"/>
    <w:rsid w:val="004E29A2"/>
    <w:rsid w:val="004E42D2"/>
    <w:rsid w:val="004E545C"/>
    <w:rsid w:val="004F1050"/>
    <w:rsid w:val="004F1546"/>
    <w:rsid w:val="00505EC2"/>
    <w:rsid w:val="00506F42"/>
    <w:rsid w:val="00525074"/>
    <w:rsid w:val="00536911"/>
    <w:rsid w:val="00540C9F"/>
    <w:rsid w:val="00542B79"/>
    <w:rsid w:val="005459E2"/>
    <w:rsid w:val="00545CC1"/>
    <w:rsid w:val="005519A3"/>
    <w:rsid w:val="005543E8"/>
    <w:rsid w:val="00581D67"/>
    <w:rsid w:val="00583630"/>
    <w:rsid w:val="00583E35"/>
    <w:rsid w:val="00584BB9"/>
    <w:rsid w:val="00590B75"/>
    <w:rsid w:val="005A7AC5"/>
    <w:rsid w:val="005B4815"/>
    <w:rsid w:val="005C05FA"/>
    <w:rsid w:val="005C400F"/>
    <w:rsid w:val="005C5D77"/>
    <w:rsid w:val="005C77C0"/>
    <w:rsid w:val="005D079D"/>
    <w:rsid w:val="005D156E"/>
    <w:rsid w:val="005D1E72"/>
    <w:rsid w:val="005D5398"/>
    <w:rsid w:val="005D7AC5"/>
    <w:rsid w:val="005E1085"/>
    <w:rsid w:val="005E4888"/>
    <w:rsid w:val="005E6A61"/>
    <w:rsid w:val="005E7970"/>
    <w:rsid w:val="005F153D"/>
    <w:rsid w:val="0060642E"/>
    <w:rsid w:val="006106B0"/>
    <w:rsid w:val="00613F1E"/>
    <w:rsid w:val="006254CC"/>
    <w:rsid w:val="00626260"/>
    <w:rsid w:val="006344F3"/>
    <w:rsid w:val="006404DE"/>
    <w:rsid w:val="006409D9"/>
    <w:rsid w:val="00651177"/>
    <w:rsid w:val="00651785"/>
    <w:rsid w:val="0065500B"/>
    <w:rsid w:val="00660967"/>
    <w:rsid w:val="00662CDE"/>
    <w:rsid w:val="00663B17"/>
    <w:rsid w:val="006834B9"/>
    <w:rsid w:val="00687039"/>
    <w:rsid w:val="00692130"/>
    <w:rsid w:val="006935A8"/>
    <w:rsid w:val="00696854"/>
    <w:rsid w:val="006A1696"/>
    <w:rsid w:val="006A3BB0"/>
    <w:rsid w:val="006A5387"/>
    <w:rsid w:val="006A60D0"/>
    <w:rsid w:val="006C5853"/>
    <w:rsid w:val="006D4561"/>
    <w:rsid w:val="006E653E"/>
    <w:rsid w:val="006F3184"/>
    <w:rsid w:val="006F5334"/>
    <w:rsid w:val="00717852"/>
    <w:rsid w:val="007269A9"/>
    <w:rsid w:val="007602BC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C7747"/>
    <w:rsid w:val="007D5961"/>
    <w:rsid w:val="007D77E2"/>
    <w:rsid w:val="007E360A"/>
    <w:rsid w:val="007E59F5"/>
    <w:rsid w:val="00805C63"/>
    <w:rsid w:val="00810ABD"/>
    <w:rsid w:val="008130C2"/>
    <w:rsid w:val="0082644C"/>
    <w:rsid w:val="008317C7"/>
    <w:rsid w:val="00831A49"/>
    <w:rsid w:val="00846881"/>
    <w:rsid w:val="0085253B"/>
    <w:rsid w:val="00861794"/>
    <w:rsid w:val="00865959"/>
    <w:rsid w:val="00866415"/>
    <w:rsid w:val="00867D3A"/>
    <w:rsid w:val="00880ACA"/>
    <w:rsid w:val="00884527"/>
    <w:rsid w:val="0089186A"/>
    <w:rsid w:val="008C1842"/>
    <w:rsid w:val="008C4568"/>
    <w:rsid w:val="008D1B9B"/>
    <w:rsid w:val="008D5441"/>
    <w:rsid w:val="008D59F7"/>
    <w:rsid w:val="008E2680"/>
    <w:rsid w:val="008E2DD6"/>
    <w:rsid w:val="008E3316"/>
    <w:rsid w:val="008E53DE"/>
    <w:rsid w:val="008F3646"/>
    <w:rsid w:val="00903B41"/>
    <w:rsid w:val="0091131D"/>
    <w:rsid w:val="00933C17"/>
    <w:rsid w:val="00944E61"/>
    <w:rsid w:val="009548AD"/>
    <w:rsid w:val="00960D54"/>
    <w:rsid w:val="00965E53"/>
    <w:rsid w:val="009706F1"/>
    <w:rsid w:val="00973BF7"/>
    <w:rsid w:val="00982579"/>
    <w:rsid w:val="009843BA"/>
    <w:rsid w:val="009913B4"/>
    <w:rsid w:val="0099526E"/>
    <w:rsid w:val="00995CDB"/>
    <w:rsid w:val="00997A5A"/>
    <w:rsid w:val="009B090C"/>
    <w:rsid w:val="009B5012"/>
    <w:rsid w:val="009C34C1"/>
    <w:rsid w:val="009C5A84"/>
    <w:rsid w:val="009C7B4C"/>
    <w:rsid w:val="009D5D01"/>
    <w:rsid w:val="009E3636"/>
    <w:rsid w:val="00A011F2"/>
    <w:rsid w:val="00A14B2D"/>
    <w:rsid w:val="00A2083F"/>
    <w:rsid w:val="00A24A30"/>
    <w:rsid w:val="00A30E35"/>
    <w:rsid w:val="00A329F5"/>
    <w:rsid w:val="00A55A13"/>
    <w:rsid w:val="00A73441"/>
    <w:rsid w:val="00A74415"/>
    <w:rsid w:val="00A83FB3"/>
    <w:rsid w:val="00A9135E"/>
    <w:rsid w:val="00A967D5"/>
    <w:rsid w:val="00AA3C05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5E8"/>
    <w:rsid w:val="00AF06E4"/>
    <w:rsid w:val="00AF18DE"/>
    <w:rsid w:val="00B05E0A"/>
    <w:rsid w:val="00B17E34"/>
    <w:rsid w:val="00B211FC"/>
    <w:rsid w:val="00B25302"/>
    <w:rsid w:val="00B30654"/>
    <w:rsid w:val="00B30972"/>
    <w:rsid w:val="00B3289A"/>
    <w:rsid w:val="00B32C00"/>
    <w:rsid w:val="00B33E4F"/>
    <w:rsid w:val="00B35761"/>
    <w:rsid w:val="00B41E45"/>
    <w:rsid w:val="00B50E6E"/>
    <w:rsid w:val="00B5136F"/>
    <w:rsid w:val="00B56D79"/>
    <w:rsid w:val="00B632F5"/>
    <w:rsid w:val="00B64069"/>
    <w:rsid w:val="00B72FE6"/>
    <w:rsid w:val="00B950AB"/>
    <w:rsid w:val="00BB4A46"/>
    <w:rsid w:val="00BC1D3A"/>
    <w:rsid w:val="00BC23C8"/>
    <w:rsid w:val="00BC6D2F"/>
    <w:rsid w:val="00BD1D70"/>
    <w:rsid w:val="00BE143C"/>
    <w:rsid w:val="00BF5B84"/>
    <w:rsid w:val="00C03591"/>
    <w:rsid w:val="00C0493A"/>
    <w:rsid w:val="00C0597E"/>
    <w:rsid w:val="00C137EE"/>
    <w:rsid w:val="00C13929"/>
    <w:rsid w:val="00C151BB"/>
    <w:rsid w:val="00C17A4D"/>
    <w:rsid w:val="00C32CB8"/>
    <w:rsid w:val="00C33400"/>
    <w:rsid w:val="00C373FC"/>
    <w:rsid w:val="00C41802"/>
    <w:rsid w:val="00C4593A"/>
    <w:rsid w:val="00C5041F"/>
    <w:rsid w:val="00C52428"/>
    <w:rsid w:val="00C579E9"/>
    <w:rsid w:val="00C75A39"/>
    <w:rsid w:val="00C77690"/>
    <w:rsid w:val="00C83B90"/>
    <w:rsid w:val="00C86C9E"/>
    <w:rsid w:val="00C96CA6"/>
    <w:rsid w:val="00CA0D2E"/>
    <w:rsid w:val="00CA2D61"/>
    <w:rsid w:val="00CA349A"/>
    <w:rsid w:val="00CA42D6"/>
    <w:rsid w:val="00CB0D2D"/>
    <w:rsid w:val="00CB16A1"/>
    <w:rsid w:val="00CB2C50"/>
    <w:rsid w:val="00CB3905"/>
    <w:rsid w:val="00CC30D2"/>
    <w:rsid w:val="00CD0632"/>
    <w:rsid w:val="00CE69B8"/>
    <w:rsid w:val="00CF35E5"/>
    <w:rsid w:val="00CF6891"/>
    <w:rsid w:val="00CF6C01"/>
    <w:rsid w:val="00D12998"/>
    <w:rsid w:val="00D130F4"/>
    <w:rsid w:val="00D1381A"/>
    <w:rsid w:val="00D251E1"/>
    <w:rsid w:val="00D30F3E"/>
    <w:rsid w:val="00D33418"/>
    <w:rsid w:val="00D3583E"/>
    <w:rsid w:val="00D53A53"/>
    <w:rsid w:val="00D55F9E"/>
    <w:rsid w:val="00D570AA"/>
    <w:rsid w:val="00D60148"/>
    <w:rsid w:val="00D724ED"/>
    <w:rsid w:val="00D76A12"/>
    <w:rsid w:val="00D76CE7"/>
    <w:rsid w:val="00D813EA"/>
    <w:rsid w:val="00D83E14"/>
    <w:rsid w:val="00DB0BCD"/>
    <w:rsid w:val="00DB152E"/>
    <w:rsid w:val="00DB2C6B"/>
    <w:rsid w:val="00DB7126"/>
    <w:rsid w:val="00DD04BD"/>
    <w:rsid w:val="00DD6095"/>
    <w:rsid w:val="00DD6855"/>
    <w:rsid w:val="00DF2A51"/>
    <w:rsid w:val="00DF6688"/>
    <w:rsid w:val="00E02699"/>
    <w:rsid w:val="00E05620"/>
    <w:rsid w:val="00E151BC"/>
    <w:rsid w:val="00E31F62"/>
    <w:rsid w:val="00E320A4"/>
    <w:rsid w:val="00E41DEF"/>
    <w:rsid w:val="00E42223"/>
    <w:rsid w:val="00E81659"/>
    <w:rsid w:val="00E82827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D76ED"/>
    <w:rsid w:val="00EE21C1"/>
    <w:rsid w:val="00EE4BD9"/>
    <w:rsid w:val="00EE5A7F"/>
    <w:rsid w:val="00EE5E95"/>
    <w:rsid w:val="00EF2BAF"/>
    <w:rsid w:val="00F030DF"/>
    <w:rsid w:val="00F038D8"/>
    <w:rsid w:val="00F11CAC"/>
    <w:rsid w:val="00F13297"/>
    <w:rsid w:val="00F14B6A"/>
    <w:rsid w:val="00F17667"/>
    <w:rsid w:val="00F2110D"/>
    <w:rsid w:val="00F24B4E"/>
    <w:rsid w:val="00F30F82"/>
    <w:rsid w:val="00F343D3"/>
    <w:rsid w:val="00F453C5"/>
    <w:rsid w:val="00F47367"/>
    <w:rsid w:val="00F64BFB"/>
    <w:rsid w:val="00F72301"/>
    <w:rsid w:val="00F77690"/>
    <w:rsid w:val="00F8781E"/>
    <w:rsid w:val="00F93F26"/>
    <w:rsid w:val="00F9479F"/>
    <w:rsid w:val="00FA7A2A"/>
    <w:rsid w:val="00FB1756"/>
    <w:rsid w:val="00FB322D"/>
    <w:rsid w:val="00FB3CA0"/>
    <w:rsid w:val="00FB40A6"/>
    <w:rsid w:val="00FC6923"/>
    <w:rsid w:val="00FD194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CF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.dhhs.vic.gov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training/providers/learnlocal/Pages/network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pbmemo 2019 11 20 Industry Contextualised Literacy Numeracy EOI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B844-2A16-424D-9CF2-A20F96979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BA866-268D-47BC-B99D-0DB58661E9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652286F9-9A4A-4EA6-AF0C-299E86D6E6E8}"/>
</file>

<file path=customXml/itemProps4.xml><?xml version="1.0" encoding="utf-8"?>
<ds:datastoreItem xmlns:ds="http://schemas.openxmlformats.org/officeDocument/2006/customXml" ds:itemID="{9BDCD884-AD14-4433-8226-87B54149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2020-01-13T23:30:00Z</dcterms:created>
  <dcterms:modified xsi:type="dcterms:W3CDTF">2020-01-13T23:36:00Z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