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:rsidR="00CB2C50" w:rsidRPr="00C67D3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C67D38">
        <w:rPr>
          <w:b/>
          <w:color w:val="000000" w:themeColor="text1"/>
          <w:szCs w:val="24"/>
          <w:lang w:val="en-GB" w:eastAsia="en-US"/>
        </w:rPr>
        <w:t>TO:</w:t>
      </w:r>
      <w:r w:rsidRPr="00C67D38">
        <w:rPr>
          <w:b/>
          <w:color w:val="000000" w:themeColor="text1"/>
          <w:szCs w:val="24"/>
          <w:lang w:val="en-GB" w:eastAsia="en-US"/>
        </w:rPr>
        <w:tab/>
      </w:r>
      <w:r w:rsidR="00D30F3E" w:rsidRPr="00C67D38">
        <w:rPr>
          <w:b/>
          <w:color w:val="000000" w:themeColor="text1"/>
          <w:szCs w:val="24"/>
          <w:lang w:val="en-GB" w:eastAsia="en-US"/>
        </w:rPr>
        <w:tab/>
      </w:r>
      <w:r w:rsidR="00EA2B5D" w:rsidRPr="00C67D38">
        <w:rPr>
          <w:color w:val="000000" w:themeColor="text1"/>
          <w:szCs w:val="24"/>
          <w:lang w:val="en-GB" w:eastAsia="en-US"/>
        </w:rPr>
        <w:t>Learn Lo</w:t>
      </w:r>
      <w:r w:rsidR="00E05620" w:rsidRPr="00C67D38">
        <w:rPr>
          <w:color w:val="000000" w:themeColor="text1"/>
          <w:szCs w:val="24"/>
          <w:lang w:val="en-GB" w:eastAsia="en-US"/>
        </w:rPr>
        <w:t>c</w:t>
      </w:r>
      <w:r w:rsidR="001807E6" w:rsidRPr="00C67D38">
        <w:rPr>
          <w:color w:val="000000" w:themeColor="text1"/>
          <w:szCs w:val="24"/>
          <w:lang w:val="en-GB" w:eastAsia="en-US"/>
        </w:rPr>
        <w:t xml:space="preserve">al </w:t>
      </w:r>
      <w:r w:rsidR="00F77690" w:rsidRPr="00C67D38">
        <w:rPr>
          <w:color w:val="000000" w:themeColor="text1"/>
          <w:szCs w:val="24"/>
          <w:lang w:val="en-GB" w:eastAsia="en-US"/>
        </w:rPr>
        <w:t>providers</w:t>
      </w:r>
      <w:r w:rsidR="001807E6" w:rsidRPr="00C67D38">
        <w:rPr>
          <w:color w:val="000000" w:themeColor="text1"/>
          <w:szCs w:val="24"/>
          <w:lang w:val="en-GB" w:eastAsia="en-US"/>
        </w:rPr>
        <w:t xml:space="preserve"> —</w:t>
      </w:r>
      <w:r w:rsidR="00DB0BCD" w:rsidRPr="00C67D38">
        <w:rPr>
          <w:color w:val="000000" w:themeColor="text1"/>
          <w:szCs w:val="24"/>
          <w:lang w:val="en-GB" w:eastAsia="en-US"/>
        </w:rPr>
        <w:t xml:space="preserve"> ALL</w:t>
      </w:r>
    </w:p>
    <w:p w:rsidR="00CB2C50" w:rsidRPr="00C67D3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C67D38">
        <w:rPr>
          <w:color w:val="000000" w:themeColor="text1"/>
          <w:szCs w:val="24"/>
          <w:lang w:val="en-GB" w:eastAsia="en-US"/>
        </w:rPr>
        <w:tab/>
      </w:r>
      <w:r w:rsidR="00D30F3E" w:rsidRPr="00C67D38">
        <w:rPr>
          <w:color w:val="000000" w:themeColor="text1"/>
          <w:szCs w:val="24"/>
          <w:lang w:val="en-GB" w:eastAsia="en-US"/>
        </w:rPr>
        <w:tab/>
      </w:r>
      <w:r w:rsidRPr="00C67D38">
        <w:rPr>
          <w:color w:val="000000" w:themeColor="text1"/>
          <w:szCs w:val="24"/>
          <w:lang w:val="en-GB" w:eastAsia="en-US"/>
        </w:rPr>
        <w:t>ACFE Regional Councils</w:t>
      </w:r>
    </w:p>
    <w:p w:rsidR="00DB0BCD" w:rsidRPr="00C67D3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C67D38">
        <w:rPr>
          <w:color w:val="000000" w:themeColor="text1"/>
          <w:szCs w:val="24"/>
          <w:lang w:val="en-GB" w:eastAsia="en-US"/>
        </w:rPr>
        <w:tab/>
      </w:r>
      <w:r w:rsidR="00D30F3E" w:rsidRPr="00C67D38">
        <w:rPr>
          <w:color w:val="000000" w:themeColor="text1"/>
          <w:szCs w:val="24"/>
          <w:lang w:val="en-GB" w:eastAsia="en-US"/>
        </w:rPr>
        <w:tab/>
      </w:r>
      <w:r w:rsidR="007A161B" w:rsidRPr="00C67D38">
        <w:rPr>
          <w:color w:val="000000" w:themeColor="text1"/>
          <w:szCs w:val="24"/>
          <w:lang w:val="en-GB" w:eastAsia="en-US"/>
        </w:rPr>
        <w:t>Adult education i</w:t>
      </w:r>
      <w:r w:rsidR="00DB0BCD" w:rsidRPr="00C67D38">
        <w:rPr>
          <w:color w:val="000000" w:themeColor="text1"/>
          <w:szCs w:val="24"/>
          <w:lang w:val="en-GB" w:eastAsia="en-US"/>
        </w:rPr>
        <w:t>nstitutions</w:t>
      </w:r>
    </w:p>
    <w:p w:rsidR="00DB0BCD" w:rsidRPr="00C67D3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C67D38">
        <w:rPr>
          <w:color w:val="000000" w:themeColor="text1"/>
          <w:szCs w:val="24"/>
          <w:lang w:val="en-GB" w:eastAsia="en-US"/>
        </w:rPr>
        <w:tab/>
      </w:r>
      <w:r w:rsidR="00D30F3E" w:rsidRPr="00C67D38">
        <w:rPr>
          <w:color w:val="000000" w:themeColor="text1"/>
          <w:szCs w:val="24"/>
          <w:lang w:val="en-GB" w:eastAsia="en-US"/>
        </w:rPr>
        <w:tab/>
      </w:r>
      <w:r w:rsidR="003079DD" w:rsidRPr="00C67D38">
        <w:rPr>
          <w:color w:val="000000" w:themeColor="text1"/>
          <w:szCs w:val="24"/>
          <w:lang w:val="en-GB" w:eastAsia="en-US"/>
        </w:rPr>
        <w:t xml:space="preserve">PIRE </w:t>
      </w:r>
      <w:r w:rsidR="007A161B" w:rsidRPr="00C67D38">
        <w:rPr>
          <w:color w:val="000000" w:themeColor="text1"/>
          <w:szCs w:val="24"/>
          <w:lang w:val="en-GB" w:eastAsia="en-US"/>
        </w:rPr>
        <w:t>Branch s</w:t>
      </w:r>
      <w:r w:rsidR="00DB0BCD" w:rsidRPr="00C67D38">
        <w:rPr>
          <w:color w:val="000000" w:themeColor="text1"/>
          <w:szCs w:val="24"/>
          <w:lang w:val="en-GB" w:eastAsia="en-US"/>
        </w:rPr>
        <w:t>taff</w:t>
      </w:r>
    </w:p>
    <w:p w:rsidR="009D5D01" w:rsidRPr="00C67D38" w:rsidRDefault="009D5D01" w:rsidP="00BD1D70">
      <w:pPr>
        <w:spacing w:before="120"/>
        <w:jc w:val="left"/>
        <w:rPr>
          <w:b/>
          <w:color w:val="000000" w:themeColor="text1"/>
          <w:szCs w:val="20"/>
          <w:lang w:val="en-GB" w:eastAsia="en-US"/>
        </w:rPr>
      </w:pPr>
      <w:r w:rsidRPr="00C67D38">
        <w:rPr>
          <w:b/>
          <w:color w:val="000000" w:themeColor="text1"/>
          <w:lang w:val="en-GB" w:eastAsia="en-US"/>
        </w:rPr>
        <w:t>FROM</w:t>
      </w:r>
      <w:r w:rsidR="00414AB1" w:rsidRPr="00C67D38">
        <w:rPr>
          <w:b/>
          <w:color w:val="000000" w:themeColor="text1"/>
          <w:lang w:val="en-GB" w:eastAsia="en-US"/>
        </w:rPr>
        <w:t>:</w:t>
      </w:r>
      <w:r w:rsidR="00D30F3E" w:rsidRPr="00C67D38">
        <w:rPr>
          <w:b/>
          <w:color w:val="000000" w:themeColor="text1"/>
          <w:lang w:val="en-GB" w:eastAsia="en-US"/>
        </w:rPr>
        <w:tab/>
      </w:r>
      <w:r w:rsidR="00087A8D">
        <w:rPr>
          <w:color w:val="000000" w:themeColor="text1"/>
          <w:szCs w:val="24"/>
          <w:lang w:val="en-GB" w:eastAsia="en-US"/>
        </w:rPr>
        <w:t>Nick Orchard</w:t>
      </w:r>
      <w:r w:rsidR="002D610A" w:rsidRPr="00C67D38">
        <w:rPr>
          <w:color w:val="000000" w:themeColor="text1"/>
          <w:szCs w:val="24"/>
          <w:lang w:val="en-GB" w:eastAsia="en-US"/>
        </w:rPr>
        <w:t xml:space="preserve">, </w:t>
      </w:r>
      <w:r w:rsidR="00087A8D">
        <w:rPr>
          <w:color w:val="000000" w:themeColor="text1"/>
          <w:szCs w:val="24"/>
          <w:lang w:val="en-GB" w:eastAsia="en-US"/>
        </w:rPr>
        <w:t>A/</w:t>
      </w:r>
      <w:r w:rsidR="0029046F" w:rsidRPr="00C67D38">
        <w:rPr>
          <w:color w:val="000000" w:themeColor="text1"/>
          <w:szCs w:val="24"/>
          <w:lang w:val="en-GB" w:eastAsia="en-US"/>
        </w:rPr>
        <w:t>D</w:t>
      </w:r>
      <w:r w:rsidR="004E29A2" w:rsidRPr="00C67D38">
        <w:rPr>
          <w:color w:val="000000" w:themeColor="text1"/>
          <w:szCs w:val="24"/>
          <w:lang w:val="en-GB" w:eastAsia="en-US"/>
        </w:rPr>
        <w:t>irector</w:t>
      </w:r>
      <w:r w:rsidR="00F453C5" w:rsidRPr="00C67D38">
        <w:rPr>
          <w:color w:val="000000" w:themeColor="text1"/>
          <w:szCs w:val="24"/>
          <w:lang w:val="en-GB" w:eastAsia="en-US"/>
        </w:rPr>
        <w:t xml:space="preserve"> </w:t>
      </w:r>
      <w:r w:rsidR="00F453C5" w:rsidRPr="00C67D38">
        <w:rPr>
          <w:color w:val="000000" w:themeColor="text1"/>
          <w:lang w:val="en-GB" w:eastAsia="en-US"/>
        </w:rPr>
        <w:t xml:space="preserve">— </w:t>
      </w:r>
      <w:r w:rsidR="00C03591" w:rsidRPr="00C67D38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C67D38">
        <w:rPr>
          <w:color w:val="000000" w:themeColor="text1"/>
          <w:szCs w:val="24"/>
          <w:lang w:val="en-GB" w:eastAsia="en-US"/>
        </w:rPr>
        <w:t xml:space="preserve"> Regional Engagement </w:t>
      </w:r>
      <w:r w:rsidRPr="00C67D38">
        <w:rPr>
          <w:color w:val="000000" w:themeColor="text1"/>
          <w:szCs w:val="24"/>
          <w:lang w:val="en-GB" w:eastAsia="en-US"/>
        </w:rPr>
        <w:t>Branch</w:t>
      </w:r>
    </w:p>
    <w:p w:rsidR="009D5D01" w:rsidRPr="00C67D3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C67D38">
        <w:rPr>
          <w:b/>
          <w:color w:val="000000" w:themeColor="text1"/>
          <w:lang w:val="en-GB" w:eastAsia="en-US"/>
        </w:rPr>
        <w:t>DATE:</w:t>
      </w:r>
      <w:r w:rsidRPr="00C67D38">
        <w:rPr>
          <w:b/>
          <w:color w:val="000000" w:themeColor="text1"/>
          <w:lang w:val="en-GB" w:eastAsia="en-US"/>
        </w:rPr>
        <w:tab/>
      </w:r>
      <w:r w:rsidR="00D30F3E" w:rsidRPr="00C67D38">
        <w:rPr>
          <w:b/>
          <w:color w:val="000000" w:themeColor="text1"/>
          <w:lang w:val="en-GB" w:eastAsia="en-US"/>
        </w:rPr>
        <w:tab/>
      </w:r>
      <w:r w:rsidR="00087A8D">
        <w:rPr>
          <w:color w:val="000000" w:themeColor="text1"/>
          <w:lang w:val="en-GB" w:eastAsia="en-US"/>
        </w:rPr>
        <w:t xml:space="preserve">4 February </w:t>
      </w:r>
      <w:r w:rsidR="001807E6" w:rsidRPr="00C67D38">
        <w:rPr>
          <w:color w:val="000000" w:themeColor="text1"/>
          <w:lang w:val="en-GB" w:eastAsia="en-US"/>
        </w:rPr>
        <w:t>2019</w:t>
      </w:r>
    </w:p>
    <w:p w:rsidR="005B539F" w:rsidRDefault="009D5D01" w:rsidP="00CC14F5">
      <w:pPr>
        <w:spacing w:before="120"/>
        <w:ind w:left="1418" w:hanging="1418"/>
        <w:jc w:val="left"/>
        <w:rPr>
          <w:b/>
          <w:color w:val="000000" w:themeColor="text1"/>
          <w:lang w:val="en-GB" w:eastAsia="en-US"/>
        </w:rPr>
      </w:pPr>
      <w:r w:rsidRPr="00C67D38">
        <w:rPr>
          <w:b/>
          <w:color w:val="000000" w:themeColor="text1"/>
          <w:lang w:val="en-GB" w:eastAsia="en-US"/>
        </w:rPr>
        <w:t>SUBJECT</w:t>
      </w:r>
      <w:r w:rsidR="00D30F3E" w:rsidRPr="00C67D38">
        <w:rPr>
          <w:b/>
          <w:color w:val="000000" w:themeColor="text1"/>
          <w:lang w:val="en-GB" w:eastAsia="en-US"/>
        </w:rPr>
        <w:t xml:space="preserve">: </w:t>
      </w:r>
      <w:r w:rsidR="00D30F3E" w:rsidRPr="00C67D38">
        <w:rPr>
          <w:b/>
          <w:color w:val="000000" w:themeColor="text1"/>
          <w:lang w:val="en-GB" w:eastAsia="en-US"/>
        </w:rPr>
        <w:tab/>
      </w:r>
      <w:r w:rsidR="00965550">
        <w:rPr>
          <w:b/>
          <w:color w:val="000000" w:themeColor="text1"/>
          <w:lang w:val="en-GB" w:eastAsia="en-US"/>
        </w:rPr>
        <w:t>Expression</w:t>
      </w:r>
      <w:r w:rsidR="00D20C82">
        <w:rPr>
          <w:b/>
          <w:color w:val="000000" w:themeColor="text1"/>
          <w:lang w:val="en-GB" w:eastAsia="en-US"/>
        </w:rPr>
        <w:t>s</w:t>
      </w:r>
      <w:r w:rsidR="00965550">
        <w:rPr>
          <w:b/>
          <w:color w:val="000000" w:themeColor="text1"/>
          <w:lang w:val="en-GB" w:eastAsia="en-US"/>
        </w:rPr>
        <w:t xml:space="preserve"> of Interest </w:t>
      </w:r>
      <w:r w:rsidR="00CC14F5">
        <w:rPr>
          <w:b/>
          <w:color w:val="000000" w:themeColor="text1"/>
          <w:lang w:val="en-GB" w:eastAsia="en-US"/>
        </w:rPr>
        <w:t xml:space="preserve">now </w:t>
      </w:r>
      <w:r w:rsidR="00965550">
        <w:rPr>
          <w:b/>
          <w:color w:val="000000" w:themeColor="text1"/>
          <w:lang w:val="en-GB" w:eastAsia="en-US"/>
        </w:rPr>
        <w:t>o</w:t>
      </w:r>
      <w:r w:rsidR="00965550" w:rsidRPr="00087A8D">
        <w:rPr>
          <w:b/>
          <w:color w:val="000000" w:themeColor="text1"/>
          <w:lang w:val="en-GB" w:eastAsia="en-US"/>
        </w:rPr>
        <w:t>pen</w:t>
      </w:r>
      <w:r w:rsidR="00CC14F5">
        <w:rPr>
          <w:b/>
          <w:color w:val="000000" w:themeColor="text1"/>
          <w:lang w:val="en-GB" w:eastAsia="en-US"/>
        </w:rPr>
        <w:t xml:space="preserve"> for </w:t>
      </w:r>
      <w:r w:rsidR="00965550">
        <w:rPr>
          <w:b/>
          <w:color w:val="000000" w:themeColor="text1"/>
          <w:lang w:val="en-GB" w:eastAsia="en-US"/>
        </w:rPr>
        <w:t>Category 2, Regional Projects</w:t>
      </w:r>
      <w:r w:rsidR="005B539F">
        <w:rPr>
          <w:b/>
          <w:color w:val="000000" w:themeColor="text1"/>
          <w:lang w:val="en-GB" w:eastAsia="en-US"/>
        </w:rPr>
        <w:t xml:space="preserve"> </w:t>
      </w:r>
      <w:r w:rsidR="00CC14F5">
        <w:rPr>
          <w:b/>
          <w:color w:val="000000" w:themeColor="text1"/>
          <w:lang w:val="en-GB" w:eastAsia="en-US"/>
        </w:rPr>
        <w:t>of the</w:t>
      </w:r>
    </w:p>
    <w:p w:rsidR="00CB4A2C" w:rsidRDefault="00CC14F5" w:rsidP="005B539F">
      <w:pPr>
        <w:ind w:left="1418"/>
        <w:jc w:val="left"/>
        <w:rPr>
          <w:b/>
          <w:color w:val="000000" w:themeColor="text1"/>
          <w:lang w:val="en-GB" w:eastAsia="en-US"/>
        </w:rPr>
      </w:pPr>
      <w:r>
        <w:rPr>
          <w:b/>
          <w:color w:val="000000" w:themeColor="text1"/>
          <w:lang w:val="en-GB" w:eastAsia="en-US"/>
        </w:rPr>
        <w:t>ACFE Board</w:t>
      </w:r>
      <w:r w:rsidR="00087A8D" w:rsidRPr="00087A8D">
        <w:rPr>
          <w:b/>
          <w:color w:val="000000" w:themeColor="text1"/>
          <w:lang w:val="en-GB" w:eastAsia="en-US"/>
        </w:rPr>
        <w:t xml:space="preserve"> Capac</w:t>
      </w:r>
      <w:r w:rsidR="00087A8D">
        <w:rPr>
          <w:b/>
          <w:color w:val="000000" w:themeColor="text1"/>
          <w:lang w:val="en-GB" w:eastAsia="en-US"/>
        </w:rPr>
        <w:t>ity and Innovation Fund (CAIF)</w:t>
      </w:r>
      <w:r w:rsidR="00CB4A2C">
        <w:rPr>
          <w:b/>
          <w:color w:val="000000" w:themeColor="text1"/>
          <w:lang w:val="en-GB" w:eastAsia="en-US"/>
        </w:rPr>
        <w:t xml:space="preserve"> </w:t>
      </w:r>
      <w:r w:rsidR="009F1ECD">
        <w:rPr>
          <w:b/>
          <w:color w:val="000000" w:themeColor="text1"/>
          <w:lang w:val="en-GB" w:eastAsia="en-US"/>
        </w:rPr>
        <w:t xml:space="preserve">— </w:t>
      </w:r>
      <w:r w:rsidR="00087A8D" w:rsidRPr="00087A8D">
        <w:rPr>
          <w:b/>
          <w:color w:val="000000" w:themeColor="text1"/>
          <w:lang w:val="en-GB" w:eastAsia="en-US"/>
        </w:rPr>
        <w:t>Round 11</w:t>
      </w:r>
    </w:p>
    <w:p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:rsidR="005D7CEE" w:rsidRDefault="005D7CEE" w:rsidP="005D7CEE">
      <w:pPr>
        <w:jc w:val="left"/>
        <w:rPr>
          <w:color w:val="2F5496" w:themeColor="accent5" w:themeShade="BF"/>
          <w:lang w:val="en"/>
        </w:rPr>
      </w:pPr>
    </w:p>
    <w:p w:rsidR="006F3184" w:rsidRPr="00BC23C8" w:rsidRDefault="00DB0BCD" w:rsidP="005D7CEE">
      <w:pPr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:rsidR="00951AC6" w:rsidRDefault="00951AC6" w:rsidP="005D7CEE">
      <w:pPr>
        <w:jc w:val="left"/>
        <w:rPr>
          <w:bCs/>
          <w:color w:val="000000" w:themeColor="text1"/>
          <w:lang w:val="en-GB"/>
        </w:rPr>
      </w:pPr>
    </w:p>
    <w:p w:rsidR="00AB4896" w:rsidRDefault="00965550" w:rsidP="005D7CEE">
      <w:pPr>
        <w:pStyle w:val="ListParagraph"/>
        <w:numPr>
          <w:ilvl w:val="0"/>
          <w:numId w:val="23"/>
        </w:numPr>
        <w:spacing w:after="0" w:line="240" w:lineRule="auto"/>
        <w:ind w:left="284" w:hanging="284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  <w:r>
        <w:rPr>
          <w:rFonts w:ascii="Arial" w:hAnsi="Arial"/>
          <w:bCs/>
          <w:color w:val="000000" w:themeColor="text1"/>
          <w:lang w:val="en-GB"/>
        </w:rPr>
        <w:t>Submit your response</w:t>
      </w:r>
      <w:r w:rsidR="00E87D1A">
        <w:rPr>
          <w:rFonts w:ascii="Arial" w:hAnsi="Arial"/>
          <w:bCs/>
          <w:color w:val="000000" w:themeColor="text1"/>
          <w:lang w:val="en-GB"/>
        </w:rPr>
        <w:t xml:space="preserve"> </w:t>
      </w:r>
      <w:r w:rsidR="00CC14F5">
        <w:rPr>
          <w:rFonts w:ascii="Arial" w:hAnsi="Arial"/>
          <w:bCs/>
          <w:color w:val="000000" w:themeColor="text1"/>
          <w:lang w:val="en-GB"/>
        </w:rPr>
        <w:t>to the expression</w:t>
      </w:r>
      <w:r w:rsidR="00D20C82">
        <w:rPr>
          <w:rFonts w:ascii="Arial" w:hAnsi="Arial"/>
          <w:bCs/>
          <w:color w:val="000000" w:themeColor="text1"/>
          <w:lang w:val="en-GB"/>
        </w:rPr>
        <w:t xml:space="preserve"> of interest </w:t>
      </w:r>
      <w:r w:rsidR="00E87D1A">
        <w:rPr>
          <w:rFonts w:ascii="Arial" w:hAnsi="Arial"/>
          <w:bCs/>
          <w:color w:val="000000" w:themeColor="text1"/>
          <w:lang w:val="en-GB"/>
        </w:rPr>
        <w:t>for</w:t>
      </w:r>
      <w:r w:rsidR="00CB4A2C">
        <w:rPr>
          <w:rFonts w:ascii="Arial" w:hAnsi="Arial"/>
          <w:bCs/>
          <w:color w:val="000000" w:themeColor="text1"/>
          <w:lang w:val="en-GB"/>
        </w:rPr>
        <w:t xml:space="preserve"> </w:t>
      </w:r>
      <w:r>
        <w:rPr>
          <w:rFonts w:ascii="Arial" w:hAnsi="Arial"/>
          <w:bCs/>
          <w:color w:val="000000" w:themeColor="text1"/>
          <w:lang w:val="en-GB"/>
        </w:rPr>
        <w:t xml:space="preserve">CAIF 11 — </w:t>
      </w:r>
      <w:r w:rsidR="00087A8D" w:rsidRPr="00087A8D">
        <w:rPr>
          <w:rFonts w:ascii="Arial" w:hAnsi="Arial"/>
          <w:bCs/>
          <w:color w:val="000000" w:themeColor="text1"/>
          <w:lang w:val="en-GB"/>
        </w:rPr>
        <w:t>Category 2</w:t>
      </w:r>
      <w:r w:rsidR="00D95D53">
        <w:rPr>
          <w:rFonts w:ascii="Arial" w:hAnsi="Arial"/>
          <w:bCs/>
          <w:color w:val="000000" w:themeColor="text1"/>
          <w:lang w:val="en-GB"/>
        </w:rPr>
        <w:t>,</w:t>
      </w:r>
      <w:r w:rsidR="00087A8D" w:rsidRPr="00087A8D">
        <w:rPr>
          <w:rFonts w:ascii="Arial" w:hAnsi="Arial"/>
          <w:bCs/>
          <w:color w:val="000000" w:themeColor="text1"/>
          <w:lang w:val="en-GB"/>
        </w:rPr>
        <w:t xml:space="preserve"> Regional Projects </w:t>
      </w:r>
      <w:r w:rsidR="00D20C82">
        <w:rPr>
          <w:rFonts w:ascii="Arial" w:hAnsi="Arial"/>
          <w:bCs/>
          <w:color w:val="000000" w:themeColor="text1"/>
          <w:lang w:val="en-GB"/>
        </w:rPr>
        <w:t xml:space="preserve">between </w:t>
      </w:r>
      <w:r w:rsidR="00087A8D" w:rsidRPr="00087A8D">
        <w:rPr>
          <w:rFonts w:ascii="Arial" w:hAnsi="Arial"/>
          <w:bCs/>
          <w:color w:val="000000" w:themeColor="text1"/>
          <w:lang w:val="en-GB"/>
        </w:rPr>
        <w:t xml:space="preserve">5 February </w:t>
      </w:r>
      <w:r w:rsidR="00D20C82">
        <w:rPr>
          <w:rFonts w:ascii="Arial" w:hAnsi="Arial"/>
          <w:bCs/>
          <w:color w:val="000000" w:themeColor="text1"/>
          <w:lang w:val="en-GB"/>
        </w:rPr>
        <w:t>and</w:t>
      </w:r>
      <w:r w:rsidR="00087A8D" w:rsidRPr="00087A8D">
        <w:rPr>
          <w:rFonts w:ascii="Arial" w:hAnsi="Arial"/>
          <w:bCs/>
          <w:color w:val="000000" w:themeColor="text1"/>
          <w:lang w:val="en-GB"/>
        </w:rPr>
        <w:t xml:space="preserve"> 5 March 2019.</w:t>
      </w:r>
    </w:p>
    <w:p w:rsidR="00AB4896" w:rsidRDefault="00AB4896" w:rsidP="005D7CEE">
      <w:pPr>
        <w:pStyle w:val="ListParagraph"/>
        <w:spacing w:after="0" w:line="240" w:lineRule="auto"/>
        <w:ind w:left="284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</w:p>
    <w:p w:rsidR="00AB4896" w:rsidRPr="00AB4896" w:rsidRDefault="00AB4896" w:rsidP="005D7CEE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left"/>
        <w:rPr>
          <w:rStyle w:val="Hyperlink"/>
          <w:rFonts w:asciiTheme="minorHAnsi" w:hAnsiTheme="minorHAnsi" w:cstheme="minorHAnsi"/>
          <w:color w:val="000000" w:themeColor="text1"/>
          <w:u w:val="none"/>
          <w:lang w:val="en"/>
        </w:rPr>
      </w:pPr>
      <w:r w:rsidRPr="00AB4896">
        <w:rPr>
          <w:rFonts w:asciiTheme="minorHAnsi" w:hAnsiTheme="minorHAnsi" w:cstheme="minorHAnsi"/>
          <w:color w:val="000000" w:themeColor="text1"/>
          <w:lang w:val="en"/>
        </w:rPr>
        <w:t xml:space="preserve">To participate in this category, contact your </w:t>
      </w:r>
      <w:hyperlink r:id="rId8" w:history="1">
        <w:r w:rsidRPr="00AB4896">
          <w:rPr>
            <w:rStyle w:val="Hyperlink"/>
            <w:rFonts w:asciiTheme="minorHAnsi" w:hAnsiTheme="minorHAnsi" w:cstheme="minorHAnsi"/>
            <w:lang w:val="en"/>
          </w:rPr>
          <w:t>regional office</w:t>
        </w:r>
      </w:hyperlink>
      <w:r w:rsidRPr="00AB4896">
        <w:rPr>
          <w:rFonts w:asciiTheme="minorHAnsi" w:hAnsiTheme="minorHAnsi" w:cstheme="minorHAnsi"/>
          <w:color w:val="000000" w:themeColor="text1"/>
          <w:lang w:val="en"/>
        </w:rPr>
        <w:t xml:space="preserve"> who will provide you with</w:t>
      </w:r>
      <w:r w:rsidRPr="00AB4896">
        <w:rPr>
          <w:rStyle w:val="Hyperlink"/>
          <w:rFonts w:asciiTheme="minorHAnsi" w:hAnsiTheme="minorHAnsi" w:cstheme="minorHAnsi"/>
          <w:color w:val="000000" w:themeColor="text1"/>
          <w:u w:val="none"/>
          <w:lang w:val="en"/>
        </w:rPr>
        <w:t>:</w:t>
      </w:r>
    </w:p>
    <w:p w:rsidR="00AB4896" w:rsidRPr="00CC3941" w:rsidRDefault="00AB4896" w:rsidP="005D7CEE">
      <w:pPr>
        <w:pStyle w:val="ListParagraph"/>
        <w:numPr>
          <w:ilvl w:val="0"/>
          <w:numId w:val="23"/>
        </w:numPr>
        <w:spacing w:after="0" w:line="240" w:lineRule="auto"/>
        <w:ind w:left="709" w:hanging="284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CC3941">
        <w:rPr>
          <w:rFonts w:asciiTheme="minorHAnsi" w:hAnsiTheme="minorHAnsi" w:cstheme="minorHAnsi"/>
          <w:color w:val="000000" w:themeColor="text1"/>
          <w:lang w:val="en"/>
        </w:rPr>
        <w:t>CAIF 11 Regional Projects Guidelines</w:t>
      </w:r>
    </w:p>
    <w:p w:rsidR="00AB4896" w:rsidRPr="00CC3941" w:rsidRDefault="00AB4896" w:rsidP="005D7CEE">
      <w:pPr>
        <w:pStyle w:val="ListParagraph"/>
        <w:numPr>
          <w:ilvl w:val="0"/>
          <w:numId w:val="23"/>
        </w:numPr>
        <w:spacing w:after="0" w:line="240" w:lineRule="auto"/>
        <w:ind w:left="709" w:hanging="284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CC3941">
        <w:rPr>
          <w:rFonts w:asciiTheme="minorHAnsi" w:hAnsiTheme="minorHAnsi" w:cstheme="minorHAnsi"/>
          <w:color w:val="000000" w:themeColor="text1"/>
          <w:lang w:val="en"/>
        </w:rPr>
        <w:t>Expression of Interest Form</w:t>
      </w:r>
    </w:p>
    <w:p w:rsidR="00AB4896" w:rsidRPr="00AB4896" w:rsidRDefault="00AB4896" w:rsidP="005D7CEE">
      <w:pPr>
        <w:pStyle w:val="ListParagraph"/>
        <w:numPr>
          <w:ilvl w:val="0"/>
          <w:numId w:val="23"/>
        </w:numPr>
        <w:spacing w:after="0" w:line="240" w:lineRule="auto"/>
        <w:ind w:left="709" w:hanging="284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CC3941">
        <w:rPr>
          <w:rFonts w:asciiTheme="minorHAnsi" w:hAnsiTheme="minorHAnsi" w:cstheme="minorHAnsi"/>
          <w:color w:val="000000" w:themeColor="text1"/>
          <w:lang w:val="en"/>
        </w:rPr>
        <w:t>CAIF 11 Budget and Risk Mitigation Templates</w:t>
      </w:r>
    </w:p>
    <w:p w:rsidR="00CC30D2" w:rsidRPr="00BC23C8" w:rsidRDefault="00CC30D2" w:rsidP="008A6CEB">
      <w:pPr>
        <w:pBdr>
          <w:top w:val="single" w:sz="4" w:space="1" w:color="auto"/>
        </w:pBdr>
        <w:spacing w:before="200"/>
        <w:jc w:val="left"/>
        <w:rPr>
          <w:color w:val="000000" w:themeColor="text1"/>
          <w:lang w:val="en"/>
        </w:rPr>
      </w:pPr>
    </w:p>
    <w:p w:rsidR="00AB4896" w:rsidRDefault="00AB4896" w:rsidP="005D7CEE">
      <w:pPr>
        <w:jc w:val="left"/>
        <w:rPr>
          <w:color w:val="2F5496" w:themeColor="accent5" w:themeShade="BF"/>
          <w:lang w:val="en"/>
        </w:rPr>
      </w:pPr>
      <w:r w:rsidRPr="00AB4896">
        <w:rPr>
          <w:color w:val="2F5496" w:themeColor="accent5" w:themeShade="BF"/>
          <w:lang w:val="en"/>
        </w:rPr>
        <w:t>ACFE Board Capacity and Innovation Fund (CAIF) – Round 11</w:t>
      </w:r>
    </w:p>
    <w:p w:rsidR="005D7CEE" w:rsidRPr="00AB4896" w:rsidRDefault="005D7CEE" w:rsidP="005D7CEE">
      <w:pPr>
        <w:jc w:val="left"/>
        <w:rPr>
          <w:color w:val="2F5496" w:themeColor="accent5" w:themeShade="BF"/>
          <w:lang w:val="en"/>
        </w:rPr>
      </w:pPr>
    </w:p>
    <w:p w:rsidR="00AB4896" w:rsidRDefault="00AB4896" w:rsidP="005D7CEE">
      <w:pPr>
        <w:tabs>
          <w:tab w:val="left" w:pos="9356"/>
        </w:tabs>
        <w:ind w:right="397"/>
        <w:jc w:val="left"/>
        <w:rPr>
          <w:color w:val="000000"/>
          <w:lang w:val="en-GB"/>
        </w:rPr>
      </w:pPr>
      <w:r>
        <w:rPr>
          <w:color w:val="000000"/>
          <w:lang w:val="en-GB"/>
        </w:rPr>
        <w:t xml:space="preserve">In December 2018 the </w:t>
      </w:r>
      <w:r w:rsidRPr="00E06857">
        <w:rPr>
          <w:color w:val="000000"/>
          <w:lang w:val="en-GB"/>
        </w:rPr>
        <w:t xml:space="preserve">Adult, Community and Further Education </w:t>
      </w:r>
      <w:r>
        <w:rPr>
          <w:color w:val="000000"/>
          <w:lang w:val="en-GB"/>
        </w:rPr>
        <w:t xml:space="preserve">(ACFE) Board </w:t>
      </w:r>
      <w:r w:rsidRPr="00F3370A">
        <w:rPr>
          <w:color w:val="000000"/>
          <w:lang w:val="en-GB"/>
        </w:rPr>
        <w:t>announce</w:t>
      </w:r>
      <w:r>
        <w:rPr>
          <w:color w:val="000000"/>
          <w:lang w:val="en-GB"/>
        </w:rPr>
        <w:t>d</w:t>
      </w:r>
      <w:r>
        <w:rPr>
          <w:color w:val="000000"/>
          <w:lang w:val="en-GB"/>
        </w:rPr>
        <w:t xml:space="preserve"> that the </w:t>
      </w:r>
      <w:r w:rsidRPr="00F3370A">
        <w:rPr>
          <w:color w:val="000000"/>
          <w:lang w:val="en-GB"/>
        </w:rPr>
        <w:t>Board</w:t>
      </w:r>
      <w:r>
        <w:rPr>
          <w:color w:val="000000"/>
          <w:lang w:val="en-GB"/>
        </w:rPr>
        <w:t>s’</w:t>
      </w:r>
      <w:r w:rsidRPr="00F3370A">
        <w:rPr>
          <w:color w:val="000000"/>
          <w:lang w:val="en-GB"/>
        </w:rPr>
        <w:t xml:space="preserve"> Capacity and Innovation Fund (CAIF) – Round </w:t>
      </w:r>
      <w:r>
        <w:rPr>
          <w:color w:val="000000"/>
          <w:lang w:val="en-GB"/>
        </w:rPr>
        <w:t xml:space="preserve">11 opened. </w:t>
      </w:r>
    </w:p>
    <w:p w:rsidR="005D7CEE" w:rsidRDefault="005D7CEE" w:rsidP="005D7CEE">
      <w:pPr>
        <w:tabs>
          <w:tab w:val="left" w:pos="9356"/>
        </w:tabs>
        <w:ind w:right="397"/>
        <w:jc w:val="left"/>
        <w:rPr>
          <w:color w:val="000000"/>
          <w:lang w:val="en-GB"/>
        </w:rPr>
      </w:pPr>
    </w:p>
    <w:p w:rsidR="00AB4896" w:rsidRDefault="00AB4896" w:rsidP="005D7CEE">
      <w:pPr>
        <w:tabs>
          <w:tab w:val="left" w:pos="9356"/>
        </w:tabs>
        <w:ind w:right="397"/>
        <w:jc w:val="left"/>
        <w:rPr>
          <w:color w:val="000000"/>
          <w:lang w:val="en-GB"/>
        </w:rPr>
      </w:pPr>
      <w:r w:rsidRPr="00E06857">
        <w:rPr>
          <w:color w:val="000000"/>
          <w:lang w:val="en-GB"/>
        </w:rPr>
        <w:t xml:space="preserve">The ACFE Board administers </w:t>
      </w:r>
      <w:r>
        <w:rPr>
          <w:color w:val="000000"/>
          <w:lang w:val="en-GB"/>
        </w:rPr>
        <w:t xml:space="preserve">CAIF </w:t>
      </w:r>
      <w:r w:rsidRPr="00E06857">
        <w:rPr>
          <w:color w:val="000000"/>
          <w:lang w:val="en-GB"/>
        </w:rPr>
        <w:t xml:space="preserve">to provide opportunities for Learn Local </w:t>
      </w:r>
      <w:r>
        <w:rPr>
          <w:color w:val="000000"/>
          <w:lang w:val="en-GB"/>
        </w:rPr>
        <w:t xml:space="preserve">organisations </w:t>
      </w:r>
      <w:r w:rsidRPr="00AB4896">
        <w:rPr>
          <w:color w:val="000000"/>
          <w:lang w:val="en-GB"/>
        </w:rPr>
        <w:t>to develop and implement projects designed to increase participation in education and training whilst responding to the needs of identified priority learner cohorts</w:t>
      </w:r>
      <w:r>
        <w:rPr>
          <w:color w:val="000000"/>
          <w:lang w:val="en-GB"/>
        </w:rPr>
        <w:t>.</w:t>
      </w:r>
    </w:p>
    <w:p w:rsidR="005D7CEE" w:rsidRPr="00AB4896" w:rsidRDefault="005D7CEE" w:rsidP="005D7CEE">
      <w:pPr>
        <w:tabs>
          <w:tab w:val="left" w:pos="9356"/>
        </w:tabs>
        <w:ind w:right="397"/>
        <w:jc w:val="left"/>
        <w:rPr>
          <w:color w:val="000000"/>
          <w:lang w:val="en-GB"/>
        </w:rPr>
      </w:pPr>
    </w:p>
    <w:p w:rsidR="00AB4896" w:rsidRDefault="00AB4896" w:rsidP="005D7CEE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left"/>
        <w:textAlignment w:val="baseline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 xml:space="preserve">All CAIF projects remain provider led, however there are different project categories that will allow for differentiated focus on regional and state-wide needs. </w:t>
      </w:r>
    </w:p>
    <w:p w:rsidR="00AB4896" w:rsidRDefault="00AB4896" w:rsidP="005D7CEE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left"/>
        <w:textAlignment w:val="baseline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 xml:space="preserve">Learn Local providers and Adult Education Institutions </w:t>
      </w:r>
      <w:r>
        <w:rPr>
          <w:rFonts w:ascii="Arial" w:hAnsi="Arial"/>
          <w:color w:val="000000"/>
          <w:lang w:val="en-GB"/>
        </w:rPr>
        <w:t xml:space="preserve">(AEIs) </w:t>
      </w:r>
      <w:r>
        <w:rPr>
          <w:rFonts w:ascii="Arial" w:hAnsi="Arial"/>
          <w:color w:val="000000"/>
          <w:lang w:val="en-GB"/>
        </w:rPr>
        <w:t xml:space="preserve">were advised that CAIF Round 11 will consist of 3 project categories, with a different approach, process and timeline for each category. </w:t>
      </w:r>
    </w:p>
    <w:p w:rsidR="00AB4896" w:rsidRDefault="00AB4896" w:rsidP="005D7CEE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left"/>
        <w:textAlignment w:val="baseline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 xml:space="preserve">All projects will run for a maximum period of 12 months. </w:t>
      </w:r>
    </w:p>
    <w:p w:rsidR="005D7CEE" w:rsidRDefault="005D7CEE" w:rsidP="005D7CEE">
      <w:pPr>
        <w:tabs>
          <w:tab w:val="left" w:pos="1080"/>
          <w:tab w:val="left" w:pos="9356"/>
        </w:tabs>
        <w:ind w:left="284" w:right="397" w:hanging="284"/>
        <w:jc w:val="left"/>
        <w:rPr>
          <w:color w:val="000000"/>
          <w:lang w:val="en-GB"/>
        </w:rPr>
      </w:pPr>
    </w:p>
    <w:p w:rsidR="00AB4896" w:rsidRPr="00640C41" w:rsidRDefault="00AB4896" w:rsidP="005D7CEE">
      <w:pPr>
        <w:tabs>
          <w:tab w:val="left" w:pos="1080"/>
          <w:tab w:val="left" w:pos="9356"/>
        </w:tabs>
        <w:ind w:left="284" w:right="397" w:hanging="284"/>
        <w:jc w:val="left"/>
        <w:rPr>
          <w:color w:val="000000"/>
          <w:lang w:val="en-GB"/>
        </w:rPr>
      </w:pPr>
      <w:r>
        <w:rPr>
          <w:color w:val="000000"/>
          <w:lang w:val="en-GB"/>
        </w:rPr>
        <w:t>The focus of each category is outlined below:</w:t>
      </w:r>
    </w:p>
    <w:p w:rsidR="005D7CEE" w:rsidRDefault="005D7CEE" w:rsidP="005D7CEE">
      <w:pPr>
        <w:tabs>
          <w:tab w:val="left" w:pos="1134"/>
          <w:tab w:val="left" w:pos="9356"/>
        </w:tabs>
        <w:ind w:right="397"/>
        <w:jc w:val="left"/>
        <w:rPr>
          <w:b/>
          <w:color w:val="000000"/>
          <w:lang w:val="en-GB"/>
        </w:rPr>
      </w:pPr>
    </w:p>
    <w:p w:rsidR="00AB4896" w:rsidRDefault="00AB4896" w:rsidP="005D7CEE">
      <w:pPr>
        <w:tabs>
          <w:tab w:val="left" w:pos="1134"/>
          <w:tab w:val="left" w:pos="9356"/>
        </w:tabs>
        <w:ind w:right="397"/>
        <w:jc w:val="left"/>
        <w:rPr>
          <w:color w:val="000000"/>
          <w:lang w:val="en-GB"/>
        </w:rPr>
      </w:pPr>
      <w:r w:rsidRPr="00AB4896">
        <w:rPr>
          <w:b/>
          <w:color w:val="000000"/>
          <w:lang w:val="en-GB"/>
        </w:rPr>
        <w:t>Category 1 Provider Initiated Projects</w:t>
      </w:r>
    </w:p>
    <w:p w:rsidR="00AB4896" w:rsidRDefault="00AB4896" w:rsidP="005D7CEE">
      <w:pPr>
        <w:tabs>
          <w:tab w:val="left" w:pos="1134"/>
          <w:tab w:val="left" w:pos="9356"/>
        </w:tabs>
        <w:ind w:right="397"/>
        <w:jc w:val="left"/>
        <w:rPr>
          <w:color w:val="000000"/>
        </w:rPr>
      </w:pPr>
      <w:r>
        <w:rPr>
          <w:color w:val="000000"/>
          <w:lang w:val="en-GB"/>
        </w:rPr>
        <w:t>S</w:t>
      </w:r>
      <w:r w:rsidRPr="00AB4896">
        <w:rPr>
          <w:color w:val="000000"/>
          <w:lang w:val="en-GB"/>
        </w:rPr>
        <w:t xml:space="preserve">mall-scale projects of up to $50,000 identified, scoped, </w:t>
      </w:r>
      <w:r w:rsidRPr="00AB4896">
        <w:rPr>
          <w:color w:val="000000"/>
        </w:rPr>
        <w:t xml:space="preserve">designed and initiated by providers with a focus on capacity building for providers to respond to priority learner group needs. </w:t>
      </w:r>
    </w:p>
    <w:p w:rsidR="005D7CEE" w:rsidRDefault="005D7CEE" w:rsidP="005D7CEE">
      <w:pPr>
        <w:tabs>
          <w:tab w:val="left" w:pos="1134"/>
          <w:tab w:val="left" w:pos="9356"/>
        </w:tabs>
        <w:ind w:right="397"/>
        <w:jc w:val="left"/>
        <w:rPr>
          <w:color w:val="000000"/>
        </w:rPr>
      </w:pPr>
    </w:p>
    <w:p w:rsidR="00AB4896" w:rsidRDefault="00AB4896" w:rsidP="005D7CEE">
      <w:pPr>
        <w:tabs>
          <w:tab w:val="left" w:pos="1134"/>
          <w:tab w:val="left" w:pos="9356"/>
        </w:tabs>
        <w:ind w:right="397"/>
        <w:jc w:val="left"/>
        <w:rPr>
          <w:color w:val="000000"/>
        </w:rPr>
      </w:pPr>
      <w:r w:rsidRPr="00AB4896">
        <w:rPr>
          <w:color w:val="000000"/>
        </w:rPr>
        <w:t>These projects should build provider capacity: through innovative and sustainable models of delivery,</w:t>
      </w:r>
      <w:r w:rsidRPr="00FF1923">
        <w:t xml:space="preserve"> </w:t>
      </w:r>
      <w:r w:rsidRPr="00AB4896">
        <w:rPr>
          <w:color w:val="000000"/>
        </w:rPr>
        <w:t xml:space="preserve">development of products that demonstrate a broader application across the sector, provide support for learner engagement and participation, improve quality of program delivery or develop pathways to further education and employment. </w:t>
      </w:r>
    </w:p>
    <w:p w:rsidR="005D7CEE" w:rsidRPr="00AB4896" w:rsidRDefault="005D7CEE" w:rsidP="005D7CEE">
      <w:pPr>
        <w:tabs>
          <w:tab w:val="left" w:pos="1134"/>
          <w:tab w:val="left" w:pos="9356"/>
        </w:tabs>
        <w:ind w:right="397"/>
        <w:jc w:val="left"/>
        <w:rPr>
          <w:b/>
          <w:color w:val="000000"/>
          <w:lang w:val="en-GB"/>
        </w:rPr>
      </w:pPr>
    </w:p>
    <w:p w:rsidR="00AB4896" w:rsidRDefault="00AB4896" w:rsidP="005D7CEE">
      <w:pPr>
        <w:pStyle w:val="ListParagraph"/>
        <w:numPr>
          <w:ilvl w:val="1"/>
          <w:numId w:val="37"/>
        </w:numPr>
        <w:tabs>
          <w:tab w:val="left" w:pos="9356"/>
        </w:tabs>
        <w:spacing w:after="0" w:line="240" w:lineRule="auto"/>
        <w:ind w:left="284" w:right="397" w:hanging="284"/>
        <w:jc w:val="left"/>
        <w:rPr>
          <w:rFonts w:ascii="Arial" w:hAnsi="Arial"/>
          <w:color w:val="000000"/>
          <w:lang w:val="en-GB"/>
        </w:rPr>
      </w:pPr>
      <w:r w:rsidRPr="00AB4896">
        <w:rPr>
          <w:rFonts w:ascii="Arial" w:hAnsi="Arial"/>
          <w:color w:val="000000"/>
          <w:lang w:val="en-GB"/>
        </w:rPr>
        <w:t xml:space="preserve">Expressions of Interest for this category opened on Tuesday 11 December 2018 and close Friday 15 February 2019. </w:t>
      </w:r>
    </w:p>
    <w:p w:rsidR="00AB4896" w:rsidRPr="00AB4896" w:rsidRDefault="00AB4896" w:rsidP="005D7CEE">
      <w:pPr>
        <w:tabs>
          <w:tab w:val="left" w:pos="9356"/>
        </w:tabs>
        <w:ind w:right="397"/>
        <w:jc w:val="left"/>
        <w:rPr>
          <w:color w:val="000000"/>
          <w:lang w:val="en-GB"/>
        </w:rPr>
      </w:pPr>
    </w:p>
    <w:p w:rsidR="00AB4896" w:rsidRDefault="00AB4896" w:rsidP="005D7CEE">
      <w:pPr>
        <w:tabs>
          <w:tab w:val="left" w:pos="1134"/>
        </w:tabs>
        <w:jc w:val="left"/>
        <w:rPr>
          <w:color w:val="000000"/>
          <w:lang w:val="en-GB"/>
        </w:rPr>
      </w:pPr>
      <w:r w:rsidRPr="00AB4896">
        <w:rPr>
          <w:b/>
          <w:color w:val="000000"/>
          <w:lang w:val="en-GB"/>
        </w:rPr>
        <w:t>Category 2</w:t>
      </w:r>
      <w:r>
        <w:rPr>
          <w:b/>
          <w:color w:val="000000"/>
          <w:lang w:val="en-GB"/>
        </w:rPr>
        <w:t xml:space="preserve"> Regional P</w:t>
      </w:r>
      <w:r w:rsidRPr="00AB4896">
        <w:rPr>
          <w:b/>
          <w:color w:val="000000"/>
          <w:lang w:val="en-GB"/>
        </w:rPr>
        <w:t>rojects</w:t>
      </w:r>
    </w:p>
    <w:p w:rsidR="00AB4896" w:rsidRDefault="00AB4896" w:rsidP="005D7CEE">
      <w:pPr>
        <w:tabs>
          <w:tab w:val="left" w:pos="1134"/>
        </w:tabs>
        <w:jc w:val="left"/>
        <w:rPr>
          <w:color w:val="000000"/>
          <w:lang w:val="en-GB"/>
        </w:rPr>
      </w:pPr>
      <w:r>
        <w:rPr>
          <w:color w:val="000000"/>
          <w:lang w:val="en-GB"/>
        </w:rPr>
        <w:t>S</w:t>
      </w:r>
      <w:r w:rsidRPr="00AB4896">
        <w:rPr>
          <w:color w:val="000000"/>
          <w:lang w:val="en-GB"/>
        </w:rPr>
        <w:t xml:space="preserve">mall-scale projects with maximum funding of $70,000. These projects respond to region specific concerns corresponding to each of the eight ACFE Regional Council areas. </w:t>
      </w:r>
    </w:p>
    <w:p w:rsidR="005D7CEE" w:rsidRPr="00AB4896" w:rsidRDefault="005D7CEE" w:rsidP="005D7CEE">
      <w:pPr>
        <w:tabs>
          <w:tab w:val="left" w:pos="1134"/>
        </w:tabs>
        <w:jc w:val="left"/>
        <w:rPr>
          <w:color w:val="000000"/>
          <w:lang w:val="en-GB"/>
        </w:rPr>
      </w:pPr>
    </w:p>
    <w:p w:rsidR="00AB4896" w:rsidRPr="00AB4896" w:rsidRDefault="00AB4896" w:rsidP="005D7CEE">
      <w:pPr>
        <w:pStyle w:val="ListParagraph"/>
        <w:numPr>
          <w:ilvl w:val="0"/>
          <w:numId w:val="38"/>
        </w:numPr>
        <w:tabs>
          <w:tab w:val="left" w:pos="9356"/>
        </w:tabs>
        <w:spacing w:after="0" w:line="240" w:lineRule="auto"/>
        <w:ind w:left="284" w:right="397" w:hanging="284"/>
        <w:jc w:val="left"/>
        <w:rPr>
          <w:rFonts w:asciiTheme="minorHAnsi" w:hAnsiTheme="minorHAnsi" w:cstheme="minorHAnsi"/>
          <w:color w:val="000000"/>
          <w:lang w:val="en-GB"/>
        </w:rPr>
      </w:pPr>
      <w:r w:rsidRPr="00AB4896">
        <w:rPr>
          <w:rFonts w:asciiTheme="minorHAnsi" w:hAnsiTheme="minorHAnsi" w:cstheme="minorHAnsi"/>
          <w:color w:val="000000"/>
          <w:lang w:val="en-GB"/>
        </w:rPr>
        <w:t xml:space="preserve">Expressions of Interest for this category opens on Tuesday 5 February 2019 and close Tuesday 5 March 2019. </w:t>
      </w:r>
    </w:p>
    <w:p w:rsidR="00AB4896" w:rsidRPr="00AB4896" w:rsidRDefault="00AB4896" w:rsidP="005D7CEE">
      <w:pPr>
        <w:pStyle w:val="ListParagraph"/>
        <w:numPr>
          <w:ilvl w:val="0"/>
          <w:numId w:val="38"/>
        </w:numPr>
        <w:tabs>
          <w:tab w:val="left" w:pos="9356"/>
        </w:tabs>
        <w:spacing w:after="0" w:line="240" w:lineRule="auto"/>
        <w:ind w:left="284" w:right="397" w:hanging="284"/>
        <w:jc w:val="left"/>
        <w:rPr>
          <w:rFonts w:asciiTheme="minorHAnsi" w:hAnsiTheme="minorHAnsi" w:cstheme="minorHAnsi"/>
          <w:color w:val="000000"/>
          <w:lang w:val="en-GB"/>
        </w:rPr>
      </w:pPr>
      <w:r w:rsidRPr="00AB4896">
        <w:rPr>
          <w:rFonts w:asciiTheme="minorHAnsi" w:hAnsiTheme="minorHAnsi" w:cstheme="minorHAnsi"/>
          <w:color w:val="000000"/>
          <w:lang w:val="en-GB"/>
        </w:rPr>
        <w:t>Guidelines have been developed by the Department</w:t>
      </w:r>
      <w:r>
        <w:rPr>
          <w:rFonts w:asciiTheme="minorHAnsi" w:hAnsiTheme="minorHAnsi" w:cstheme="minorHAnsi"/>
          <w:color w:val="000000"/>
          <w:lang w:val="en-GB"/>
        </w:rPr>
        <w:t xml:space="preserve"> of Education and Training (DET).</w:t>
      </w:r>
    </w:p>
    <w:p w:rsidR="00AB4896" w:rsidRDefault="00AB4896" w:rsidP="005D7CEE">
      <w:pPr>
        <w:pStyle w:val="ListParagraph"/>
        <w:numPr>
          <w:ilvl w:val="0"/>
          <w:numId w:val="38"/>
        </w:numPr>
        <w:tabs>
          <w:tab w:val="left" w:pos="9356"/>
        </w:tabs>
        <w:spacing w:after="0" w:line="240" w:lineRule="auto"/>
        <w:ind w:left="284" w:right="397" w:hanging="284"/>
        <w:jc w:val="left"/>
        <w:rPr>
          <w:rFonts w:asciiTheme="minorHAnsi" w:hAnsiTheme="minorHAnsi" w:cstheme="minorHAnsi"/>
          <w:color w:val="000000"/>
          <w:lang w:val="en-GB"/>
        </w:rPr>
      </w:pPr>
      <w:r w:rsidRPr="00AB4896">
        <w:rPr>
          <w:rFonts w:asciiTheme="minorHAnsi" w:hAnsiTheme="minorHAnsi" w:cstheme="minorHAnsi"/>
          <w:color w:val="000000"/>
          <w:lang w:val="en-GB"/>
        </w:rPr>
        <w:t xml:space="preserve">Learn Local providers and AEIs are now invited to submit an Expression of Interest for this category via the prescribed form on the DET website. </w:t>
      </w:r>
    </w:p>
    <w:p w:rsidR="005D7CEE" w:rsidRPr="005D7CEE" w:rsidRDefault="005D7CEE" w:rsidP="005D7CEE">
      <w:pPr>
        <w:tabs>
          <w:tab w:val="left" w:pos="9356"/>
        </w:tabs>
        <w:ind w:right="397"/>
        <w:jc w:val="left"/>
        <w:rPr>
          <w:rFonts w:asciiTheme="minorHAnsi" w:hAnsiTheme="minorHAnsi" w:cstheme="minorHAnsi"/>
          <w:color w:val="000000"/>
          <w:lang w:val="en-GB"/>
        </w:rPr>
      </w:pPr>
    </w:p>
    <w:p w:rsidR="00AB4896" w:rsidRDefault="00AB4896" w:rsidP="005D7CEE">
      <w:pPr>
        <w:tabs>
          <w:tab w:val="left" w:pos="1134"/>
        </w:tabs>
        <w:jc w:val="left"/>
        <w:rPr>
          <w:color w:val="000000"/>
          <w:lang w:val="en-GB"/>
        </w:rPr>
      </w:pPr>
      <w:r w:rsidRPr="00AB4896">
        <w:rPr>
          <w:b/>
          <w:color w:val="000000"/>
          <w:lang w:val="en-GB"/>
        </w:rPr>
        <w:t>Category 3</w:t>
      </w:r>
      <w:r>
        <w:rPr>
          <w:b/>
          <w:color w:val="000000"/>
          <w:lang w:val="en-GB"/>
        </w:rPr>
        <w:t xml:space="preserve"> State-w</w:t>
      </w:r>
      <w:r w:rsidRPr="00AB4896">
        <w:rPr>
          <w:b/>
          <w:color w:val="000000"/>
          <w:lang w:val="en-GB"/>
        </w:rPr>
        <w:t>ide Projects</w:t>
      </w:r>
    </w:p>
    <w:p w:rsidR="00AB4896" w:rsidRDefault="00AB4896" w:rsidP="005D7CEE">
      <w:pPr>
        <w:tabs>
          <w:tab w:val="left" w:pos="1134"/>
        </w:tabs>
        <w:jc w:val="left"/>
        <w:rPr>
          <w:color w:val="000000"/>
          <w:lang w:val="en-GB"/>
        </w:rPr>
      </w:pPr>
      <w:r>
        <w:rPr>
          <w:color w:val="000000"/>
          <w:lang w:val="en-GB"/>
        </w:rPr>
        <w:t>L</w:t>
      </w:r>
      <w:r w:rsidRPr="00AB4896">
        <w:rPr>
          <w:color w:val="000000"/>
          <w:lang w:val="en-GB"/>
        </w:rPr>
        <w:t xml:space="preserve">arger scale projects </w:t>
      </w:r>
      <w:r>
        <w:rPr>
          <w:color w:val="000000"/>
          <w:lang w:val="en-GB"/>
        </w:rPr>
        <w:t xml:space="preserve">between $100,000 and </w:t>
      </w:r>
      <w:r w:rsidRPr="00AB4896">
        <w:rPr>
          <w:color w:val="000000"/>
          <w:lang w:val="en-GB"/>
        </w:rPr>
        <w:t xml:space="preserve">$150,000, with state-wide application. </w:t>
      </w:r>
    </w:p>
    <w:p w:rsidR="005D7CEE" w:rsidRDefault="005D7CEE" w:rsidP="005D7CEE">
      <w:pPr>
        <w:tabs>
          <w:tab w:val="left" w:pos="1134"/>
        </w:tabs>
        <w:jc w:val="left"/>
        <w:rPr>
          <w:color w:val="000000"/>
          <w:lang w:val="en-GB"/>
        </w:rPr>
      </w:pPr>
    </w:p>
    <w:p w:rsidR="00AB4896" w:rsidRDefault="00AB4896" w:rsidP="005D7CEE">
      <w:pPr>
        <w:tabs>
          <w:tab w:val="left" w:pos="1134"/>
        </w:tabs>
        <w:jc w:val="left"/>
        <w:rPr>
          <w:color w:val="000000"/>
        </w:rPr>
      </w:pPr>
      <w:r w:rsidRPr="00AB4896">
        <w:rPr>
          <w:color w:val="000000"/>
          <w:lang w:val="en-GB"/>
        </w:rPr>
        <w:t xml:space="preserve">In this category, three projects identified by the ACFE Board and scoped by the DET in consultation with the ACFE Board, </w:t>
      </w:r>
      <w:r w:rsidRPr="00AB4896">
        <w:rPr>
          <w:color w:val="000000"/>
        </w:rPr>
        <w:t xml:space="preserve">will build provider capacity to address the education and training needs of identified priority learner cohorts including: Aboriginal and Torres Strait Islanders, Victorians with disability and low skilled vulnerable workers. </w:t>
      </w:r>
    </w:p>
    <w:p w:rsidR="005D7CEE" w:rsidRDefault="005D7CEE" w:rsidP="005D7CEE">
      <w:pPr>
        <w:tabs>
          <w:tab w:val="left" w:pos="1134"/>
        </w:tabs>
        <w:jc w:val="left"/>
        <w:rPr>
          <w:color w:val="000000"/>
        </w:rPr>
      </w:pPr>
    </w:p>
    <w:p w:rsidR="00AB4896" w:rsidRDefault="00AB4896" w:rsidP="005D7CEE">
      <w:pPr>
        <w:tabs>
          <w:tab w:val="left" w:pos="1134"/>
        </w:tabs>
        <w:jc w:val="left"/>
        <w:rPr>
          <w:color w:val="000000"/>
        </w:rPr>
      </w:pPr>
      <w:r w:rsidRPr="00AB4896">
        <w:rPr>
          <w:color w:val="000000"/>
        </w:rPr>
        <w:t>Two other projects will relate to ‘Social Enterprise Modelling’ and ‘New Technology and Digital Literacy in the Workplace’.</w:t>
      </w:r>
    </w:p>
    <w:p w:rsidR="005D7CEE" w:rsidRPr="00AB4896" w:rsidRDefault="005D7CEE" w:rsidP="005D7CEE">
      <w:pPr>
        <w:tabs>
          <w:tab w:val="left" w:pos="1134"/>
        </w:tabs>
        <w:jc w:val="left"/>
        <w:rPr>
          <w:color w:val="000000"/>
        </w:rPr>
      </w:pPr>
    </w:p>
    <w:p w:rsidR="00AB4896" w:rsidRPr="00AB4896" w:rsidRDefault="00AB4896" w:rsidP="005D7CEE">
      <w:pPr>
        <w:pStyle w:val="ListParagraph"/>
        <w:numPr>
          <w:ilvl w:val="0"/>
          <w:numId w:val="39"/>
        </w:numPr>
        <w:tabs>
          <w:tab w:val="left" w:pos="9356"/>
        </w:tabs>
        <w:spacing w:after="0" w:line="240" w:lineRule="auto"/>
        <w:ind w:left="284" w:right="397" w:hanging="284"/>
        <w:jc w:val="left"/>
        <w:rPr>
          <w:rFonts w:asciiTheme="minorHAnsi" w:hAnsiTheme="minorHAnsi" w:cstheme="minorHAnsi"/>
          <w:color w:val="000000"/>
          <w:lang w:val="en-GB"/>
        </w:rPr>
      </w:pPr>
      <w:r w:rsidRPr="00AB4896">
        <w:rPr>
          <w:rFonts w:asciiTheme="minorHAnsi" w:hAnsiTheme="minorHAnsi" w:cstheme="minorHAnsi"/>
          <w:color w:val="000000"/>
          <w:lang w:val="en-GB"/>
        </w:rPr>
        <w:t xml:space="preserve">Expressions of Interest for this category opens on Tuesday 12 February 2019 and close Thursday 4 April 2019. </w:t>
      </w:r>
    </w:p>
    <w:p w:rsidR="00AB4896" w:rsidRPr="00AB4896" w:rsidRDefault="00AB4896" w:rsidP="005D7CEE">
      <w:pPr>
        <w:pStyle w:val="ListParagraph"/>
        <w:numPr>
          <w:ilvl w:val="0"/>
          <w:numId w:val="39"/>
        </w:numPr>
        <w:tabs>
          <w:tab w:val="left" w:pos="9356"/>
        </w:tabs>
        <w:spacing w:after="0" w:line="240" w:lineRule="auto"/>
        <w:ind w:left="284" w:right="397" w:hanging="284"/>
        <w:jc w:val="left"/>
        <w:rPr>
          <w:rFonts w:asciiTheme="minorHAnsi" w:hAnsiTheme="minorHAnsi" w:cstheme="minorHAnsi"/>
          <w:color w:val="000000"/>
          <w:lang w:val="en-GB"/>
        </w:rPr>
      </w:pPr>
      <w:r w:rsidRPr="00AB4896">
        <w:rPr>
          <w:rFonts w:asciiTheme="minorHAnsi" w:hAnsiTheme="minorHAnsi" w:cstheme="minorHAnsi"/>
          <w:color w:val="000000"/>
          <w:lang w:val="en-GB"/>
        </w:rPr>
        <w:t xml:space="preserve">Guidelines will be developed by the Department of Education and Training (DET). </w:t>
      </w:r>
    </w:p>
    <w:p w:rsidR="00AB4896" w:rsidRDefault="00AB4896" w:rsidP="005D7CEE">
      <w:pPr>
        <w:pStyle w:val="ListParagraph"/>
        <w:numPr>
          <w:ilvl w:val="0"/>
          <w:numId w:val="39"/>
        </w:numPr>
        <w:tabs>
          <w:tab w:val="left" w:pos="9356"/>
        </w:tabs>
        <w:spacing w:after="0" w:line="240" w:lineRule="auto"/>
        <w:ind w:left="284" w:right="397" w:hanging="284"/>
        <w:jc w:val="left"/>
        <w:rPr>
          <w:rFonts w:asciiTheme="minorHAnsi" w:hAnsiTheme="minorHAnsi" w:cstheme="minorHAnsi"/>
          <w:color w:val="000000"/>
          <w:lang w:val="en-GB"/>
        </w:rPr>
      </w:pPr>
      <w:r w:rsidRPr="00AB4896">
        <w:rPr>
          <w:rFonts w:asciiTheme="minorHAnsi" w:hAnsiTheme="minorHAnsi" w:cstheme="minorHAnsi"/>
          <w:color w:val="000000"/>
          <w:lang w:val="en-GB"/>
        </w:rPr>
        <w:t xml:space="preserve">Learn Local providers and AEIs will be invited to submit an Expression of Interest for this category from 12 February 2019. </w:t>
      </w:r>
    </w:p>
    <w:p w:rsidR="005D7CEE" w:rsidRPr="005D7CEE" w:rsidRDefault="005D7CEE" w:rsidP="005D7CEE">
      <w:pPr>
        <w:tabs>
          <w:tab w:val="left" w:pos="9356"/>
        </w:tabs>
        <w:ind w:right="397"/>
        <w:jc w:val="left"/>
        <w:rPr>
          <w:rFonts w:asciiTheme="minorHAnsi" w:hAnsiTheme="minorHAnsi" w:cstheme="minorHAnsi"/>
          <w:color w:val="000000"/>
          <w:lang w:val="en-GB"/>
        </w:rPr>
      </w:pPr>
    </w:p>
    <w:p w:rsidR="00AB4896" w:rsidRDefault="00AB4896" w:rsidP="005D7CEE">
      <w:pPr>
        <w:jc w:val="left"/>
        <w:rPr>
          <w:color w:val="2F5496" w:themeColor="accent5" w:themeShade="BF"/>
          <w:lang w:val="en"/>
        </w:rPr>
      </w:pPr>
      <w:r w:rsidRPr="00CB43E8">
        <w:rPr>
          <w:color w:val="2F5496" w:themeColor="accent5" w:themeShade="BF"/>
          <w:lang w:val="en"/>
        </w:rPr>
        <w:t>How to Apply for CAIF 11 – Category 2 Regional Projects</w:t>
      </w:r>
    </w:p>
    <w:p w:rsidR="005D7CEE" w:rsidRPr="00CB43E8" w:rsidRDefault="005D7CEE" w:rsidP="005D7CEE">
      <w:pPr>
        <w:jc w:val="left"/>
        <w:rPr>
          <w:color w:val="2F5496" w:themeColor="accent5" w:themeShade="BF"/>
          <w:lang w:val="en"/>
        </w:rPr>
      </w:pPr>
    </w:p>
    <w:p w:rsidR="00AB4896" w:rsidRPr="005D7CEE" w:rsidRDefault="00AB4896" w:rsidP="005D7CEE">
      <w:pPr>
        <w:pStyle w:val="Heading2"/>
        <w:spacing w:before="0"/>
        <w:jc w:val="left"/>
        <w:rPr>
          <w:rFonts w:cs="Arial"/>
          <w:color w:val="auto"/>
          <w:sz w:val="22"/>
          <w:lang w:val="en"/>
        </w:rPr>
      </w:pPr>
      <w:r w:rsidRPr="005D7CEE">
        <w:rPr>
          <w:rFonts w:cs="Arial"/>
          <w:color w:val="auto"/>
          <w:sz w:val="22"/>
          <w:lang w:val="en"/>
        </w:rPr>
        <w:t>CAIF Round 11 – Category 2 Regional Projects Open Tuesday 5 February 2019 to Tuesday 5 March 2019</w:t>
      </w:r>
    </w:p>
    <w:p w:rsidR="005D7CEE" w:rsidRPr="005D7CEE" w:rsidRDefault="005D7CEE" w:rsidP="005D7CEE">
      <w:pPr>
        <w:rPr>
          <w:lang w:val="en"/>
        </w:rPr>
      </w:pPr>
    </w:p>
    <w:p w:rsidR="00AB4896" w:rsidRDefault="00AB4896" w:rsidP="005D7CEE">
      <w:pPr>
        <w:tabs>
          <w:tab w:val="left" w:pos="1080"/>
          <w:tab w:val="left" w:pos="9356"/>
        </w:tabs>
        <w:ind w:right="397" w:hanging="567"/>
        <w:jc w:val="left"/>
        <w:rPr>
          <w:color w:val="000000"/>
          <w:lang w:val="en-GB"/>
        </w:rPr>
      </w:pPr>
      <w:r>
        <w:rPr>
          <w:color w:val="000000"/>
          <w:lang w:val="en-GB"/>
        </w:rPr>
        <w:tab/>
        <w:t xml:space="preserve">Providers </w:t>
      </w:r>
      <w:r w:rsidRPr="00FE0559">
        <w:rPr>
          <w:color w:val="000000"/>
          <w:lang w:val="en-GB"/>
        </w:rPr>
        <w:t xml:space="preserve">who wish to </w:t>
      </w:r>
      <w:r>
        <w:rPr>
          <w:color w:val="000000"/>
          <w:lang w:val="en-GB"/>
        </w:rPr>
        <w:t xml:space="preserve">participate </w:t>
      </w:r>
      <w:r w:rsidRPr="00FE0559">
        <w:rPr>
          <w:color w:val="000000"/>
          <w:lang w:val="en-GB"/>
        </w:rPr>
        <w:t>in th</w:t>
      </w:r>
      <w:r>
        <w:rPr>
          <w:color w:val="000000"/>
          <w:lang w:val="en-GB"/>
        </w:rPr>
        <w:t>ese</w:t>
      </w:r>
      <w:r w:rsidRPr="00FE0559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categories should address the project brief requirements of Category 2 </w:t>
      </w:r>
      <w:r w:rsidRPr="007D1C1E">
        <w:rPr>
          <w:color w:val="000000"/>
          <w:lang w:val="en-GB"/>
        </w:rPr>
        <w:t>as outlined in the guidelines.</w:t>
      </w:r>
    </w:p>
    <w:p w:rsidR="00AB4896" w:rsidRDefault="00AB4896" w:rsidP="005D7CEE">
      <w:pPr>
        <w:tabs>
          <w:tab w:val="left" w:pos="1080"/>
          <w:tab w:val="left" w:pos="9356"/>
        </w:tabs>
        <w:ind w:right="397" w:hanging="567"/>
        <w:jc w:val="left"/>
        <w:rPr>
          <w:color w:val="000000"/>
          <w:lang w:val="en-GB"/>
        </w:rPr>
      </w:pPr>
      <w:r>
        <w:rPr>
          <w:color w:val="000000"/>
          <w:lang w:val="en-GB"/>
        </w:rPr>
        <w:tab/>
        <w:t>Points for noting:</w:t>
      </w:r>
    </w:p>
    <w:p w:rsidR="005D7CEE" w:rsidRDefault="005D7CEE" w:rsidP="005D7CEE">
      <w:pPr>
        <w:tabs>
          <w:tab w:val="left" w:pos="1080"/>
          <w:tab w:val="left" w:pos="9356"/>
        </w:tabs>
        <w:ind w:right="397" w:hanging="567"/>
        <w:jc w:val="left"/>
        <w:rPr>
          <w:color w:val="000000"/>
          <w:lang w:val="en-GB"/>
        </w:rPr>
      </w:pPr>
    </w:p>
    <w:p w:rsidR="00AB4896" w:rsidRPr="00594617" w:rsidRDefault="00AB4896" w:rsidP="005D7CEE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left"/>
        <w:textAlignment w:val="baseline"/>
        <w:rPr>
          <w:rFonts w:ascii="Arial" w:hAnsi="Arial"/>
          <w:color w:val="000000"/>
          <w:lang w:val="en-GB"/>
        </w:rPr>
      </w:pPr>
      <w:r w:rsidRPr="00594617">
        <w:rPr>
          <w:rFonts w:ascii="Arial" w:hAnsi="Arial"/>
          <w:color w:val="000000"/>
          <w:lang w:val="en-GB"/>
        </w:rPr>
        <w:t>It is anticipated that this will be a competitive round, therefore</w:t>
      </w:r>
      <w:r>
        <w:rPr>
          <w:rFonts w:ascii="Arial" w:hAnsi="Arial"/>
          <w:color w:val="000000"/>
          <w:lang w:val="en-GB"/>
        </w:rPr>
        <w:t xml:space="preserve"> only </w:t>
      </w:r>
      <w:r w:rsidRPr="00594617">
        <w:rPr>
          <w:rFonts w:ascii="Arial" w:hAnsi="Arial"/>
          <w:color w:val="000000"/>
          <w:lang w:val="en-GB"/>
        </w:rPr>
        <w:t>applications</w:t>
      </w:r>
      <w:r>
        <w:rPr>
          <w:rFonts w:ascii="Arial" w:hAnsi="Arial"/>
          <w:color w:val="000000"/>
          <w:lang w:val="en-GB"/>
        </w:rPr>
        <w:t xml:space="preserve"> which clearly address the selection criteria</w:t>
      </w:r>
      <w:r w:rsidRPr="00594617">
        <w:rPr>
          <w:rFonts w:ascii="Arial" w:hAnsi="Arial"/>
          <w:color w:val="000000"/>
          <w:lang w:val="en-GB"/>
        </w:rPr>
        <w:t xml:space="preserve"> </w:t>
      </w:r>
      <w:r>
        <w:rPr>
          <w:rFonts w:ascii="Arial" w:hAnsi="Arial"/>
          <w:color w:val="000000"/>
          <w:lang w:val="en-GB"/>
        </w:rPr>
        <w:t>with a clearly articulated expression of interest will be considered.</w:t>
      </w:r>
    </w:p>
    <w:p w:rsidR="00AB4896" w:rsidRDefault="00AB4896" w:rsidP="005D7CEE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left"/>
        <w:textAlignment w:val="baseline"/>
        <w:rPr>
          <w:rFonts w:ascii="Arial" w:hAnsi="Arial"/>
          <w:color w:val="000000"/>
          <w:lang w:val="en-GB"/>
        </w:rPr>
      </w:pPr>
      <w:r w:rsidRPr="00594617">
        <w:rPr>
          <w:rFonts w:ascii="Arial" w:hAnsi="Arial"/>
          <w:color w:val="000000"/>
          <w:lang w:val="en-GB"/>
        </w:rPr>
        <w:t>All project budgets should be carefully prepared reflecting an accurate assessment of project costs.</w:t>
      </w:r>
    </w:p>
    <w:p w:rsidR="005D7CEE" w:rsidRPr="00594617" w:rsidRDefault="005D7CEE" w:rsidP="005D7CE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textAlignment w:val="baseline"/>
        <w:rPr>
          <w:rFonts w:ascii="Arial" w:hAnsi="Arial"/>
          <w:color w:val="000000"/>
          <w:lang w:val="en-GB"/>
        </w:rPr>
      </w:pPr>
      <w:bookmarkStart w:id="0" w:name="_GoBack"/>
      <w:bookmarkEnd w:id="0"/>
    </w:p>
    <w:p w:rsidR="00AB4896" w:rsidRDefault="00AB4896" w:rsidP="005D7CEE">
      <w:pPr>
        <w:tabs>
          <w:tab w:val="left" w:pos="1080"/>
          <w:tab w:val="left" w:pos="9356"/>
        </w:tabs>
        <w:ind w:right="397"/>
        <w:jc w:val="left"/>
        <w:rPr>
          <w:color w:val="000000"/>
          <w:lang w:val="en-GB"/>
        </w:rPr>
      </w:pPr>
      <w:r w:rsidRPr="00F3370A">
        <w:rPr>
          <w:color w:val="000000"/>
          <w:lang w:val="en-GB"/>
        </w:rPr>
        <w:t>On behalf of the ACFE Board</w:t>
      </w:r>
      <w:r>
        <w:rPr>
          <w:color w:val="000000"/>
          <w:lang w:val="en-GB"/>
        </w:rPr>
        <w:t>,</w:t>
      </w:r>
      <w:r w:rsidRPr="00F3370A">
        <w:rPr>
          <w:color w:val="000000"/>
          <w:lang w:val="en-GB"/>
        </w:rPr>
        <w:t xml:space="preserve"> I</w:t>
      </w:r>
      <w:r>
        <w:rPr>
          <w:color w:val="000000"/>
          <w:lang w:val="en-GB"/>
        </w:rPr>
        <w:t xml:space="preserve"> would like to</w:t>
      </w:r>
      <w:r w:rsidRPr="00F3370A">
        <w:rPr>
          <w:color w:val="000000"/>
          <w:lang w:val="en-GB"/>
        </w:rPr>
        <w:t xml:space="preserve"> encourage </w:t>
      </w:r>
      <w:r>
        <w:rPr>
          <w:color w:val="000000"/>
          <w:lang w:val="en-GB"/>
        </w:rPr>
        <w:t xml:space="preserve">all providers to participate in this program and hope it provides you all with the opportunity to further make an impact in the education and training space.  </w:t>
      </w:r>
    </w:p>
    <w:p w:rsidR="005D7CEE" w:rsidRPr="00F3370A" w:rsidRDefault="005D7CEE" w:rsidP="005D7CEE">
      <w:pPr>
        <w:tabs>
          <w:tab w:val="left" w:pos="1080"/>
          <w:tab w:val="left" w:pos="9356"/>
        </w:tabs>
        <w:ind w:right="397"/>
        <w:jc w:val="left"/>
      </w:pPr>
    </w:p>
    <w:p w:rsidR="008A22DD" w:rsidRDefault="008A22DD" w:rsidP="005D7CEE">
      <w:pP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For more information, see: </w:t>
      </w:r>
      <w:hyperlink r:id="rId9" w:history="1">
        <w:r w:rsidRPr="008A22DD">
          <w:rPr>
            <w:rStyle w:val="Hyperlink"/>
            <w:rFonts w:cs="Arial"/>
            <w:lang w:val="en"/>
          </w:rPr>
          <w:t>Capacity and Innovation Fund (CAIF) — Round 11</w:t>
        </w:r>
      </w:hyperlink>
    </w:p>
    <w:p w:rsidR="005B539F" w:rsidRPr="005B539F" w:rsidRDefault="001A3C90" w:rsidP="005D7CEE">
      <w:pP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For enquiries, </w:t>
      </w:r>
      <w:r w:rsidR="009F1ECD">
        <w:rPr>
          <w:color w:val="000000" w:themeColor="text1"/>
          <w:lang w:val="en"/>
        </w:rPr>
        <w:t xml:space="preserve">contact your </w:t>
      </w:r>
      <w:hyperlink r:id="rId10" w:history="1">
        <w:r w:rsidR="009F1ECD" w:rsidRPr="009F1ECD">
          <w:rPr>
            <w:rStyle w:val="Hyperlink"/>
            <w:rFonts w:cs="Arial"/>
            <w:lang w:val="en"/>
          </w:rPr>
          <w:t>regional office</w:t>
        </w:r>
      </w:hyperlink>
    </w:p>
    <w:sectPr w:rsidR="005B539F" w:rsidRPr="005B539F" w:rsidSect="00414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A5" w:rsidRDefault="006C61A5" w:rsidP="00846881">
      <w:r>
        <w:separator/>
      </w:r>
    </w:p>
  </w:endnote>
  <w:endnote w:type="continuationSeparator" w:id="0">
    <w:p w:rsidR="006C61A5" w:rsidRDefault="006C61A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97" w:rsidRDefault="00523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97" w:rsidRDefault="005236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5D7CEE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A5" w:rsidRDefault="006C61A5" w:rsidP="00846881">
      <w:r>
        <w:separator/>
      </w:r>
    </w:p>
  </w:footnote>
  <w:footnote w:type="continuationSeparator" w:id="0">
    <w:p w:rsidR="006C61A5" w:rsidRDefault="006C61A5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97" w:rsidRDefault="00523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97" w:rsidRDefault="005236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97" w:rsidRDefault="00523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45EB"/>
    <w:multiLevelType w:val="hybridMultilevel"/>
    <w:tmpl w:val="0A4675A0"/>
    <w:lvl w:ilvl="0" w:tplc="0C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4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E4732"/>
    <w:multiLevelType w:val="hybridMultilevel"/>
    <w:tmpl w:val="015EE7E0"/>
    <w:lvl w:ilvl="0" w:tplc="0C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12D36CA5"/>
    <w:multiLevelType w:val="hybridMultilevel"/>
    <w:tmpl w:val="8B8E5CA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A0D72"/>
    <w:multiLevelType w:val="hybridMultilevel"/>
    <w:tmpl w:val="F6969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425AE"/>
    <w:multiLevelType w:val="hybridMultilevel"/>
    <w:tmpl w:val="69CA02D8"/>
    <w:lvl w:ilvl="0" w:tplc="0C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A6D16"/>
    <w:multiLevelType w:val="hybridMultilevel"/>
    <w:tmpl w:val="462A346C"/>
    <w:lvl w:ilvl="0" w:tplc="0C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D675A"/>
    <w:multiLevelType w:val="hybridMultilevel"/>
    <w:tmpl w:val="3B78C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76490"/>
    <w:multiLevelType w:val="hybridMultilevel"/>
    <w:tmpl w:val="5832C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171EC"/>
    <w:multiLevelType w:val="hybridMultilevel"/>
    <w:tmpl w:val="6318F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63113"/>
    <w:multiLevelType w:val="hybridMultilevel"/>
    <w:tmpl w:val="46A46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401E7D"/>
    <w:multiLevelType w:val="hybridMultilevel"/>
    <w:tmpl w:val="63869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CFA26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60EC"/>
    <w:multiLevelType w:val="hybridMultilevel"/>
    <w:tmpl w:val="D50CD1E8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328D8"/>
    <w:multiLevelType w:val="hybridMultilevel"/>
    <w:tmpl w:val="2140D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EA183F"/>
    <w:multiLevelType w:val="hybridMultilevel"/>
    <w:tmpl w:val="D24C6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0"/>
  </w:num>
  <w:num w:numId="4">
    <w:abstractNumId w:val="22"/>
  </w:num>
  <w:num w:numId="5">
    <w:abstractNumId w:val="1"/>
  </w:num>
  <w:num w:numId="6">
    <w:abstractNumId w:val="20"/>
  </w:num>
  <w:num w:numId="7">
    <w:abstractNumId w:val="12"/>
  </w:num>
  <w:num w:numId="8">
    <w:abstractNumId w:val="33"/>
  </w:num>
  <w:num w:numId="9">
    <w:abstractNumId w:val="19"/>
  </w:num>
  <w:num w:numId="10">
    <w:abstractNumId w:val="16"/>
  </w:num>
  <w:num w:numId="11">
    <w:abstractNumId w:val="13"/>
  </w:num>
  <w:num w:numId="12">
    <w:abstractNumId w:val="5"/>
  </w:num>
  <w:num w:numId="13">
    <w:abstractNumId w:val="24"/>
  </w:num>
  <w:num w:numId="14">
    <w:abstractNumId w:val="11"/>
  </w:num>
  <w:num w:numId="15">
    <w:abstractNumId w:val="37"/>
  </w:num>
  <w:num w:numId="16">
    <w:abstractNumId w:val="30"/>
  </w:num>
  <w:num w:numId="17">
    <w:abstractNumId w:val="14"/>
  </w:num>
  <w:num w:numId="18">
    <w:abstractNumId w:val="6"/>
  </w:num>
  <w:num w:numId="19">
    <w:abstractNumId w:val="36"/>
  </w:num>
  <w:num w:numId="20">
    <w:abstractNumId w:val="15"/>
  </w:num>
  <w:num w:numId="21">
    <w:abstractNumId w:val="21"/>
  </w:num>
  <w:num w:numId="22">
    <w:abstractNumId w:val="9"/>
  </w:num>
  <w:num w:numId="23">
    <w:abstractNumId w:val="29"/>
  </w:num>
  <w:num w:numId="24">
    <w:abstractNumId w:val="17"/>
  </w:num>
  <w:num w:numId="25">
    <w:abstractNumId w:val="2"/>
  </w:num>
  <w:num w:numId="26">
    <w:abstractNumId w:val="28"/>
  </w:num>
  <w:num w:numId="27">
    <w:abstractNumId w:val="31"/>
  </w:num>
  <w:num w:numId="28">
    <w:abstractNumId w:val="10"/>
  </w:num>
  <w:num w:numId="29">
    <w:abstractNumId w:val="34"/>
  </w:num>
  <w:num w:numId="30">
    <w:abstractNumId w:val="27"/>
  </w:num>
  <w:num w:numId="31">
    <w:abstractNumId w:val="23"/>
  </w:num>
  <w:num w:numId="32">
    <w:abstractNumId w:val="3"/>
  </w:num>
  <w:num w:numId="33">
    <w:abstractNumId w:val="32"/>
  </w:num>
  <w:num w:numId="34">
    <w:abstractNumId w:val="25"/>
  </w:num>
  <w:num w:numId="35">
    <w:abstractNumId w:val="7"/>
  </w:num>
  <w:num w:numId="36">
    <w:abstractNumId w:val="18"/>
  </w:num>
  <w:num w:numId="37">
    <w:abstractNumId w:val="26"/>
  </w:num>
  <w:num w:numId="38">
    <w:abstractNumId w:val="3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542A7"/>
    <w:rsid w:val="00060214"/>
    <w:rsid w:val="00060EA4"/>
    <w:rsid w:val="000701E5"/>
    <w:rsid w:val="00070488"/>
    <w:rsid w:val="000715DE"/>
    <w:rsid w:val="0008021C"/>
    <w:rsid w:val="00087A8D"/>
    <w:rsid w:val="000901F6"/>
    <w:rsid w:val="000A28AF"/>
    <w:rsid w:val="000B1133"/>
    <w:rsid w:val="000C3753"/>
    <w:rsid w:val="000C782C"/>
    <w:rsid w:val="000E7BF0"/>
    <w:rsid w:val="00105130"/>
    <w:rsid w:val="001079BD"/>
    <w:rsid w:val="0011333F"/>
    <w:rsid w:val="001214D4"/>
    <w:rsid w:val="00125617"/>
    <w:rsid w:val="00136133"/>
    <w:rsid w:val="001409F9"/>
    <w:rsid w:val="001411A4"/>
    <w:rsid w:val="00154ECF"/>
    <w:rsid w:val="001807E6"/>
    <w:rsid w:val="00181F47"/>
    <w:rsid w:val="001A352C"/>
    <w:rsid w:val="001A3C90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262B"/>
    <w:rsid w:val="00234DCA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38CF"/>
    <w:rsid w:val="002A24E2"/>
    <w:rsid w:val="002B15E5"/>
    <w:rsid w:val="002B61F2"/>
    <w:rsid w:val="002D610A"/>
    <w:rsid w:val="002D6384"/>
    <w:rsid w:val="002F4067"/>
    <w:rsid w:val="00305553"/>
    <w:rsid w:val="003079DD"/>
    <w:rsid w:val="003150C7"/>
    <w:rsid w:val="00325204"/>
    <w:rsid w:val="00340366"/>
    <w:rsid w:val="00352C50"/>
    <w:rsid w:val="00355714"/>
    <w:rsid w:val="00384947"/>
    <w:rsid w:val="003966A5"/>
    <w:rsid w:val="003A5544"/>
    <w:rsid w:val="003B2C9D"/>
    <w:rsid w:val="003B7B63"/>
    <w:rsid w:val="003D454C"/>
    <w:rsid w:val="003F0B63"/>
    <w:rsid w:val="003F3D59"/>
    <w:rsid w:val="003F640F"/>
    <w:rsid w:val="00414AB1"/>
    <w:rsid w:val="00423765"/>
    <w:rsid w:val="004239F9"/>
    <w:rsid w:val="004304A3"/>
    <w:rsid w:val="0044076C"/>
    <w:rsid w:val="0044416E"/>
    <w:rsid w:val="00453CAD"/>
    <w:rsid w:val="004604A8"/>
    <w:rsid w:val="00463997"/>
    <w:rsid w:val="0048144F"/>
    <w:rsid w:val="004821AD"/>
    <w:rsid w:val="004B182C"/>
    <w:rsid w:val="004C32C0"/>
    <w:rsid w:val="004C7772"/>
    <w:rsid w:val="004E29A2"/>
    <w:rsid w:val="004E42D2"/>
    <w:rsid w:val="004F1546"/>
    <w:rsid w:val="00505EC2"/>
    <w:rsid w:val="00506F42"/>
    <w:rsid w:val="00523697"/>
    <w:rsid w:val="00536911"/>
    <w:rsid w:val="00540C9F"/>
    <w:rsid w:val="00545CC1"/>
    <w:rsid w:val="005519A3"/>
    <w:rsid w:val="005543E8"/>
    <w:rsid w:val="00583630"/>
    <w:rsid w:val="00590B75"/>
    <w:rsid w:val="005B4815"/>
    <w:rsid w:val="005B539F"/>
    <w:rsid w:val="005C5D77"/>
    <w:rsid w:val="005D079D"/>
    <w:rsid w:val="005D5398"/>
    <w:rsid w:val="005D7CEE"/>
    <w:rsid w:val="005E1085"/>
    <w:rsid w:val="005F153D"/>
    <w:rsid w:val="0060642E"/>
    <w:rsid w:val="006254CC"/>
    <w:rsid w:val="00626260"/>
    <w:rsid w:val="006344F3"/>
    <w:rsid w:val="006404DE"/>
    <w:rsid w:val="006409D9"/>
    <w:rsid w:val="00651785"/>
    <w:rsid w:val="006547E9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C61A5"/>
    <w:rsid w:val="006D4561"/>
    <w:rsid w:val="006F3184"/>
    <w:rsid w:val="006F5334"/>
    <w:rsid w:val="00717852"/>
    <w:rsid w:val="007269A9"/>
    <w:rsid w:val="007602BC"/>
    <w:rsid w:val="0076398D"/>
    <w:rsid w:val="00764A0A"/>
    <w:rsid w:val="0076537C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810ABD"/>
    <w:rsid w:val="0081698A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A22DD"/>
    <w:rsid w:val="008A6CEB"/>
    <w:rsid w:val="008C1842"/>
    <w:rsid w:val="008C60BB"/>
    <w:rsid w:val="008D5441"/>
    <w:rsid w:val="008E2680"/>
    <w:rsid w:val="008E2DD6"/>
    <w:rsid w:val="008E3316"/>
    <w:rsid w:val="008E53DE"/>
    <w:rsid w:val="008F3646"/>
    <w:rsid w:val="00903B41"/>
    <w:rsid w:val="00904783"/>
    <w:rsid w:val="00933C17"/>
    <w:rsid w:val="00944E61"/>
    <w:rsid w:val="00951AC6"/>
    <w:rsid w:val="009548AD"/>
    <w:rsid w:val="00965550"/>
    <w:rsid w:val="00965E53"/>
    <w:rsid w:val="009706F1"/>
    <w:rsid w:val="00973BF7"/>
    <w:rsid w:val="00982579"/>
    <w:rsid w:val="009843BA"/>
    <w:rsid w:val="009913B4"/>
    <w:rsid w:val="0099526E"/>
    <w:rsid w:val="00995CDB"/>
    <w:rsid w:val="009B090C"/>
    <w:rsid w:val="009B5012"/>
    <w:rsid w:val="009C678D"/>
    <w:rsid w:val="009C7B4C"/>
    <w:rsid w:val="009D5D01"/>
    <w:rsid w:val="009E3636"/>
    <w:rsid w:val="009F1ECD"/>
    <w:rsid w:val="00A011F2"/>
    <w:rsid w:val="00A14B2D"/>
    <w:rsid w:val="00A2083F"/>
    <w:rsid w:val="00A24A30"/>
    <w:rsid w:val="00A30E35"/>
    <w:rsid w:val="00A55A13"/>
    <w:rsid w:val="00A600EA"/>
    <w:rsid w:val="00A73441"/>
    <w:rsid w:val="00A74415"/>
    <w:rsid w:val="00A83FB3"/>
    <w:rsid w:val="00A9135E"/>
    <w:rsid w:val="00AA3C05"/>
    <w:rsid w:val="00AB4896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B05E0A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6614A"/>
    <w:rsid w:val="00B72FE6"/>
    <w:rsid w:val="00B950AB"/>
    <w:rsid w:val="00BB4A46"/>
    <w:rsid w:val="00BC23C8"/>
    <w:rsid w:val="00BD1D70"/>
    <w:rsid w:val="00BE143C"/>
    <w:rsid w:val="00BF5B84"/>
    <w:rsid w:val="00C03591"/>
    <w:rsid w:val="00C137EE"/>
    <w:rsid w:val="00C13929"/>
    <w:rsid w:val="00C151BB"/>
    <w:rsid w:val="00C31893"/>
    <w:rsid w:val="00C373FC"/>
    <w:rsid w:val="00C5041F"/>
    <w:rsid w:val="00C579E9"/>
    <w:rsid w:val="00C67D38"/>
    <w:rsid w:val="00C75A39"/>
    <w:rsid w:val="00C83B90"/>
    <w:rsid w:val="00CA0D2E"/>
    <w:rsid w:val="00CA2D61"/>
    <w:rsid w:val="00CB0D2D"/>
    <w:rsid w:val="00CB16A1"/>
    <w:rsid w:val="00CB2C50"/>
    <w:rsid w:val="00CB3905"/>
    <w:rsid w:val="00CB43E8"/>
    <w:rsid w:val="00CB4A2C"/>
    <w:rsid w:val="00CC14F5"/>
    <w:rsid w:val="00CC30D2"/>
    <w:rsid w:val="00CC3941"/>
    <w:rsid w:val="00CD0632"/>
    <w:rsid w:val="00CE69B8"/>
    <w:rsid w:val="00CF35E5"/>
    <w:rsid w:val="00CF6891"/>
    <w:rsid w:val="00CF6C01"/>
    <w:rsid w:val="00D130F4"/>
    <w:rsid w:val="00D20C82"/>
    <w:rsid w:val="00D30F3E"/>
    <w:rsid w:val="00D33418"/>
    <w:rsid w:val="00D53A53"/>
    <w:rsid w:val="00D60148"/>
    <w:rsid w:val="00D813EA"/>
    <w:rsid w:val="00D83E14"/>
    <w:rsid w:val="00D95D53"/>
    <w:rsid w:val="00DB0BCD"/>
    <w:rsid w:val="00DB7126"/>
    <w:rsid w:val="00DD6095"/>
    <w:rsid w:val="00DD6855"/>
    <w:rsid w:val="00DF2A51"/>
    <w:rsid w:val="00DF6688"/>
    <w:rsid w:val="00E05620"/>
    <w:rsid w:val="00E31F62"/>
    <w:rsid w:val="00E320A4"/>
    <w:rsid w:val="00E81659"/>
    <w:rsid w:val="00E8321E"/>
    <w:rsid w:val="00E87D1A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E95"/>
    <w:rsid w:val="00F11CAC"/>
    <w:rsid w:val="00F13297"/>
    <w:rsid w:val="00F17667"/>
    <w:rsid w:val="00F2110D"/>
    <w:rsid w:val="00F24B4E"/>
    <w:rsid w:val="00F30F82"/>
    <w:rsid w:val="00F343D3"/>
    <w:rsid w:val="00F453C5"/>
    <w:rsid w:val="00F47367"/>
    <w:rsid w:val="00F72301"/>
    <w:rsid w:val="00F77690"/>
    <w:rsid w:val="00F77D8F"/>
    <w:rsid w:val="00F8781E"/>
    <w:rsid w:val="00F93F26"/>
    <w:rsid w:val="00FB322D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CD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4896"/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about/contact/pages/regions.aspxhttps:/www.education.vic.gov.au/about/contact/pages/region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ducation.vic.gov.au/about/contact/pages/regions.aspxhttps:/www.education.vic.gov.au/about/contact/pages/regions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education.vic.gov.au/training/providers/learnlocal/Pages/acfeboardfund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2019/02/06 PIRE Branch Memo: EOI open for CAIF Round 11 - Category Two - Regional Projects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E13BE9F-DDB3-4B95-90CF-62F080947828}"/>
</file>

<file path=customXml/itemProps2.xml><?xml version="1.0" encoding="utf-8"?>
<ds:datastoreItem xmlns:ds="http://schemas.openxmlformats.org/officeDocument/2006/customXml" ds:itemID="{0A326130-FC15-4277-8C7F-EF957EEA2A2E}"/>
</file>

<file path=customXml/itemProps3.xml><?xml version="1.0" encoding="utf-8"?>
<ds:datastoreItem xmlns:ds="http://schemas.openxmlformats.org/officeDocument/2006/customXml" ds:itemID="{B034D596-E38F-4FD8-B5D9-E64A35EBA291}"/>
</file>

<file path=customXml/itemProps4.xml><?xml version="1.0" encoding="utf-8"?>
<ds:datastoreItem xmlns:ds="http://schemas.openxmlformats.org/officeDocument/2006/customXml" ds:itemID="{59308E68-918D-4B18-B3C6-A1368BFB8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2019-02-06T02:00:00Z</dcterms:created>
  <dcterms:modified xsi:type="dcterms:W3CDTF">2019-02-06T05:31:00Z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