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Department of Education and Training</w:t>
      </w:r>
    </w:p>
    <w:p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:rsidR="001C0BDB" w:rsidRPr="001C0BDB" w:rsidRDefault="001C0BDB" w:rsidP="001C0BDB">
      <w:pPr>
        <w:rPr>
          <w:lang w:val="en-GB" w:eastAsia="en-US"/>
        </w:rPr>
      </w:pPr>
    </w:p>
    <w:p w:rsidR="009D5D01" w:rsidRDefault="00254C93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Style w:val="Heading2Char"/>
          <w:rFonts w:ascii="Arial" w:hAnsi="Arial" w:cs="Arial"/>
        </w:rPr>
        <w:t xml:space="preserve">PIRE </w:t>
      </w:r>
      <w:bookmarkStart w:id="0" w:name="_GoBack"/>
      <w:bookmarkEnd w:id="0"/>
      <w:r w:rsidR="00D813EA" w:rsidRPr="0085253B">
        <w:rPr>
          <w:rStyle w:val="Heading2Char"/>
          <w:rFonts w:ascii="Arial" w:hAnsi="Arial" w:cs="Arial"/>
        </w:rPr>
        <w:t>Branch 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212E9C" w:rsidRPr="00212E9C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July </w:t>
      </w:r>
      <w:r w:rsidR="009D5D01" w:rsidRPr="00212E9C">
        <w:rPr>
          <w:rFonts w:ascii="Arial" w:hAnsi="Arial"/>
          <w:i/>
          <w:color w:val="000000"/>
          <w:sz w:val="22"/>
          <w:szCs w:val="24"/>
          <w:lang w:val="en-GB" w:eastAsia="en-US"/>
        </w:rPr>
        <w:t>/</w:t>
      </w:r>
      <w:r w:rsidR="00494D61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212E9C" w:rsidRPr="00212E9C">
        <w:rPr>
          <w:rFonts w:ascii="Arial" w:hAnsi="Arial"/>
          <w:i/>
          <w:color w:val="000000"/>
          <w:sz w:val="22"/>
          <w:szCs w:val="24"/>
          <w:lang w:val="en-GB" w:eastAsia="en-US"/>
        </w:rPr>
        <w:t>3</w:t>
      </w:r>
      <w:r w:rsidR="00494D61">
        <w:rPr>
          <w:rFonts w:ascii="Arial" w:hAnsi="Arial"/>
          <w:i/>
          <w:color w:val="000000"/>
          <w:sz w:val="22"/>
          <w:szCs w:val="24"/>
          <w:lang w:val="en-GB" w:eastAsia="en-US"/>
        </w:rPr>
        <w:t>1</w:t>
      </w:r>
    </w:p>
    <w:p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212E9C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u w:val="single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</w:t>
      </w:r>
      <w:r w:rsidR="00212E9C">
        <w:rPr>
          <w:rFonts w:ascii="Arial" w:hAnsi="Arial"/>
          <w:b/>
          <w:color w:val="000000"/>
          <w:sz w:val="22"/>
          <w:szCs w:val="24"/>
          <w:lang w:val="en-GB" w:eastAsia="en-US"/>
        </w:rPr>
        <w:t>–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ALL</w:t>
      </w:r>
    </w:p>
    <w:p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:rsidR="00CB2C50" w:rsidRPr="00DB0BCD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:rsidR="00CB2C50" w:rsidRPr="00DB0BCD" w:rsidRDefault="00545CC1" w:rsidP="00CB2C5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Adult Education Institutions</w:t>
      </w:r>
    </w:p>
    <w:p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3079D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PIRE 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Branch Staff</w:t>
      </w:r>
    </w:p>
    <w:p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254C93" w:rsidRDefault="009D5D01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254C93">
        <w:rPr>
          <w:rFonts w:ascii="Arial" w:hAnsi="Arial"/>
          <w:b/>
          <w:color w:val="000000"/>
          <w:sz w:val="22"/>
          <w:lang w:val="en-GB" w:eastAsia="en-US"/>
        </w:rPr>
        <w:t>Eduard de Hue</w:t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>, Acting</w:t>
      </w:r>
      <w:r w:rsidR="002D610A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>irector</w:t>
      </w:r>
    </w:p>
    <w:p w:rsidR="009D5D01" w:rsidRDefault="00254C93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Participation, Inclusion and Regional Engagement </w:t>
      </w:r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>Branch</w:t>
      </w:r>
    </w:p>
    <w:p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494D61">
        <w:rPr>
          <w:rFonts w:ascii="Arial" w:hAnsi="Arial"/>
          <w:b/>
          <w:color w:val="000000"/>
          <w:sz w:val="22"/>
          <w:lang w:val="en-GB" w:eastAsia="en-US"/>
        </w:rPr>
        <w:t>31 July 2018</w:t>
      </w:r>
    </w:p>
    <w:p w:rsidR="00EA2B5D" w:rsidRPr="00EA2B5D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212E9C">
        <w:rPr>
          <w:rFonts w:ascii="Arial" w:hAnsi="Arial"/>
          <w:b/>
          <w:color w:val="000000"/>
          <w:sz w:val="22"/>
          <w:lang w:val="en-GB" w:eastAsia="en-US"/>
        </w:rPr>
        <w:t>AQF Review</w:t>
      </w:r>
      <w:r w:rsidR="00817FB7">
        <w:rPr>
          <w:rFonts w:ascii="Arial" w:hAnsi="Arial"/>
          <w:b/>
          <w:color w:val="000000"/>
          <w:sz w:val="22"/>
          <w:lang w:val="en-GB" w:eastAsia="en-US"/>
        </w:rPr>
        <w:t>, Survey of Community Providers</w:t>
      </w:r>
    </w:p>
    <w:p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:rsidR="00DB0BCD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550199" w:rsidRPr="00550199" w:rsidRDefault="00AE722C" w:rsidP="00550199">
      <w:pPr>
        <w:pStyle w:val="Heading2"/>
        <w:numPr>
          <w:ilvl w:val="0"/>
          <w:numId w:val="22"/>
        </w:numPr>
        <w:ind w:left="360"/>
        <w:rPr>
          <w:rFonts w:ascii="Arial" w:eastAsia="Times New Roman" w:hAnsi="Arial" w:cs="Arial"/>
          <w:color w:val="auto"/>
          <w:sz w:val="22"/>
          <w:szCs w:val="22"/>
          <w:u w:val="single"/>
        </w:rPr>
      </w:pPr>
      <w:r w:rsidRPr="00550199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Community education provide</w:t>
      </w:r>
      <w:r w:rsidR="00550199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rs</w:t>
      </w:r>
      <w:r w:rsidR="00305EB0" w:rsidRPr="00550199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 xml:space="preserve"> are being asked</w:t>
      </w:r>
      <w:r w:rsidRPr="00550199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 xml:space="preserve"> to assist the AQF Review by filling in a survey run </w:t>
      </w:r>
      <w:r w:rsidR="00550199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 xml:space="preserve">by the Ithaca Group: </w:t>
      </w:r>
      <w:hyperlink r:id="rId10" w:tgtFrame="_blank" w:history="1">
        <w:r w:rsidR="00550199" w:rsidRPr="00550199">
          <w:rPr>
            <w:rFonts w:ascii="Arial" w:eastAsia="Times New Roman" w:hAnsi="Arial" w:cs="Arial"/>
            <w:color w:val="auto"/>
            <w:sz w:val="22"/>
            <w:szCs w:val="22"/>
            <w:u w:val="single"/>
          </w:rPr>
          <w:t>AQF Qualifications Pathways Policy: VET Provider Survey</w:t>
        </w:r>
      </w:hyperlink>
      <w:r w:rsidR="00550199">
        <w:rPr>
          <w:rFonts w:ascii="Arial" w:eastAsia="Times New Roman" w:hAnsi="Arial" w:cs="Arial"/>
          <w:color w:val="auto"/>
          <w:sz w:val="22"/>
          <w:szCs w:val="22"/>
          <w:u w:val="single"/>
        </w:rPr>
        <w:t>.</w:t>
      </w:r>
    </w:p>
    <w:p w:rsidR="00550199" w:rsidRPr="00550199" w:rsidRDefault="00550199" w:rsidP="00550199">
      <w:pPr>
        <w:pStyle w:val="Heading2"/>
        <w:rPr>
          <w:rFonts w:ascii="Arial" w:hAnsi="Arial" w:cs="Arial"/>
          <w:bCs/>
          <w:i/>
          <w:color w:val="000000"/>
          <w:sz w:val="22"/>
          <w:szCs w:val="22"/>
          <w:lang w:val="en-GB"/>
        </w:rPr>
      </w:pPr>
    </w:p>
    <w:p w:rsidR="00550199" w:rsidRPr="00550199" w:rsidRDefault="00550199" w:rsidP="00550199">
      <w:pPr>
        <w:pStyle w:val="Heading2"/>
        <w:numPr>
          <w:ilvl w:val="0"/>
          <w:numId w:val="22"/>
        </w:numPr>
        <w:ind w:left="360"/>
        <w:rPr>
          <w:rFonts w:ascii="Arial" w:hAnsi="Arial" w:cs="Arial"/>
          <w:bCs/>
          <w:i/>
          <w:color w:val="000000"/>
          <w:sz w:val="22"/>
          <w:szCs w:val="22"/>
          <w:lang w:val="en-GB"/>
        </w:rPr>
      </w:pPr>
      <w:r w:rsidRPr="00550199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A review of the Australian Qualifications Framework (AQF) is underway to ensure that the framework continues to meet the needs of students, employers, education pr</w:t>
      </w:r>
      <w:r w:rsidR="00683288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oviders and the wider community</w:t>
      </w:r>
    </w:p>
    <w:p w:rsidR="0029046F" w:rsidRPr="00EA2B5D" w:rsidRDefault="0029046F" w:rsidP="009D5D01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A2B5D" w:rsidRDefault="00EA2B5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212E9C" w:rsidRDefault="00212E9C" w:rsidP="00212E9C">
      <w:pPr>
        <w:pStyle w:val="Heading2"/>
        <w:ind w:left="-28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AQF Review </w:t>
      </w:r>
    </w:p>
    <w:p w:rsidR="000E77DF" w:rsidRPr="000E77DF" w:rsidRDefault="000E77DF" w:rsidP="000E77DF">
      <w:pPr>
        <w:rPr>
          <w:lang w:val="en"/>
        </w:rPr>
      </w:pPr>
    </w:p>
    <w:p w:rsidR="00AE722C" w:rsidRPr="00305EB0" w:rsidRDefault="00212E9C" w:rsidP="00817FB7">
      <w:pPr>
        <w:pStyle w:val="Heading2"/>
        <w:ind w:left="-284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>The Australian Government</w:t>
      </w:r>
      <w:r w:rsidRPr="00305EB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has initiated a </w:t>
      </w:r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review </w:t>
      </w:r>
      <w:r w:rsidR="00550199" w:rsidRPr="00550199">
        <w:rPr>
          <w:rFonts w:ascii="Arial" w:eastAsia="Calibri" w:hAnsi="Arial" w:cs="Arial"/>
          <w:color w:val="auto"/>
          <w:sz w:val="22"/>
          <w:szCs w:val="22"/>
          <w:lang w:eastAsia="en-US"/>
        </w:rPr>
        <w:t>on 11 July 2018</w:t>
      </w:r>
      <w:r w:rsidR="0055019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>of the Australian Qualifications Framework (AQF)</w:t>
      </w:r>
      <w:r w:rsidR="00AE722C" w:rsidRPr="00305EB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to </w:t>
      </w:r>
      <w:r w:rsidR="00AE722C" w:rsidRPr="00305EB0">
        <w:rPr>
          <w:rFonts w:ascii="Arial" w:hAnsi="Arial" w:cs="Arial"/>
          <w:color w:val="auto"/>
          <w:sz w:val="22"/>
          <w:szCs w:val="22"/>
          <w:lang w:val="en"/>
        </w:rPr>
        <w:t>ensure that the framework continues to meet the needs of students, employers, education providers and the wider community.</w:t>
      </w:r>
      <w:r w:rsidR="00AE722C" w:rsidRPr="00305EB0">
        <w:rPr>
          <w:rFonts w:ascii="Arial" w:hAnsi="Arial" w:cs="Arial"/>
          <w:color w:val="auto"/>
          <w:sz w:val="22"/>
          <w:szCs w:val="22"/>
        </w:rPr>
        <w:t xml:space="preserve"> </w:t>
      </w:r>
      <w:r w:rsidR="00AE722C" w:rsidRPr="00305EB0">
        <w:rPr>
          <w:rFonts w:ascii="Arial" w:hAnsi="Arial" w:cs="Arial"/>
          <w:color w:val="auto"/>
          <w:sz w:val="22"/>
          <w:szCs w:val="22"/>
          <w:lang w:val="en"/>
        </w:rPr>
        <w:t>The AQF was last reviewed between 2009 and 2011.</w:t>
      </w:r>
    </w:p>
    <w:p w:rsidR="00AE722C" w:rsidRPr="00305EB0" w:rsidRDefault="00AE722C" w:rsidP="00817FB7">
      <w:pPr>
        <w:pStyle w:val="Heading2"/>
        <w:ind w:left="-284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AE722C" w:rsidRPr="00305EB0" w:rsidRDefault="00212E9C" w:rsidP="00817FB7">
      <w:pPr>
        <w:pStyle w:val="Heading2"/>
        <w:ind w:left="-284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05EB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The Review </w:t>
      </w:r>
      <w:r w:rsidR="0055019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is being </w:t>
      </w:r>
      <w:r w:rsidRPr="00305EB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>chaired by Professor Peter Noonan (Victoria University</w:t>
      </w:r>
      <w:r w:rsidRPr="00305EB0">
        <w:rPr>
          <w:rFonts w:ascii="Arial" w:eastAsia="Calibri" w:hAnsi="Arial" w:cs="Arial"/>
          <w:color w:val="auto"/>
          <w:sz w:val="22"/>
          <w:szCs w:val="22"/>
          <w:lang w:eastAsia="en-US"/>
        </w:rPr>
        <w:t>)</w:t>
      </w:r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who will be joined by Megan Lilly (Australian Industry Group), Professor Sally </w:t>
      </w:r>
      <w:proofErr w:type="spellStart"/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>Kift</w:t>
      </w:r>
      <w:proofErr w:type="spellEnd"/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(James Cook University) and Professor Elizabeth More AM (Australian Institute of Management)</w:t>
      </w:r>
      <w:r w:rsidR="00AE722C" w:rsidRPr="00305EB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plus t</w:t>
      </w:r>
      <w:r w:rsidR="00AE722C" w:rsidRPr="00305EB0">
        <w:rPr>
          <w:rFonts w:ascii="Arial" w:hAnsi="Arial" w:cs="Arial"/>
          <w:color w:val="auto"/>
          <w:sz w:val="22"/>
          <w:szCs w:val="22"/>
          <w:lang w:val="en"/>
        </w:rPr>
        <w:t xml:space="preserve">wo additional members nominated by the states and territories through the </w:t>
      </w:r>
      <w:r w:rsidR="00AE722C" w:rsidRPr="00305EB0">
        <w:rPr>
          <w:rStyle w:val="lexicon-term"/>
          <w:rFonts w:ascii="Arial" w:hAnsi="Arial" w:cs="Arial"/>
          <w:color w:val="auto"/>
          <w:sz w:val="22"/>
          <w:szCs w:val="22"/>
          <w:lang w:val="en"/>
        </w:rPr>
        <w:t>COAG</w:t>
      </w:r>
      <w:r w:rsidR="00AE722C" w:rsidRPr="00305EB0">
        <w:rPr>
          <w:rFonts w:ascii="Arial" w:hAnsi="Arial" w:cs="Arial"/>
          <w:color w:val="auto"/>
          <w:sz w:val="22"/>
          <w:szCs w:val="22"/>
          <w:lang w:val="en"/>
        </w:rPr>
        <w:t xml:space="preserve"> Education Council and the COAG Industry Skills Council.</w:t>
      </w:r>
      <w:r w:rsidR="00AE722C" w:rsidRPr="00305EB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AE722C" w:rsidRPr="00305EB0" w:rsidRDefault="00AE722C" w:rsidP="00817FB7">
      <w:pPr>
        <w:pStyle w:val="Heading2"/>
        <w:ind w:left="-284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AE722C" w:rsidRPr="00550199" w:rsidRDefault="00AE722C" w:rsidP="00817FB7">
      <w:pPr>
        <w:pStyle w:val="Heading2"/>
        <w:ind w:left="-284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The Australian Government Department of Education and Training has </w:t>
      </w:r>
      <w:r w:rsidRPr="00AE722C">
        <w:rPr>
          <w:rFonts w:ascii="Arial" w:hAnsi="Arial" w:cs="Arial"/>
          <w:color w:val="auto"/>
          <w:sz w:val="22"/>
          <w:szCs w:val="22"/>
          <w:lang w:val="en"/>
        </w:rPr>
        <w:t xml:space="preserve">contracted </w:t>
      </w:r>
      <w:proofErr w:type="spellStart"/>
      <w:r w:rsidRPr="00AE722C">
        <w:rPr>
          <w:rFonts w:ascii="Arial" w:hAnsi="Arial" w:cs="Arial"/>
          <w:color w:val="auto"/>
          <w:sz w:val="22"/>
          <w:szCs w:val="22"/>
          <w:lang w:val="en"/>
        </w:rPr>
        <w:t>PhillipsKPA</w:t>
      </w:r>
      <w:proofErr w:type="spellEnd"/>
      <w:r w:rsidRPr="00AE722C">
        <w:rPr>
          <w:rFonts w:ascii="Arial" w:hAnsi="Arial" w:cs="Arial"/>
          <w:color w:val="auto"/>
          <w:sz w:val="22"/>
          <w:szCs w:val="22"/>
          <w:lang w:val="en"/>
        </w:rPr>
        <w:t xml:space="preserve"> to provide </w:t>
      </w:r>
      <w:r w:rsidRPr="00305EB0">
        <w:rPr>
          <w:rFonts w:ascii="Arial" w:hAnsi="Arial" w:cs="Arial"/>
          <w:color w:val="auto"/>
          <w:sz w:val="22"/>
          <w:szCs w:val="22"/>
          <w:lang w:val="en"/>
        </w:rPr>
        <w:t>contextual research for the review,</w:t>
      </w:r>
      <w:r w:rsidRPr="00AE722C">
        <w:rPr>
          <w:rFonts w:ascii="Arial" w:hAnsi="Arial" w:cs="Arial"/>
          <w:color w:val="auto"/>
          <w:sz w:val="22"/>
          <w:szCs w:val="22"/>
          <w:lang w:val="en"/>
        </w:rPr>
        <w:t xml:space="preserve"> related to international qualifications frameworks and domestic use of the AQF.</w:t>
      </w:r>
      <w:r w:rsidRPr="00305EB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AE722C">
        <w:rPr>
          <w:rFonts w:ascii="Arial" w:hAnsi="Arial" w:cs="Arial"/>
          <w:color w:val="auto"/>
          <w:sz w:val="22"/>
          <w:szCs w:val="22"/>
          <w:lang w:val="en"/>
        </w:rPr>
        <w:t>Release of a discussion paper and public consultations are expected in the second half of 2018, with the final report to be provided to government by June 2019.</w:t>
      </w:r>
    </w:p>
    <w:p w:rsidR="00AE722C" w:rsidRPr="00550199" w:rsidRDefault="00AE722C" w:rsidP="00817FB7">
      <w:pPr>
        <w:pStyle w:val="Heading2"/>
        <w:ind w:left="-284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AE722C" w:rsidRPr="00ED12B8" w:rsidRDefault="00AE722C" w:rsidP="00ED12B8">
      <w:pPr>
        <w:pStyle w:val="Heading2"/>
        <w:ind w:left="-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55019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The Department has </w:t>
      </w:r>
      <w:r w:rsidRPr="00212E9C">
        <w:rPr>
          <w:rFonts w:ascii="Arial" w:eastAsia="Calibri" w:hAnsi="Arial" w:cs="Arial"/>
          <w:color w:val="auto"/>
          <w:sz w:val="22"/>
          <w:szCs w:val="22"/>
          <w:lang w:eastAsia="en-US"/>
        </w:rPr>
        <w:t>asked community education providers to assist the AQF Review by filling in a survey run by the consultancy Ithaca Group.</w:t>
      </w:r>
      <w:r w:rsidRPr="0055019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305EB0" w:rsidRPr="00550199">
        <w:rPr>
          <w:rFonts w:ascii="Arial" w:eastAsia="Times New Roman" w:hAnsi="Arial" w:cs="Arial"/>
          <w:color w:val="auto"/>
          <w:sz w:val="22"/>
          <w:szCs w:val="22"/>
        </w:rPr>
        <w:t xml:space="preserve">Through the survey, Ithaca Group aims to gather information on current practice in relation to credit, RPL and articulation from a range of tertiary providers. All providers are invited to share their insights and experience by completing </w:t>
      </w:r>
      <w:hyperlink r:id="rId11" w:tgtFrame="_blank" w:history="1">
        <w:r w:rsidR="00305EB0" w:rsidRPr="00550199">
          <w:rPr>
            <w:rFonts w:ascii="Arial" w:eastAsia="Times New Roman" w:hAnsi="Arial" w:cs="Arial"/>
            <w:color w:val="auto"/>
            <w:sz w:val="22"/>
            <w:szCs w:val="22"/>
            <w:u w:val="single"/>
          </w:rPr>
          <w:t>AQF Qualifications Pathways Policy: VET Provider Survey</w:t>
        </w:r>
      </w:hyperlink>
    </w:p>
    <w:sectPr w:rsidR="00AE722C" w:rsidRPr="00ED12B8" w:rsidSect="00ED12B8">
      <w:footerReference w:type="first" r:id="rId12"/>
      <w:pgSz w:w="11907" w:h="16840" w:code="9"/>
      <w:pgMar w:top="851" w:right="992" w:bottom="1134" w:left="125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83" w:rsidRDefault="00A36183" w:rsidP="00846881">
      <w:r>
        <w:separator/>
      </w:r>
    </w:p>
  </w:endnote>
  <w:endnote w:type="continuationSeparator" w:id="0">
    <w:p w:rsidR="00A36183" w:rsidRDefault="00A36183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116635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83" w:rsidRDefault="00A36183" w:rsidP="00846881">
      <w:r>
        <w:separator/>
      </w:r>
    </w:p>
  </w:footnote>
  <w:footnote w:type="continuationSeparator" w:id="0">
    <w:p w:rsidR="00A36183" w:rsidRDefault="00A36183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CC4359C"/>
    <w:multiLevelType w:val="hybridMultilevel"/>
    <w:tmpl w:val="C9D238E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5"/>
  </w:num>
  <w:num w:numId="5">
    <w:abstractNumId w:val="1"/>
  </w:num>
  <w:num w:numId="6">
    <w:abstractNumId w:val="13"/>
  </w:num>
  <w:num w:numId="7">
    <w:abstractNumId w:val="6"/>
  </w:num>
  <w:num w:numId="8">
    <w:abstractNumId w:val="18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21"/>
  </w:num>
  <w:num w:numId="16">
    <w:abstractNumId w:val="17"/>
  </w:num>
  <w:num w:numId="17">
    <w:abstractNumId w:val="8"/>
  </w:num>
  <w:num w:numId="18">
    <w:abstractNumId w:val="4"/>
  </w:num>
  <w:num w:numId="19">
    <w:abstractNumId w:val="20"/>
  </w:num>
  <w:num w:numId="20">
    <w:abstractNumId w:val="9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82C"/>
    <w:rsid w:val="000E77DF"/>
    <w:rsid w:val="00105130"/>
    <w:rsid w:val="001079BD"/>
    <w:rsid w:val="0011333F"/>
    <w:rsid w:val="00116635"/>
    <w:rsid w:val="001214D4"/>
    <w:rsid w:val="00125617"/>
    <w:rsid w:val="001411A4"/>
    <w:rsid w:val="00154ECF"/>
    <w:rsid w:val="00181F47"/>
    <w:rsid w:val="001A352C"/>
    <w:rsid w:val="001C0117"/>
    <w:rsid w:val="001C0BDB"/>
    <w:rsid w:val="001C4930"/>
    <w:rsid w:val="001D2F77"/>
    <w:rsid w:val="001E1F31"/>
    <w:rsid w:val="001E4F45"/>
    <w:rsid w:val="00206E94"/>
    <w:rsid w:val="00212E9C"/>
    <w:rsid w:val="00213CB1"/>
    <w:rsid w:val="0022166C"/>
    <w:rsid w:val="00231621"/>
    <w:rsid w:val="00234DCA"/>
    <w:rsid w:val="00241DCD"/>
    <w:rsid w:val="00242E0D"/>
    <w:rsid w:val="00254C93"/>
    <w:rsid w:val="0025725C"/>
    <w:rsid w:val="00264866"/>
    <w:rsid w:val="002774C1"/>
    <w:rsid w:val="002831C1"/>
    <w:rsid w:val="00284B19"/>
    <w:rsid w:val="0029046F"/>
    <w:rsid w:val="002A24E2"/>
    <w:rsid w:val="002B15E5"/>
    <w:rsid w:val="002B61F2"/>
    <w:rsid w:val="002D610A"/>
    <w:rsid w:val="00305553"/>
    <w:rsid w:val="00305EB0"/>
    <w:rsid w:val="003079DD"/>
    <w:rsid w:val="003150C7"/>
    <w:rsid w:val="00340366"/>
    <w:rsid w:val="00352C50"/>
    <w:rsid w:val="00355714"/>
    <w:rsid w:val="00384947"/>
    <w:rsid w:val="003966A5"/>
    <w:rsid w:val="003B2C9D"/>
    <w:rsid w:val="003B7B63"/>
    <w:rsid w:val="003D454C"/>
    <w:rsid w:val="003F0B63"/>
    <w:rsid w:val="003F3D59"/>
    <w:rsid w:val="003F640F"/>
    <w:rsid w:val="004304A3"/>
    <w:rsid w:val="004341EE"/>
    <w:rsid w:val="0044416E"/>
    <w:rsid w:val="004522BC"/>
    <w:rsid w:val="00453CAD"/>
    <w:rsid w:val="004604A8"/>
    <w:rsid w:val="00475C6A"/>
    <w:rsid w:val="0048144F"/>
    <w:rsid w:val="00494D61"/>
    <w:rsid w:val="004B182C"/>
    <w:rsid w:val="004C32C0"/>
    <w:rsid w:val="004C7772"/>
    <w:rsid w:val="004E29A2"/>
    <w:rsid w:val="004E42D2"/>
    <w:rsid w:val="00505EC2"/>
    <w:rsid w:val="00506F42"/>
    <w:rsid w:val="00536911"/>
    <w:rsid w:val="00540C9F"/>
    <w:rsid w:val="00545CC1"/>
    <w:rsid w:val="00550199"/>
    <w:rsid w:val="005543E8"/>
    <w:rsid w:val="00583630"/>
    <w:rsid w:val="00590B75"/>
    <w:rsid w:val="005B4815"/>
    <w:rsid w:val="005C5D77"/>
    <w:rsid w:val="005E1085"/>
    <w:rsid w:val="005F153D"/>
    <w:rsid w:val="006254CC"/>
    <w:rsid w:val="00626260"/>
    <w:rsid w:val="006344F3"/>
    <w:rsid w:val="006409D9"/>
    <w:rsid w:val="00651785"/>
    <w:rsid w:val="00683288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D5961"/>
    <w:rsid w:val="007E360A"/>
    <w:rsid w:val="007E59F5"/>
    <w:rsid w:val="00817FB7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36183"/>
    <w:rsid w:val="00A83FB3"/>
    <w:rsid w:val="00A9135E"/>
    <w:rsid w:val="00AC402D"/>
    <w:rsid w:val="00AD0AF3"/>
    <w:rsid w:val="00AD6A4D"/>
    <w:rsid w:val="00AE59A4"/>
    <w:rsid w:val="00AE722C"/>
    <w:rsid w:val="00AF0514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950AB"/>
    <w:rsid w:val="00BB4A46"/>
    <w:rsid w:val="00BE143C"/>
    <w:rsid w:val="00BF5B84"/>
    <w:rsid w:val="00C151BB"/>
    <w:rsid w:val="00C373FC"/>
    <w:rsid w:val="00C579E9"/>
    <w:rsid w:val="00C75A39"/>
    <w:rsid w:val="00C83B90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33418"/>
    <w:rsid w:val="00D53A53"/>
    <w:rsid w:val="00D60148"/>
    <w:rsid w:val="00D813EA"/>
    <w:rsid w:val="00DB0BCD"/>
    <w:rsid w:val="00DB7126"/>
    <w:rsid w:val="00DD6095"/>
    <w:rsid w:val="00DD6855"/>
    <w:rsid w:val="00E05620"/>
    <w:rsid w:val="00E320A4"/>
    <w:rsid w:val="00E8321E"/>
    <w:rsid w:val="00E91E6B"/>
    <w:rsid w:val="00E97867"/>
    <w:rsid w:val="00EA2B5D"/>
    <w:rsid w:val="00EB08D9"/>
    <w:rsid w:val="00ED12B8"/>
    <w:rsid w:val="00EE4BD9"/>
    <w:rsid w:val="00EE5E95"/>
    <w:rsid w:val="00F11CAC"/>
    <w:rsid w:val="00F13297"/>
    <w:rsid w:val="00F17667"/>
    <w:rsid w:val="00F2410C"/>
    <w:rsid w:val="00F24B4E"/>
    <w:rsid w:val="00F30F82"/>
    <w:rsid w:val="00F343D3"/>
    <w:rsid w:val="00F47367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  <w:style w:type="character" w:customStyle="1" w:styleId="lexicon-term">
    <w:name w:val="lexicon-term"/>
    <w:basedOn w:val="DefaultParagraphFont"/>
    <w:rsid w:val="00AE722C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7NMFXH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7NMFXH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0315A70-C945-477F-88FC-4868C4D11775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2443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Learning Support Memo</dc:title>
  <dc:creator>08306670</dc:creator>
  <cp:lastModifiedBy>Cant, Lisa L</cp:lastModifiedBy>
  <cp:revision>2</cp:revision>
  <cp:lastPrinted>2007-01-10T22:20:00Z</cp:lastPrinted>
  <dcterms:created xsi:type="dcterms:W3CDTF">2018-07-31T02:16:00Z</dcterms:created>
  <dcterms:modified xsi:type="dcterms:W3CDTF">2018-07-31T02:16:00Z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