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1235D" w14:textId="77777777"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Department of Education and Training</w:t>
      </w:r>
    </w:p>
    <w:p w14:paraId="49D66DF7" w14:textId="77777777"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14:paraId="42458C00" w14:textId="77777777" w:rsidR="001C0BDB" w:rsidRPr="001C0BDB" w:rsidRDefault="001C0BDB" w:rsidP="001C0BDB">
      <w:pPr>
        <w:rPr>
          <w:lang w:val="en-GB" w:eastAsia="en-US"/>
        </w:rPr>
      </w:pPr>
    </w:p>
    <w:p w14:paraId="0118ABBA" w14:textId="1DC40061" w:rsidR="009D5D01" w:rsidRDefault="00D813EA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85253B">
        <w:rPr>
          <w:rStyle w:val="Heading2Char"/>
          <w:rFonts w:ascii="Arial" w:hAnsi="Arial" w:cs="Arial"/>
        </w:rPr>
        <w:t>Participation Branch 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AB4FB5">
        <w:rPr>
          <w:rFonts w:ascii="Arial" w:hAnsi="Arial"/>
          <w:i/>
          <w:color w:val="000000"/>
          <w:sz w:val="22"/>
          <w:szCs w:val="24"/>
          <w:lang w:val="en-GB" w:eastAsia="en-US"/>
        </w:rPr>
        <w:t>May</w:t>
      </w:r>
      <w:r w:rsidR="00CB2C50" w:rsidRPr="004460BC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4460BC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AB4FB5">
        <w:rPr>
          <w:rFonts w:ascii="Arial" w:hAnsi="Arial"/>
          <w:i/>
          <w:color w:val="000000"/>
          <w:sz w:val="22"/>
          <w:szCs w:val="24"/>
          <w:lang w:val="en-GB" w:eastAsia="en-US"/>
        </w:rPr>
        <w:t>1</w:t>
      </w:r>
    </w:p>
    <w:p w14:paraId="2A80BC3D" w14:textId="77777777"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14:paraId="27C23672" w14:textId="77777777" w:rsidR="00DB0BCD" w:rsidRPr="00C104BA" w:rsidRDefault="00545CC1" w:rsidP="00C104BA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 w:rsidR="00C104BA"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ALL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u w:val="single"/>
          <w:lang w:val="en-GB" w:eastAsia="en-US"/>
        </w:rPr>
        <w:t>or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 RTOs only</w:t>
      </w:r>
    </w:p>
    <w:p w14:paraId="60AF80ED" w14:textId="77777777"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14:paraId="47F1ED8F" w14:textId="77777777" w:rsidR="00CB2C50" w:rsidRPr="00DB0BCD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14:paraId="273366DC" w14:textId="77777777" w:rsidR="00CB2C50" w:rsidRPr="00DB0BCD" w:rsidRDefault="00545CC1" w:rsidP="00CB2C5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Adult Education Institutions</w:t>
      </w:r>
    </w:p>
    <w:p w14:paraId="79FDCC93" w14:textId="77777777" w:rsidR="00DB0BCD" w:rsidRPr="00DB0BCD" w:rsidRDefault="00545CC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Learn Local Stakeholders</w:t>
      </w:r>
    </w:p>
    <w:p w14:paraId="189E2E9F" w14:textId="77777777"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Participation Branch Staff</w:t>
      </w:r>
    </w:p>
    <w:p w14:paraId="076F5020" w14:textId="77777777"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54617E3E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723B35">
        <w:rPr>
          <w:rFonts w:ascii="Arial" w:hAnsi="Arial"/>
          <w:color w:val="000000"/>
          <w:sz w:val="22"/>
          <w:lang w:val="en-GB" w:eastAsia="en-US"/>
        </w:rPr>
        <w:t>Ryan Collins</w:t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 xml:space="preserve">,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14:paraId="3B34E737" w14:textId="44122801"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AB4FB5">
        <w:rPr>
          <w:rFonts w:ascii="Arial" w:hAnsi="Arial"/>
          <w:color w:val="000000"/>
          <w:sz w:val="22"/>
          <w:lang w:val="en-GB" w:eastAsia="en-US"/>
        </w:rPr>
        <w:t>1</w:t>
      </w:r>
      <w:r w:rsidR="00CB2C50" w:rsidRPr="004460BC">
        <w:rPr>
          <w:rFonts w:ascii="Arial" w:hAnsi="Arial"/>
          <w:color w:val="000000"/>
          <w:sz w:val="22"/>
          <w:lang w:val="en-GB" w:eastAsia="en-US"/>
        </w:rPr>
        <w:t xml:space="preserve"> / </w:t>
      </w:r>
      <w:r w:rsidR="00AB4FB5">
        <w:rPr>
          <w:rFonts w:ascii="Arial" w:hAnsi="Arial"/>
          <w:color w:val="000000"/>
          <w:sz w:val="22"/>
          <w:lang w:val="en-GB" w:eastAsia="en-US"/>
        </w:rPr>
        <w:t>May</w:t>
      </w:r>
      <w:r w:rsidR="00CB2C50" w:rsidRPr="004460BC">
        <w:rPr>
          <w:rFonts w:ascii="Arial" w:hAnsi="Arial"/>
          <w:color w:val="000000"/>
          <w:sz w:val="22"/>
          <w:lang w:val="en-GB" w:eastAsia="en-US"/>
        </w:rPr>
        <w:t xml:space="preserve"> / </w:t>
      </w:r>
      <w:r w:rsidR="00EA2B5D" w:rsidRPr="004460BC">
        <w:rPr>
          <w:rFonts w:ascii="Arial" w:hAnsi="Arial"/>
          <w:color w:val="000000"/>
          <w:sz w:val="22"/>
          <w:lang w:val="en-GB" w:eastAsia="en-US"/>
        </w:rPr>
        <w:t>2018</w:t>
      </w:r>
    </w:p>
    <w:p w14:paraId="779708E3" w14:textId="77777777" w:rsidR="00EA2B5D" w:rsidRPr="00EA2B5D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127DA">
        <w:rPr>
          <w:rFonts w:ascii="Arial" w:hAnsi="Arial"/>
          <w:b/>
          <w:color w:val="000000"/>
          <w:sz w:val="22"/>
          <w:lang w:val="en-GB" w:eastAsia="en-US"/>
        </w:rPr>
        <w:t>Future Opportunities for A</w:t>
      </w:r>
      <w:r w:rsidR="00A17036">
        <w:rPr>
          <w:rFonts w:ascii="Arial" w:hAnsi="Arial"/>
          <w:b/>
          <w:color w:val="000000"/>
          <w:sz w:val="22"/>
          <w:lang w:val="en-GB" w:eastAsia="en-US"/>
        </w:rPr>
        <w:t>dult Learners</w:t>
      </w:r>
      <w:r w:rsidR="00E127DA">
        <w:rPr>
          <w:rFonts w:ascii="Arial" w:hAnsi="Arial"/>
          <w:b/>
          <w:color w:val="000000"/>
          <w:sz w:val="22"/>
          <w:lang w:val="en-GB" w:eastAsia="en-US"/>
        </w:rPr>
        <w:t xml:space="preserve"> in Victoria</w:t>
      </w:r>
    </w:p>
    <w:p w14:paraId="783CD97B" w14:textId="77777777"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14:paraId="51704EF9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5C929A12" w14:textId="77777777"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14:paraId="7F2D88CA" w14:textId="77777777" w:rsidR="00DB0BCD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10E5AEF0" w14:textId="77777777" w:rsidR="00E97867" w:rsidRDefault="0072499F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color w:val="000000"/>
          <w:lang w:val="en-GB"/>
        </w:rPr>
        <w:t>‘</w:t>
      </w:r>
      <w:r w:rsidR="00E127DA">
        <w:rPr>
          <w:rFonts w:ascii="Arial" w:hAnsi="Arial" w:cs="Arial"/>
          <w:bCs/>
          <w:i/>
          <w:color w:val="000000"/>
          <w:lang w:val="en-GB"/>
        </w:rPr>
        <w:t>Future Opportunities for A</w:t>
      </w:r>
      <w:r>
        <w:rPr>
          <w:rFonts w:ascii="Arial" w:hAnsi="Arial" w:cs="Arial"/>
          <w:bCs/>
          <w:i/>
          <w:color w:val="000000"/>
          <w:lang w:val="en-GB"/>
        </w:rPr>
        <w:t>dult Learners</w:t>
      </w:r>
      <w:r w:rsidR="00E127DA">
        <w:rPr>
          <w:rFonts w:ascii="Arial" w:hAnsi="Arial" w:cs="Arial"/>
          <w:bCs/>
          <w:i/>
          <w:color w:val="000000"/>
          <w:lang w:val="en-GB"/>
        </w:rPr>
        <w:t xml:space="preserve"> in Victoria</w:t>
      </w:r>
      <w:r>
        <w:rPr>
          <w:rFonts w:ascii="Arial" w:hAnsi="Arial" w:cs="Arial"/>
          <w:bCs/>
          <w:i/>
          <w:color w:val="000000"/>
          <w:lang w:val="en-GB"/>
        </w:rPr>
        <w:t>’</w:t>
      </w:r>
      <w:r w:rsidR="00E127DA">
        <w:rPr>
          <w:rFonts w:ascii="Arial" w:hAnsi="Arial" w:cs="Arial"/>
          <w:bCs/>
          <w:i/>
          <w:color w:val="000000"/>
          <w:lang w:val="en-GB"/>
        </w:rPr>
        <w:t xml:space="preserve"> consultations to be held in May 2018</w:t>
      </w:r>
    </w:p>
    <w:p w14:paraId="5674E2E9" w14:textId="77777777" w:rsidR="00E127DA" w:rsidRPr="00F47367" w:rsidRDefault="0072499F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color w:val="000000"/>
          <w:lang w:val="en-GB"/>
        </w:rPr>
        <w:t>‘Future Opportunities for Adult Learners in Victoria’</w:t>
      </w:r>
      <w:r w:rsidR="008301B7">
        <w:rPr>
          <w:rFonts w:ascii="Arial" w:hAnsi="Arial" w:cs="Arial"/>
          <w:bCs/>
          <w:i/>
          <w:color w:val="000000"/>
          <w:lang w:val="en-GB"/>
        </w:rPr>
        <w:t xml:space="preserve"> Discussion Paper to be distributed for written feedback in June 2018</w:t>
      </w:r>
    </w:p>
    <w:p w14:paraId="5D31E78C" w14:textId="77777777" w:rsidR="0029046F" w:rsidRPr="00EA2B5D" w:rsidRDefault="0029046F" w:rsidP="009D5D01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5E8CDD12" w14:textId="77777777" w:rsidR="00EA2B5D" w:rsidRDefault="00EA2B5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5D09D501" w14:textId="77777777" w:rsidR="00C104BA" w:rsidRPr="00C104BA" w:rsidRDefault="007B6E4C" w:rsidP="00C104BA">
      <w:pPr>
        <w:pStyle w:val="Heading2"/>
        <w:ind w:left="-28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Future Opportunities for A</w:t>
      </w:r>
      <w:r w:rsidR="0072499F">
        <w:rPr>
          <w:rFonts w:ascii="Arial" w:hAnsi="Arial" w:cs="Arial"/>
          <w:lang w:val="en"/>
        </w:rPr>
        <w:t>dult Learners</w:t>
      </w:r>
      <w:r>
        <w:rPr>
          <w:rFonts w:ascii="Arial" w:hAnsi="Arial" w:cs="Arial"/>
          <w:lang w:val="en"/>
        </w:rPr>
        <w:t xml:space="preserve"> in Victoria</w:t>
      </w:r>
    </w:p>
    <w:p w14:paraId="5D3D5C8E" w14:textId="77777777" w:rsidR="00C104BA" w:rsidRDefault="00C104BA" w:rsidP="00110F5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1614A195" w14:textId="2A69973D" w:rsidR="00110F53" w:rsidRDefault="00110F53" w:rsidP="00110F53">
      <w:pPr>
        <w:ind w:left="-284"/>
        <w:jc w:val="both"/>
        <w:rPr>
          <w:rFonts w:ascii="Arial" w:hAnsi="Arial" w:cs="Arial"/>
          <w:sz w:val="22"/>
          <w:szCs w:val="22"/>
        </w:rPr>
      </w:pPr>
      <w:r w:rsidRPr="00110F53">
        <w:rPr>
          <w:rFonts w:ascii="Arial" w:hAnsi="Arial" w:cs="Arial"/>
          <w:sz w:val="22"/>
          <w:szCs w:val="22"/>
        </w:rPr>
        <w:t>With the changing nature of work and rapid transition to a knowledge-based economy, it is critical that Victorians have the literacy, numeracy and vocational skills required to secure jobs, now and into the future.</w:t>
      </w:r>
    </w:p>
    <w:p w14:paraId="30879D7B" w14:textId="77777777" w:rsidR="00110F53" w:rsidRPr="00110F53" w:rsidRDefault="00110F53" w:rsidP="00110F5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DB1550B" w14:textId="7F5E9E40" w:rsidR="009639EA" w:rsidRDefault="00110F53" w:rsidP="009639EA">
      <w:pPr>
        <w:ind w:left="-284"/>
        <w:jc w:val="both"/>
        <w:rPr>
          <w:rFonts w:ascii="Arial" w:hAnsi="Arial" w:cs="Arial"/>
          <w:sz w:val="22"/>
          <w:szCs w:val="22"/>
        </w:rPr>
      </w:pPr>
      <w:r w:rsidRPr="00110F53">
        <w:rPr>
          <w:rFonts w:ascii="Arial" w:hAnsi="Arial" w:cs="Arial"/>
          <w:sz w:val="22"/>
          <w:szCs w:val="22"/>
        </w:rPr>
        <w:t xml:space="preserve">To ensure all Victorians can </w:t>
      </w:r>
      <w:r w:rsidR="006D3D66">
        <w:rPr>
          <w:rFonts w:ascii="Arial" w:hAnsi="Arial" w:cs="Arial"/>
          <w:sz w:val="22"/>
          <w:szCs w:val="22"/>
        </w:rPr>
        <w:t>develop the skills they need</w:t>
      </w:r>
      <w:r w:rsidRPr="00110F53">
        <w:rPr>
          <w:rFonts w:ascii="Arial" w:hAnsi="Arial" w:cs="Arial"/>
          <w:sz w:val="22"/>
          <w:szCs w:val="22"/>
        </w:rPr>
        <w:t xml:space="preserve">, regardless of background or socio-economic status, the Minister for Training and Skills has requested the development of the </w:t>
      </w:r>
      <w:r w:rsidRPr="00110F53">
        <w:rPr>
          <w:rFonts w:ascii="Arial" w:hAnsi="Arial" w:cs="Arial"/>
          <w:i/>
          <w:iCs/>
          <w:sz w:val="22"/>
          <w:szCs w:val="22"/>
        </w:rPr>
        <w:t xml:space="preserve">Future Opportunities for Adult </w:t>
      </w:r>
      <w:r w:rsidR="0072499F">
        <w:rPr>
          <w:rFonts w:ascii="Arial" w:hAnsi="Arial" w:cs="Arial"/>
          <w:i/>
          <w:iCs/>
          <w:sz w:val="22"/>
          <w:szCs w:val="22"/>
        </w:rPr>
        <w:t>Learners</w:t>
      </w:r>
      <w:r w:rsidRPr="00110F53">
        <w:rPr>
          <w:rFonts w:ascii="Arial" w:hAnsi="Arial" w:cs="Arial"/>
          <w:i/>
          <w:iCs/>
          <w:sz w:val="22"/>
          <w:szCs w:val="22"/>
        </w:rPr>
        <w:t xml:space="preserve"> in Victoria</w:t>
      </w:r>
      <w:r w:rsidRPr="00110F53">
        <w:rPr>
          <w:rFonts w:ascii="Arial" w:hAnsi="Arial" w:cs="Arial"/>
          <w:sz w:val="22"/>
          <w:szCs w:val="22"/>
        </w:rPr>
        <w:t xml:space="preserve"> strategy.</w:t>
      </w:r>
    </w:p>
    <w:p w14:paraId="77186D45" w14:textId="77777777" w:rsidR="00110F53" w:rsidRPr="00110F53" w:rsidRDefault="00110F53" w:rsidP="00110F5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077F70A" w14:textId="33D424E0" w:rsidR="00AB4FB5" w:rsidRPr="00AB4FB5" w:rsidRDefault="00AB4FB5" w:rsidP="00AB4FB5">
      <w:pPr>
        <w:ind w:left="-284"/>
        <w:jc w:val="both"/>
        <w:rPr>
          <w:rFonts w:ascii="Arial" w:hAnsi="Arial" w:cs="Arial"/>
          <w:i/>
          <w:iCs/>
          <w:sz w:val="22"/>
          <w:szCs w:val="22"/>
        </w:rPr>
      </w:pPr>
      <w:r w:rsidRPr="00AB4FB5">
        <w:rPr>
          <w:rFonts w:ascii="Arial" w:hAnsi="Arial" w:cs="Arial"/>
          <w:i/>
          <w:iCs/>
          <w:sz w:val="22"/>
          <w:szCs w:val="22"/>
        </w:rPr>
        <w:t xml:space="preserve">Future Opportunities for Adult Learners in Victoria </w:t>
      </w:r>
      <w:r w:rsidRPr="00AB4FB5">
        <w:rPr>
          <w:rFonts w:ascii="Arial" w:hAnsi="Arial" w:cs="Arial"/>
          <w:iCs/>
          <w:sz w:val="22"/>
          <w:szCs w:val="22"/>
        </w:rPr>
        <w:t>will look at how adult community education is making a positive difference in the lives of Victorians facing significant barriers to accessing accredited training and securing employment, while exploring ways to make it even more accessible</w:t>
      </w:r>
      <w:r w:rsidR="00981DE8">
        <w:rPr>
          <w:rFonts w:ascii="Arial" w:hAnsi="Arial" w:cs="Arial"/>
          <w:iCs/>
          <w:sz w:val="22"/>
          <w:szCs w:val="22"/>
        </w:rPr>
        <w:t xml:space="preserve"> to community members that need it the most</w:t>
      </w:r>
      <w:r w:rsidRPr="00AB4FB5">
        <w:rPr>
          <w:rFonts w:ascii="Arial" w:hAnsi="Arial" w:cs="Arial"/>
          <w:iCs/>
          <w:sz w:val="22"/>
          <w:szCs w:val="22"/>
        </w:rPr>
        <w:t>.</w:t>
      </w:r>
    </w:p>
    <w:p w14:paraId="46C93CBF" w14:textId="77777777" w:rsidR="00110F53" w:rsidRDefault="00110F53" w:rsidP="00110F5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312C5184" w14:textId="77777777" w:rsidR="00C104BA" w:rsidRPr="00C104BA" w:rsidRDefault="00C104BA" w:rsidP="00C104BA">
      <w:pPr>
        <w:keepNext/>
        <w:keepLines/>
        <w:spacing w:before="40"/>
        <w:ind w:left="-284"/>
        <w:outlineLvl w:val="1"/>
        <w:rPr>
          <w:rFonts w:ascii="Arial" w:eastAsiaTheme="majorEastAsia" w:hAnsi="Arial" w:cs="Arial"/>
          <w:color w:val="365F91" w:themeColor="accent1" w:themeShade="BF"/>
          <w:sz w:val="26"/>
          <w:szCs w:val="26"/>
          <w:lang w:val="en"/>
        </w:rPr>
      </w:pPr>
      <w:r>
        <w:rPr>
          <w:rFonts w:ascii="Arial" w:eastAsiaTheme="majorEastAsia" w:hAnsi="Arial" w:cs="Arial"/>
          <w:color w:val="365F91" w:themeColor="accent1" w:themeShade="BF"/>
          <w:sz w:val="26"/>
          <w:szCs w:val="26"/>
          <w:lang w:val="en"/>
        </w:rPr>
        <w:t>How can I get involved?</w:t>
      </w:r>
    </w:p>
    <w:p w14:paraId="0C3FFE89" w14:textId="77777777" w:rsidR="00110F53" w:rsidRDefault="00110F53" w:rsidP="00110F53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14:paraId="0E148F7C" w14:textId="50A567FB" w:rsidR="00C104BA" w:rsidRDefault="00AB4FB5" w:rsidP="002B342B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iCs/>
          <w:sz w:val="22"/>
          <w:szCs w:val="22"/>
        </w:rPr>
        <w:t xml:space="preserve">Broad </w:t>
      </w:r>
      <w:r w:rsidR="006D3D66" w:rsidRPr="00660195">
        <w:rPr>
          <w:rFonts w:ascii="Arial" w:hAnsi="Arial" w:cs="Arial"/>
          <w:i/>
          <w:iCs/>
          <w:sz w:val="22"/>
          <w:szCs w:val="22"/>
        </w:rPr>
        <w:t>Future Opportunities for Adult Learners in Victoria</w:t>
      </w:r>
      <w:r w:rsidR="00C104BA" w:rsidRPr="00660195">
        <w:rPr>
          <w:rFonts w:ascii="Arial" w:hAnsi="Arial" w:cs="Arial"/>
          <w:sz w:val="22"/>
          <w:szCs w:val="22"/>
          <w:lang w:val="en"/>
        </w:rPr>
        <w:t xml:space="preserve"> consultations will be held throughout May 2018.</w:t>
      </w:r>
      <w:r w:rsidR="002B342B" w:rsidRPr="00660195">
        <w:rPr>
          <w:rFonts w:ascii="Arial" w:hAnsi="Arial" w:cs="Arial"/>
          <w:sz w:val="22"/>
          <w:szCs w:val="22"/>
          <w:lang w:val="en"/>
        </w:rPr>
        <w:t xml:space="preserve">  </w:t>
      </w:r>
      <w:r w:rsidR="00C104BA" w:rsidRPr="00660195">
        <w:rPr>
          <w:rFonts w:ascii="Arial" w:hAnsi="Arial" w:cs="Arial"/>
          <w:sz w:val="22"/>
          <w:szCs w:val="22"/>
          <w:lang w:val="en"/>
        </w:rPr>
        <w:t xml:space="preserve">Four </w:t>
      </w:r>
      <w:r>
        <w:rPr>
          <w:rFonts w:ascii="Arial" w:hAnsi="Arial" w:cs="Arial"/>
          <w:sz w:val="22"/>
          <w:szCs w:val="22"/>
          <w:lang w:val="en"/>
        </w:rPr>
        <w:t xml:space="preserve">targeted </w:t>
      </w:r>
      <w:r w:rsidR="002B342B" w:rsidRPr="00660195">
        <w:rPr>
          <w:rFonts w:ascii="Arial" w:hAnsi="Arial" w:cs="Arial"/>
          <w:sz w:val="22"/>
          <w:szCs w:val="22"/>
          <w:lang w:val="en"/>
        </w:rPr>
        <w:t>consultation sessions</w:t>
      </w:r>
      <w:r>
        <w:rPr>
          <w:rFonts w:ascii="Arial" w:hAnsi="Arial" w:cs="Arial"/>
          <w:sz w:val="22"/>
          <w:szCs w:val="22"/>
          <w:lang w:val="en"/>
        </w:rPr>
        <w:t>, supported by Adult and Community Education Victoria,</w:t>
      </w:r>
      <w:r w:rsidR="00C104BA" w:rsidRPr="00660195">
        <w:rPr>
          <w:rFonts w:ascii="Arial" w:hAnsi="Arial" w:cs="Arial"/>
          <w:sz w:val="22"/>
          <w:szCs w:val="22"/>
          <w:lang w:val="en"/>
        </w:rPr>
        <w:t xml:space="preserve"> will be held </w:t>
      </w:r>
      <w:r w:rsidR="00C9440B">
        <w:rPr>
          <w:rFonts w:ascii="Arial" w:hAnsi="Arial" w:cs="Arial"/>
          <w:sz w:val="22"/>
          <w:szCs w:val="22"/>
          <w:lang w:val="en"/>
        </w:rPr>
        <w:t xml:space="preserve">across Victoria </w:t>
      </w:r>
      <w:r w:rsidR="002B342B" w:rsidRPr="00660195">
        <w:rPr>
          <w:rFonts w:ascii="Arial" w:hAnsi="Arial" w:cs="Arial"/>
          <w:sz w:val="22"/>
          <w:szCs w:val="22"/>
          <w:lang w:val="en"/>
        </w:rPr>
        <w:t xml:space="preserve">specifically </w:t>
      </w:r>
      <w:r w:rsidR="00C104BA" w:rsidRPr="00660195">
        <w:rPr>
          <w:rFonts w:ascii="Arial" w:hAnsi="Arial" w:cs="Arial"/>
          <w:sz w:val="22"/>
          <w:szCs w:val="22"/>
          <w:lang w:val="en"/>
        </w:rPr>
        <w:t>for Learn Local providers.</w:t>
      </w:r>
      <w:bookmarkStart w:id="0" w:name="_GoBack"/>
      <w:bookmarkEnd w:id="0"/>
    </w:p>
    <w:p w14:paraId="45D146FD" w14:textId="77777777" w:rsidR="00C104BA" w:rsidRDefault="00C104BA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14:paraId="089D2192" w14:textId="7651D790" w:rsidR="0011333F" w:rsidRPr="006D3D66" w:rsidRDefault="00C104BA" w:rsidP="006D3D66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Based on these consultations, a </w:t>
      </w:r>
      <w:r w:rsidR="00660195" w:rsidRPr="00660195">
        <w:rPr>
          <w:rFonts w:ascii="Arial" w:hAnsi="Arial" w:cs="Arial"/>
          <w:i/>
          <w:iCs/>
          <w:sz w:val="22"/>
          <w:szCs w:val="22"/>
        </w:rPr>
        <w:t>Future Opportunities for Adult Learners in Victoria</w:t>
      </w:r>
      <w:r w:rsidR="00660195" w:rsidRPr="00660195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Discussion Paper will be distributed for written feedback</w:t>
      </w:r>
      <w:r w:rsidR="002B342B">
        <w:rPr>
          <w:rFonts w:ascii="Arial" w:hAnsi="Arial" w:cs="Arial"/>
          <w:sz w:val="22"/>
          <w:szCs w:val="22"/>
          <w:lang w:val="en"/>
        </w:rPr>
        <w:t xml:space="preserve"> </w:t>
      </w:r>
      <w:r w:rsidR="00AB4FB5">
        <w:rPr>
          <w:rFonts w:ascii="Arial" w:hAnsi="Arial" w:cs="Arial"/>
          <w:sz w:val="22"/>
          <w:szCs w:val="22"/>
          <w:lang w:val="en"/>
        </w:rPr>
        <w:t>to the full network of Learn Local providers and other</w:t>
      </w:r>
      <w:r w:rsidR="002B342B">
        <w:rPr>
          <w:rFonts w:ascii="Arial" w:hAnsi="Arial" w:cs="Arial"/>
          <w:sz w:val="22"/>
          <w:szCs w:val="22"/>
          <w:lang w:val="en"/>
        </w:rPr>
        <w:t xml:space="preserve"> stakeholders</w:t>
      </w:r>
      <w:r>
        <w:rPr>
          <w:rFonts w:ascii="Arial" w:hAnsi="Arial" w:cs="Arial"/>
          <w:sz w:val="22"/>
          <w:szCs w:val="22"/>
          <w:lang w:val="en"/>
        </w:rPr>
        <w:t xml:space="preserve"> in June 2018.</w:t>
      </w:r>
    </w:p>
    <w:sectPr w:rsidR="0011333F" w:rsidRPr="006D3D66" w:rsidSect="00A2083F">
      <w:footerReference w:type="first" r:id="rId10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F4EF" w14:textId="77777777" w:rsidR="004F0D8B" w:rsidRDefault="004F0D8B" w:rsidP="00846881">
      <w:r>
        <w:separator/>
      </w:r>
    </w:p>
  </w:endnote>
  <w:endnote w:type="continuationSeparator" w:id="0">
    <w:p w14:paraId="54488027" w14:textId="77777777" w:rsidR="004F0D8B" w:rsidRDefault="004F0D8B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6E6" w14:textId="60E5F504"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AC0118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7DC16D39" w14:textId="77777777"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FDBE9" w14:textId="77777777" w:rsidR="004F0D8B" w:rsidRDefault="004F0D8B" w:rsidP="00846881">
      <w:r>
        <w:separator/>
      </w:r>
    </w:p>
  </w:footnote>
  <w:footnote w:type="continuationSeparator" w:id="0">
    <w:p w14:paraId="3933A8AD" w14:textId="77777777" w:rsidR="004F0D8B" w:rsidRDefault="004F0D8B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17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16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478C"/>
    <w:rsid w:val="0002677B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10F53"/>
    <w:rsid w:val="0011333F"/>
    <w:rsid w:val="001214D4"/>
    <w:rsid w:val="00125617"/>
    <w:rsid w:val="001411A4"/>
    <w:rsid w:val="00154ECF"/>
    <w:rsid w:val="00155D9B"/>
    <w:rsid w:val="00181F47"/>
    <w:rsid w:val="001A352C"/>
    <w:rsid w:val="001C0117"/>
    <w:rsid w:val="001C0BDB"/>
    <w:rsid w:val="001C4930"/>
    <w:rsid w:val="001D2F77"/>
    <w:rsid w:val="001E4F45"/>
    <w:rsid w:val="00206E94"/>
    <w:rsid w:val="00213CB1"/>
    <w:rsid w:val="0022166C"/>
    <w:rsid w:val="00225E54"/>
    <w:rsid w:val="00231621"/>
    <w:rsid w:val="00234DCA"/>
    <w:rsid w:val="00241DCD"/>
    <w:rsid w:val="0025725C"/>
    <w:rsid w:val="00264866"/>
    <w:rsid w:val="002774C1"/>
    <w:rsid w:val="002831C1"/>
    <w:rsid w:val="00284B19"/>
    <w:rsid w:val="0029046F"/>
    <w:rsid w:val="00295A8D"/>
    <w:rsid w:val="002A24E2"/>
    <w:rsid w:val="002B15E5"/>
    <w:rsid w:val="002B342B"/>
    <w:rsid w:val="002B61F2"/>
    <w:rsid w:val="002D610A"/>
    <w:rsid w:val="00305553"/>
    <w:rsid w:val="003150C7"/>
    <w:rsid w:val="00340366"/>
    <w:rsid w:val="00352C50"/>
    <w:rsid w:val="00355714"/>
    <w:rsid w:val="00384947"/>
    <w:rsid w:val="003966A5"/>
    <w:rsid w:val="003B2C9D"/>
    <w:rsid w:val="003B7B63"/>
    <w:rsid w:val="003D454C"/>
    <w:rsid w:val="003F0B63"/>
    <w:rsid w:val="003F3D59"/>
    <w:rsid w:val="003F640F"/>
    <w:rsid w:val="004304A3"/>
    <w:rsid w:val="0044416E"/>
    <w:rsid w:val="004460BC"/>
    <w:rsid w:val="00453CAD"/>
    <w:rsid w:val="004604A8"/>
    <w:rsid w:val="0048144F"/>
    <w:rsid w:val="00492958"/>
    <w:rsid w:val="004B182C"/>
    <w:rsid w:val="004C32C0"/>
    <w:rsid w:val="004C7772"/>
    <w:rsid w:val="004E29A2"/>
    <w:rsid w:val="004E42D2"/>
    <w:rsid w:val="004F0D8B"/>
    <w:rsid w:val="00505EC2"/>
    <w:rsid w:val="00506F42"/>
    <w:rsid w:val="00536911"/>
    <w:rsid w:val="00540C9F"/>
    <w:rsid w:val="00545CC1"/>
    <w:rsid w:val="005543E8"/>
    <w:rsid w:val="00583630"/>
    <w:rsid w:val="00590B75"/>
    <w:rsid w:val="005B4815"/>
    <w:rsid w:val="005B5B01"/>
    <w:rsid w:val="005C5D77"/>
    <w:rsid w:val="005D2AAC"/>
    <w:rsid w:val="005E1085"/>
    <w:rsid w:val="005F153D"/>
    <w:rsid w:val="006254CC"/>
    <w:rsid w:val="00626260"/>
    <w:rsid w:val="006344F3"/>
    <w:rsid w:val="006409D9"/>
    <w:rsid w:val="00651785"/>
    <w:rsid w:val="00660195"/>
    <w:rsid w:val="006834B9"/>
    <w:rsid w:val="00687039"/>
    <w:rsid w:val="006935A8"/>
    <w:rsid w:val="00696854"/>
    <w:rsid w:val="006A1696"/>
    <w:rsid w:val="006A5387"/>
    <w:rsid w:val="006D3D66"/>
    <w:rsid w:val="006D4561"/>
    <w:rsid w:val="006F5334"/>
    <w:rsid w:val="006F6558"/>
    <w:rsid w:val="00717852"/>
    <w:rsid w:val="00723B35"/>
    <w:rsid w:val="0072499F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B6E4C"/>
    <w:rsid w:val="007E360A"/>
    <w:rsid w:val="007E59F5"/>
    <w:rsid w:val="008301B7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39EA"/>
    <w:rsid w:val="00965E53"/>
    <w:rsid w:val="009706F1"/>
    <w:rsid w:val="00981DE8"/>
    <w:rsid w:val="00982579"/>
    <w:rsid w:val="009843BA"/>
    <w:rsid w:val="0099526E"/>
    <w:rsid w:val="009B5012"/>
    <w:rsid w:val="009C7B4C"/>
    <w:rsid w:val="009D5D01"/>
    <w:rsid w:val="009E3636"/>
    <w:rsid w:val="00A011F2"/>
    <w:rsid w:val="00A14B2D"/>
    <w:rsid w:val="00A17036"/>
    <w:rsid w:val="00A2083F"/>
    <w:rsid w:val="00A24A30"/>
    <w:rsid w:val="00A30E35"/>
    <w:rsid w:val="00A60769"/>
    <w:rsid w:val="00A83FB3"/>
    <w:rsid w:val="00A9135E"/>
    <w:rsid w:val="00AB4FB5"/>
    <w:rsid w:val="00AC0118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950AB"/>
    <w:rsid w:val="00BB4A46"/>
    <w:rsid w:val="00BE143C"/>
    <w:rsid w:val="00BF5B84"/>
    <w:rsid w:val="00C104BA"/>
    <w:rsid w:val="00C151BB"/>
    <w:rsid w:val="00C347DD"/>
    <w:rsid w:val="00C373FC"/>
    <w:rsid w:val="00C579E9"/>
    <w:rsid w:val="00C75A39"/>
    <w:rsid w:val="00C83B90"/>
    <w:rsid w:val="00C9440B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33418"/>
    <w:rsid w:val="00D53A53"/>
    <w:rsid w:val="00D60148"/>
    <w:rsid w:val="00D813EA"/>
    <w:rsid w:val="00DB0BCD"/>
    <w:rsid w:val="00DB7126"/>
    <w:rsid w:val="00DD6095"/>
    <w:rsid w:val="00DD6855"/>
    <w:rsid w:val="00DE6829"/>
    <w:rsid w:val="00E05620"/>
    <w:rsid w:val="00E127DA"/>
    <w:rsid w:val="00E320A4"/>
    <w:rsid w:val="00E8321E"/>
    <w:rsid w:val="00E91E6B"/>
    <w:rsid w:val="00E97867"/>
    <w:rsid w:val="00EA2B5D"/>
    <w:rsid w:val="00EE4BD9"/>
    <w:rsid w:val="00EE5E95"/>
    <w:rsid w:val="00F11CAC"/>
    <w:rsid w:val="00F13297"/>
    <w:rsid w:val="00F17667"/>
    <w:rsid w:val="00F24B4E"/>
    <w:rsid w:val="00F30F82"/>
    <w:rsid w:val="00F343D3"/>
    <w:rsid w:val="00F47367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9422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B5B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5B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5B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21D4829-8767-491D-B4C9-0BA223493677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43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2030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Opportunities for Adult Learners in Victoria</dc:title>
  <dc:creator>08306670</dc:creator>
  <cp:lastModifiedBy>Morrow, Jackie A</cp:lastModifiedBy>
  <cp:revision>11</cp:revision>
  <cp:lastPrinted>2018-04-30T22:45:00Z</cp:lastPrinted>
  <dcterms:created xsi:type="dcterms:W3CDTF">2018-04-19T05:35:00Z</dcterms:created>
  <dcterms:modified xsi:type="dcterms:W3CDTF">2018-04-30T23:59:00Z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