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D3662E">
        <w:rPr>
          <w:rFonts w:ascii="Arial" w:hAnsi="Arial"/>
          <w:i/>
          <w:color w:val="000000"/>
          <w:sz w:val="22"/>
          <w:szCs w:val="24"/>
          <w:lang w:val="en-GB" w:eastAsia="en-US"/>
        </w:rPr>
        <w:t xml:space="preserve">July </w:t>
      </w:r>
      <w:r>
        <w:rPr>
          <w:rFonts w:ascii="Arial" w:hAnsi="Arial"/>
          <w:i/>
          <w:color w:val="000000"/>
          <w:sz w:val="22"/>
          <w:szCs w:val="24"/>
          <w:lang w:val="en-GB" w:eastAsia="en-US"/>
        </w:rPr>
        <w:t>/</w:t>
      </w:r>
      <w:r w:rsidR="00CD2047">
        <w:rPr>
          <w:rFonts w:ascii="Arial" w:hAnsi="Arial"/>
          <w:i/>
          <w:color w:val="000000"/>
          <w:sz w:val="22"/>
          <w:szCs w:val="24"/>
          <w:lang w:val="en-GB" w:eastAsia="en-US"/>
        </w:rPr>
        <w:t xml:space="preserve"> 17</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r w:rsidR="0029046F" w:rsidRPr="0029046F">
              <w:rPr>
                <w:rFonts w:ascii="Arial" w:hAnsi="Arial"/>
                <w:i/>
                <w:color w:val="000000"/>
                <w:sz w:val="22"/>
                <w:szCs w:val="24"/>
                <w:u w:val="single"/>
                <w:lang w:val="en-GB" w:eastAsia="en-US"/>
              </w:rPr>
              <w:t>or</w:t>
            </w:r>
            <w:r w:rsidR="0029046F">
              <w:rPr>
                <w:rFonts w:ascii="Arial" w:hAnsi="Arial"/>
                <w:i/>
                <w:color w:val="000000"/>
                <w:sz w:val="22"/>
                <w:szCs w:val="24"/>
                <w:lang w:val="en-GB" w:eastAsia="en-US"/>
              </w:rPr>
              <w:t xml:space="preserve"> 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CD2047" w:rsidRPr="00044F8A" w:rsidRDefault="00CD2047" w:rsidP="00CD2047">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C2118">
        <w:rPr>
          <w:rFonts w:ascii="Arial" w:hAnsi="Arial"/>
          <w:color w:val="000000"/>
          <w:sz w:val="22"/>
          <w:szCs w:val="24"/>
          <w:lang w:val="en-GB" w:eastAsia="en-US"/>
        </w:rPr>
        <w:t>Eduard d</w:t>
      </w:r>
      <w:r>
        <w:rPr>
          <w:rFonts w:ascii="Arial" w:hAnsi="Arial"/>
          <w:color w:val="000000"/>
          <w:sz w:val="22"/>
          <w:szCs w:val="24"/>
          <w:lang w:val="en-GB" w:eastAsia="en-US"/>
        </w:rPr>
        <w:t>e Hue, A/D</w:t>
      </w:r>
      <w:r w:rsidRPr="00044F8A">
        <w:rPr>
          <w:rFonts w:ascii="Arial" w:hAnsi="Arial"/>
          <w:color w:val="000000"/>
          <w:sz w:val="22"/>
          <w:szCs w:val="24"/>
          <w:lang w:val="en-GB" w:eastAsia="en-US"/>
        </w:rPr>
        <w:t xml:space="preserve">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CD2047" w:rsidRPr="001C4930" w:rsidRDefault="00CD2047" w:rsidP="00CD2047">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D3662E">
        <w:rPr>
          <w:rFonts w:ascii="Arial" w:hAnsi="Arial"/>
          <w:color w:val="000000"/>
          <w:sz w:val="22"/>
          <w:lang w:val="en-GB" w:eastAsia="en-US"/>
        </w:rPr>
        <w:t xml:space="preserve">17 / 07 / </w:t>
      </w:r>
      <w:r w:rsidRPr="002B15E5">
        <w:rPr>
          <w:rFonts w:ascii="Arial" w:hAnsi="Arial"/>
          <w:color w:val="000000"/>
          <w:sz w:val="22"/>
          <w:lang w:val="en-GB" w:eastAsia="en-US"/>
        </w:rPr>
        <w:t>201</w:t>
      </w:r>
      <w:r>
        <w:rPr>
          <w:rFonts w:ascii="Arial" w:hAnsi="Arial"/>
          <w:color w:val="000000"/>
          <w:sz w:val="22"/>
          <w:lang w:val="en-GB" w:eastAsia="en-US"/>
        </w:rPr>
        <w:t>7</w:t>
      </w:r>
    </w:p>
    <w:p w:rsidR="00CD2047" w:rsidRPr="008B28FD" w:rsidRDefault="00CD2047" w:rsidP="00CD2047">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Pr>
          <w:rFonts w:ascii="Arial" w:hAnsi="Arial"/>
          <w:bCs/>
          <w:i/>
          <w:color w:val="000000"/>
          <w:sz w:val="22"/>
          <w:lang w:val="en-GB" w:eastAsia="en-US"/>
        </w:rPr>
        <w:t>P</w:t>
      </w:r>
      <w:r w:rsidRPr="008B28FD">
        <w:rPr>
          <w:rFonts w:ascii="Arial" w:hAnsi="Arial"/>
          <w:bCs/>
          <w:i/>
          <w:color w:val="000000"/>
          <w:sz w:val="22"/>
          <w:lang w:val="en-GB" w:eastAsia="en-US"/>
        </w:rPr>
        <w:t>re-accredited work experience</w:t>
      </w:r>
      <w:bookmarkStart w:id="0" w:name="_GoBack"/>
      <w:bookmarkEnd w:id="0"/>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29046F" w:rsidRDefault="00CD2047"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To provide Learn Locals with advice relating to pre-accredited work experience</w:t>
      </w:r>
      <w:r w:rsidR="0029046F">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9046F" w:rsidRDefault="0029046F"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CD2047" w:rsidRDefault="00CD2047" w:rsidP="00CD2047">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 ACFE Board (the Board) has received a number of queries from Learn Local Organisations (LLOs) seeking clarification on the place of work experience in pre-accredited training.  As a result, the Board is now investigating a model of pre-accredited work experience that is broadly accessible and provides adequate legal and insurance coverage to safeguard learners, providers and host employers.</w:t>
      </w:r>
    </w:p>
    <w:p w:rsidR="00CD2047" w:rsidRDefault="00CD2047" w:rsidP="00CD2047">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p>
    <w:p w:rsidR="00CD2047" w:rsidRDefault="00CD2047" w:rsidP="00CD2047">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p>
    <w:p w:rsidR="00CD2047" w:rsidRDefault="00CD2047" w:rsidP="00CD2047">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Board will circulate comprehensive pre-accredited work experience guidelines to the sector by the end of August, including detail about the complex associated legislative and insurance environment.  In the interim, the Board is providing the following advice to LLOs currently delivering pre-accredited work experience: </w:t>
      </w:r>
    </w:p>
    <w:p w:rsidR="00CD2047" w:rsidRDefault="00CD2047" w:rsidP="00CD2047">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p>
    <w:p w:rsidR="00CD2047" w:rsidRDefault="00CD2047" w:rsidP="00CD2047">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CD2047" w:rsidRDefault="00CD2047" w:rsidP="00CD2047">
      <w:pPr>
        <w:pStyle w:val="ListParagraph"/>
        <w:numPr>
          <w:ilvl w:val="0"/>
          <w:numId w:val="14"/>
        </w:numPr>
        <w:tabs>
          <w:tab w:val="left" w:pos="0"/>
          <w:tab w:val="left" w:pos="1080"/>
        </w:tabs>
        <w:ind w:right="397"/>
        <w:jc w:val="both"/>
        <w:rPr>
          <w:rFonts w:ascii="Arial" w:hAnsi="Arial" w:cs="Arial"/>
          <w:bCs/>
          <w:color w:val="000000"/>
          <w:lang w:val="en-GB"/>
        </w:rPr>
      </w:pPr>
      <w:r w:rsidRPr="00813BDA">
        <w:rPr>
          <w:rFonts w:ascii="Arial" w:hAnsi="Arial" w:cs="Arial"/>
          <w:bCs/>
          <w:color w:val="000000"/>
          <w:lang w:val="en-GB"/>
        </w:rPr>
        <w:t xml:space="preserve">It would be prudent to ensure that host employers hold adequate insurance coverage for pre-accredited work experience activities.  While </w:t>
      </w:r>
      <w:proofErr w:type="gramStart"/>
      <w:r w:rsidRPr="00813BDA">
        <w:rPr>
          <w:rFonts w:ascii="Arial" w:hAnsi="Arial" w:cs="Arial"/>
          <w:bCs/>
          <w:color w:val="000000"/>
          <w:lang w:val="en-GB"/>
        </w:rPr>
        <w:t>all LLOs are insured by the Victorian Managed Insurance Authority</w:t>
      </w:r>
      <w:proofErr w:type="gramEnd"/>
      <w:r w:rsidRPr="00813BDA">
        <w:rPr>
          <w:rFonts w:ascii="Arial" w:hAnsi="Arial" w:cs="Arial"/>
          <w:bCs/>
          <w:color w:val="000000"/>
          <w:lang w:val="en-GB"/>
        </w:rPr>
        <w:t>, it is important to note that this coverage is not an equivalent to a worker’s compensation policy, leaving host employers potentially exposed.</w:t>
      </w:r>
    </w:p>
    <w:p w:rsidR="00CD2047" w:rsidRPr="00891171" w:rsidRDefault="00CD2047" w:rsidP="00CD2047">
      <w:pPr>
        <w:pStyle w:val="ListParagraph"/>
        <w:tabs>
          <w:tab w:val="left" w:pos="0"/>
          <w:tab w:val="left" w:pos="1080"/>
        </w:tabs>
        <w:ind w:left="360" w:right="397"/>
        <w:rPr>
          <w:rFonts w:ascii="Arial" w:hAnsi="Arial" w:cs="Arial"/>
          <w:bCs/>
          <w:color w:val="000000"/>
          <w:lang w:val="en-GB"/>
        </w:rPr>
      </w:pPr>
    </w:p>
    <w:p w:rsidR="00CD2047" w:rsidRDefault="00CD2047" w:rsidP="00CD2047">
      <w:pPr>
        <w:pStyle w:val="ListParagraph"/>
        <w:numPr>
          <w:ilvl w:val="0"/>
          <w:numId w:val="14"/>
        </w:numPr>
        <w:tabs>
          <w:tab w:val="left" w:pos="0"/>
          <w:tab w:val="left" w:pos="1080"/>
        </w:tabs>
        <w:ind w:right="397"/>
        <w:jc w:val="both"/>
        <w:rPr>
          <w:rFonts w:ascii="Arial" w:hAnsi="Arial" w:cs="Arial"/>
          <w:bCs/>
          <w:color w:val="000000"/>
          <w:lang w:val="en-GB"/>
        </w:rPr>
      </w:pPr>
      <w:r w:rsidRPr="00813BDA">
        <w:rPr>
          <w:rFonts w:ascii="Arial" w:hAnsi="Arial" w:cs="Arial"/>
          <w:bCs/>
          <w:color w:val="000000"/>
          <w:lang w:val="en-GB"/>
        </w:rPr>
        <w:t xml:space="preserve">Alternatively, you may wish </w:t>
      </w:r>
      <w:proofErr w:type="gramStart"/>
      <w:r w:rsidRPr="00813BDA">
        <w:rPr>
          <w:rFonts w:ascii="Arial" w:hAnsi="Arial" w:cs="Arial"/>
          <w:bCs/>
          <w:color w:val="000000"/>
          <w:lang w:val="en-GB"/>
        </w:rPr>
        <w:t>to temporarily</w:t>
      </w:r>
      <w:proofErr w:type="gramEnd"/>
      <w:r w:rsidRPr="00813BDA">
        <w:rPr>
          <w:rFonts w:ascii="Arial" w:hAnsi="Arial" w:cs="Arial"/>
          <w:bCs/>
          <w:color w:val="000000"/>
          <w:lang w:val="en-GB"/>
        </w:rPr>
        <w:t xml:space="preserve"> suspend pre-accredited work experience activities until guidelines and further advice are finalised.</w:t>
      </w:r>
    </w:p>
    <w:p w:rsidR="00CD2047" w:rsidRPr="00CD2047" w:rsidRDefault="00CD2047" w:rsidP="00CD2047">
      <w:pPr>
        <w:tabs>
          <w:tab w:val="left" w:pos="0"/>
          <w:tab w:val="left" w:pos="1080"/>
        </w:tabs>
        <w:ind w:right="397"/>
        <w:rPr>
          <w:rFonts w:ascii="Arial" w:hAnsi="Arial" w:cs="Arial"/>
          <w:bCs/>
          <w:color w:val="000000"/>
          <w:lang w:val="en-GB"/>
        </w:rPr>
      </w:pPr>
    </w:p>
    <w:p w:rsidR="00CD2047" w:rsidRDefault="00CD2047" w:rsidP="00CD2047">
      <w:pPr>
        <w:tabs>
          <w:tab w:val="left" w:pos="0"/>
          <w:tab w:val="left" w:pos="1080"/>
        </w:tabs>
        <w:overflowPunct/>
        <w:autoSpaceDE/>
        <w:autoSpaceDN/>
        <w:adjustRightInd/>
        <w:ind w:left="-284" w:right="397"/>
        <w:textAlignment w:val="auto"/>
        <w:rPr>
          <w:rFonts w:ascii="Arial" w:hAnsi="Arial" w:cs="Arial"/>
          <w:bCs/>
          <w:sz w:val="22"/>
          <w:szCs w:val="22"/>
          <w:lang w:val="en-GB" w:eastAsia="en-US"/>
        </w:rPr>
      </w:pPr>
      <w:r>
        <w:rPr>
          <w:rFonts w:ascii="Arial" w:hAnsi="Arial" w:cs="Arial"/>
          <w:bCs/>
          <w:color w:val="000000"/>
          <w:sz w:val="22"/>
          <w:szCs w:val="22"/>
          <w:lang w:val="en-GB" w:eastAsia="en-US"/>
        </w:rPr>
        <w:t xml:space="preserve">If you have any questions about this memo please contact Nick Orchard on (03) 9637 2510 or by email at: </w:t>
      </w:r>
      <w:hyperlink r:id="rId10" w:history="1">
        <w:r w:rsidRPr="00687AA7">
          <w:rPr>
            <w:rStyle w:val="Hyperlink"/>
            <w:rFonts w:ascii="Arial" w:hAnsi="Arial" w:cs="Arial"/>
            <w:bCs/>
            <w:sz w:val="22"/>
            <w:szCs w:val="22"/>
            <w:lang w:val="en-GB" w:eastAsia="en-US"/>
          </w:rPr>
          <w:t>orchard.nick.n@edumail.vic.gov.au</w:t>
        </w:r>
      </w:hyperlink>
    </w:p>
    <w:p w:rsidR="00CD2047" w:rsidRDefault="00CD2047" w:rsidP="00CD2047">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29046F" w:rsidRPr="0029046F" w:rsidRDefault="0029046F" w:rsidP="00CD2047">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29046F" w:rsidRPr="0029046F"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C9" w:rsidRDefault="00BE51C9" w:rsidP="00846881">
      <w:r>
        <w:separator/>
      </w:r>
    </w:p>
  </w:endnote>
  <w:endnote w:type="continuationSeparator" w:id="0">
    <w:p w:rsidR="00BE51C9" w:rsidRDefault="00BE51C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3662E">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C9" w:rsidRDefault="00BE51C9" w:rsidP="00846881">
      <w:r>
        <w:separator/>
      </w:r>
    </w:p>
  </w:footnote>
  <w:footnote w:type="continuationSeparator" w:id="0">
    <w:p w:rsidR="00BE51C9" w:rsidRDefault="00BE51C9"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C3671"/>
    <w:multiLevelType w:val="hybridMultilevel"/>
    <w:tmpl w:val="B8FE88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10"/>
  </w:num>
  <w:num w:numId="5">
    <w:abstractNumId w:val="1"/>
  </w:num>
  <w:num w:numId="6">
    <w:abstractNumId w:val="9"/>
  </w:num>
  <w:num w:numId="7">
    <w:abstractNumId w:val="5"/>
  </w:num>
  <w:num w:numId="8">
    <w:abstractNumId w:val="12"/>
  </w:num>
  <w:num w:numId="9">
    <w:abstractNumId w:val="8"/>
  </w:num>
  <w:num w:numId="10">
    <w:abstractNumId w:val="7"/>
  </w:num>
  <w:num w:numId="11">
    <w:abstractNumId w:val="6"/>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F77"/>
    <w:rsid w:val="00206E94"/>
    <w:rsid w:val="00213CB1"/>
    <w:rsid w:val="00234DCA"/>
    <w:rsid w:val="00241DCD"/>
    <w:rsid w:val="00264866"/>
    <w:rsid w:val="002774C1"/>
    <w:rsid w:val="002831C1"/>
    <w:rsid w:val="00284B19"/>
    <w:rsid w:val="0029046F"/>
    <w:rsid w:val="002A24E2"/>
    <w:rsid w:val="002B15E5"/>
    <w:rsid w:val="00340366"/>
    <w:rsid w:val="00352C50"/>
    <w:rsid w:val="00384947"/>
    <w:rsid w:val="003966A5"/>
    <w:rsid w:val="003B2C9D"/>
    <w:rsid w:val="003B7B63"/>
    <w:rsid w:val="003D454C"/>
    <w:rsid w:val="003F0B63"/>
    <w:rsid w:val="003F3D59"/>
    <w:rsid w:val="003F640F"/>
    <w:rsid w:val="004304A3"/>
    <w:rsid w:val="00453CAD"/>
    <w:rsid w:val="004604A8"/>
    <w:rsid w:val="0048144F"/>
    <w:rsid w:val="004B182C"/>
    <w:rsid w:val="004C32C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211FC"/>
    <w:rsid w:val="00B25302"/>
    <w:rsid w:val="00B33E4F"/>
    <w:rsid w:val="00B41E45"/>
    <w:rsid w:val="00B5136F"/>
    <w:rsid w:val="00B632F5"/>
    <w:rsid w:val="00B72FE6"/>
    <w:rsid w:val="00BB3E50"/>
    <w:rsid w:val="00BB4A46"/>
    <w:rsid w:val="00BE51C9"/>
    <w:rsid w:val="00C151BB"/>
    <w:rsid w:val="00C373FC"/>
    <w:rsid w:val="00C75A39"/>
    <w:rsid w:val="00C83B90"/>
    <w:rsid w:val="00CA0D2E"/>
    <w:rsid w:val="00CB16A1"/>
    <w:rsid w:val="00CB3905"/>
    <w:rsid w:val="00CD0632"/>
    <w:rsid w:val="00CD2047"/>
    <w:rsid w:val="00CE69B8"/>
    <w:rsid w:val="00CF6891"/>
    <w:rsid w:val="00D33418"/>
    <w:rsid w:val="00D3662E"/>
    <w:rsid w:val="00D53A53"/>
    <w:rsid w:val="00DB7126"/>
    <w:rsid w:val="00DD6095"/>
    <w:rsid w:val="00DD6855"/>
    <w:rsid w:val="00E320A4"/>
    <w:rsid w:val="00E35F90"/>
    <w:rsid w:val="00E7302D"/>
    <w:rsid w:val="00E91E6B"/>
    <w:rsid w:val="00EE4BD9"/>
    <w:rsid w:val="00EE5E95"/>
    <w:rsid w:val="00F11CAC"/>
    <w:rsid w:val="00F13297"/>
    <w:rsid w:val="00F17667"/>
    <w:rsid w:val="00F24B4E"/>
    <w:rsid w:val="00F30F82"/>
    <w:rsid w:val="00F343D3"/>
    <w:rsid w:val="00F8781E"/>
    <w:rsid w:val="00F93F26"/>
    <w:rsid w:val="00FC2118"/>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F682D"/>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rchard.nick.n@edumail.vi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8CB20D-B3FF-4205-8804-D868720F5044}"/>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1928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creator>08306670</dc:creator>
  <cp:lastModifiedBy>Morrow, Jackie A</cp:lastModifiedBy>
  <cp:revision>5</cp:revision>
  <cp:lastPrinted>2007-01-10T22:20:00Z</cp:lastPrinted>
  <dcterms:created xsi:type="dcterms:W3CDTF">2017-07-17T02:32:00Z</dcterms:created>
  <dcterms:modified xsi:type="dcterms:W3CDTF">2017-07-17T02:36:00Z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