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C569BE" w:rsidTr="006834B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C569BE" w:rsidRDefault="003966A5" w:rsidP="006834B9">
            <w:pPr>
              <w:ind w:left="432" w:right="397"/>
              <w:rPr>
                <w:rFonts w:ascii="Arial" w:hAnsi="Arial" w:cs="Arial"/>
              </w:rPr>
            </w:pPr>
            <w:r w:rsidRPr="00C569BE">
              <w:rPr>
                <w:rFonts w:ascii="Arial" w:hAnsi="Arial" w:cs="Arial"/>
                <w:noProof/>
                <w:lang w:val="en-AU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6834B9" w:rsidRPr="006F3F2F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834B9" w:rsidRPr="006F3F2F" w:rsidRDefault="006834B9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29046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:rsidR="006834B9" w:rsidRDefault="006834B9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7728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1031;top:930;width:951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" fillcolor="black">
                        <v:textbox style="mso-fit-shape-to-text:t"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6834B9" w:rsidRPr="006F3F2F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834B9" w:rsidRPr="006F3F2F" w:rsidRDefault="006834B9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1031;top:2124;width:951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" fillcolor="#bfbfbf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_x0000_s1029" type="#_x0000_t202" style="position:absolute;left:1031;top:474;width:951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" fillcolor="#1f497d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29046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:rsidR="006834B9" w:rsidRDefault="006834B9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Pr="00C569BE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eastAsia="en-US"/>
        </w:rPr>
      </w:pPr>
    </w:p>
    <w:p w:rsidR="009D5D01" w:rsidRPr="00C569BE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eastAsia="en-US"/>
        </w:rPr>
      </w:pPr>
    </w:p>
    <w:p w:rsidR="009D5D01" w:rsidRPr="00C569BE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eastAsia="en-US"/>
        </w:rPr>
      </w:pPr>
    </w:p>
    <w:p w:rsidR="009D5D01" w:rsidRPr="00C569BE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eastAsia="en-US"/>
        </w:rPr>
      </w:pPr>
    </w:p>
    <w:p w:rsidR="009D5D01" w:rsidRPr="00C569BE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eastAsia="en-US"/>
        </w:rPr>
      </w:pPr>
    </w:p>
    <w:p w:rsidR="00372009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eastAsia="en-US"/>
        </w:rPr>
      </w:pPr>
      <w:r w:rsidRPr="00C569BE">
        <w:rPr>
          <w:rFonts w:ascii="Arial" w:hAnsi="Arial"/>
          <w:b/>
          <w:i/>
          <w:color w:val="000000"/>
          <w:sz w:val="22"/>
          <w:szCs w:val="24"/>
          <w:lang w:eastAsia="en-US"/>
        </w:rPr>
        <w:t xml:space="preserve">NUMBER: </w:t>
      </w:r>
      <w:r w:rsidRPr="00C569BE">
        <w:rPr>
          <w:rFonts w:ascii="Arial" w:hAnsi="Arial"/>
          <w:i/>
          <w:color w:val="000000"/>
          <w:sz w:val="22"/>
          <w:szCs w:val="24"/>
          <w:lang w:eastAsia="en-US"/>
        </w:rPr>
        <w:t>201</w:t>
      </w:r>
      <w:r w:rsidR="00F13297" w:rsidRPr="00C569BE">
        <w:rPr>
          <w:rFonts w:ascii="Arial" w:hAnsi="Arial"/>
          <w:i/>
          <w:color w:val="000000"/>
          <w:sz w:val="22"/>
          <w:szCs w:val="24"/>
          <w:lang w:eastAsia="en-US"/>
        </w:rPr>
        <w:t>7</w:t>
      </w:r>
      <w:r w:rsidRPr="00C569BE">
        <w:rPr>
          <w:rFonts w:ascii="Arial" w:hAnsi="Arial"/>
          <w:i/>
          <w:color w:val="000000"/>
          <w:sz w:val="22"/>
          <w:szCs w:val="24"/>
          <w:lang w:eastAsia="en-US"/>
        </w:rPr>
        <w:t xml:space="preserve"> /</w:t>
      </w:r>
      <w:r w:rsidR="00372009">
        <w:rPr>
          <w:rFonts w:ascii="Arial" w:hAnsi="Arial"/>
          <w:i/>
          <w:color w:val="000000"/>
          <w:sz w:val="22"/>
          <w:szCs w:val="24"/>
          <w:lang w:eastAsia="en-US"/>
        </w:rPr>
        <w:t xml:space="preserve"> May / </w:t>
      </w:r>
      <w:r w:rsidR="001F4084">
        <w:rPr>
          <w:rFonts w:ascii="Arial" w:hAnsi="Arial"/>
          <w:i/>
          <w:color w:val="000000"/>
          <w:sz w:val="22"/>
          <w:szCs w:val="24"/>
          <w:lang w:eastAsia="en-US"/>
        </w:rPr>
        <w:t>30</w:t>
      </w:r>
    </w:p>
    <w:p w:rsidR="009D5D01" w:rsidRPr="00C569BE" w:rsidRDefault="00CA4EA7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eastAsia="en-US"/>
        </w:rPr>
      </w:pPr>
      <w:r>
        <w:rPr>
          <w:rFonts w:ascii="Arial" w:hAnsi="Arial"/>
          <w:i/>
          <w:color w:val="000000"/>
          <w:sz w:val="22"/>
          <w:szCs w:val="24"/>
          <w:lang w:eastAsia="en-US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3856"/>
      </w:tblGrid>
      <w:tr w:rsidR="009D5D01" w:rsidRPr="00372009" w:rsidTr="00DC7AA9">
        <w:tc>
          <w:tcPr>
            <w:tcW w:w="3119" w:type="dxa"/>
            <w:shd w:val="clear" w:color="auto" w:fill="auto"/>
          </w:tcPr>
          <w:p w:rsidR="009D5D01" w:rsidRPr="00372009" w:rsidRDefault="009D5D01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  <w:r w:rsidRPr="00372009"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  <w:t xml:space="preserve">Learn Local organisations </w:t>
            </w:r>
          </w:p>
          <w:p w:rsidR="009D5D01" w:rsidRPr="00372009" w:rsidRDefault="009D5D01" w:rsidP="00A32D4B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  <w:r w:rsidRPr="00372009">
              <w:rPr>
                <w:rFonts w:ascii="Arial" w:hAnsi="Arial" w:cs="Arial"/>
                <w:i/>
                <w:color w:val="000000"/>
                <w:sz w:val="22"/>
                <w:szCs w:val="24"/>
                <w:lang w:eastAsia="en-US"/>
              </w:rPr>
              <w:t>– AL</w:t>
            </w:r>
            <w:r w:rsidR="008317C7" w:rsidRPr="00372009">
              <w:rPr>
                <w:rFonts w:ascii="Arial" w:hAnsi="Arial" w:cs="Arial"/>
                <w:i/>
                <w:color w:val="000000"/>
                <w:sz w:val="22"/>
                <w:szCs w:val="24"/>
                <w:lang w:eastAsia="en-US"/>
              </w:rPr>
              <w:t>L</w:t>
            </w:r>
            <w:r w:rsidR="0029046F" w:rsidRPr="00372009">
              <w:rPr>
                <w:rFonts w:ascii="Arial" w:hAnsi="Arial" w:cs="Arial"/>
                <w:i/>
                <w:color w:val="000000"/>
                <w:sz w:val="22"/>
                <w:szCs w:val="24"/>
                <w:lang w:eastAsia="en-US"/>
              </w:rPr>
              <w:t xml:space="preserve"> </w:t>
            </w:r>
            <w:r w:rsidR="00A32D4B">
              <w:rPr>
                <w:rFonts w:ascii="Arial" w:hAnsi="Arial" w:cs="Arial"/>
                <w:i/>
                <w:color w:val="000000"/>
                <w:sz w:val="22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5D01" w:rsidRPr="00372009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  <w:r w:rsidRPr="00372009"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  <w:t>ACFE Board</w:t>
            </w:r>
          </w:p>
          <w:p w:rsidR="009D5D01" w:rsidRPr="00372009" w:rsidRDefault="009D5D01" w:rsidP="006834B9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3856" w:type="dxa"/>
            <w:shd w:val="clear" w:color="auto" w:fill="auto"/>
          </w:tcPr>
          <w:p w:rsidR="009D5D01" w:rsidRPr="00372009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  <w:r w:rsidRPr="00372009"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  <w:t>ACFE Regional Councils</w:t>
            </w:r>
          </w:p>
        </w:tc>
      </w:tr>
      <w:tr w:rsidR="0029046F" w:rsidRPr="00372009" w:rsidTr="00DC7AA9">
        <w:tc>
          <w:tcPr>
            <w:tcW w:w="3119" w:type="dxa"/>
            <w:shd w:val="clear" w:color="auto" w:fill="auto"/>
          </w:tcPr>
          <w:p w:rsidR="0029046F" w:rsidRPr="00372009" w:rsidRDefault="0029046F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  <w:r w:rsidRPr="00372009"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29046F" w:rsidRPr="00372009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  <w:r w:rsidRPr="00372009"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  <w:t>Learn Local Stakeholders</w:t>
            </w:r>
          </w:p>
        </w:tc>
        <w:tc>
          <w:tcPr>
            <w:tcW w:w="3856" w:type="dxa"/>
            <w:shd w:val="clear" w:color="auto" w:fill="auto"/>
          </w:tcPr>
          <w:p w:rsidR="0029046F" w:rsidRPr="00372009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  <w:r w:rsidRPr="00372009"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  <w:t>Participation Branch Staff</w:t>
            </w:r>
          </w:p>
          <w:p w:rsidR="0029046F" w:rsidRPr="00372009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4"/>
                <w:lang w:eastAsia="en-US"/>
              </w:rPr>
            </w:pPr>
          </w:p>
        </w:tc>
      </w:tr>
    </w:tbl>
    <w:p w:rsidR="009D5D01" w:rsidRPr="00C569BE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eastAsia="en-US"/>
        </w:rPr>
      </w:pPr>
    </w:p>
    <w:p w:rsidR="001B728F" w:rsidRPr="00372009" w:rsidRDefault="009D5D01" w:rsidP="00CE6A60">
      <w:pPr>
        <w:tabs>
          <w:tab w:val="left" w:pos="1080"/>
          <w:tab w:val="left" w:pos="9356"/>
        </w:tabs>
        <w:spacing w:before="100"/>
        <w:ind w:left="-284" w:right="397"/>
        <w:rPr>
          <w:rFonts w:ascii="Arial" w:hAnsi="Arial" w:cs="Arial"/>
          <w:color w:val="000000"/>
          <w:sz w:val="22"/>
          <w:szCs w:val="24"/>
          <w:lang w:eastAsia="en-US"/>
        </w:rPr>
      </w:pPr>
      <w:r w:rsidRPr="00372009">
        <w:rPr>
          <w:rFonts w:ascii="Arial" w:hAnsi="Arial" w:cs="Arial"/>
          <w:b/>
          <w:color w:val="000000"/>
          <w:sz w:val="22"/>
          <w:lang w:eastAsia="en-US"/>
        </w:rPr>
        <w:t>FROM:</w:t>
      </w:r>
      <w:r w:rsidRPr="00372009">
        <w:rPr>
          <w:rFonts w:ascii="Arial" w:hAnsi="Arial" w:cs="Arial"/>
          <w:b/>
          <w:color w:val="000000"/>
          <w:sz w:val="22"/>
          <w:lang w:eastAsia="en-US"/>
        </w:rPr>
        <w:tab/>
      </w:r>
      <w:r w:rsidR="00CA4EA7" w:rsidRPr="00372009">
        <w:rPr>
          <w:rFonts w:ascii="Arial" w:hAnsi="Arial" w:cs="Arial"/>
          <w:color w:val="000000"/>
          <w:sz w:val="22"/>
          <w:lang w:eastAsia="en-US"/>
        </w:rPr>
        <w:t>Ryan Collins</w:t>
      </w:r>
      <w:r w:rsidR="004E29A2" w:rsidRPr="00372009">
        <w:rPr>
          <w:rFonts w:ascii="Arial" w:hAnsi="Arial" w:cs="Arial"/>
          <w:color w:val="000000"/>
          <w:sz w:val="22"/>
          <w:szCs w:val="24"/>
          <w:lang w:eastAsia="en-US"/>
        </w:rPr>
        <w:t xml:space="preserve">, </w:t>
      </w:r>
      <w:r w:rsidR="0029046F" w:rsidRPr="00372009">
        <w:rPr>
          <w:rFonts w:ascii="Arial" w:hAnsi="Arial" w:cs="Arial"/>
          <w:color w:val="000000"/>
          <w:sz w:val="22"/>
          <w:szCs w:val="24"/>
          <w:lang w:eastAsia="en-US"/>
        </w:rPr>
        <w:t>D</w:t>
      </w:r>
      <w:r w:rsidR="004E29A2" w:rsidRPr="00372009">
        <w:rPr>
          <w:rFonts w:ascii="Arial" w:hAnsi="Arial" w:cs="Arial"/>
          <w:color w:val="000000"/>
          <w:sz w:val="22"/>
          <w:szCs w:val="24"/>
          <w:lang w:eastAsia="en-US"/>
        </w:rPr>
        <w:t xml:space="preserve">irector - </w:t>
      </w:r>
      <w:r w:rsidRPr="00372009">
        <w:rPr>
          <w:rFonts w:ascii="Arial" w:hAnsi="Arial" w:cs="Arial"/>
          <w:color w:val="000000"/>
          <w:sz w:val="22"/>
          <w:szCs w:val="24"/>
          <w:lang w:eastAsia="en-US"/>
        </w:rPr>
        <w:t>Participation Branch</w:t>
      </w:r>
    </w:p>
    <w:p w:rsidR="00372009" w:rsidRDefault="009D5D01" w:rsidP="00CE6A60">
      <w:pPr>
        <w:tabs>
          <w:tab w:val="left" w:pos="1080"/>
        </w:tabs>
        <w:spacing w:before="100"/>
        <w:ind w:left="-284" w:right="397"/>
        <w:rPr>
          <w:rFonts w:ascii="Arial" w:hAnsi="Arial" w:cs="Arial"/>
          <w:color w:val="000000"/>
          <w:sz w:val="22"/>
          <w:lang w:eastAsia="en-US"/>
        </w:rPr>
      </w:pPr>
      <w:r w:rsidRPr="00372009">
        <w:rPr>
          <w:rFonts w:ascii="Arial" w:hAnsi="Arial" w:cs="Arial"/>
          <w:b/>
          <w:color w:val="000000"/>
          <w:sz w:val="22"/>
          <w:lang w:eastAsia="en-US"/>
        </w:rPr>
        <w:t>DATE:</w:t>
      </w:r>
      <w:r w:rsidRPr="00372009">
        <w:rPr>
          <w:rFonts w:ascii="Arial" w:hAnsi="Arial" w:cs="Arial"/>
          <w:b/>
          <w:color w:val="000000"/>
          <w:sz w:val="22"/>
          <w:lang w:eastAsia="en-US"/>
        </w:rPr>
        <w:tab/>
      </w:r>
      <w:r w:rsidR="001F4084">
        <w:rPr>
          <w:rFonts w:ascii="Arial" w:hAnsi="Arial" w:cs="Arial"/>
          <w:color w:val="000000"/>
          <w:sz w:val="22"/>
          <w:lang w:eastAsia="en-US"/>
        </w:rPr>
        <w:t>30</w:t>
      </w:r>
      <w:r w:rsidR="00372009" w:rsidRPr="00372009">
        <w:rPr>
          <w:rFonts w:ascii="Arial" w:hAnsi="Arial" w:cs="Arial"/>
          <w:color w:val="000000"/>
          <w:sz w:val="22"/>
          <w:lang w:eastAsia="en-US"/>
        </w:rPr>
        <w:t xml:space="preserve"> May </w:t>
      </w:r>
      <w:r w:rsidR="00CD45B8" w:rsidRPr="00372009">
        <w:rPr>
          <w:rFonts w:ascii="Arial" w:hAnsi="Arial" w:cs="Arial"/>
          <w:color w:val="000000"/>
          <w:sz w:val="22"/>
          <w:lang w:eastAsia="en-US"/>
        </w:rPr>
        <w:t>2017</w:t>
      </w:r>
    </w:p>
    <w:p w:rsidR="00DC7AA9" w:rsidRDefault="00DC7AA9" w:rsidP="00DC7AA9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DC7AA9">
        <w:rPr>
          <w:rFonts w:ascii="Arial" w:hAnsi="Arial" w:cs="Arial"/>
          <w:bCs/>
          <w:i/>
          <w:noProof/>
          <w:color w:val="000000"/>
          <w:sz w:val="22"/>
          <w:szCs w:val="22"/>
          <w:lang w:val="en-A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387350</wp:posOffset>
                </wp:positionV>
                <wp:extent cx="6696075" cy="119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AA9" w:rsidRDefault="00DC7AA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C7A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ACTIONS / CRITICAL DATES: </w:t>
                            </w:r>
                          </w:p>
                          <w:p w:rsidR="00DC7AA9" w:rsidRPr="00DC7AA9" w:rsidRDefault="00DC7AA9" w:rsidP="00DC7AA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C7AA9">
                              <w:rPr>
                                <w:rFonts w:ascii="Arial" w:hAnsi="Arial" w:cs="Arial"/>
                              </w:rPr>
                              <w:t xml:space="preserve">Learn Local Organisations are encouraged to share their experiences in working with TAFE Institutes </w:t>
                            </w:r>
                            <w:r w:rsidR="000A314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C7AA9">
                              <w:rPr>
                                <w:rFonts w:ascii="Arial" w:hAnsi="Arial" w:cs="Arial"/>
                              </w:rPr>
                              <w:t xml:space="preserve"> with the project </w:t>
                            </w:r>
                            <w:r w:rsidR="00CE352C">
                              <w:rPr>
                                <w:rFonts w:ascii="Arial" w:hAnsi="Arial" w:cs="Arial"/>
                              </w:rPr>
                              <w:t>consultants</w:t>
                            </w:r>
                          </w:p>
                          <w:p w:rsidR="00DC7AA9" w:rsidRPr="00DC7AA9" w:rsidRDefault="00DC7AA9" w:rsidP="00DC7AA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Arial"/>
                              </w:rPr>
                            </w:pPr>
                            <w:r w:rsidRPr="00DC7AA9">
                              <w:rPr>
                                <w:rFonts w:ascii="Arial" w:hAnsi="Arial" w:cs="Arial"/>
                              </w:rPr>
                              <w:t xml:space="preserve">Interested </w:t>
                            </w:r>
                            <w:proofErr w:type="spellStart"/>
                            <w:r w:rsidR="00FF5635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FF5635" w:rsidRPr="00DC7AA9">
                              <w:rPr>
                                <w:rFonts w:ascii="Arial" w:hAnsi="Arial" w:cs="Arial"/>
                              </w:rPr>
                              <w:t>rganisations</w:t>
                            </w:r>
                            <w:proofErr w:type="spellEnd"/>
                            <w:r w:rsidRPr="00DC7AA9">
                              <w:rPr>
                                <w:rFonts w:ascii="Arial" w:hAnsi="Arial" w:cs="Arial"/>
                              </w:rPr>
                              <w:t xml:space="preserve"> should </w:t>
                            </w:r>
                            <w:r w:rsidR="00FF5635">
                              <w:rPr>
                                <w:rFonts w:ascii="Arial" w:hAnsi="Arial" w:cs="Arial"/>
                              </w:rPr>
                              <w:t xml:space="preserve">make </w:t>
                            </w:r>
                            <w:r w:rsidRPr="00DC7AA9">
                              <w:rPr>
                                <w:rFonts w:ascii="Arial" w:hAnsi="Arial" w:cs="Arial"/>
                              </w:rPr>
                              <w:t xml:space="preserve">contact </w:t>
                            </w:r>
                            <w:r w:rsidR="00FF5635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Pr="00DC7AA9">
                              <w:rPr>
                                <w:rFonts w:ascii="Arial" w:hAnsi="Arial" w:cs="Arial"/>
                              </w:rPr>
                              <w:t>the Project Manager, Wendy Draayers, as soon as possible</w:t>
                            </w:r>
                            <w:r w:rsidR="00775F80">
                              <w:rPr>
                                <w:rFonts w:ascii="Arial" w:hAnsi="Arial" w:cs="Arial"/>
                              </w:rPr>
                              <w:t xml:space="preserve"> and within the next two weeks in order to meet the project timelines. </w:t>
                            </w:r>
                            <w:r w:rsidRPr="00DC7A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75F80">
                              <w:rPr>
                                <w:rFonts w:ascii="Arial" w:hAnsi="Arial" w:cs="Arial"/>
                              </w:rPr>
                              <w:t>Wendy can be contacted on</w:t>
                            </w:r>
                            <w:r w:rsidRPr="00DC7AA9">
                              <w:rPr>
                                <w:rFonts w:ascii="Arial" w:hAnsi="Arial" w:cs="Arial"/>
                              </w:rPr>
                              <w:t xml:space="preserve"> 03 96398100 or </w:t>
                            </w:r>
                            <w:hyperlink r:id="rId10" w:history="1">
                              <w:r w:rsidRPr="00DC7A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lang w:eastAsia="en-AU"/>
                                </w:rPr>
                                <w:t>wdraayers@vta.vic.edu.au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 </w:t>
                            </w:r>
                          </w:p>
                          <w:p w:rsidR="00DC7AA9" w:rsidRPr="00DC7AA9" w:rsidRDefault="00DC7AA9" w:rsidP="00DC7AA9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DC7AA9" w:rsidRDefault="00DC7AA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7AA9" w:rsidRDefault="00DC7AA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7AA9" w:rsidRPr="00DC7AA9" w:rsidRDefault="00DC7AA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19.45pt;margin-top:30.5pt;width:527.25pt;height:9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Z3JwIAAE4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">
                <v:textbox>
                  <w:txbxContent>
                    <w:p w:rsidR="00DC7AA9" w:rsidRDefault="00DC7AA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C7AA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ACTIONS / CRITICAL DATES: </w:t>
                      </w:r>
                    </w:p>
                    <w:p w:rsidR="00DC7AA9" w:rsidRPr="00DC7AA9" w:rsidRDefault="00DC7AA9" w:rsidP="00DC7AA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DC7AA9">
                        <w:rPr>
                          <w:rFonts w:ascii="Arial" w:hAnsi="Arial" w:cs="Arial"/>
                        </w:rPr>
                        <w:t xml:space="preserve">Learn Local Organisations are encouraged to share their experiences in working with TAFE Institutes </w:t>
                      </w:r>
                      <w:r w:rsidR="000A3142">
                        <w:rPr>
                          <w:rFonts w:ascii="Arial" w:hAnsi="Arial" w:cs="Arial"/>
                        </w:rPr>
                        <w:t xml:space="preserve"> </w:t>
                      </w:r>
                      <w:r w:rsidRPr="00DC7AA9">
                        <w:rPr>
                          <w:rFonts w:ascii="Arial" w:hAnsi="Arial" w:cs="Arial"/>
                        </w:rPr>
                        <w:t xml:space="preserve"> with the project </w:t>
                      </w:r>
                      <w:r w:rsidR="00CE352C">
                        <w:rPr>
                          <w:rFonts w:ascii="Arial" w:hAnsi="Arial" w:cs="Arial"/>
                        </w:rPr>
                        <w:t>consultants</w:t>
                      </w:r>
                    </w:p>
                    <w:p w:rsidR="00DC7AA9" w:rsidRPr="00DC7AA9" w:rsidRDefault="00DC7AA9" w:rsidP="00DC7AA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Arial"/>
                        </w:rPr>
                      </w:pPr>
                      <w:r w:rsidRPr="00DC7AA9">
                        <w:rPr>
                          <w:rFonts w:ascii="Arial" w:hAnsi="Arial" w:cs="Arial"/>
                        </w:rPr>
                        <w:t xml:space="preserve">Interested </w:t>
                      </w:r>
                      <w:proofErr w:type="spellStart"/>
                      <w:r w:rsidR="00FF5635">
                        <w:rPr>
                          <w:rFonts w:ascii="Arial" w:hAnsi="Arial" w:cs="Arial"/>
                        </w:rPr>
                        <w:t>o</w:t>
                      </w:r>
                      <w:r w:rsidR="00FF5635" w:rsidRPr="00DC7AA9">
                        <w:rPr>
                          <w:rFonts w:ascii="Arial" w:hAnsi="Arial" w:cs="Arial"/>
                        </w:rPr>
                        <w:t>rganisations</w:t>
                      </w:r>
                      <w:proofErr w:type="spellEnd"/>
                      <w:r w:rsidRPr="00DC7AA9">
                        <w:rPr>
                          <w:rFonts w:ascii="Arial" w:hAnsi="Arial" w:cs="Arial"/>
                        </w:rPr>
                        <w:t xml:space="preserve"> should </w:t>
                      </w:r>
                      <w:r w:rsidR="00FF5635">
                        <w:rPr>
                          <w:rFonts w:ascii="Arial" w:hAnsi="Arial" w:cs="Arial"/>
                        </w:rPr>
                        <w:t xml:space="preserve">make </w:t>
                      </w:r>
                      <w:r w:rsidRPr="00DC7AA9">
                        <w:rPr>
                          <w:rFonts w:ascii="Arial" w:hAnsi="Arial" w:cs="Arial"/>
                        </w:rPr>
                        <w:t xml:space="preserve">contact </w:t>
                      </w:r>
                      <w:r w:rsidR="00FF5635">
                        <w:rPr>
                          <w:rFonts w:ascii="Arial" w:hAnsi="Arial" w:cs="Arial"/>
                        </w:rPr>
                        <w:t xml:space="preserve">with </w:t>
                      </w:r>
                      <w:r w:rsidRPr="00DC7AA9">
                        <w:rPr>
                          <w:rFonts w:ascii="Arial" w:hAnsi="Arial" w:cs="Arial"/>
                        </w:rPr>
                        <w:t>the Project Manager, Wendy Draayers, as soon as possible</w:t>
                      </w:r>
                      <w:r w:rsidR="00775F80">
                        <w:rPr>
                          <w:rFonts w:ascii="Arial" w:hAnsi="Arial" w:cs="Arial"/>
                        </w:rPr>
                        <w:t xml:space="preserve"> and within the next two weeks in order to meet the project timelines. </w:t>
                      </w:r>
                      <w:r w:rsidRPr="00DC7AA9">
                        <w:rPr>
                          <w:rFonts w:ascii="Arial" w:hAnsi="Arial" w:cs="Arial"/>
                        </w:rPr>
                        <w:t xml:space="preserve"> </w:t>
                      </w:r>
                      <w:r w:rsidR="00775F80">
                        <w:rPr>
                          <w:rFonts w:ascii="Arial" w:hAnsi="Arial" w:cs="Arial"/>
                        </w:rPr>
                        <w:t>Wendy can be contacted on</w:t>
                      </w:r>
                      <w:r w:rsidRPr="00DC7AA9">
                        <w:rPr>
                          <w:rFonts w:ascii="Arial" w:hAnsi="Arial" w:cs="Arial"/>
                        </w:rPr>
                        <w:t xml:space="preserve"> 03 96398100 or </w:t>
                      </w:r>
                      <w:hyperlink r:id="rId11" w:history="1">
                        <w:r w:rsidRPr="00DC7AA9">
                          <w:rPr>
                            <w:rStyle w:val="Hyperlink"/>
                            <w:rFonts w:ascii="Arial" w:hAnsi="Arial" w:cs="Arial"/>
                            <w:color w:val="auto"/>
                            <w:lang w:eastAsia="en-AU"/>
                          </w:rPr>
                          <w:t>wdraayers@vta.vic.edu.au</w:t>
                        </w:r>
                      </w:hyperlink>
                      <w:r>
                        <w:rPr>
                          <w:rFonts w:ascii="Arial" w:hAnsi="Arial" w:cs="Arial"/>
                          <w:lang w:eastAsia="en-AU"/>
                        </w:rPr>
                        <w:t xml:space="preserve"> </w:t>
                      </w:r>
                    </w:p>
                    <w:p w:rsidR="00DC7AA9" w:rsidRPr="00DC7AA9" w:rsidRDefault="00DC7AA9" w:rsidP="00DC7AA9">
                      <w:pPr>
                        <w:pStyle w:val="ListParagraph"/>
                        <w:ind w:left="360"/>
                        <w:rPr>
                          <w:rFonts w:asciiTheme="minorHAnsi" w:hAnsiTheme="minorHAnsi" w:cs="Arial"/>
                        </w:rPr>
                      </w:pPr>
                    </w:p>
                    <w:p w:rsidR="00DC7AA9" w:rsidRDefault="00DC7AA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DC7AA9" w:rsidRDefault="00DC7AA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DC7AA9" w:rsidRPr="00DC7AA9" w:rsidRDefault="00DC7AA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5D01" w:rsidRPr="00372009">
        <w:rPr>
          <w:rFonts w:ascii="Arial" w:hAnsi="Arial" w:cs="Arial"/>
          <w:b/>
          <w:color w:val="000000"/>
          <w:sz w:val="22"/>
          <w:lang w:eastAsia="en-US"/>
        </w:rPr>
        <w:t>SUBJECT:</w:t>
      </w:r>
      <w:r w:rsidR="009D5D01" w:rsidRPr="00372009">
        <w:rPr>
          <w:rFonts w:ascii="Arial" w:hAnsi="Arial" w:cs="Arial"/>
          <w:b/>
          <w:color w:val="000000"/>
          <w:sz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lang w:eastAsia="en-US"/>
        </w:rPr>
        <w:t>TAFE-LEARN LOCAL ROADMAP PROJECT</w:t>
      </w:r>
    </w:p>
    <w:p w:rsidR="00DC7AA9" w:rsidRPr="00C569BE" w:rsidRDefault="00DC7AA9" w:rsidP="00DC7AA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C569B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____________________________________________________________________________________</w:t>
      </w:r>
    </w:p>
    <w:p w:rsidR="00DC7AA9" w:rsidRPr="00C569BE" w:rsidRDefault="00DC7AA9" w:rsidP="00DC7AA9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DC7AA9" w:rsidRDefault="00DC7AA9" w:rsidP="000A3142">
      <w:pPr>
        <w:overflowPunct/>
        <w:autoSpaceDE/>
        <w:autoSpaceDN/>
        <w:adjustRightInd/>
        <w:spacing w:line="276" w:lineRule="auto"/>
        <w:ind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5B17" w:rsidRPr="007D205E" w:rsidRDefault="00881210" w:rsidP="007D205E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Project </w:t>
      </w:r>
      <w:r w:rsidR="0091504C">
        <w:rPr>
          <w:rFonts w:ascii="Arial" w:eastAsiaTheme="minorHAnsi" w:hAnsi="Arial" w:cs="Arial"/>
          <w:b/>
          <w:sz w:val="22"/>
          <w:szCs w:val="22"/>
          <w:lang w:eastAsia="en-US"/>
        </w:rPr>
        <w:t>Overview</w:t>
      </w:r>
    </w:p>
    <w:p w:rsidR="005962BC" w:rsidRDefault="000A3142" w:rsidP="002B1910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The ACFE Board is funding a project to develop a ‘</w:t>
      </w:r>
      <w:r w:rsidR="007D205E">
        <w:rPr>
          <w:rFonts w:ascii="Arial" w:eastAsiaTheme="minorHAnsi" w:hAnsi="Arial" w:cs="Arial"/>
          <w:sz w:val="22"/>
          <w:szCs w:val="22"/>
          <w:lang w:eastAsia="en-US"/>
        </w:rPr>
        <w:t>R</w:t>
      </w:r>
      <w:r>
        <w:rPr>
          <w:rFonts w:ascii="Arial" w:eastAsiaTheme="minorHAnsi" w:hAnsi="Arial" w:cs="Arial"/>
          <w:sz w:val="22"/>
          <w:szCs w:val="22"/>
          <w:lang w:eastAsia="en-US"/>
        </w:rPr>
        <w:t>oadmap’ to assist TAFE Institutes and Learn Local organisations establish and maintain more effective</w:t>
      </w:r>
      <w:r w:rsidR="00FF5635">
        <w:rPr>
          <w:rFonts w:ascii="Arial" w:eastAsiaTheme="minorHAnsi" w:hAnsi="Arial" w:cs="Arial"/>
          <w:sz w:val="22"/>
          <w:szCs w:val="22"/>
          <w:lang w:eastAsia="en-US"/>
        </w:rPr>
        <w:t xml:space="preserve"> working </w:t>
      </w:r>
      <w:r w:rsidR="007D205E">
        <w:rPr>
          <w:rFonts w:ascii="Arial" w:eastAsiaTheme="minorHAnsi" w:hAnsi="Arial" w:cs="Arial"/>
          <w:sz w:val="22"/>
          <w:szCs w:val="22"/>
          <w:lang w:eastAsia="en-US"/>
        </w:rPr>
        <w:t>relationships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and </w:t>
      </w:r>
      <w:r w:rsidR="00FF5635">
        <w:rPr>
          <w:rFonts w:ascii="Arial" w:eastAsiaTheme="minorHAnsi" w:hAnsi="Arial" w:cs="Arial"/>
          <w:sz w:val="22"/>
          <w:szCs w:val="22"/>
          <w:lang w:eastAsia="en-US"/>
        </w:rPr>
        <w:t xml:space="preserve">to </w:t>
      </w:r>
      <w:r w:rsidR="007D205E">
        <w:rPr>
          <w:rFonts w:ascii="Arial" w:eastAsiaTheme="minorHAnsi" w:hAnsi="Arial" w:cs="Arial"/>
          <w:sz w:val="22"/>
          <w:szCs w:val="22"/>
          <w:lang w:eastAsia="en-US"/>
        </w:rPr>
        <w:t>identify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opportunities to collaborate more closely in meeting the needs of individuals and businesses in local communities.</w:t>
      </w:r>
      <w:r w:rsidR="00CF679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91504C" w:rsidRDefault="0091504C" w:rsidP="0091504C">
      <w:pPr>
        <w:overflowPunct/>
        <w:autoSpaceDE/>
        <w:autoSpaceDN/>
        <w:adjustRightInd/>
        <w:spacing w:line="276" w:lineRule="auto"/>
        <w:ind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91504C" w:rsidRDefault="0091504C" w:rsidP="0091504C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The project is being managed by the Victoria</w:t>
      </w:r>
      <w:r w:rsidR="00CE352C">
        <w:rPr>
          <w:rFonts w:ascii="Arial" w:eastAsiaTheme="minorHAnsi" w:hAnsi="Arial" w:cs="Arial"/>
          <w:sz w:val="22"/>
          <w:szCs w:val="22"/>
          <w:lang w:eastAsia="en-US"/>
        </w:rPr>
        <w:t>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TAFE Association (VTA) in collaboration with the ACFE Board and the Department, and has a major focus on identifying and promoting examples of good practice in TAFE-Learn Local collaboration to highlight the benefits to learners, communities and to the providers involved.</w:t>
      </w:r>
    </w:p>
    <w:p w:rsidR="0091504C" w:rsidRDefault="0091504C" w:rsidP="0091504C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91504C" w:rsidRDefault="0091504C" w:rsidP="0091504C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Under Skills First, improved collaboration between TAFE and Learn Local organisations is a key strategy for achieving improvements in the number of underrepresented priority learners engaging and achieving in VET and transitioning to employment.</w:t>
      </w:r>
    </w:p>
    <w:p w:rsidR="005C375B" w:rsidRDefault="005C375B" w:rsidP="0091504C">
      <w:pPr>
        <w:overflowPunct/>
        <w:autoSpaceDE/>
        <w:autoSpaceDN/>
        <w:adjustRightInd/>
        <w:spacing w:line="276" w:lineRule="auto"/>
        <w:ind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562D" w:rsidRDefault="00CF679A" w:rsidP="00CE352C">
      <w:pPr>
        <w:overflowPunct/>
        <w:autoSpaceDE/>
        <w:autoSpaceDN/>
        <w:adjustRightInd/>
        <w:spacing w:line="276" w:lineRule="auto"/>
        <w:ind w:left="-284" w:right="-125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Co</w:t>
      </w:r>
      <w:r w:rsidR="0091504C">
        <w:rPr>
          <w:rFonts w:ascii="Arial" w:eastAsiaTheme="minorHAnsi" w:hAnsi="Arial" w:cs="Arial"/>
          <w:sz w:val="22"/>
          <w:szCs w:val="22"/>
          <w:lang w:eastAsia="en-US"/>
        </w:rPr>
        <w:t xml:space="preserve">llaboration can take many forms and is built on a shared focus on the needs of learners and communities. It may include, for example, </w:t>
      </w:r>
    </w:p>
    <w:p w:rsidR="003C562D" w:rsidRDefault="007D205E" w:rsidP="00CE352C">
      <w:pPr>
        <w:pStyle w:val="ListParagraph"/>
        <w:numPr>
          <w:ilvl w:val="0"/>
          <w:numId w:val="15"/>
        </w:numPr>
        <w:ind w:right="-125"/>
        <w:rPr>
          <w:rFonts w:ascii="Arial" w:eastAsiaTheme="minorHAnsi" w:hAnsi="Arial" w:cs="Arial"/>
        </w:rPr>
      </w:pPr>
      <w:r w:rsidRPr="003C562D">
        <w:rPr>
          <w:rFonts w:ascii="Arial" w:eastAsiaTheme="minorHAnsi" w:hAnsi="Arial" w:cs="Arial"/>
        </w:rPr>
        <w:t>training delivery</w:t>
      </w:r>
    </w:p>
    <w:p w:rsidR="003C562D" w:rsidRDefault="005962BC" w:rsidP="00CE352C">
      <w:pPr>
        <w:pStyle w:val="ListParagraph"/>
        <w:numPr>
          <w:ilvl w:val="0"/>
          <w:numId w:val="15"/>
        </w:numPr>
        <w:ind w:right="-125"/>
        <w:rPr>
          <w:rFonts w:ascii="Arial" w:eastAsiaTheme="minorHAnsi" w:hAnsi="Arial" w:cs="Arial"/>
        </w:rPr>
      </w:pPr>
      <w:r w:rsidRPr="003C562D">
        <w:rPr>
          <w:rFonts w:ascii="Arial" w:eastAsiaTheme="minorHAnsi" w:hAnsi="Arial" w:cs="Arial"/>
        </w:rPr>
        <w:t xml:space="preserve">learner </w:t>
      </w:r>
      <w:r w:rsidR="007D205E" w:rsidRPr="003C562D">
        <w:rPr>
          <w:rFonts w:ascii="Arial" w:eastAsiaTheme="minorHAnsi" w:hAnsi="Arial" w:cs="Arial"/>
        </w:rPr>
        <w:t>transition</w:t>
      </w:r>
      <w:r w:rsidRPr="003C562D">
        <w:rPr>
          <w:rFonts w:ascii="Arial" w:eastAsiaTheme="minorHAnsi" w:hAnsi="Arial" w:cs="Arial"/>
        </w:rPr>
        <w:t>s</w:t>
      </w:r>
      <w:r w:rsidR="007D205E" w:rsidRPr="003C562D">
        <w:rPr>
          <w:rFonts w:ascii="Arial" w:eastAsiaTheme="minorHAnsi" w:hAnsi="Arial" w:cs="Arial"/>
        </w:rPr>
        <w:t xml:space="preserve"> to</w:t>
      </w:r>
      <w:r w:rsidR="00CF679A" w:rsidRPr="003C562D">
        <w:rPr>
          <w:rFonts w:ascii="Arial" w:eastAsiaTheme="minorHAnsi" w:hAnsi="Arial" w:cs="Arial"/>
        </w:rPr>
        <w:t xml:space="preserve"> </w:t>
      </w:r>
      <w:r w:rsidR="00FF5635" w:rsidRPr="003C562D">
        <w:rPr>
          <w:rFonts w:ascii="Arial" w:eastAsiaTheme="minorHAnsi" w:hAnsi="Arial" w:cs="Arial"/>
        </w:rPr>
        <w:t>accredited</w:t>
      </w:r>
      <w:r w:rsidR="007D205E" w:rsidRPr="003C562D">
        <w:rPr>
          <w:rFonts w:ascii="Arial" w:eastAsiaTheme="minorHAnsi" w:hAnsi="Arial" w:cs="Arial"/>
        </w:rPr>
        <w:t xml:space="preserve"> training</w:t>
      </w:r>
    </w:p>
    <w:p w:rsidR="007C7650" w:rsidRDefault="007C7650" w:rsidP="00CE352C">
      <w:pPr>
        <w:pStyle w:val="ListParagraph"/>
        <w:numPr>
          <w:ilvl w:val="0"/>
          <w:numId w:val="15"/>
        </w:numPr>
        <w:ind w:right="-125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refer</w:t>
      </w:r>
      <w:r w:rsidR="00BB2B4C">
        <w:rPr>
          <w:rFonts w:ascii="Arial" w:eastAsiaTheme="minorHAnsi" w:hAnsi="Arial" w:cs="Arial"/>
        </w:rPr>
        <w:t>ral</w:t>
      </w:r>
      <w:r w:rsidR="003C562D" w:rsidRPr="003C562D">
        <w:rPr>
          <w:rFonts w:ascii="Arial" w:eastAsiaTheme="minorHAnsi" w:hAnsi="Arial" w:cs="Arial"/>
        </w:rPr>
        <w:t xml:space="preserve"> </w:t>
      </w:r>
      <w:r w:rsidR="007D205E" w:rsidRPr="003C562D">
        <w:rPr>
          <w:rFonts w:ascii="Arial" w:eastAsiaTheme="minorHAnsi" w:hAnsi="Arial" w:cs="Arial"/>
        </w:rPr>
        <w:t>pathways for learners requiring i</w:t>
      </w:r>
      <w:r w:rsidR="00FF5635" w:rsidRPr="003C562D">
        <w:rPr>
          <w:rFonts w:ascii="Arial" w:eastAsiaTheme="minorHAnsi" w:hAnsi="Arial" w:cs="Arial"/>
        </w:rPr>
        <w:t>nitial</w:t>
      </w:r>
      <w:r w:rsidR="005962BC" w:rsidRPr="003C562D">
        <w:rPr>
          <w:rFonts w:ascii="Arial" w:eastAsiaTheme="minorHAnsi" w:hAnsi="Arial" w:cs="Arial"/>
        </w:rPr>
        <w:t xml:space="preserve"> LLN support</w:t>
      </w:r>
    </w:p>
    <w:p w:rsidR="007C7650" w:rsidRDefault="00CF679A" w:rsidP="00CE352C">
      <w:pPr>
        <w:pStyle w:val="ListParagraph"/>
        <w:numPr>
          <w:ilvl w:val="0"/>
          <w:numId w:val="15"/>
        </w:numPr>
        <w:ind w:right="-125"/>
        <w:rPr>
          <w:rFonts w:ascii="Arial" w:eastAsiaTheme="minorHAnsi" w:hAnsi="Arial" w:cs="Arial"/>
        </w:rPr>
      </w:pPr>
      <w:r w:rsidRPr="003C562D">
        <w:rPr>
          <w:rFonts w:ascii="Arial" w:eastAsiaTheme="minorHAnsi" w:hAnsi="Arial" w:cs="Arial"/>
        </w:rPr>
        <w:t>sharing of resources a</w:t>
      </w:r>
      <w:r w:rsidR="007C7650">
        <w:rPr>
          <w:rFonts w:ascii="Arial" w:eastAsiaTheme="minorHAnsi" w:hAnsi="Arial" w:cs="Arial"/>
        </w:rPr>
        <w:t>nd facilities</w:t>
      </w:r>
    </w:p>
    <w:p w:rsidR="007C7650" w:rsidRDefault="007D205E" w:rsidP="00CE352C">
      <w:pPr>
        <w:pStyle w:val="ListParagraph"/>
        <w:numPr>
          <w:ilvl w:val="0"/>
          <w:numId w:val="15"/>
        </w:numPr>
        <w:ind w:right="-125"/>
        <w:rPr>
          <w:rFonts w:ascii="Arial" w:eastAsiaTheme="minorHAnsi" w:hAnsi="Arial" w:cs="Arial"/>
        </w:rPr>
      </w:pPr>
      <w:r w:rsidRPr="003C562D">
        <w:rPr>
          <w:rFonts w:ascii="Arial" w:eastAsiaTheme="minorHAnsi" w:hAnsi="Arial" w:cs="Arial"/>
        </w:rPr>
        <w:t>outreach to underreprese</w:t>
      </w:r>
      <w:r w:rsidR="007C7650">
        <w:rPr>
          <w:rFonts w:ascii="Arial" w:eastAsiaTheme="minorHAnsi" w:hAnsi="Arial" w:cs="Arial"/>
        </w:rPr>
        <w:t>nted groups</w:t>
      </w:r>
    </w:p>
    <w:p w:rsidR="005C375B" w:rsidRPr="003C562D" w:rsidRDefault="0091504C" w:rsidP="00CE352C">
      <w:pPr>
        <w:pStyle w:val="ListParagraph"/>
        <w:numPr>
          <w:ilvl w:val="0"/>
          <w:numId w:val="15"/>
        </w:numPr>
        <w:ind w:right="-125"/>
        <w:rPr>
          <w:rFonts w:ascii="Arial" w:eastAsiaTheme="minorHAnsi" w:hAnsi="Arial" w:cs="Arial"/>
        </w:rPr>
      </w:pPr>
      <w:r w:rsidRPr="003C562D">
        <w:rPr>
          <w:rFonts w:ascii="Arial" w:eastAsiaTheme="minorHAnsi" w:hAnsi="Arial" w:cs="Arial"/>
        </w:rPr>
        <w:t>jointly building links with</w:t>
      </w:r>
      <w:r w:rsidR="005962BC" w:rsidRPr="003C562D">
        <w:rPr>
          <w:rFonts w:ascii="Arial" w:eastAsiaTheme="minorHAnsi" w:hAnsi="Arial" w:cs="Arial"/>
        </w:rPr>
        <w:t xml:space="preserve"> local </w:t>
      </w:r>
      <w:r w:rsidR="007C7650">
        <w:rPr>
          <w:rFonts w:ascii="Arial" w:eastAsiaTheme="minorHAnsi" w:hAnsi="Arial" w:cs="Arial"/>
        </w:rPr>
        <w:t>businesses and employers</w:t>
      </w:r>
    </w:p>
    <w:p w:rsidR="00145B17" w:rsidRDefault="00145B17" w:rsidP="0091504C">
      <w:pPr>
        <w:overflowPunct/>
        <w:autoSpaceDE/>
        <w:autoSpaceDN/>
        <w:adjustRightInd/>
        <w:spacing w:line="276" w:lineRule="auto"/>
        <w:ind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7C7650" w:rsidRDefault="007C7650" w:rsidP="0091504C">
      <w:pPr>
        <w:overflowPunct/>
        <w:autoSpaceDE/>
        <w:autoSpaceDN/>
        <w:adjustRightInd/>
        <w:spacing w:line="276" w:lineRule="auto"/>
        <w:ind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7C7650" w:rsidRDefault="007C7650" w:rsidP="0091504C">
      <w:pPr>
        <w:overflowPunct/>
        <w:autoSpaceDE/>
        <w:autoSpaceDN/>
        <w:adjustRightInd/>
        <w:spacing w:line="276" w:lineRule="auto"/>
        <w:ind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5B17" w:rsidRPr="007D205E" w:rsidRDefault="00145B17" w:rsidP="007D205E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45B17">
        <w:rPr>
          <w:rFonts w:ascii="Arial" w:eastAsiaTheme="minorHAnsi" w:hAnsi="Arial" w:cs="Arial"/>
          <w:b/>
          <w:sz w:val="22"/>
          <w:szCs w:val="22"/>
          <w:lang w:eastAsia="en-US"/>
        </w:rPr>
        <w:t>Expected outcomes</w:t>
      </w:r>
    </w:p>
    <w:p w:rsidR="00145B17" w:rsidRDefault="00145B17" w:rsidP="000A3142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The Roadmap will identify critical success factors </w:t>
      </w:r>
      <w:r w:rsidR="00881210">
        <w:rPr>
          <w:rFonts w:ascii="Arial" w:eastAsiaTheme="minorHAnsi" w:hAnsi="Arial" w:cs="Arial"/>
          <w:sz w:val="22"/>
          <w:szCs w:val="22"/>
          <w:lang w:eastAsia="en-US"/>
        </w:rPr>
        <w:t xml:space="preserve">for </w:t>
      </w:r>
      <w:r>
        <w:rPr>
          <w:rFonts w:ascii="Arial" w:eastAsiaTheme="minorHAnsi" w:hAnsi="Arial" w:cs="Arial"/>
          <w:sz w:val="22"/>
          <w:szCs w:val="22"/>
          <w:lang w:eastAsia="en-US"/>
        </w:rPr>
        <w:t>working collaboratively with TAFE institutes</w:t>
      </w:r>
      <w:r w:rsidR="00881210">
        <w:rPr>
          <w:rFonts w:ascii="Arial" w:eastAsiaTheme="minorHAnsi" w:hAnsi="Arial" w:cs="Arial"/>
          <w:sz w:val="22"/>
          <w:szCs w:val="22"/>
          <w:lang w:eastAsia="en-US"/>
        </w:rPr>
        <w:t xml:space="preserve"> including opportunities to build Learn Local capacity and to assist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learners and provide them with stronger pathways into accredited training. </w:t>
      </w:r>
      <w:r w:rsidR="00CF679A">
        <w:rPr>
          <w:rFonts w:ascii="Arial" w:eastAsiaTheme="minorHAnsi" w:hAnsi="Arial" w:cs="Arial"/>
          <w:sz w:val="22"/>
          <w:szCs w:val="22"/>
          <w:lang w:eastAsia="en-US"/>
        </w:rPr>
        <w:t>The Roadmap will be completed by August this year and circulated to TAFEs and Learn Local Organisations</w:t>
      </w:r>
      <w:r w:rsidR="007C7650">
        <w:rPr>
          <w:rFonts w:ascii="Arial" w:eastAsiaTheme="minorHAnsi" w:hAnsi="Arial" w:cs="Arial"/>
          <w:sz w:val="22"/>
          <w:szCs w:val="22"/>
          <w:lang w:eastAsia="en-US"/>
        </w:rPr>
        <w:t xml:space="preserve"> to guide future collaboration between the two sectors. </w:t>
      </w:r>
    </w:p>
    <w:p w:rsidR="0091504C" w:rsidRDefault="0091504C" w:rsidP="007C7650">
      <w:pPr>
        <w:overflowPunct/>
        <w:autoSpaceDE/>
        <w:autoSpaceDN/>
        <w:adjustRightInd/>
        <w:spacing w:line="276" w:lineRule="auto"/>
        <w:ind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5B17" w:rsidRDefault="00145B17" w:rsidP="000A3142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5B17" w:rsidRPr="007C7650" w:rsidRDefault="00CF679A" w:rsidP="007C7650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How to contribute</w:t>
      </w:r>
    </w:p>
    <w:p w:rsidR="00145B17" w:rsidRPr="00CF679A" w:rsidRDefault="00145B17" w:rsidP="00775F80">
      <w:pPr>
        <w:overflowPunct/>
        <w:autoSpaceDE/>
        <w:autoSpaceDN/>
        <w:adjustRightInd/>
        <w:spacing w:line="276" w:lineRule="auto"/>
        <w:ind w:left="-284" w:right="-125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If you have experience</w:t>
      </w:r>
      <w:r w:rsidR="00CF679A">
        <w:rPr>
          <w:rFonts w:ascii="Arial" w:eastAsiaTheme="minorHAnsi" w:hAnsi="Arial" w:cs="Arial"/>
          <w:sz w:val="22"/>
          <w:szCs w:val="22"/>
          <w:lang w:eastAsia="en-US"/>
        </w:rPr>
        <w:t>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in working with TAFE institutes please share your insights with the Project Team by</w:t>
      </w:r>
      <w:r w:rsidR="00CF679A">
        <w:rPr>
          <w:rFonts w:ascii="Arial" w:eastAsiaTheme="minorHAnsi" w:hAnsi="Arial" w:cs="Arial"/>
          <w:sz w:val="22"/>
          <w:szCs w:val="22"/>
          <w:lang w:eastAsia="en-US"/>
        </w:rPr>
        <w:t xml:space="preserve"> making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contacting the Pro</w:t>
      </w:r>
      <w:r w:rsidR="00775F80">
        <w:rPr>
          <w:rFonts w:ascii="Arial" w:eastAsiaTheme="minorHAnsi" w:hAnsi="Arial" w:cs="Arial"/>
          <w:sz w:val="22"/>
          <w:szCs w:val="22"/>
          <w:lang w:eastAsia="en-US"/>
        </w:rPr>
        <w:t>ject</w:t>
      </w:r>
      <w:r w:rsidR="00DD29C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Manager, Wendy Draayers </w:t>
      </w:r>
      <w:r w:rsidR="00CF679A" w:rsidRPr="00CF679A">
        <w:rPr>
          <w:rFonts w:ascii="Arial" w:eastAsiaTheme="minorHAnsi" w:hAnsi="Arial" w:cs="Arial"/>
          <w:sz w:val="22"/>
          <w:szCs w:val="22"/>
          <w:lang w:eastAsia="en-US"/>
        </w:rPr>
        <w:t xml:space="preserve">on </w:t>
      </w:r>
      <w:r w:rsidR="00CF679A" w:rsidRPr="00CF679A">
        <w:rPr>
          <w:rFonts w:ascii="Arial" w:hAnsi="Arial" w:cs="Arial"/>
          <w:sz w:val="22"/>
          <w:szCs w:val="22"/>
        </w:rPr>
        <w:t xml:space="preserve">9639 8100 or </w:t>
      </w:r>
      <w:hyperlink r:id="rId12" w:history="1">
        <w:r w:rsidR="00CF679A" w:rsidRPr="001C3EF0">
          <w:rPr>
            <w:rStyle w:val="Hyperlink"/>
            <w:rFonts w:ascii="Arial" w:hAnsi="Arial" w:cs="Arial"/>
            <w:sz w:val="22"/>
            <w:szCs w:val="22"/>
          </w:rPr>
          <w:t>wdraayers@vta.vic.edu.au</w:t>
        </w:r>
      </w:hyperlink>
      <w:r w:rsidR="00CF679A">
        <w:rPr>
          <w:rFonts w:ascii="Arial" w:hAnsi="Arial" w:cs="Arial"/>
          <w:sz w:val="22"/>
          <w:szCs w:val="22"/>
        </w:rPr>
        <w:t xml:space="preserve">   </w:t>
      </w:r>
    </w:p>
    <w:p w:rsidR="000A3142" w:rsidRPr="00CF679A" w:rsidRDefault="000A3142" w:rsidP="000A3142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0A3142" w:rsidRDefault="000A3142" w:rsidP="000A3142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0A3142" w:rsidRDefault="000A3142" w:rsidP="002B1910">
      <w:pPr>
        <w:overflowPunct/>
        <w:autoSpaceDE/>
        <w:autoSpaceDN/>
        <w:adjustRightInd/>
        <w:spacing w:line="276" w:lineRule="auto"/>
        <w:ind w:left="-284" w:right="-125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B76D5" w:rsidRDefault="000A3142" w:rsidP="00372009">
      <w:pPr>
        <w:overflowPunct/>
        <w:autoSpaceDE/>
        <w:autoSpaceDN/>
        <w:adjustRightInd/>
        <w:spacing w:line="276" w:lineRule="auto"/>
        <w:ind w:left="-284" w:right="-126"/>
        <w:jc w:val="both"/>
        <w:textAlignment w:val="auto"/>
        <w:rPr>
          <w:rFonts w:ascii="Arial" w:eastAsiaTheme="minorHAnsi" w:hAnsi="Arial" w:cs="Arial"/>
          <w:b/>
          <w:bCs/>
          <w:color w:val="222222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372009" w:rsidRPr="00372009" w:rsidRDefault="00372009" w:rsidP="00372009">
      <w:pPr>
        <w:overflowPunct/>
        <w:autoSpaceDE/>
        <w:autoSpaceDN/>
        <w:adjustRightInd/>
        <w:spacing w:line="276" w:lineRule="auto"/>
        <w:ind w:left="-284" w:right="-126"/>
        <w:jc w:val="both"/>
        <w:textAlignment w:val="auto"/>
        <w:rPr>
          <w:rFonts w:ascii="Arial" w:eastAsiaTheme="minorHAnsi" w:hAnsi="Arial" w:cs="Arial"/>
          <w:b/>
          <w:bCs/>
          <w:color w:val="222222"/>
          <w:sz w:val="22"/>
          <w:szCs w:val="22"/>
          <w:shd w:val="clear" w:color="auto" w:fill="FFFFFF"/>
          <w:lang w:eastAsia="en-US"/>
        </w:rPr>
      </w:pPr>
    </w:p>
    <w:p w:rsidR="0029046F" w:rsidRPr="00372009" w:rsidRDefault="00FF5635" w:rsidP="00215178">
      <w:pPr>
        <w:overflowPunct/>
        <w:autoSpaceDE/>
        <w:autoSpaceDN/>
        <w:adjustRightInd/>
        <w:spacing w:after="200" w:line="276" w:lineRule="auto"/>
        <w:ind w:left="-284" w:right="-126"/>
        <w:jc w:val="both"/>
        <w:textAlignment w:val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</w:p>
    <w:sectPr w:rsidR="0029046F" w:rsidRPr="00372009" w:rsidSect="00035437">
      <w:footerReference w:type="first" r:id="rId13"/>
      <w:pgSz w:w="11907" w:h="16840" w:code="9"/>
      <w:pgMar w:top="902" w:right="992" w:bottom="249" w:left="1259" w:header="22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F3" w:rsidRDefault="003F0CF3" w:rsidP="00846881">
      <w:r>
        <w:separator/>
      </w:r>
    </w:p>
  </w:endnote>
  <w:endnote w:type="continuationSeparator" w:id="0">
    <w:p w:rsidR="003F0CF3" w:rsidRDefault="003F0CF3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EF37AE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F3" w:rsidRDefault="003F0CF3" w:rsidP="00846881">
      <w:r>
        <w:separator/>
      </w:r>
    </w:p>
  </w:footnote>
  <w:footnote w:type="continuationSeparator" w:id="0">
    <w:p w:rsidR="003F0CF3" w:rsidRDefault="003F0CF3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117EC9"/>
    <w:multiLevelType w:val="hybridMultilevel"/>
    <w:tmpl w:val="4FEA503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72B77"/>
    <w:multiLevelType w:val="hybridMultilevel"/>
    <w:tmpl w:val="71507A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C2396"/>
    <w:multiLevelType w:val="hybridMultilevel"/>
    <w:tmpl w:val="3088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35437"/>
    <w:rsid w:val="000425DB"/>
    <w:rsid w:val="00044F6A"/>
    <w:rsid w:val="00060214"/>
    <w:rsid w:val="00060EA4"/>
    <w:rsid w:val="000701E5"/>
    <w:rsid w:val="0008021C"/>
    <w:rsid w:val="000901F6"/>
    <w:rsid w:val="000946C6"/>
    <w:rsid w:val="000A28AF"/>
    <w:rsid w:val="000A3142"/>
    <w:rsid w:val="000C3753"/>
    <w:rsid w:val="000C782C"/>
    <w:rsid w:val="000C78F2"/>
    <w:rsid w:val="000E2995"/>
    <w:rsid w:val="000E4515"/>
    <w:rsid w:val="000F1867"/>
    <w:rsid w:val="00105130"/>
    <w:rsid w:val="001079BD"/>
    <w:rsid w:val="001214D4"/>
    <w:rsid w:val="00125617"/>
    <w:rsid w:val="001411A4"/>
    <w:rsid w:val="00145B17"/>
    <w:rsid w:val="001751AD"/>
    <w:rsid w:val="00181F47"/>
    <w:rsid w:val="001B728F"/>
    <w:rsid w:val="001C0117"/>
    <w:rsid w:val="001C4930"/>
    <w:rsid w:val="001D2F77"/>
    <w:rsid w:val="001F4084"/>
    <w:rsid w:val="001F506E"/>
    <w:rsid w:val="00206E94"/>
    <w:rsid w:val="00213CB1"/>
    <w:rsid w:val="00215178"/>
    <w:rsid w:val="00234DCA"/>
    <w:rsid w:val="00241DCD"/>
    <w:rsid w:val="002574C3"/>
    <w:rsid w:val="00264866"/>
    <w:rsid w:val="002774C1"/>
    <w:rsid w:val="002831C1"/>
    <w:rsid w:val="00284B19"/>
    <w:rsid w:val="0029046F"/>
    <w:rsid w:val="002A24E2"/>
    <w:rsid w:val="002B15E5"/>
    <w:rsid w:val="002B1910"/>
    <w:rsid w:val="002D08D9"/>
    <w:rsid w:val="00317F0E"/>
    <w:rsid w:val="00336C8E"/>
    <w:rsid w:val="00340366"/>
    <w:rsid w:val="00352C50"/>
    <w:rsid w:val="00372009"/>
    <w:rsid w:val="00384947"/>
    <w:rsid w:val="003966A5"/>
    <w:rsid w:val="003B2C9D"/>
    <w:rsid w:val="003B7B63"/>
    <w:rsid w:val="003C562D"/>
    <w:rsid w:val="003D454C"/>
    <w:rsid w:val="003F0B63"/>
    <w:rsid w:val="003F0CF3"/>
    <w:rsid w:val="003F3D59"/>
    <w:rsid w:val="003F640F"/>
    <w:rsid w:val="004304A3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33254"/>
    <w:rsid w:val="00540C9F"/>
    <w:rsid w:val="005543E8"/>
    <w:rsid w:val="005579E3"/>
    <w:rsid w:val="00583630"/>
    <w:rsid w:val="00590B75"/>
    <w:rsid w:val="00595287"/>
    <w:rsid w:val="005962BC"/>
    <w:rsid w:val="005B4815"/>
    <w:rsid w:val="005C375B"/>
    <w:rsid w:val="005E1085"/>
    <w:rsid w:val="005F153D"/>
    <w:rsid w:val="006254CC"/>
    <w:rsid w:val="00626260"/>
    <w:rsid w:val="00630A00"/>
    <w:rsid w:val="006344F3"/>
    <w:rsid w:val="006409D9"/>
    <w:rsid w:val="006456A1"/>
    <w:rsid w:val="00651785"/>
    <w:rsid w:val="006834B9"/>
    <w:rsid w:val="00687039"/>
    <w:rsid w:val="006903D4"/>
    <w:rsid w:val="006935A8"/>
    <w:rsid w:val="00696854"/>
    <w:rsid w:val="006A1696"/>
    <w:rsid w:val="006A5387"/>
    <w:rsid w:val="006C77C5"/>
    <w:rsid w:val="006D4561"/>
    <w:rsid w:val="006F5334"/>
    <w:rsid w:val="00717852"/>
    <w:rsid w:val="007602BC"/>
    <w:rsid w:val="0076398D"/>
    <w:rsid w:val="00764A0A"/>
    <w:rsid w:val="00770AF9"/>
    <w:rsid w:val="007716FE"/>
    <w:rsid w:val="00772628"/>
    <w:rsid w:val="00775F80"/>
    <w:rsid w:val="00790C20"/>
    <w:rsid w:val="007951E1"/>
    <w:rsid w:val="007A3F91"/>
    <w:rsid w:val="007C7650"/>
    <w:rsid w:val="007D205E"/>
    <w:rsid w:val="007E59F5"/>
    <w:rsid w:val="007E6A66"/>
    <w:rsid w:val="008317C7"/>
    <w:rsid w:val="00846881"/>
    <w:rsid w:val="00865959"/>
    <w:rsid w:val="00867D3A"/>
    <w:rsid w:val="00880ACA"/>
    <w:rsid w:val="00881210"/>
    <w:rsid w:val="0089186A"/>
    <w:rsid w:val="008D5A3C"/>
    <w:rsid w:val="008E2680"/>
    <w:rsid w:val="008E2DD6"/>
    <w:rsid w:val="008E53DE"/>
    <w:rsid w:val="008F3646"/>
    <w:rsid w:val="00903B41"/>
    <w:rsid w:val="0091504C"/>
    <w:rsid w:val="00933C17"/>
    <w:rsid w:val="00965E53"/>
    <w:rsid w:val="009706F1"/>
    <w:rsid w:val="009835AB"/>
    <w:rsid w:val="009843BA"/>
    <w:rsid w:val="0099526E"/>
    <w:rsid w:val="009C7B4C"/>
    <w:rsid w:val="009D5D01"/>
    <w:rsid w:val="009E3636"/>
    <w:rsid w:val="00A011F2"/>
    <w:rsid w:val="00A04441"/>
    <w:rsid w:val="00A14B2D"/>
    <w:rsid w:val="00A2083F"/>
    <w:rsid w:val="00A230CC"/>
    <w:rsid w:val="00A24A30"/>
    <w:rsid w:val="00A32D4B"/>
    <w:rsid w:val="00A420AB"/>
    <w:rsid w:val="00A55F97"/>
    <w:rsid w:val="00A83FB3"/>
    <w:rsid w:val="00A9135E"/>
    <w:rsid w:val="00A914BC"/>
    <w:rsid w:val="00A94D19"/>
    <w:rsid w:val="00AA4DE2"/>
    <w:rsid w:val="00AD0AF3"/>
    <w:rsid w:val="00AF0514"/>
    <w:rsid w:val="00B05E0A"/>
    <w:rsid w:val="00B211FC"/>
    <w:rsid w:val="00B25302"/>
    <w:rsid w:val="00B30B49"/>
    <w:rsid w:val="00B33E4F"/>
    <w:rsid w:val="00B41E45"/>
    <w:rsid w:val="00B5136F"/>
    <w:rsid w:val="00B632F5"/>
    <w:rsid w:val="00B72FE6"/>
    <w:rsid w:val="00B93C95"/>
    <w:rsid w:val="00BB2B4C"/>
    <w:rsid w:val="00BB4A46"/>
    <w:rsid w:val="00BE6F79"/>
    <w:rsid w:val="00C151BB"/>
    <w:rsid w:val="00C373FC"/>
    <w:rsid w:val="00C569BE"/>
    <w:rsid w:val="00C56BAF"/>
    <w:rsid w:val="00C732D0"/>
    <w:rsid w:val="00C75A39"/>
    <w:rsid w:val="00C83B90"/>
    <w:rsid w:val="00CA0D2E"/>
    <w:rsid w:val="00CA4EA7"/>
    <w:rsid w:val="00CB16A1"/>
    <w:rsid w:val="00CB3905"/>
    <w:rsid w:val="00CC31E6"/>
    <w:rsid w:val="00CD0632"/>
    <w:rsid w:val="00CD45B8"/>
    <w:rsid w:val="00CD510F"/>
    <w:rsid w:val="00CE352C"/>
    <w:rsid w:val="00CE69B8"/>
    <w:rsid w:val="00CE6A60"/>
    <w:rsid w:val="00CF679A"/>
    <w:rsid w:val="00CF6891"/>
    <w:rsid w:val="00D230A6"/>
    <w:rsid w:val="00D33418"/>
    <w:rsid w:val="00D411DB"/>
    <w:rsid w:val="00D53A53"/>
    <w:rsid w:val="00D623F4"/>
    <w:rsid w:val="00D72EBD"/>
    <w:rsid w:val="00DB16CE"/>
    <w:rsid w:val="00DB7126"/>
    <w:rsid w:val="00DB76D5"/>
    <w:rsid w:val="00DC3B8F"/>
    <w:rsid w:val="00DC7AA9"/>
    <w:rsid w:val="00DD29CA"/>
    <w:rsid w:val="00DD6095"/>
    <w:rsid w:val="00DD6855"/>
    <w:rsid w:val="00E320A4"/>
    <w:rsid w:val="00E91E6B"/>
    <w:rsid w:val="00EB5454"/>
    <w:rsid w:val="00EE4BD9"/>
    <w:rsid w:val="00EE5E95"/>
    <w:rsid w:val="00EF37AE"/>
    <w:rsid w:val="00F11CAC"/>
    <w:rsid w:val="00F13297"/>
    <w:rsid w:val="00F17667"/>
    <w:rsid w:val="00F24B4E"/>
    <w:rsid w:val="00F30F82"/>
    <w:rsid w:val="00F343D3"/>
    <w:rsid w:val="00F36CC9"/>
    <w:rsid w:val="00F8781E"/>
    <w:rsid w:val="00F93F26"/>
    <w:rsid w:val="00FB4D55"/>
    <w:rsid w:val="00FC6923"/>
    <w:rsid w:val="00FD6F89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D028E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semiHidden/>
    <w:unhideWhenUsed/>
    <w:rsid w:val="00257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draayers@vta.vic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draayers@vta.vic.edu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draayers@vta.vic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F2D0069-6963-4D54-A4D9-DA07895031E2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7380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first training to asylum seekers</vt:lpstr>
    </vt:vector>
  </TitlesOfParts>
  <Company>Dept. Of Education and Training (DE&amp;T)</Company>
  <LinksUpToDate>false</LinksUpToDate>
  <CharactersWithSpaces>2373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first training to asylum seekers</dc:title>
  <dc:creator>08306670</dc:creator>
  <cp:lastModifiedBy>Wells, Amanda L</cp:lastModifiedBy>
  <cp:revision>7</cp:revision>
  <cp:lastPrinted>2017-05-26T04:45:00Z</cp:lastPrinted>
  <dcterms:created xsi:type="dcterms:W3CDTF">2017-05-18T02:14:00Z</dcterms:created>
  <dcterms:modified xsi:type="dcterms:W3CDTF">2017-05-28T23:25:00Z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