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DA4969" w:rsidTr="00DC4759">
        <w:trPr>
          <w:trHeight w:val="241"/>
        </w:trPr>
        <w:tc>
          <w:tcPr>
            <w:tcW w:w="11087" w:type="dxa"/>
            <w:tcBorders>
              <w:top w:val="nil"/>
              <w:left w:val="nil"/>
              <w:bottom w:val="nil"/>
              <w:right w:val="nil"/>
            </w:tcBorders>
            <w:shd w:val="clear" w:color="auto" w:fill="auto"/>
          </w:tcPr>
          <w:p w:rsidR="009D5D01" w:rsidRPr="00DA4969" w:rsidRDefault="00795B53" w:rsidP="00DC4759">
            <w:pPr>
              <w:ind w:left="432" w:right="397"/>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9264" behindDoc="0" locked="0" layoutInCell="1" allowOverlap="1" wp14:anchorId="73C69C96" wp14:editId="200E68E8">
                      <wp:simplePos x="0" y="0"/>
                      <wp:positionH relativeFrom="column">
                        <wp:posOffset>145415</wp:posOffset>
                      </wp:positionH>
                      <wp:positionV relativeFrom="paragraph">
                        <wp:posOffset>-59055</wp:posOffset>
                      </wp:positionV>
                      <wp:extent cx="6731000" cy="1203960"/>
                      <wp:effectExtent l="8255" t="6985" r="13970" b="825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AC3A84" w:rsidRPr="00633C39" w:rsidRDefault="00AC3A84" w:rsidP="009D5D01">
                                    <w:pPr>
                                      <w:rPr>
                                        <w:rFonts w:ascii="Arial" w:hAnsi="Arial" w:cs="Arial"/>
                                        <w:szCs w:val="24"/>
                                      </w:rPr>
                                    </w:pPr>
                                    <w:r w:rsidRPr="00633C39">
                                      <w:rPr>
                                        <w:rFonts w:ascii="Arial" w:hAnsi="Arial" w:cs="Arial"/>
                                        <w:szCs w:val="24"/>
                                      </w:rPr>
                                      <w:t>Higher Education and Skills Group</w:t>
                                    </w:r>
                                  </w:p>
                                  <w:p w:rsidR="00AC3A84" w:rsidRPr="006F3F2F" w:rsidRDefault="00AC3A84" w:rsidP="009D5D01">
                                    <w:pPr>
                                      <w:rPr>
                                        <w:rFonts w:ascii="Arial" w:hAnsi="Arial" w:cs="Arial"/>
                                        <w:b/>
                                        <w:color w:val="FFFFFF"/>
                                        <w:sz w:val="16"/>
                                        <w:szCs w:val="16"/>
                                      </w:rPr>
                                    </w:pPr>
                                  </w:p>
                                  <w:p w:rsidR="00AC3A84" w:rsidRPr="006F3F2F" w:rsidRDefault="00AC3A84"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AC3A84" w:rsidRPr="00633C39" w:rsidRDefault="00AC3A84"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AC3A84" w:rsidRPr="00633C39" w:rsidRDefault="00AC3A84"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AC3A84" w:rsidRDefault="00AC3A84"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rsidR="00AC3A84" w:rsidRPr="00633C39" w:rsidRDefault="00AC3A84" w:rsidP="009D5D01">
                              <w:pPr>
                                <w:rPr>
                                  <w:rFonts w:ascii="Arial" w:hAnsi="Arial" w:cs="Arial"/>
                                  <w:szCs w:val="24"/>
                                </w:rPr>
                              </w:pPr>
                              <w:r w:rsidRPr="00633C39">
                                <w:rPr>
                                  <w:rFonts w:ascii="Arial" w:hAnsi="Arial" w:cs="Arial"/>
                                  <w:szCs w:val="24"/>
                                </w:rPr>
                                <w:t>Higher Education and Skills Group</w:t>
                              </w:r>
                            </w:p>
                            <w:p w:rsidR="00AC3A84" w:rsidRPr="006F3F2F" w:rsidRDefault="00AC3A84" w:rsidP="009D5D01">
                              <w:pPr>
                                <w:rPr>
                                  <w:rFonts w:ascii="Arial" w:hAnsi="Arial" w:cs="Arial"/>
                                  <w:b/>
                                  <w:color w:val="FFFFFF"/>
                                  <w:sz w:val="16"/>
                                  <w:szCs w:val="16"/>
                                </w:rPr>
                              </w:pPr>
                            </w:p>
                            <w:p w:rsidR="00AC3A84" w:rsidRPr="006F3F2F" w:rsidRDefault="00AC3A84"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AC3A84" w:rsidRPr="00633C39" w:rsidRDefault="00AC3A84"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AC3A84" w:rsidRPr="00633C39" w:rsidRDefault="00AC3A84"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AC3A84" w:rsidRDefault="00AC3A84" w:rsidP="009D5D01"/>
                          </w:txbxContent>
                        </v:textbox>
                      </v:shape>
                    </v:group>
                  </w:pict>
                </mc:Fallback>
              </mc:AlternateContent>
            </w:r>
          </w:p>
        </w:tc>
      </w:tr>
    </w:tbl>
    <w:p w:rsidR="009D5D01" w:rsidRPr="00DA4969" w:rsidRDefault="009D5D01" w:rsidP="009D5D01">
      <w:pPr>
        <w:tabs>
          <w:tab w:val="left" w:pos="1080"/>
        </w:tabs>
        <w:spacing w:before="60"/>
        <w:ind w:right="397"/>
        <w:rPr>
          <w:rFonts w:ascii="Arial" w:hAnsi="Arial" w:cs="Arial"/>
          <w:b/>
          <w:color w:val="000000"/>
          <w:sz w:val="22"/>
          <w:szCs w:val="22"/>
          <w:lang w:val="en-GB" w:eastAsia="en-US"/>
        </w:rPr>
      </w:pPr>
    </w:p>
    <w:p w:rsidR="009D5D01" w:rsidRPr="00DA4969" w:rsidRDefault="009D5D01" w:rsidP="009D5D01">
      <w:pPr>
        <w:tabs>
          <w:tab w:val="left" w:pos="1080"/>
        </w:tabs>
        <w:spacing w:before="60"/>
        <w:ind w:right="397"/>
        <w:rPr>
          <w:rFonts w:ascii="Arial" w:hAnsi="Arial" w:cs="Arial"/>
          <w:b/>
          <w:color w:val="000000"/>
          <w:sz w:val="22"/>
          <w:szCs w:val="22"/>
          <w:lang w:val="en-GB" w:eastAsia="en-US"/>
        </w:rPr>
      </w:pPr>
    </w:p>
    <w:p w:rsidR="009D5D01" w:rsidRPr="00DA4969" w:rsidRDefault="009D5D01" w:rsidP="009D5D01">
      <w:pPr>
        <w:tabs>
          <w:tab w:val="left" w:pos="1080"/>
        </w:tabs>
        <w:spacing w:before="60"/>
        <w:ind w:right="397"/>
        <w:rPr>
          <w:rFonts w:ascii="Arial" w:hAnsi="Arial" w:cs="Arial"/>
          <w:b/>
          <w:color w:val="000000"/>
          <w:sz w:val="22"/>
          <w:szCs w:val="22"/>
          <w:lang w:val="en-GB" w:eastAsia="en-US"/>
        </w:rPr>
      </w:pPr>
    </w:p>
    <w:p w:rsidR="009D5D01" w:rsidRPr="00DA4969" w:rsidRDefault="009D5D01" w:rsidP="009D5D01">
      <w:pPr>
        <w:tabs>
          <w:tab w:val="left" w:pos="1080"/>
        </w:tabs>
        <w:spacing w:before="60"/>
        <w:ind w:right="397"/>
        <w:rPr>
          <w:rFonts w:ascii="Arial" w:hAnsi="Arial" w:cs="Arial"/>
          <w:b/>
          <w:color w:val="000000"/>
          <w:sz w:val="22"/>
          <w:szCs w:val="22"/>
          <w:lang w:val="en-GB" w:eastAsia="en-US"/>
        </w:rPr>
      </w:pPr>
    </w:p>
    <w:p w:rsidR="009D5D01" w:rsidRPr="00DA4969" w:rsidRDefault="009D5D01" w:rsidP="009D5D01">
      <w:pPr>
        <w:tabs>
          <w:tab w:val="left" w:pos="1080"/>
        </w:tabs>
        <w:spacing w:before="60"/>
        <w:ind w:right="397"/>
        <w:rPr>
          <w:rFonts w:ascii="Arial" w:hAnsi="Arial" w:cs="Arial"/>
          <w:b/>
          <w:color w:val="000000"/>
          <w:sz w:val="22"/>
          <w:szCs w:val="22"/>
          <w:lang w:val="en-GB" w:eastAsia="en-US"/>
        </w:rPr>
      </w:pPr>
    </w:p>
    <w:p w:rsidR="009D5D01" w:rsidRPr="00DA4969" w:rsidRDefault="009D5D01" w:rsidP="00663E2B">
      <w:pPr>
        <w:tabs>
          <w:tab w:val="left" w:pos="1080"/>
        </w:tabs>
        <w:spacing w:before="60"/>
        <w:ind w:left="-284" w:right="-453"/>
        <w:jc w:val="right"/>
        <w:rPr>
          <w:rFonts w:ascii="Arial" w:hAnsi="Arial" w:cs="Arial"/>
          <w:b/>
          <w:color w:val="000000"/>
          <w:sz w:val="22"/>
          <w:szCs w:val="22"/>
          <w:lang w:val="en-GB" w:eastAsia="en-US"/>
        </w:rPr>
      </w:pPr>
      <w:r w:rsidRPr="00DA4969">
        <w:rPr>
          <w:rFonts w:ascii="Arial" w:hAnsi="Arial" w:cs="Arial"/>
          <w:b/>
          <w:i/>
          <w:color w:val="000000"/>
          <w:sz w:val="22"/>
          <w:szCs w:val="22"/>
          <w:lang w:val="en-GB" w:eastAsia="en-US"/>
        </w:rPr>
        <w:t xml:space="preserve">NUMBER: </w:t>
      </w:r>
      <w:r w:rsidRPr="00DA4969">
        <w:rPr>
          <w:rFonts w:ascii="Arial" w:hAnsi="Arial" w:cs="Arial"/>
          <w:i/>
          <w:color w:val="000000"/>
          <w:sz w:val="22"/>
          <w:szCs w:val="22"/>
          <w:lang w:val="en-GB" w:eastAsia="en-US"/>
        </w:rPr>
        <w:t>201</w:t>
      </w:r>
      <w:r w:rsidR="00EE44E9" w:rsidRPr="00DA4969">
        <w:rPr>
          <w:rFonts w:ascii="Arial" w:hAnsi="Arial" w:cs="Arial"/>
          <w:i/>
          <w:color w:val="000000"/>
          <w:sz w:val="22"/>
          <w:szCs w:val="22"/>
          <w:lang w:val="en-GB" w:eastAsia="en-US"/>
        </w:rPr>
        <w:t>6</w:t>
      </w:r>
      <w:r w:rsidRPr="00DA4969">
        <w:rPr>
          <w:rFonts w:ascii="Arial" w:hAnsi="Arial" w:cs="Arial"/>
          <w:i/>
          <w:color w:val="000000"/>
          <w:sz w:val="22"/>
          <w:szCs w:val="22"/>
          <w:lang w:val="en-GB" w:eastAsia="en-US"/>
        </w:rPr>
        <w:t xml:space="preserve"> / </w:t>
      </w:r>
      <w:r w:rsidR="00833C11" w:rsidRPr="00DA4969">
        <w:rPr>
          <w:rFonts w:ascii="Arial" w:hAnsi="Arial" w:cs="Arial"/>
          <w:i/>
          <w:color w:val="000000"/>
          <w:sz w:val="22"/>
          <w:szCs w:val="22"/>
          <w:lang w:val="en-GB" w:eastAsia="en-US"/>
        </w:rPr>
        <w:t>Ju</w:t>
      </w:r>
      <w:r w:rsidR="00361349">
        <w:rPr>
          <w:rFonts w:ascii="Arial" w:hAnsi="Arial" w:cs="Arial"/>
          <w:i/>
          <w:color w:val="000000"/>
          <w:sz w:val="22"/>
          <w:szCs w:val="22"/>
          <w:lang w:val="en-GB" w:eastAsia="en-US"/>
        </w:rPr>
        <w:t>ly</w:t>
      </w:r>
      <w:r w:rsidR="00663E2B" w:rsidRPr="00DA4969">
        <w:rPr>
          <w:rFonts w:ascii="Arial" w:hAnsi="Arial" w:cs="Arial"/>
          <w:i/>
          <w:color w:val="000000"/>
          <w:sz w:val="22"/>
          <w:szCs w:val="22"/>
          <w:lang w:val="en-GB" w:eastAsia="en-US"/>
        </w:rPr>
        <w:t xml:space="preserve"> / </w:t>
      </w:r>
      <w:r w:rsidR="003D5FEF">
        <w:rPr>
          <w:rFonts w:ascii="Arial" w:hAnsi="Arial" w:cs="Arial"/>
          <w:i/>
          <w:color w:val="000000"/>
          <w:sz w:val="22"/>
          <w:szCs w:val="22"/>
          <w:lang w:val="en-GB" w:eastAsia="en-US"/>
        </w:rPr>
        <w:t>21</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DA4969" w:rsidTr="00DC4759">
        <w:tc>
          <w:tcPr>
            <w:tcW w:w="3119" w:type="dxa"/>
            <w:shd w:val="clear" w:color="auto" w:fill="auto"/>
          </w:tcPr>
          <w:p w:rsidR="009D5D01" w:rsidRPr="00DA4969" w:rsidRDefault="009D5D01" w:rsidP="00DC4759">
            <w:pPr>
              <w:tabs>
                <w:tab w:val="left" w:pos="1080"/>
              </w:tabs>
              <w:spacing w:before="60"/>
              <w:ind w:right="34"/>
              <w:rPr>
                <w:rFonts w:ascii="Arial" w:hAnsi="Arial" w:cs="Arial"/>
                <w:color w:val="000000"/>
                <w:sz w:val="22"/>
                <w:szCs w:val="22"/>
                <w:lang w:val="en-GB" w:eastAsia="en-US"/>
              </w:rPr>
            </w:pPr>
            <w:r w:rsidRPr="00DA4969">
              <w:rPr>
                <w:rFonts w:ascii="Arial" w:hAnsi="Arial" w:cs="Arial"/>
                <w:color w:val="000000"/>
                <w:sz w:val="22"/>
                <w:szCs w:val="22"/>
                <w:lang w:val="en-GB" w:eastAsia="en-US"/>
              </w:rPr>
              <w:t xml:space="preserve">Learn Local organisations </w:t>
            </w:r>
          </w:p>
          <w:p w:rsidR="009D5D01" w:rsidRPr="00DA4969" w:rsidRDefault="009D5D01" w:rsidP="00AC3A84">
            <w:pPr>
              <w:tabs>
                <w:tab w:val="left" w:pos="1080"/>
              </w:tabs>
              <w:spacing w:before="60"/>
              <w:ind w:right="34"/>
              <w:rPr>
                <w:rFonts w:ascii="Arial" w:hAnsi="Arial" w:cs="Arial"/>
                <w:color w:val="000000"/>
                <w:sz w:val="22"/>
                <w:szCs w:val="22"/>
                <w:lang w:val="en-GB" w:eastAsia="en-US"/>
              </w:rPr>
            </w:pPr>
            <w:r w:rsidRPr="00DA4969">
              <w:rPr>
                <w:rFonts w:ascii="Arial" w:hAnsi="Arial" w:cs="Arial"/>
                <w:i/>
                <w:color w:val="000000"/>
                <w:sz w:val="22"/>
                <w:szCs w:val="22"/>
                <w:lang w:val="en-GB" w:eastAsia="en-US"/>
              </w:rPr>
              <w:t xml:space="preserve">– ALL </w:t>
            </w:r>
          </w:p>
        </w:tc>
        <w:tc>
          <w:tcPr>
            <w:tcW w:w="3261" w:type="dxa"/>
            <w:shd w:val="clear" w:color="auto" w:fill="auto"/>
          </w:tcPr>
          <w:p w:rsidR="009D5D01" w:rsidRPr="00DA4969" w:rsidRDefault="009D5D01" w:rsidP="00DC4759">
            <w:pPr>
              <w:tabs>
                <w:tab w:val="left" w:pos="1080"/>
              </w:tabs>
              <w:spacing w:before="60"/>
              <w:ind w:right="397"/>
              <w:rPr>
                <w:rFonts w:ascii="Arial" w:hAnsi="Arial" w:cs="Arial"/>
                <w:color w:val="000000"/>
                <w:sz w:val="22"/>
                <w:szCs w:val="22"/>
                <w:lang w:val="en-GB" w:eastAsia="en-US"/>
              </w:rPr>
            </w:pPr>
            <w:r w:rsidRPr="00DA4969">
              <w:rPr>
                <w:rFonts w:ascii="Arial" w:hAnsi="Arial" w:cs="Arial"/>
                <w:color w:val="000000"/>
                <w:sz w:val="22"/>
                <w:szCs w:val="22"/>
                <w:lang w:val="en-GB" w:eastAsia="en-US"/>
              </w:rPr>
              <w:t>ACFE Board</w:t>
            </w:r>
          </w:p>
          <w:p w:rsidR="009D5D01" w:rsidRPr="00DA4969" w:rsidRDefault="009D5D01" w:rsidP="00DC4759">
            <w:pPr>
              <w:tabs>
                <w:tab w:val="left" w:pos="1080"/>
              </w:tabs>
              <w:spacing w:before="60"/>
              <w:ind w:left="80" w:right="397"/>
              <w:rPr>
                <w:rFonts w:ascii="Arial" w:hAnsi="Arial" w:cs="Arial"/>
                <w:color w:val="000000"/>
                <w:sz w:val="22"/>
                <w:szCs w:val="22"/>
                <w:lang w:val="en-GB" w:eastAsia="en-US"/>
              </w:rPr>
            </w:pPr>
          </w:p>
        </w:tc>
        <w:tc>
          <w:tcPr>
            <w:tcW w:w="4110" w:type="dxa"/>
            <w:shd w:val="clear" w:color="auto" w:fill="auto"/>
          </w:tcPr>
          <w:p w:rsidR="009D5D01" w:rsidRPr="00DA4969" w:rsidRDefault="009D5D01" w:rsidP="00DC4759">
            <w:pPr>
              <w:tabs>
                <w:tab w:val="left" w:pos="1080"/>
              </w:tabs>
              <w:spacing w:before="60"/>
              <w:ind w:right="397"/>
              <w:rPr>
                <w:rFonts w:ascii="Arial" w:hAnsi="Arial" w:cs="Arial"/>
                <w:color w:val="000000"/>
                <w:sz w:val="22"/>
                <w:szCs w:val="22"/>
                <w:lang w:val="en-GB" w:eastAsia="en-US"/>
              </w:rPr>
            </w:pPr>
            <w:r w:rsidRPr="00DA4969">
              <w:rPr>
                <w:rFonts w:ascii="Arial" w:hAnsi="Arial" w:cs="Arial"/>
                <w:color w:val="000000"/>
                <w:sz w:val="22"/>
                <w:szCs w:val="22"/>
                <w:lang w:val="en-GB" w:eastAsia="en-US"/>
              </w:rPr>
              <w:t>ACFE Regional Councils</w:t>
            </w:r>
          </w:p>
        </w:tc>
      </w:tr>
      <w:tr w:rsidR="009D5D01" w:rsidRPr="00DA4969" w:rsidTr="00DC4759">
        <w:tc>
          <w:tcPr>
            <w:tcW w:w="3119" w:type="dxa"/>
            <w:shd w:val="clear" w:color="auto" w:fill="auto"/>
          </w:tcPr>
          <w:p w:rsidR="009D5D01" w:rsidRPr="00DA4969" w:rsidRDefault="009D5D01" w:rsidP="00DC4759">
            <w:pPr>
              <w:tabs>
                <w:tab w:val="left" w:pos="1080"/>
              </w:tabs>
              <w:spacing w:before="60"/>
              <w:ind w:right="34"/>
              <w:rPr>
                <w:rFonts w:ascii="Arial" w:hAnsi="Arial" w:cs="Arial"/>
                <w:i/>
                <w:color w:val="000000"/>
                <w:sz w:val="22"/>
                <w:szCs w:val="22"/>
                <w:lang w:val="en-GB" w:eastAsia="en-US"/>
              </w:rPr>
            </w:pPr>
            <w:r w:rsidRPr="00DA4969">
              <w:rPr>
                <w:rFonts w:ascii="Arial" w:hAnsi="Arial" w:cs="Arial"/>
                <w:color w:val="000000"/>
                <w:sz w:val="22"/>
                <w:szCs w:val="22"/>
                <w:lang w:val="en-GB" w:eastAsia="en-US"/>
              </w:rPr>
              <w:t>Adult Education Institutions</w:t>
            </w:r>
          </w:p>
        </w:tc>
        <w:tc>
          <w:tcPr>
            <w:tcW w:w="3261" w:type="dxa"/>
            <w:shd w:val="clear" w:color="auto" w:fill="auto"/>
          </w:tcPr>
          <w:p w:rsidR="009D5D01" w:rsidRPr="00DA4969" w:rsidRDefault="009D5D01" w:rsidP="00DC4759">
            <w:pPr>
              <w:tabs>
                <w:tab w:val="left" w:pos="1080"/>
              </w:tabs>
              <w:spacing w:before="60"/>
              <w:ind w:right="397"/>
              <w:rPr>
                <w:rFonts w:ascii="Arial" w:hAnsi="Arial" w:cs="Arial"/>
                <w:i/>
                <w:color w:val="000000"/>
                <w:sz w:val="22"/>
                <w:szCs w:val="22"/>
                <w:lang w:val="en-GB" w:eastAsia="en-US"/>
              </w:rPr>
            </w:pPr>
            <w:r w:rsidRPr="00DA4969">
              <w:rPr>
                <w:rFonts w:ascii="Arial" w:hAnsi="Arial" w:cs="Arial"/>
                <w:color w:val="000000"/>
                <w:sz w:val="22"/>
                <w:szCs w:val="22"/>
                <w:lang w:val="en-GB" w:eastAsia="en-US"/>
              </w:rPr>
              <w:t xml:space="preserve">Learn Local stakeholders </w:t>
            </w:r>
          </w:p>
          <w:p w:rsidR="009D5D01" w:rsidRPr="00DA4969" w:rsidRDefault="009D5D01" w:rsidP="00DC4759">
            <w:pPr>
              <w:tabs>
                <w:tab w:val="left" w:pos="1080"/>
              </w:tabs>
              <w:spacing w:before="60"/>
              <w:ind w:right="397"/>
              <w:rPr>
                <w:rFonts w:ascii="Arial" w:hAnsi="Arial" w:cs="Arial"/>
                <w:i/>
                <w:color w:val="000000"/>
                <w:sz w:val="22"/>
                <w:szCs w:val="22"/>
                <w:lang w:val="en-GB" w:eastAsia="en-US"/>
              </w:rPr>
            </w:pPr>
          </w:p>
        </w:tc>
        <w:tc>
          <w:tcPr>
            <w:tcW w:w="4110" w:type="dxa"/>
            <w:shd w:val="clear" w:color="auto" w:fill="auto"/>
          </w:tcPr>
          <w:p w:rsidR="009D5D01" w:rsidRPr="00DA4969" w:rsidRDefault="00EE44E9" w:rsidP="00AC3A84">
            <w:pPr>
              <w:tabs>
                <w:tab w:val="left" w:pos="1080"/>
              </w:tabs>
              <w:spacing w:before="60"/>
              <w:ind w:right="397"/>
              <w:rPr>
                <w:rFonts w:ascii="Arial" w:hAnsi="Arial" w:cs="Arial"/>
                <w:color w:val="000000"/>
                <w:sz w:val="22"/>
                <w:szCs w:val="22"/>
                <w:lang w:val="en-GB" w:eastAsia="en-US"/>
              </w:rPr>
            </w:pPr>
            <w:r w:rsidRPr="00DA4969">
              <w:rPr>
                <w:rFonts w:ascii="Arial" w:hAnsi="Arial" w:cs="Arial"/>
                <w:color w:val="000000"/>
                <w:sz w:val="22"/>
                <w:szCs w:val="22"/>
                <w:lang w:val="en-GB" w:eastAsia="en-US"/>
              </w:rPr>
              <w:t>Participation Branch staff</w:t>
            </w:r>
          </w:p>
        </w:tc>
      </w:tr>
    </w:tbl>
    <w:p w:rsidR="009D5D01" w:rsidRPr="00DA4969" w:rsidRDefault="009D5D01" w:rsidP="009D5D01">
      <w:pPr>
        <w:tabs>
          <w:tab w:val="left" w:pos="1080"/>
          <w:tab w:val="left" w:pos="9356"/>
        </w:tabs>
        <w:spacing w:before="60"/>
        <w:ind w:left="-284" w:right="397"/>
        <w:rPr>
          <w:rFonts w:ascii="Arial" w:hAnsi="Arial" w:cs="Arial"/>
          <w:b/>
          <w:color w:val="000000"/>
          <w:sz w:val="16"/>
          <w:szCs w:val="16"/>
          <w:lang w:val="en-GB" w:eastAsia="en-US"/>
        </w:rPr>
      </w:pPr>
    </w:p>
    <w:p w:rsidR="003D5FEF" w:rsidRDefault="003D5FEF" w:rsidP="009D5D01">
      <w:pPr>
        <w:tabs>
          <w:tab w:val="left" w:pos="1080"/>
          <w:tab w:val="left" w:pos="9356"/>
        </w:tabs>
        <w:spacing w:before="60"/>
        <w:ind w:left="-284" w:right="397"/>
        <w:rPr>
          <w:rFonts w:ascii="Arial" w:hAnsi="Arial" w:cs="Arial"/>
          <w:b/>
          <w:color w:val="000000"/>
          <w:sz w:val="22"/>
          <w:szCs w:val="22"/>
          <w:lang w:val="en-GB" w:eastAsia="en-US"/>
        </w:rPr>
      </w:pPr>
    </w:p>
    <w:p w:rsidR="009D5D01" w:rsidRPr="00DA4969" w:rsidRDefault="009D5D01" w:rsidP="009D5D01">
      <w:pPr>
        <w:tabs>
          <w:tab w:val="left" w:pos="1080"/>
          <w:tab w:val="left" w:pos="9356"/>
        </w:tabs>
        <w:spacing w:before="60"/>
        <w:ind w:left="-284" w:right="397"/>
        <w:rPr>
          <w:rFonts w:ascii="Arial" w:hAnsi="Arial" w:cs="Arial"/>
          <w:color w:val="000000"/>
          <w:sz w:val="22"/>
          <w:szCs w:val="22"/>
          <w:lang w:val="en-GB" w:eastAsia="en-US"/>
        </w:rPr>
      </w:pPr>
      <w:r w:rsidRPr="00DA4969">
        <w:rPr>
          <w:rFonts w:ascii="Arial" w:hAnsi="Arial" w:cs="Arial"/>
          <w:b/>
          <w:color w:val="000000"/>
          <w:sz w:val="22"/>
          <w:szCs w:val="22"/>
          <w:lang w:val="en-GB" w:eastAsia="en-US"/>
        </w:rPr>
        <w:t>FROM:</w:t>
      </w:r>
      <w:r w:rsidRPr="00DA4969">
        <w:rPr>
          <w:rFonts w:ascii="Arial" w:hAnsi="Arial" w:cs="Arial"/>
          <w:b/>
          <w:color w:val="000000"/>
          <w:sz w:val="22"/>
          <w:szCs w:val="22"/>
          <w:lang w:val="en-GB" w:eastAsia="en-US"/>
        </w:rPr>
        <w:tab/>
      </w:r>
      <w:r w:rsidR="00C1486F">
        <w:rPr>
          <w:rFonts w:ascii="Arial" w:hAnsi="Arial" w:cs="Arial"/>
          <w:color w:val="000000"/>
          <w:sz w:val="22"/>
          <w:szCs w:val="22"/>
          <w:lang w:val="en-GB" w:eastAsia="en-US"/>
        </w:rPr>
        <w:t>Ryan Collins</w:t>
      </w:r>
      <w:r w:rsidR="00EE44E9" w:rsidRPr="00DA4969">
        <w:rPr>
          <w:rFonts w:ascii="Arial" w:hAnsi="Arial" w:cs="Arial"/>
          <w:color w:val="000000"/>
          <w:sz w:val="22"/>
          <w:szCs w:val="22"/>
          <w:lang w:val="en-GB" w:eastAsia="en-US"/>
        </w:rPr>
        <w:t xml:space="preserve">, </w:t>
      </w:r>
      <w:r w:rsidRPr="00DA4969">
        <w:rPr>
          <w:rFonts w:ascii="Arial" w:hAnsi="Arial" w:cs="Arial"/>
          <w:color w:val="000000"/>
          <w:sz w:val="22"/>
          <w:szCs w:val="22"/>
          <w:lang w:val="en-GB" w:eastAsia="en-US"/>
        </w:rPr>
        <w:t>Director, Participation Branch</w:t>
      </w:r>
      <w:bookmarkStart w:id="0" w:name="_GoBack"/>
      <w:bookmarkEnd w:id="0"/>
    </w:p>
    <w:p w:rsidR="009D5D01" w:rsidRPr="00DA4969" w:rsidRDefault="009D5D01" w:rsidP="009D5D01">
      <w:pPr>
        <w:tabs>
          <w:tab w:val="left" w:pos="1080"/>
        </w:tabs>
        <w:spacing w:before="60"/>
        <w:ind w:left="-284" w:right="397"/>
        <w:rPr>
          <w:rFonts w:ascii="Arial" w:hAnsi="Arial" w:cs="Arial"/>
          <w:b/>
          <w:color w:val="000000"/>
          <w:sz w:val="22"/>
          <w:szCs w:val="22"/>
          <w:lang w:val="en-GB" w:eastAsia="en-US"/>
        </w:rPr>
      </w:pPr>
      <w:r w:rsidRPr="00DA4969">
        <w:rPr>
          <w:rFonts w:ascii="Arial" w:hAnsi="Arial" w:cs="Arial"/>
          <w:b/>
          <w:color w:val="000000"/>
          <w:sz w:val="22"/>
          <w:szCs w:val="22"/>
          <w:lang w:val="en-GB" w:eastAsia="en-US"/>
        </w:rPr>
        <w:t>DATE:</w:t>
      </w:r>
      <w:r w:rsidRPr="00DA4969">
        <w:rPr>
          <w:rFonts w:ascii="Arial" w:hAnsi="Arial" w:cs="Arial"/>
          <w:b/>
          <w:color w:val="000000"/>
          <w:sz w:val="22"/>
          <w:szCs w:val="22"/>
          <w:lang w:val="en-GB" w:eastAsia="en-US"/>
        </w:rPr>
        <w:tab/>
      </w:r>
      <w:r w:rsidR="003D5FEF">
        <w:rPr>
          <w:rFonts w:ascii="Arial" w:hAnsi="Arial" w:cs="Arial"/>
          <w:color w:val="000000"/>
          <w:sz w:val="22"/>
          <w:szCs w:val="22"/>
          <w:lang w:val="en-GB" w:eastAsia="en-US"/>
        </w:rPr>
        <w:t xml:space="preserve">21 </w:t>
      </w:r>
      <w:r w:rsidR="00663E2B" w:rsidRPr="00795B53">
        <w:rPr>
          <w:rFonts w:ascii="Arial" w:hAnsi="Arial" w:cs="Arial"/>
          <w:color w:val="000000"/>
          <w:sz w:val="22"/>
          <w:szCs w:val="22"/>
          <w:lang w:val="en-GB" w:eastAsia="en-US"/>
        </w:rPr>
        <w:t>/</w:t>
      </w:r>
      <w:r w:rsidR="003D5FEF">
        <w:rPr>
          <w:rFonts w:ascii="Arial" w:hAnsi="Arial" w:cs="Arial"/>
          <w:color w:val="000000"/>
          <w:sz w:val="22"/>
          <w:szCs w:val="22"/>
          <w:lang w:val="en-GB" w:eastAsia="en-US"/>
        </w:rPr>
        <w:t xml:space="preserve"> </w:t>
      </w:r>
      <w:r w:rsidR="00EE44E9" w:rsidRPr="00DA4969">
        <w:rPr>
          <w:rFonts w:ascii="Arial" w:hAnsi="Arial" w:cs="Arial"/>
          <w:color w:val="000000"/>
          <w:sz w:val="22"/>
          <w:szCs w:val="22"/>
          <w:lang w:val="en-GB" w:eastAsia="en-US"/>
        </w:rPr>
        <w:t>0</w:t>
      </w:r>
      <w:r w:rsidR="00465DA4">
        <w:rPr>
          <w:rFonts w:ascii="Arial" w:hAnsi="Arial" w:cs="Arial"/>
          <w:color w:val="000000"/>
          <w:sz w:val="22"/>
          <w:szCs w:val="22"/>
          <w:lang w:val="en-GB" w:eastAsia="en-US"/>
        </w:rPr>
        <w:t>7</w:t>
      </w:r>
      <w:r w:rsidR="00EE44E9" w:rsidRPr="00DA4969">
        <w:rPr>
          <w:rFonts w:ascii="Arial" w:hAnsi="Arial" w:cs="Arial"/>
          <w:color w:val="000000"/>
          <w:sz w:val="22"/>
          <w:szCs w:val="22"/>
          <w:lang w:val="en-GB" w:eastAsia="en-US"/>
        </w:rPr>
        <w:t>/</w:t>
      </w:r>
      <w:r w:rsidR="003D5FEF">
        <w:rPr>
          <w:rFonts w:ascii="Arial" w:hAnsi="Arial" w:cs="Arial"/>
          <w:color w:val="000000"/>
          <w:sz w:val="22"/>
          <w:szCs w:val="22"/>
          <w:lang w:val="en-GB" w:eastAsia="en-US"/>
        </w:rPr>
        <w:t xml:space="preserve"> </w:t>
      </w:r>
      <w:r w:rsidR="0050194D" w:rsidRPr="00DA4969">
        <w:rPr>
          <w:rFonts w:ascii="Arial" w:hAnsi="Arial" w:cs="Arial"/>
          <w:color w:val="000000"/>
          <w:sz w:val="22"/>
          <w:szCs w:val="22"/>
          <w:lang w:val="en-GB" w:eastAsia="en-US"/>
        </w:rPr>
        <w:t>201</w:t>
      </w:r>
      <w:r w:rsidR="00EE44E9" w:rsidRPr="00DA4969">
        <w:rPr>
          <w:rFonts w:ascii="Arial" w:hAnsi="Arial" w:cs="Arial"/>
          <w:color w:val="000000"/>
          <w:sz w:val="22"/>
          <w:szCs w:val="22"/>
          <w:lang w:val="en-GB" w:eastAsia="en-US"/>
        </w:rPr>
        <w:t>6</w:t>
      </w:r>
    </w:p>
    <w:p w:rsidR="009D5D01" w:rsidRPr="00DA4969" w:rsidRDefault="009D5D01" w:rsidP="009D5D01">
      <w:pPr>
        <w:pBdr>
          <w:bottom w:val="single" w:sz="12" w:space="1" w:color="auto"/>
        </w:pBdr>
        <w:tabs>
          <w:tab w:val="left" w:pos="1080"/>
          <w:tab w:val="left" w:pos="9753"/>
        </w:tabs>
        <w:spacing w:before="60"/>
        <w:ind w:left="-284" w:right="-424"/>
        <w:rPr>
          <w:rFonts w:ascii="Arial" w:hAnsi="Arial" w:cs="Arial"/>
          <w:color w:val="000000"/>
          <w:sz w:val="22"/>
          <w:szCs w:val="22"/>
          <w:lang w:val="en-GB" w:eastAsia="en-US"/>
        </w:rPr>
      </w:pPr>
      <w:r w:rsidRPr="00DA4969">
        <w:rPr>
          <w:rFonts w:ascii="Arial" w:hAnsi="Arial" w:cs="Arial"/>
          <w:b/>
          <w:color w:val="000000"/>
          <w:sz w:val="22"/>
          <w:szCs w:val="22"/>
          <w:lang w:val="en-GB" w:eastAsia="en-US"/>
        </w:rPr>
        <w:t>SUBJECT:</w:t>
      </w:r>
      <w:r w:rsidRPr="00DA4969">
        <w:rPr>
          <w:rFonts w:ascii="Arial" w:hAnsi="Arial" w:cs="Arial"/>
          <w:b/>
          <w:color w:val="000000"/>
          <w:sz w:val="22"/>
          <w:szCs w:val="22"/>
          <w:lang w:val="en-GB" w:eastAsia="en-US"/>
        </w:rPr>
        <w:tab/>
      </w:r>
      <w:r w:rsidR="00213DAB">
        <w:rPr>
          <w:rFonts w:ascii="Arial" w:hAnsi="Arial" w:cs="Arial"/>
          <w:i/>
          <w:color w:val="000000"/>
          <w:sz w:val="22"/>
          <w:szCs w:val="22"/>
          <w:lang w:val="en-GB" w:eastAsia="en-US"/>
        </w:rPr>
        <w:t>Reaccreditation of ACFE Board curriculum and related information</w:t>
      </w:r>
    </w:p>
    <w:p w:rsidR="009D5D01"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3D5FEF" w:rsidRDefault="003D5FEF" w:rsidP="009D5D01">
      <w:pPr>
        <w:shd w:val="clear" w:color="auto" w:fill="FFFFFF"/>
        <w:ind w:left="-284" w:right="397"/>
        <w:rPr>
          <w:rFonts w:ascii="Arial" w:eastAsia="ヒラギノ角ゴ Pro W3" w:hAnsi="Arial" w:cs="Arial"/>
          <w:color w:val="000000"/>
          <w:sz w:val="22"/>
          <w:szCs w:val="22"/>
          <w:lang w:val="en-GB" w:eastAsia="en-US"/>
        </w:rPr>
      </w:pPr>
    </w:p>
    <w:p w:rsidR="003D5FEF" w:rsidRPr="00DA4969" w:rsidRDefault="003D5FEF" w:rsidP="009D5D01">
      <w:pPr>
        <w:shd w:val="clear" w:color="auto" w:fill="FFFFFF"/>
        <w:ind w:left="-284" w:right="397"/>
        <w:rPr>
          <w:rFonts w:ascii="Arial" w:eastAsia="ヒラギノ角ゴ Pro W3" w:hAnsi="Arial" w:cs="Arial"/>
          <w:color w:val="000000"/>
          <w:sz w:val="22"/>
          <w:szCs w:val="22"/>
          <w:lang w:val="en-GB" w:eastAsia="en-US"/>
        </w:rPr>
      </w:pPr>
    </w:p>
    <w:p w:rsidR="009D5D01" w:rsidRPr="00DA4969"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sidRPr="00DA4969">
        <w:rPr>
          <w:rFonts w:ascii="Arial" w:hAnsi="Arial" w:cs="Arial"/>
          <w:b/>
          <w:bCs/>
          <w:color w:val="000000"/>
          <w:sz w:val="22"/>
          <w:szCs w:val="22"/>
          <w:lang w:val="en-GB" w:eastAsia="en-US"/>
        </w:rPr>
        <w:t>ACTIONS / CRITICAL DATES:</w:t>
      </w:r>
    </w:p>
    <w:p w:rsidR="005806EA" w:rsidRDefault="005221AE" w:rsidP="00075C15">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A</w:t>
      </w:r>
      <w:r w:rsidR="00213DAB">
        <w:rPr>
          <w:rFonts w:ascii="Arial" w:hAnsi="Arial" w:cs="Arial"/>
          <w:bCs/>
          <w:i/>
          <w:color w:val="000000"/>
          <w:sz w:val="22"/>
          <w:szCs w:val="22"/>
          <w:lang w:val="en-GB" w:eastAsia="en-US"/>
        </w:rPr>
        <w:t xml:space="preserve">ction </w:t>
      </w:r>
      <w:r>
        <w:rPr>
          <w:rFonts w:ascii="Arial" w:hAnsi="Arial" w:cs="Arial"/>
          <w:bCs/>
          <w:i/>
          <w:color w:val="000000"/>
          <w:sz w:val="22"/>
          <w:szCs w:val="22"/>
          <w:lang w:val="en-GB" w:eastAsia="en-US"/>
        </w:rPr>
        <w:t xml:space="preserve">and note </w:t>
      </w:r>
      <w:r w:rsidR="00213DAB">
        <w:rPr>
          <w:rFonts w:ascii="Arial" w:hAnsi="Arial" w:cs="Arial"/>
          <w:bCs/>
          <w:i/>
          <w:color w:val="000000"/>
          <w:sz w:val="22"/>
          <w:szCs w:val="22"/>
          <w:lang w:val="en-GB" w:eastAsia="en-US"/>
        </w:rPr>
        <w:t>as appropriate changes in the accreditation of ACFE Board curriculum</w:t>
      </w:r>
    </w:p>
    <w:p w:rsidR="005221AE" w:rsidRDefault="005221AE" w:rsidP="00075C15">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Note the General Studies and Further Education resources</w:t>
      </w:r>
    </w:p>
    <w:p w:rsidR="009D5D01" w:rsidRPr="00DA4969" w:rsidRDefault="009D5D01" w:rsidP="00075C15">
      <w:pPr>
        <w:tabs>
          <w:tab w:val="left" w:pos="0"/>
          <w:tab w:val="left" w:pos="1080"/>
        </w:tabs>
        <w:overflowPunct/>
        <w:autoSpaceDE/>
        <w:autoSpaceDN/>
        <w:adjustRightInd/>
        <w:ind w:left="-284" w:right="-551"/>
        <w:textAlignment w:val="auto"/>
        <w:rPr>
          <w:rFonts w:ascii="Arial" w:hAnsi="Arial" w:cs="Arial"/>
          <w:b/>
          <w:bCs/>
          <w:color w:val="000000"/>
          <w:sz w:val="22"/>
          <w:szCs w:val="22"/>
          <w:lang w:val="en-GB" w:eastAsia="en-US"/>
        </w:rPr>
      </w:pPr>
      <w:r w:rsidRPr="00DA4969">
        <w:rPr>
          <w:rFonts w:ascii="Arial" w:hAnsi="Arial" w:cs="Arial"/>
          <w:b/>
          <w:bCs/>
          <w:color w:val="000000"/>
          <w:sz w:val="22"/>
          <w:szCs w:val="22"/>
          <w:lang w:val="en-GB" w:eastAsia="en-US"/>
        </w:rPr>
        <w:t>____________________________________________________________________________________</w:t>
      </w:r>
      <w:r w:rsidR="00075C15" w:rsidRPr="00DA4969">
        <w:rPr>
          <w:rFonts w:ascii="Arial" w:hAnsi="Arial" w:cs="Arial"/>
          <w:b/>
          <w:bCs/>
          <w:color w:val="000000"/>
          <w:sz w:val="22"/>
          <w:szCs w:val="22"/>
          <w:lang w:val="en-GB" w:eastAsia="en-US"/>
        </w:rPr>
        <w:t>_</w:t>
      </w:r>
    </w:p>
    <w:p w:rsidR="00213DAB" w:rsidRDefault="00213DAB" w:rsidP="00213DAB">
      <w:pPr>
        <w:rPr>
          <w:b/>
          <w:lang w:eastAsia="ar-SA"/>
        </w:rPr>
      </w:pPr>
    </w:p>
    <w:p w:rsidR="00261124" w:rsidRDefault="00261124" w:rsidP="00827391">
      <w:pPr>
        <w:ind w:left="-284"/>
        <w:rPr>
          <w:lang w:eastAsia="ar-SA"/>
        </w:rPr>
      </w:pPr>
    </w:p>
    <w:p w:rsidR="003D5FEF" w:rsidRPr="00261124" w:rsidRDefault="003D5FEF" w:rsidP="00827391">
      <w:pPr>
        <w:ind w:left="-284"/>
        <w:rPr>
          <w:lang w:eastAsia="ar-SA"/>
        </w:rPr>
      </w:pPr>
    </w:p>
    <w:p w:rsidR="00827391" w:rsidRPr="003D5FEF" w:rsidRDefault="00261124" w:rsidP="004304A7">
      <w:pPr>
        <w:ind w:left="-284"/>
        <w:jc w:val="both"/>
        <w:rPr>
          <w:rFonts w:ascii="Arial" w:hAnsi="Arial" w:cs="Arial"/>
          <w:sz w:val="22"/>
          <w:szCs w:val="22"/>
          <w:lang w:eastAsia="ar-SA"/>
        </w:rPr>
      </w:pPr>
      <w:r w:rsidRPr="003D5FEF">
        <w:rPr>
          <w:rFonts w:ascii="Arial" w:hAnsi="Arial" w:cs="Arial"/>
          <w:sz w:val="22"/>
          <w:szCs w:val="22"/>
          <w:lang w:eastAsia="ar-SA"/>
        </w:rPr>
        <w:t xml:space="preserve">A number of changes to the status of </w:t>
      </w:r>
      <w:r w:rsidR="00827391" w:rsidRPr="003D5FEF">
        <w:rPr>
          <w:rFonts w:ascii="Arial" w:hAnsi="Arial" w:cs="Arial"/>
          <w:sz w:val="22"/>
          <w:szCs w:val="22"/>
          <w:lang w:eastAsia="ar-SA"/>
        </w:rPr>
        <w:t xml:space="preserve">ACFE Board </w:t>
      </w:r>
      <w:r w:rsidRPr="003D5FEF">
        <w:rPr>
          <w:rFonts w:ascii="Arial" w:hAnsi="Arial" w:cs="Arial"/>
          <w:sz w:val="22"/>
          <w:szCs w:val="22"/>
          <w:lang w:eastAsia="ar-SA"/>
        </w:rPr>
        <w:t xml:space="preserve">curriculum are detailed in the attached </w:t>
      </w:r>
      <w:r w:rsidRPr="003D5FEF">
        <w:rPr>
          <w:rFonts w:ascii="Arial" w:hAnsi="Arial" w:cs="Arial"/>
          <w:i/>
          <w:sz w:val="22"/>
          <w:szCs w:val="22"/>
          <w:lang w:eastAsia="ar-SA"/>
        </w:rPr>
        <w:t xml:space="preserve">General Studies and Further Education </w:t>
      </w:r>
      <w:r w:rsidR="00827391" w:rsidRPr="003D5FEF">
        <w:rPr>
          <w:rFonts w:ascii="Arial" w:hAnsi="Arial" w:cs="Arial"/>
          <w:i/>
          <w:sz w:val="22"/>
          <w:szCs w:val="22"/>
          <w:lang w:eastAsia="ar-SA"/>
        </w:rPr>
        <w:t xml:space="preserve">(GSFE) </w:t>
      </w:r>
      <w:r w:rsidR="00C543C5" w:rsidRPr="003D5FEF">
        <w:rPr>
          <w:rFonts w:ascii="Arial" w:hAnsi="Arial" w:cs="Arial"/>
          <w:i/>
          <w:sz w:val="22"/>
          <w:szCs w:val="22"/>
          <w:lang w:eastAsia="ar-SA"/>
        </w:rPr>
        <w:t>June 2016 U</w:t>
      </w:r>
      <w:r w:rsidRPr="003D5FEF">
        <w:rPr>
          <w:rFonts w:ascii="Arial" w:hAnsi="Arial" w:cs="Arial"/>
          <w:i/>
          <w:sz w:val="22"/>
          <w:szCs w:val="22"/>
          <w:lang w:eastAsia="ar-SA"/>
        </w:rPr>
        <w:t>pdate</w:t>
      </w:r>
      <w:r w:rsidRPr="003D5FEF">
        <w:rPr>
          <w:rFonts w:ascii="Arial" w:hAnsi="Arial" w:cs="Arial"/>
          <w:sz w:val="22"/>
          <w:szCs w:val="22"/>
          <w:lang w:eastAsia="ar-SA"/>
        </w:rPr>
        <w:t xml:space="preserve">. </w:t>
      </w:r>
      <w:r w:rsidR="00827391" w:rsidRPr="003D5FEF">
        <w:rPr>
          <w:rFonts w:ascii="Arial" w:hAnsi="Arial" w:cs="Arial"/>
          <w:sz w:val="22"/>
          <w:szCs w:val="22"/>
          <w:lang w:eastAsia="ar-SA"/>
        </w:rPr>
        <w:t xml:space="preserve">The ACFE Board contracts Victoria University as GSFE Curriculum Maintenance Manager of Board curriculum. </w:t>
      </w:r>
    </w:p>
    <w:p w:rsidR="00261124" w:rsidRPr="003D5FEF" w:rsidRDefault="00261124" w:rsidP="004304A7">
      <w:pPr>
        <w:ind w:left="-284"/>
        <w:jc w:val="both"/>
        <w:rPr>
          <w:rFonts w:ascii="Arial" w:hAnsi="Arial" w:cs="Arial"/>
          <w:sz w:val="22"/>
          <w:szCs w:val="22"/>
          <w:lang w:eastAsia="ar-SA"/>
        </w:rPr>
      </w:pPr>
    </w:p>
    <w:p w:rsidR="00261124" w:rsidRPr="003D5FEF" w:rsidRDefault="008218F7" w:rsidP="004304A7">
      <w:pPr>
        <w:ind w:left="-284"/>
        <w:jc w:val="both"/>
        <w:rPr>
          <w:rFonts w:ascii="Arial" w:hAnsi="Arial" w:cs="Arial"/>
          <w:sz w:val="22"/>
          <w:szCs w:val="22"/>
          <w:lang w:eastAsia="ar-SA"/>
        </w:rPr>
      </w:pPr>
      <w:r w:rsidRPr="003D5FEF">
        <w:rPr>
          <w:rFonts w:ascii="Arial" w:hAnsi="Arial" w:cs="Arial"/>
          <w:sz w:val="22"/>
          <w:szCs w:val="22"/>
          <w:lang w:eastAsia="ar-SA"/>
        </w:rPr>
        <w:t>The Certificate IV in Tertiary Preparation, the Certificate IV in Liberal Arts, and the Diploma of Liberal Arts</w:t>
      </w:r>
      <w:r w:rsidR="00536747" w:rsidRPr="003D5FEF">
        <w:rPr>
          <w:rFonts w:ascii="Arial" w:hAnsi="Arial" w:cs="Arial"/>
          <w:sz w:val="22"/>
          <w:szCs w:val="22"/>
          <w:lang w:eastAsia="ar-SA"/>
        </w:rPr>
        <w:t xml:space="preserve"> </w:t>
      </w:r>
      <w:r w:rsidRPr="003D5FEF">
        <w:rPr>
          <w:rFonts w:ascii="Arial" w:hAnsi="Arial" w:cs="Arial"/>
          <w:sz w:val="22"/>
          <w:szCs w:val="22"/>
          <w:lang w:eastAsia="ar-SA"/>
        </w:rPr>
        <w:t xml:space="preserve">have been reaccredited. </w:t>
      </w:r>
      <w:r w:rsidR="00261124" w:rsidRPr="003D5FEF">
        <w:rPr>
          <w:rFonts w:ascii="Arial" w:hAnsi="Arial" w:cs="Arial"/>
          <w:sz w:val="22"/>
          <w:szCs w:val="22"/>
          <w:lang w:eastAsia="ar-SA"/>
        </w:rPr>
        <w:t>I particularly draw your attention to changes to the Certificates in General Education for Adults</w:t>
      </w:r>
      <w:r w:rsidRPr="003D5FEF">
        <w:rPr>
          <w:rFonts w:ascii="Arial" w:hAnsi="Arial" w:cs="Arial"/>
          <w:sz w:val="22"/>
          <w:szCs w:val="22"/>
          <w:lang w:eastAsia="ar-SA"/>
        </w:rPr>
        <w:t>.</w:t>
      </w:r>
    </w:p>
    <w:p w:rsidR="00213DAB" w:rsidRPr="003D5FEF" w:rsidRDefault="00213DAB" w:rsidP="004304A7">
      <w:pPr>
        <w:ind w:left="-284"/>
        <w:jc w:val="both"/>
        <w:rPr>
          <w:rFonts w:ascii="Arial" w:hAnsi="Arial" w:cs="Arial"/>
          <w:sz w:val="22"/>
          <w:szCs w:val="22"/>
          <w:lang w:eastAsia="ar-SA"/>
        </w:rPr>
      </w:pPr>
    </w:p>
    <w:p w:rsidR="004304A7" w:rsidRPr="003D5FEF" w:rsidRDefault="00536747" w:rsidP="004304A7">
      <w:pPr>
        <w:ind w:left="-284"/>
        <w:jc w:val="both"/>
        <w:rPr>
          <w:rFonts w:ascii="Arial" w:hAnsi="Arial" w:cs="Arial"/>
          <w:sz w:val="22"/>
          <w:szCs w:val="22"/>
          <w:lang w:eastAsia="ar-SA"/>
        </w:rPr>
      </w:pPr>
      <w:r w:rsidRPr="003D5FEF">
        <w:rPr>
          <w:rFonts w:ascii="Arial" w:hAnsi="Arial" w:cs="Arial"/>
          <w:sz w:val="22"/>
          <w:szCs w:val="22"/>
        </w:rPr>
        <w:t>The c</w:t>
      </w:r>
      <w:r w:rsidR="00D84182" w:rsidRPr="003D5FEF">
        <w:rPr>
          <w:rFonts w:ascii="Arial" w:hAnsi="Arial" w:cs="Arial"/>
          <w:sz w:val="22"/>
          <w:szCs w:val="22"/>
        </w:rPr>
        <w:t xml:space="preserve">urriculum is available on the Department website at: </w:t>
      </w:r>
      <w:hyperlink r:id="rId12" w:history="1">
        <w:r w:rsidR="00D84182" w:rsidRPr="003D5FEF">
          <w:rPr>
            <w:rStyle w:val="Hyperlink"/>
            <w:rFonts w:ascii="Arial" w:hAnsi="Arial" w:cs="Arial"/>
            <w:sz w:val="22"/>
            <w:szCs w:val="22"/>
            <w:lang w:eastAsia="ar-SA"/>
          </w:rPr>
          <w:t>http://www.education.vic.gov.au/training/</w:t>
        </w:r>
        <w:r w:rsidR="0091072F" w:rsidRPr="003D5FEF">
          <w:rPr>
            <w:rStyle w:val="Hyperlink"/>
            <w:rFonts w:ascii="Arial" w:hAnsi="Arial" w:cs="Arial"/>
            <w:sz w:val="22"/>
            <w:szCs w:val="22"/>
            <w:lang w:eastAsia="ar-SA"/>
          </w:rPr>
          <w:t>‌</w:t>
        </w:r>
        <w:r w:rsidR="00D84182" w:rsidRPr="003D5FEF">
          <w:rPr>
            <w:rStyle w:val="Hyperlink"/>
            <w:rFonts w:ascii="Arial" w:hAnsi="Arial" w:cs="Arial"/>
            <w:sz w:val="22"/>
            <w:szCs w:val="22"/>
            <w:lang w:eastAsia="ar-SA"/>
          </w:rPr>
          <w:t>providers/rto/Pages/courses.aspx</w:t>
        </w:r>
      </w:hyperlink>
      <w:r w:rsidR="0091072F" w:rsidRPr="003D5FEF">
        <w:rPr>
          <w:rFonts w:ascii="Arial" w:hAnsi="Arial" w:cs="Arial"/>
          <w:sz w:val="22"/>
          <w:szCs w:val="22"/>
          <w:lang w:eastAsia="ar-SA"/>
        </w:rPr>
        <w:t xml:space="preserve"> </w:t>
      </w:r>
      <w:r w:rsidR="00D84182" w:rsidRPr="003D5FEF">
        <w:rPr>
          <w:rFonts w:ascii="Arial" w:hAnsi="Arial" w:cs="Arial"/>
          <w:sz w:val="22"/>
          <w:szCs w:val="22"/>
          <w:lang w:eastAsia="ar-SA"/>
        </w:rPr>
        <w:t xml:space="preserve"> </w:t>
      </w:r>
    </w:p>
    <w:p w:rsidR="004304A7" w:rsidRPr="003D5FEF" w:rsidRDefault="004304A7" w:rsidP="004304A7">
      <w:pPr>
        <w:ind w:left="-284"/>
        <w:jc w:val="both"/>
        <w:rPr>
          <w:rFonts w:ascii="Arial" w:hAnsi="Arial" w:cs="Arial"/>
          <w:sz w:val="22"/>
          <w:szCs w:val="22"/>
          <w:lang w:eastAsia="ar-SA"/>
        </w:rPr>
      </w:pPr>
    </w:p>
    <w:p w:rsidR="00827391" w:rsidRPr="003D5FEF" w:rsidRDefault="004304A7" w:rsidP="003D5FEF">
      <w:pPr>
        <w:ind w:left="-284"/>
        <w:rPr>
          <w:rFonts w:ascii="Arial" w:hAnsi="Arial" w:cs="Arial"/>
          <w:sz w:val="22"/>
          <w:szCs w:val="22"/>
          <w:lang w:eastAsia="ar-SA"/>
        </w:rPr>
      </w:pPr>
      <w:r w:rsidRPr="003D5FEF">
        <w:rPr>
          <w:rFonts w:ascii="Arial" w:hAnsi="Arial" w:cs="Arial"/>
          <w:sz w:val="22"/>
          <w:szCs w:val="22"/>
          <w:lang w:eastAsia="ar-SA"/>
        </w:rPr>
        <w:t>GSFE Curriculum Maintenance Manager has also identified related activities and resources that will be</w:t>
      </w:r>
      <w:r w:rsidR="003D5FEF">
        <w:rPr>
          <w:rFonts w:ascii="Arial" w:hAnsi="Arial" w:cs="Arial"/>
          <w:sz w:val="22"/>
          <w:szCs w:val="22"/>
          <w:lang w:eastAsia="ar-SA"/>
        </w:rPr>
        <w:t xml:space="preserve"> </w:t>
      </w:r>
      <w:r w:rsidRPr="003D5FEF">
        <w:rPr>
          <w:rFonts w:ascii="Arial" w:hAnsi="Arial" w:cs="Arial"/>
          <w:sz w:val="22"/>
          <w:szCs w:val="22"/>
          <w:lang w:eastAsia="ar-SA"/>
        </w:rPr>
        <w:t xml:space="preserve">of interest </w:t>
      </w:r>
      <w:r w:rsidR="00C543C5" w:rsidRPr="003D5FEF">
        <w:rPr>
          <w:rFonts w:ascii="Arial" w:hAnsi="Arial" w:cs="Arial"/>
          <w:sz w:val="22"/>
          <w:szCs w:val="22"/>
          <w:lang w:eastAsia="ar-SA"/>
        </w:rPr>
        <w:t>‌‌</w:t>
      </w:r>
      <w:r w:rsidRPr="003D5FEF">
        <w:rPr>
          <w:rFonts w:ascii="Arial" w:hAnsi="Arial" w:cs="Arial"/>
          <w:sz w:val="22"/>
          <w:szCs w:val="22"/>
          <w:lang w:eastAsia="ar-SA"/>
        </w:rPr>
        <w:t>to Learn Local organisations in the attached Update.</w:t>
      </w:r>
      <w:r w:rsidR="00D84182" w:rsidRPr="003D5FEF">
        <w:rPr>
          <w:rFonts w:ascii="Arial" w:hAnsi="Arial" w:cs="Arial"/>
          <w:sz w:val="22"/>
          <w:szCs w:val="22"/>
          <w:lang w:eastAsia="ar-SA"/>
        </w:rPr>
        <w:br/>
      </w:r>
      <w:r w:rsidR="00827391" w:rsidRPr="003D5FEF">
        <w:rPr>
          <w:rFonts w:ascii="Arial" w:hAnsi="Arial" w:cs="Arial"/>
          <w:sz w:val="22"/>
          <w:szCs w:val="22"/>
          <w:lang w:eastAsia="ar-SA"/>
        </w:rPr>
        <w:br w:type="page"/>
      </w:r>
    </w:p>
    <w:p w:rsidR="00827391" w:rsidRPr="00290AC0" w:rsidRDefault="00827391" w:rsidP="00827391">
      <w:pPr>
        <w:pBdr>
          <w:top w:val="single" w:sz="4" w:space="1" w:color="auto"/>
          <w:left w:val="single" w:sz="4" w:space="4" w:color="auto"/>
          <w:bottom w:val="single" w:sz="4" w:space="2" w:color="auto"/>
          <w:right w:val="single" w:sz="4" w:space="4" w:color="auto"/>
        </w:pBdr>
        <w:shd w:val="clear" w:color="auto" w:fill="0070C0"/>
        <w:spacing w:line="360" w:lineRule="auto"/>
        <w:jc w:val="center"/>
        <w:rPr>
          <w:b/>
          <w:color w:val="FFFFFF" w:themeColor="background1"/>
          <w:sz w:val="28"/>
          <w:szCs w:val="28"/>
        </w:rPr>
      </w:pPr>
      <w:r w:rsidRPr="00290AC0">
        <w:rPr>
          <w:b/>
          <w:color w:val="FFFFFF" w:themeColor="background1"/>
          <w:sz w:val="28"/>
          <w:szCs w:val="28"/>
        </w:rPr>
        <w:lastRenderedPageBreak/>
        <w:t>General Studies and Further Education Update</w:t>
      </w:r>
      <w:r>
        <w:rPr>
          <w:b/>
          <w:color w:val="FFFFFF" w:themeColor="background1"/>
          <w:sz w:val="28"/>
          <w:szCs w:val="28"/>
        </w:rPr>
        <w:t xml:space="preserve"> June</w:t>
      </w:r>
      <w:r w:rsidRPr="00290AC0">
        <w:rPr>
          <w:b/>
          <w:color w:val="FFFFFF" w:themeColor="background1"/>
          <w:sz w:val="28"/>
          <w:szCs w:val="28"/>
        </w:rPr>
        <w:t xml:space="preserve"> 201</w:t>
      </w:r>
      <w:r>
        <w:rPr>
          <w:b/>
          <w:color w:val="FFFFFF" w:themeColor="background1"/>
          <w:sz w:val="28"/>
          <w:szCs w:val="28"/>
        </w:rPr>
        <w:t>6</w:t>
      </w:r>
    </w:p>
    <w:p w:rsidR="00827391" w:rsidRPr="00827391" w:rsidRDefault="00827391" w:rsidP="00827391">
      <w:pPr>
        <w:spacing w:before="240" w:line="360" w:lineRule="auto"/>
        <w:jc w:val="both"/>
        <w:rPr>
          <w:b/>
          <w:iCs/>
          <w:color w:val="0066CC"/>
          <w:lang w:eastAsia="ar-SA"/>
        </w:rPr>
      </w:pPr>
      <w:bookmarkStart w:id="1" w:name="_Toc293929044"/>
      <w:r w:rsidRPr="00827391">
        <w:rPr>
          <w:b/>
          <w:iCs/>
          <w:color w:val="0066CC"/>
          <w:lang w:eastAsia="ar-SA"/>
        </w:rPr>
        <w:t>Curriculum Reaccreditation 201</w:t>
      </w:r>
      <w:bookmarkEnd w:id="1"/>
      <w:r w:rsidRPr="00827391">
        <w:rPr>
          <w:b/>
          <w:iCs/>
          <w:color w:val="0066CC"/>
          <w:lang w:eastAsia="ar-SA"/>
        </w:rPr>
        <w:t>5/2016</w:t>
      </w:r>
    </w:p>
    <w:p w:rsidR="00827391" w:rsidRPr="00827391" w:rsidRDefault="00827391" w:rsidP="00827391">
      <w:pPr>
        <w:jc w:val="both"/>
        <w:rPr>
          <w:b/>
          <w:lang w:eastAsia="ar-SA"/>
        </w:rPr>
      </w:pPr>
      <w:r w:rsidRPr="00827391">
        <w:rPr>
          <w:b/>
          <w:lang w:eastAsia="ar-SA"/>
        </w:rPr>
        <w:t>22313VIC Certificate IV in Tertiary Preparation</w:t>
      </w:r>
    </w:p>
    <w:p w:rsidR="00827391" w:rsidRPr="00827391" w:rsidRDefault="00827391" w:rsidP="00827391">
      <w:pPr>
        <w:jc w:val="both"/>
        <w:rPr>
          <w:lang w:eastAsia="ar-SA"/>
        </w:rPr>
      </w:pPr>
      <w:r w:rsidRPr="00827391">
        <w:rPr>
          <w:lang w:eastAsia="ar-SA"/>
        </w:rPr>
        <w:t xml:space="preserve">The reaccreditation of the 22182VIC Certificate IV in Tertiary Preparation has been completed and the reaccredited 22313VIC Certificate IV in Tertiary Preparation is now available from the Department of Education and Training website at: </w:t>
      </w:r>
      <w:hyperlink r:id="rId13" w:history="1">
        <w:r w:rsidRPr="00827391">
          <w:rPr>
            <w:rStyle w:val="Hyperlink"/>
            <w:lang w:eastAsia="ar-SA"/>
          </w:rPr>
          <w:t>http://www.education.vic.gov.au/training/</w:t>
        </w:r>
        <w:r w:rsidR="0091072F">
          <w:rPr>
            <w:rStyle w:val="Hyperlink"/>
            <w:lang w:eastAsia="ar-SA"/>
          </w:rPr>
          <w:t>‌</w:t>
        </w:r>
        <w:r w:rsidRPr="00827391">
          <w:rPr>
            <w:rStyle w:val="Hyperlink"/>
            <w:lang w:eastAsia="ar-SA"/>
          </w:rPr>
          <w:t>providers/rto/Pages/courses.aspx</w:t>
        </w:r>
      </w:hyperlink>
      <w:r w:rsidRPr="00827391">
        <w:rPr>
          <w:lang w:eastAsia="ar-SA"/>
        </w:rPr>
        <w:t xml:space="preserve"> The certificate provides an alternative pathway for those returning to study by supporting the development of academic and study skills to access higher level qualifications across a range of disciplines both in the VET sector and in Higher Education.</w:t>
      </w:r>
    </w:p>
    <w:p w:rsidR="00827391" w:rsidRPr="00827391" w:rsidRDefault="00827391" w:rsidP="00827391">
      <w:pPr>
        <w:spacing w:before="240"/>
        <w:jc w:val="both"/>
        <w:rPr>
          <w:b/>
          <w:lang w:eastAsia="ar-SA"/>
        </w:rPr>
      </w:pPr>
      <w:r w:rsidRPr="00827391">
        <w:rPr>
          <w:b/>
          <w:lang w:eastAsia="ar-SA"/>
        </w:rPr>
        <w:t>22187VIC Certificate IV in Liberal Arts and 22188VIC Diploma of Liberal Arts</w:t>
      </w:r>
    </w:p>
    <w:p w:rsidR="00827391" w:rsidRPr="00827391" w:rsidRDefault="00827391" w:rsidP="00827391">
      <w:pPr>
        <w:jc w:val="both"/>
        <w:rPr>
          <w:lang w:eastAsia="ar-SA"/>
        </w:rPr>
      </w:pPr>
      <w:r w:rsidRPr="00827391">
        <w:rPr>
          <w:lang w:eastAsia="ar-SA"/>
        </w:rPr>
        <w:t>The reaccreditation of the 22187VIC Certificate IV in Liberal Arts is progressing and is scheduled for completion by September 2016. Following a decision by the ACFE Board the 22188VIC Diploma of Liberal Arts will expire on December 31</w:t>
      </w:r>
      <w:r w:rsidRPr="00827391">
        <w:rPr>
          <w:vertAlign w:val="superscript"/>
          <w:lang w:eastAsia="ar-SA"/>
        </w:rPr>
        <w:t>st</w:t>
      </w:r>
      <w:r w:rsidRPr="00827391">
        <w:rPr>
          <w:lang w:eastAsia="ar-SA"/>
        </w:rPr>
        <w:t xml:space="preserve"> 2016. The units from the Diploma will be revised and included as elective options in the Certificate IV in Liberal Arts.</w:t>
      </w:r>
    </w:p>
    <w:p w:rsidR="00827391" w:rsidRPr="00827391" w:rsidRDefault="00827391" w:rsidP="00827391">
      <w:pPr>
        <w:spacing w:before="240"/>
        <w:jc w:val="both"/>
        <w:rPr>
          <w:b/>
          <w:iCs/>
          <w:color w:val="0066CC"/>
          <w:lang w:eastAsia="ar-SA"/>
        </w:rPr>
      </w:pPr>
      <w:r w:rsidRPr="00827391">
        <w:rPr>
          <w:b/>
          <w:iCs/>
          <w:color w:val="0066CC"/>
          <w:lang w:eastAsia="ar-SA"/>
        </w:rPr>
        <w:t>Mid Cycle reviews 2016</w:t>
      </w:r>
    </w:p>
    <w:p w:rsidR="00827391" w:rsidRPr="00827391" w:rsidRDefault="00827391" w:rsidP="00827391">
      <w:pPr>
        <w:spacing w:before="240"/>
        <w:jc w:val="both"/>
        <w:rPr>
          <w:b/>
          <w:iCs/>
          <w:color w:val="0066CC"/>
          <w:lang w:eastAsia="ar-SA"/>
        </w:rPr>
      </w:pPr>
      <w:r w:rsidRPr="00827391">
        <w:rPr>
          <w:b/>
          <w:iCs/>
          <w:color w:val="0066CC"/>
          <w:lang w:eastAsia="ar-SA"/>
        </w:rPr>
        <w:t>Certificates in General Education for Adults</w:t>
      </w:r>
      <w:r w:rsidR="000150DF">
        <w:rPr>
          <w:b/>
          <w:iCs/>
          <w:color w:val="0066CC"/>
          <w:lang w:eastAsia="ar-SA"/>
        </w:rPr>
        <w:t xml:space="preserve"> (CGEA)</w:t>
      </w:r>
    </w:p>
    <w:p w:rsidR="00827391" w:rsidRPr="00827391" w:rsidRDefault="00827391" w:rsidP="00827391">
      <w:pPr>
        <w:jc w:val="both"/>
        <w:rPr>
          <w:lang w:eastAsia="ar-SA"/>
        </w:rPr>
      </w:pPr>
      <w:r w:rsidRPr="00827391">
        <w:rPr>
          <w:lang w:eastAsia="ar-SA"/>
        </w:rPr>
        <w:t>A mid cycle review was conducted for the Certificates in General Education for Adults with the following changes made:</w:t>
      </w:r>
    </w:p>
    <w:p w:rsidR="00827391" w:rsidRPr="00827391" w:rsidRDefault="00827391" w:rsidP="00827391">
      <w:pPr>
        <w:pStyle w:val="Style1"/>
        <w:jc w:val="both"/>
        <w:rPr>
          <w:rFonts w:ascii="Times New Roman" w:hAnsi="Times New Roman" w:cs="Times New Roman"/>
        </w:rPr>
      </w:pPr>
      <w:r w:rsidRPr="00827391">
        <w:rPr>
          <w:rFonts w:ascii="Times New Roman" w:hAnsi="Times New Roman" w:cs="Times New Roman"/>
        </w:rPr>
        <w:t>Existing imported units replaced with the most current version</w:t>
      </w:r>
    </w:p>
    <w:p w:rsidR="00827391" w:rsidRPr="00827391" w:rsidRDefault="00827391" w:rsidP="00827391">
      <w:pPr>
        <w:pStyle w:val="Style1"/>
        <w:jc w:val="both"/>
        <w:rPr>
          <w:rFonts w:ascii="Times New Roman" w:hAnsi="Times New Roman" w:cs="Times New Roman"/>
          <w:lang w:val="en-GB"/>
        </w:rPr>
      </w:pPr>
      <w:r w:rsidRPr="00827391">
        <w:rPr>
          <w:rFonts w:ascii="Times New Roman" w:hAnsi="Times New Roman" w:cs="Times New Roman"/>
          <w:lang w:val="en-GB"/>
        </w:rPr>
        <w:t xml:space="preserve">Addition of </w:t>
      </w:r>
      <w:r w:rsidRPr="00827391">
        <w:rPr>
          <w:rFonts w:ascii="Times New Roman" w:hAnsi="Times New Roman" w:cs="Times New Roman"/>
          <w:i/>
          <w:lang w:val="en-GB"/>
        </w:rPr>
        <w:t>VU20746 Apply essential further study skills</w:t>
      </w:r>
      <w:r w:rsidRPr="00827391">
        <w:rPr>
          <w:rFonts w:ascii="Times New Roman" w:hAnsi="Times New Roman" w:cs="Times New Roman"/>
          <w:lang w:val="en-GB"/>
        </w:rPr>
        <w:t xml:space="preserve"> to the elective bank of the 22238VIC Certificate III in General Education for Adults </w:t>
      </w:r>
    </w:p>
    <w:p w:rsidR="00827391" w:rsidRPr="00827391" w:rsidRDefault="00827391" w:rsidP="00827391">
      <w:pPr>
        <w:pStyle w:val="Style1"/>
        <w:jc w:val="both"/>
        <w:rPr>
          <w:rFonts w:ascii="Times New Roman" w:hAnsi="Times New Roman" w:cs="Times New Roman"/>
          <w:lang w:val="en-GB"/>
        </w:rPr>
      </w:pPr>
      <w:r w:rsidRPr="00827391">
        <w:rPr>
          <w:rFonts w:ascii="Times New Roman" w:hAnsi="Times New Roman" w:cs="Times New Roman"/>
          <w:lang w:val="en-GB"/>
        </w:rPr>
        <w:t xml:space="preserve">Addition of </w:t>
      </w:r>
      <w:r w:rsidRPr="00827391">
        <w:rPr>
          <w:rFonts w:ascii="Times New Roman" w:hAnsi="Times New Roman" w:cs="Times New Roman"/>
          <w:i/>
          <w:lang w:val="en-GB"/>
        </w:rPr>
        <w:t>ICTICT106 Operate presentation packages</w:t>
      </w:r>
      <w:r w:rsidRPr="00827391">
        <w:rPr>
          <w:rFonts w:ascii="Times New Roman" w:hAnsi="Times New Roman" w:cs="Times New Roman"/>
          <w:lang w:val="en-GB"/>
        </w:rPr>
        <w:t xml:space="preserve"> to the elective bank of the 22237VIC Certificate II in General Education for Adults and the 22238VIC Certificate III in General Education for Adults</w:t>
      </w:r>
    </w:p>
    <w:p w:rsidR="00827391" w:rsidRPr="00827391" w:rsidRDefault="00827391" w:rsidP="00827391">
      <w:pPr>
        <w:pStyle w:val="Style1"/>
        <w:jc w:val="both"/>
        <w:rPr>
          <w:rFonts w:ascii="Times New Roman" w:hAnsi="Times New Roman" w:cs="Times New Roman"/>
          <w:lang w:val="en-GB"/>
        </w:rPr>
      </w:pPr>
      <w:r w:rsidRPr="00827391">
        <w:rPr>
          <w:rFonts w:ascii="Times New Roman" w:hAnsi="Times New Roman" w:cs="Times New Roman"/>
          <w:lang w:val="en-GB"/>
        </w:rPr>
        <w:t xml:space="preserve">Reference to work procedures removed from first dot point in Required Skills of </w:t>
      </w:r>
      <w:r w:rsidRPr="00827391">
        <w:rPr>
          <w:rFonts w:ascii="Times New Roman" w:hAnsi="Times New Roman" w:cs="Times New Roman"/>
          <w:i/>
          <w:lang w:val="en-GB"/>
        </w:rPr>
        <w:t>VU21328 Engage with texts of limited complexity to participate in the community</w:t>
      </w:r>
    </w:p>
    <w:p w:rsidR="00827391" w:rsidRPr="00827391" w:rsidRDefault="00827391" w:rsidP="00827391">
      <w:pPr>
        <w:pStyle w:val="Style1"/>
        <w:jc w:val="both"/>
        <w:rPr>
          <w:rFonts w:ascii="Times New Roman" w:hAnsi="Times New Roman" w:cs="Times New Roman"/>
          <w:lang w:val="en-GB"/>
        </w:rPr>
      </w:pPr>
      <w:r w:rsidRPr="00827391">
        <w:rPr>
          <w:rFonts w:ascii="Times New Roman" w:hAnsi="Times New Roman" w:cs="Times New Roman"/>
          <w:lang w:val="en-GB"/>
        </w:rPr>
        <w:t xml:space="preserve">The title of </w:t>
      </w:r>
      <w:r w:rsidRPr="00827391">
        <w:rPr>
          <w:rFonts w:ascii="Times New Roman" w:hAnsi="Times New Roman" w:cs="Times New Roman"/>
          <w:i/>
          <w:lang w:val="en-GB"/>
        </w:rPr>
        <w:t xml:space="preserve">VU21365 Investigate and use simple mathematical formulae and problem solving techniques in a range of contexts </w:t>
      </w:r>
      <w:r w:rsidRPr="00827391">
        <w:rPr>
          <w:rFonts w:ascii="Times New Roman" w:hAnsi="Times New Roman" w:cs="Times New Roman"/>
          <w:lang w:val="en-GB"/>
        </w:rPr>
        <w:t xml:space="preserve">has been amended to </w:t>
      </w:r>
      <w:r w:rsidRPr="00827391">
        <w:rPr>
          <w:rFonts w:ascii="Times New Roman" w:hAnsi="Times New Roman" w:cs="Times New Roman"/>
          <w:i/>
          <w:lang w:val="en-GB"/>
        </w:rPr>
        <w:t>Investigate &amp; use simple mathematical formulae and problem solving techniques in a range of contexts</w:t>
      </w:r>
      <w:r w:rsidRPr="00827391">
        <w:rPr>
          <w:rFonts w:ascii="Times New Roman" w:hAnsi="Times New Roman" w:cs="Times New Roman"/>
          <w:lang w:val="en-GB"/>
        </w:rPr>
        <w:t xml:space="preserve"> to meet titling character limits</w:t>
      </w:r>
    </w:p>
    <w:p w:rsidR="00827391" w:rsidRPr="00827391" w:rsidRDefault="00827391" w:rsidP="00827391">
      <w:pPr>
        <w:pStyle w:val="Style1"/>
        <w:jc w:val="both"/>
        <w:rPr>
          <w:rFonts w:ascii="Times New Roman" w:hAnsi="Times New Roman" w:cs="Times New Roman"/>
          <w:lang w:val="en-GB"/>
        </w:rPr>
      </w:pPr>
      <w:r w:rsidRPr="00827391">
        <w:rPr>
          <w:rFonts w:ascii="Times New Roman" w:hAnsi="Times New Roman" w:cs="Times New Roman"/>
          <w:lang w:val="en-GB"/>
        </w:rPr>
        <w:t>Typographical errors corrected</w:t>
      </w:r>
    </w:p>
    <w:p w:rsidR="00827391" w:rsidRPr="00827391" w:rsidRDefault="00827391" w:rsidP="00827391">
      <w:pPr>
        <w:pStyle w:val="Style1"/>
        <w:jc w:val="both"/>
        <w:rPr>
          <w:rFonts w:ascii="Times New Roman" w:hAnsi="Times New Roman" w:cs="Times New Roman"/>
          <w:lang w:val="en-GB"/>
        </w:rPr>
      </w:pPr>
      <w:r w:rsidRPr="00827391">
        <w:rPr>
          <w:rFonts w:ascii="Times New Roman" w:hAnsi="Times New Roman" w:cs="Times New Roman"/>
          <w:lang w:val="en-GB"/>
        </w:rPr>
        <w:t>Copyright owner details updated</w:t>
      </w:r>
    </w:p>
    <w:p w:rsidR="00827391" w:rsidRPr="00827391" w:rsidRDefault="00827391" w:rsidP="00827391">
      <w:pPr>
        <w:spacing w:before="240"/>
        <w:jc w:val="both"/>
        <w:rPr>
          <w:rStyle w:val="Hyperlink"/>
          <w:lang w:eastAsia="ar-SA"/>
        </w:rPr>
      </w:pPr>
      <w:r w:rsidRPr="000150DF">
        <w:rPr>
          <w:b/>
          <w:lang w:eastAsia="ar-SA"/>
        </w:rPr>
        <w:t>The new version of the curriculum</w:t>
      </w:r>
      <w:r w:rsidRPr="00827391">
        <w:rPr>
          <w:lang w:eastAsia="ar-SA"/>
        </w:rPr>
        <w:t xml:space="preserve"> is published on the Victorian Department of Education and Training (DET) website at:  </w:t>
      </w:r>
      <w:hyperlink r:id="rId14" w:history="1">
        <w:r w:rsidRPr="00827391">
          <w:rPr>
            <w:rStyle w:val="Hyperlink"/>
            <w:lang w:eastAsia="ar-SA"/>
          </w:rPr>
          <w:t>http://www.education.vic.gov.au/training/providers/rto/Pages/</w:t>
        </w:r>
        <w:r w:rsidR="0091072F">
          <w:rPr>
            <w:rStyle w:val="Hyperlink"/>
            <w:lang w:eastAsia="ar-SA"/>
          </w:rPr>
          <w:t>‌</w:t>
        </w:r>
        <w:r w:rsidRPr="00827391">
          <w:rPr>
            <w:rStyle w:val="Hyperlink"/>
            <w:lang w:eastAsia="ar-SA"/>
          </w:rPr>
          <w:t>courses.aspx</w:t>
        </w:r>
      </w:hyperlink>
    </w:p>
    <w:p w:rsidR="00827391" w:rsidRPr="00827391" w:rsidRDefault="00827391" w:rsidP="00827391">
      <w:pPr>
        <w:spacing w:before="240"/>
        <w:jc w:val="both"/>
        <w:rPr>
          <w:b/>
          <w:iCs/>
          <w:color w:val="0066CC"/>
          <w:lang w:eastAsia="ar-SA"/>
        </w:rPr>
      </w:pPr>
      <w:r w:rsidRPr="00827391">
        <w:rPr>
          <w:b/>
          <w:iCs/>
          <w:color w:val="0066CC"/>
          <w:lang w:eastAsia="ar-SA"/>
        </w:rPr>
        <w:t>English as an Additional Language (EAL) Framework</w:t>
      </w:r>
    </w:p>
    <w:p w:rsidR="00827391" w:rsidRPr="00827391" w:rsidRDefault="00827391" w:rsidP="00827391">
      <w:pPr>
        <w:spacing w:before="240"/>
        <w:jc w:val="both"/>
        <w:rPr>
          <w:lang w:eastAsia="ar-SA"/>
        </w:rPr>
      </w:pPr>
      <w:r w:rsidRPr="00827391">
        <w:rPr>
          <w:lang w:eastAsia="ar-SA"/>
        </w:rPr>
        <w:t>A mid cycle review for the EAL Framework will be conducted shortly. EAL practitioners will be invited to provide feedback on the curriculum via an electronic survey. Practitioners can also provide feedback directly to the CMM.</w:t>
      </w:r>
    </w:p>
    <w:p w:rsidR="00827391" w:rsidRPr="00827391" w:rsidRDefault="00827391" w:rsidP="00827391">
      <w:pPr>
        <w:spacing w:after="200" w:line="276" w:lineRule="auto"/>
        <w:jc w:val="both"/>
        <w:rPr>
          <w:b/>
          <w:iCs/>
          <w:color w:val="0066CC"/>
          <w:lang w:eastAsia="ar-SA"/>
        </w:rPr>
      </w:pPr>
      <w:r w:rsidRPr="00827391">
        <w:rPr>
          <w:b/>
          <w:iCs/>
          <w:color w:val="0066CC"/>
          <w:lang w:eastAsia="ar-SA"/>
        </w:rPr>
        <w:br w:type="page"/>
      </w:r>
      <w:r w:rsidRPr="00827391">
        <w:rPr>
          <w:b/>
          <w:iCs/>
          <w:color w:val="0066CC"/>
          <w:lang w:eastAsia="ar-SA"/>
        </w:rPr>
        <w:lastRenderedPageBreak/>
        <w:t>CGEA professional development</w:t>
      </w:r>
    </w:p>
    <w:p w:rsidR="00827391" w:rsidRPr="00827391" w:rsidRDefault="00827391" w:rsidP="00827391">
      <w:pPr>
        <w:jc w:val="both"/>
        <w:rPr>
          <w:lang w:eastAsia="ar-SA"/>
        </w:rPr>
      </w:pPr>
      <w:r w:rsidRPr="00827391">
        <w:rPr>
          <w:lang w:eastAsia="ar-SA"/>
        </w:rPr>
        <w:t xml:space="preserve">There will be 2 CGEA half day professional development sessions in 2016.  The first session </w:t>
      </w:r>
      <w:r w:rsidR="004304A7">
        <w:rPr>
          <w:lang w:eastAsia="ar-SA"/>
        </w:rPr>
        <w:t>was held on</w:t>
      </w:r>
      <w:r w:rsidRPr="00827391">
        <w:rPr>
          <w:lang w:eastAsia="ar-SA"/>
        </w:rPr>
        <w:t xml:space="preserve"> 14 July with the second session to be held in November. The focus of Session 1 </w:t>
      </w:r>
      <w:r w:rsidR="004304A7">
        <w:rPr>
          <w:lang w:eastAsia="ar-SA"/>
        </w:rPr>
        <w:t xml:space="preserve">was on </w:t>
      </w:r>
      <w:r w:rsidRPr="00827391">
        <w:rPr>
          <w:lang w:eastAsia="ar-SA"/>
        </w:rPr>
        <w:t>explor</w:t>
      </w:r>
      <w:r w:rsidR="004304A7">
        <w:rPr>
          <w:lang w:eastAsia="ar-SA"/>
        </w:rPr>
        <w:t>ing</w:t>
      </w:r>
      <w:r w:rsidRPr="00827391">
        <w:rPr>
          <w:lang w:eastAsia="ar-SA"/>
        </w:rPr>
        <w:t xml:space="preserve"> how blended learning can be used with the CGEA and enable participants to examine some of the different ways in which this approach can support their learners to develop their skills. </w:t>
      </w:r>
    </w:p>
    <w:p w:rsidR="00827391" w:rsidRPr="00827391" w:rsidRDefault="00827391" w:rsidP="00827391">
      <w:pPr>
        <w:spacing w:before="240"/>
        <w:jc w:val="both"/>
        <w:rPr>
          <w:b/>
          <w:iCs/>
          <w:color w:val="0066CC"/>
          <w:lang w:eastAsia="ar-SA"/>
        </w:rPr>
      </w:pPr>
      <w:r w:rsidRPr="00827391">
        <w:rPr>
          <w:b/>
          <w:iCs/>
          <w:color w:val="0066CC"/>
          <w:lang w:eastAsia="ar-SA"/>
        </w:rPr>
        <w:t>Teacher networks</w:t>
      </w:r>
    </w:p>
    <w:p w:rsidR="00827391" w:rsidRPr="00827391" w:rsidRDefault="00827391" w:rsidP="00827391">
      <w:pPr>
        <w:spacing w:before="240"/>
        <w:jc w:val="both"/>
        <w:rPr>
          <w:b/>
          <w:lang w:eastAsia="ar-SA"/>
        </w:rPr>
      </w:pPr>
      <w:r w:rsidRPr="00827391">
        <w:rPr>
          <w:b/>
          <w:lang w:eastAsia="ar-SA"/>
        </w:rPr>
        <w:t xml:space="preserve">State Wide Advisory Group (SWAG) </w:t>
      </w:r>
    </w:p>
    <w:p w:rsidR="00827391" w:rsidRPr="00827391" w:rsidRDefault="00827391" w:rsidP="00827391">
      <w:pPr>
        <w:jc w:val="both"/>
        <w:rPr>
          <w:lang w:eastAsia="ar-SA"/>
        </w:rPr>
      </w:pPr>
      <w:r w:rsidRPr="00827391">
        <w:rPr>
          <w:lang w:eastAsia="ar-SA"/>
        </w:rPr>
        <w:t xml:space="preserve">The State Wide Advisory group (SWAG) is made up of teachers from the disability area and works with the 22302VIC Certificate </w:t>
      </w:r>
      <w:proofErr w:type="gramStart"/>
      <w:r w:rsidRPr="00827391">
        <w:rPr>
          <w:lang w:eastAsia="ar-SA"/>
        </w:rPr>
        <w:t>I</w:t>
      </w:r>
      <w:proofErr w:type="gramEnd"/>
      <w:r w:rsidRPr="00827391">
        <w:rPr>
          <w:lang w:eastAsia="ar-SA"/>
        </w:rPr>
        <w:t xml:space="preserve"> in Work Education and 22301VIC Certificate I in Transition Education. The SWAG conducts validation activities at each meeting. The SWAG convenor is Kathy </w:t>
      </w:r>
      <w:proofErr w:type="spellStart"/>
      <w:r w:rsidRPr="00827391">
        <w:rPr>
          <w:lang w:eastAsia="ar-SA"/>
        </w:rPr>
        <w:t>Kondekas</w:t>
      </w:r>
      <w:proofErr w:type="spellEnd"/>
      <w:r w:rsidRPr="00827391">
        <w:rPr>
          <w:lang w:eastAsia="ar-SA"/>
        </w:rPr>
        <w:t xml:space="preserve"> from Melbourne Polytechnic and the Secretary is Susan Seibel from </w:t>
      </w:r>
      <w:proofErr w:type="spellStart"/>
      <w:r w:rsidRPr="00827391">
        <w:rPr>
          <w:lang w:eastAsia="ar-SA"/>
        </w:rPr>
        <w:t>Kangan</w:t>
      </w:r>
      <w:proofErr w:type="spellEnd"/>
      <w:r w:rsidRPr="00827391">
        <w:rPr>
          <w:lang w:eastAsia="ar-SA"/>
        </w:rPr>
        <w:t>.</w:t>
      </w:r>
    </w:p>
    <w:p w:rsidR="00827391" w:rsidRPr="00827391" w:rsidRDefault="00827391" w:rsidP="00827391">
      <w:pPr>
        <w:jc w:val="both"/>
        <w:rPr>
          <w:lang w:eastAsia="ar-SA"/>
        </w:rPr>
      </w:pPr>
      <w:r w:rsidRPr="00827391">
        <w:rPr>
          <w:lang w:eastAsia="ar-SA"/>
        </w:rPr>
        <w:t xml:space="preserve">For further information contact Kathy at </w:t>
      </w:r>
      <w:hyperlink r:id="rId15" w:history="1">
        <w:r w:rsidRPr="004304A7">
          <w:rPr>
            <w:rStyle w:val="Hyperlink"/>
            <w:szCs w:val="24"/>
            <w:lang w:val="en-US"/>
          </w:rPr>
          <w:t>KathyKondekas@melbournepolytechnic.edu.au</w:t>
        </w:r>
      </w:hyperlink>
      <w:r w:rsidRPr="00827391">
        <w:rPr>
          <w:sz w:val="20"/>
          <w:lang w:val="en-US"/>
        </w:rPr>
        <w:t xml:space="preserve"> </w:t>
      </w:r>
      <w:r w:rsidRPr="00827391">
        <w:rPr>
          <w:lang w:eastAsia="ar-SA"/>
        </w:rPr>
        <w:t xml:space="preserve">or Susan Siebel at </w:t>
      </w:r>
      <w:hyperlink r:id="rId16" w:history="1">
        <w:r w:rsidRPr="004304A7">
          <w:rPr>
            <w:rStyle w:val="Hyperlink"/>
            <w:szCs w:val="24"/>
            <w:lang w:val="en-US"/>
          </w:rPr>
          <w:t>ssiebel@kangan.edu.au</w:t>
        </w:r>
      </w:hyperlink>
    </w:p>
    <w:p w:rsidR="00827391" w:rsidRPr="00827391" w:rsidRDefault="00827391" w:rsidP="00827391">
      <w:pPr>
        <w:spacing w:before="240"/>
        <w:jc w:val="both"/>
        <w:rPr>
          <w:b/>
          <w:lang w:eastAsia="ar-SA"/>
        </w:rPr>
      </w:pPr>
      <w:r w:rsidRPr="00827391">
        <w:rPr>
          <w:b/>
          <w:lang w:eastAsia="ar-SA"/>
        </w:rPr>
        <w:t>CGEA Champions</w:t>
      </w:r>
    </w:p>
    <w:p w:rsidR="00827391" w:rsidRPr="00827391" w:rsidRDefault="00827391" w:rsidP="00827391">
      <w:pPr>
        <w:jc w:val="both"/>
        <w:rPr>
          <w:lang w:eastAsia="ar-SA"/>
        </w:rPr>
      </w:pPr>
      <w:r w:rsidRPr="00827391">
        <w:rPr>
          <w:lang w:eastAsia="ar-SA"/>
        </w:rPr>
        <w:t xml:space="preserve">The CGEA Champions Network is convened by Tim Morris from RMIT and usually meets 4 times per year to discuss issues of delivery and assessment in the CGEA and to conduct assessment validation. A recent survey of members indicated that the main benefit/reason for attending was the opportunity for networking and the future focus of the meetings will consider validation of assessments and broader compliance issues. </w:t>
      </w:r>
    </w:p>
    <w:p w:rsidR="00827391" w:rsidRPr="00827391" w:rsidRDefault="00827391" w:rsidP="00827391">
      <w:pPr>
        <w:jc w:val="both"/>
        <w:rPr>
          <w:lang w:eastAsia="ar-SA"/>
        </w:rPr>
      </w:pPr>
      <w:r w:rsidRPr="00827391">
        <w:rPr>
          <w:lang w:eastAsia="ar-SA"/>
        </w:rPr>
        <w:t xml:space="preserve">For further information contact Tim at </w:t>
      </w:r>
      <w:hyperlink r:id="rId17" w:history="1">
        <w:r w:rsidRPr="00827391">
          <w:rPr>
            <w:rStyle w:val="Hyperlink"/>
            <w:lang w:eastAsia="ar-SA"/>
          </w:rPr>
          <w:t>tim.morris@rmit.edu.au</w:t>
        </w:r>
      </w:hyperlink>
    </w:p>
    <w:p w:rsidR="00827391" w:rsidRPr="00827391" w:rsidRDefault="00827391" w:rsidP="00827391">
      <w:pPr>
        <w:spacing w:before="240"/>
        <w:jc w:val="both"/>
        <w:rPr>
          <w:b/>
          <w:lang w:eastAsia="ar-SA"/>
        </w:rPr>
      </w:pPr>
      <w:r w:rsidRPr="00827391">
        <w:rPr>
          <w:b/>
          <w:lang w:eastAsia="ar-SA"/>
        </w:rPr>
        <w:t>EAL Curriculum Advisory Group</w:t>
      </w:r>
    </w:p>
    <w:p w:rsidR="00827391" w:rsidRPr="00827391" w:rsidRDefault="00827391" w:rsidP="00827391">
      <w:pPr>
        <w:jc w:val="both"/>
        <w:rPr>
          <w:lang w:eastAsia="ar-SA"/>
        </w:rPr>
      </w:pPr>
      <w:r w:rsidRPr="00827391">
        <w:rPr>
          <w:lang w:eastAsia="ar-SA"/>
        </w:rPr>
        <w:t xml:space="preserve">The EAL CAG is chaired in 2016 by Angela </w:t>
      </w:r>
      <w:proofErr w:type="spellStart"/>
      <w:r w:rsidRPr="00827391">
        <w:rPr>
          <w:lang w:eastAsia="ar-SA"/>
        </w:rPr>
        <w:t>DiSciascio</w:t>
      </w:r>
      <w:proofErr w:type="spellEnd"/>
      <w:r w:rsidRPr="00827391">
        <w:rPr>
          <w:lang w:eastAsia="ar-SA"/>
        </w:rPr>
        <w:t xml:space="preserve">. The CAG will continue to focus on issues affecting the delivery of English as an additional language, including assessment, validation and opportunities for industry liaison. </w:t>
      </w:r>
    </w:p>
    <w:p w:rsidR="00827391" w:rsidRPr="00827391" w:rsidRDefault="00827391" w:rsidP="00827391">
      <w:pPr>
        <w:jc w:val="both"/>
        <w:rPr>
          <w:lang w:eastAsia="ar-SA"/>
        </w:rPr>
      </w:pPr>
      <w:r w:rsidRPr="00827391">
        <w:rPr>
          <w:lang w:eastAsia="ar-SA"/>
        </w:rPr>
        <w:t xml:space="preserve">For further information contact Angela at </w:t>
      </w:r>
      <w:hyperlink r:id="rId18" w:history="1">
        <w:r w:rsidRPr="00827391">
          <w:rPr>
            <w:rStyle w:val="Hyperlink"/>
            <w:lang w:eastAsia="ar-SA"/>
          </w:rPr>
          <w:t>ADiScias@gordontafe.edu.au</w:t>
        </w:r>
      </w:hyperlink>
    </w:p>
    <w:p w:rsidR="00827391" w:rsidRPr="00827391" w:rsidRDefault="00827391" w:rsidP="00827391">
      <w:pPr>
        <w:spacing w:before="240"/>
        <w:jc w:val="both"/>
        <w:rPr>
          <w:b/>
          <w:iCs/>
          <w:color w:val="0066CC"/>
          <w:lang w:eastAsia="ar-SA"/>
        </w:rPr>
      </w:pPr>
      <w:r w:rsidRPr="00827391">
        <w:rPr>
          <w:b/>
          <w:iCs/>
          <w:color w:val="0066CC"/>
          <w:lang w:eastAsia="ar-SA"/>
        </w:rPr>
        <w:t>TAE Training and Education Training Package</w:t>
      </w:r>
    </w:p>
    <w:p w:rsidR="00827391" w:rsidRPr="00827391" w:rsidRDefault="00827391" w:rsidP="00827391">
      <w:pPr>
        <w:jc w:val="both"/>
        <w:rPr>
          <w:lang w:eastAsia="ar-SA"/>
        </w:rPr>
      </w:pPr>
      <w:r w:rsidRPr="00827391">
        <w:rPr>
          <w:lang w:eastAsia="ar-SA"/>
        </w:rPr>
        <w:t xml:space="preserve">The Standards Compliant TAE Training and Education Training Package was endorsed by the Australian Industry and Skills Committee in April 2016 and is available on the TGA website at </w:t>
      </w:r>
      <w:hyperlink r:id="rId19" w:history="1">
        <w:r w:rsidRPr="00827391">
          <w:rPr>
            <w:rStyle w:val="Hyperlink"/>
            <w:lang w:eastAsia="ar-SA"/>
          </w:rPr>
          <w:t>training.gov.au</w:t>
        </w:r>
      </w:hyperlink>
      <w:r w:rsidRPr="00827391">
        <w:rPr>
          <w:lang w:eastAsia="ar-SA"/>
        </w:rPr>
        <w:t xml:space="preserve"> The Victorian Purchasing Guide was released in May 2016 and is available from the DET website </w:t>
      </w:r>
      <w:hyperlink r:id="rId20" w:history="1">
        <w:r w:rsidRPr="00827391">
          <w:rPr>
            <w:rStyle w:val="Hyperlink"/>
            <w:lang w:eastAsia="ar-SA"/>
          </w:rPr>
          <w:t>http://www.education.vic.gov.au/training/providers/rto/Pages/purchasingguides.aspx</w:t>
        </w:r>
      </w:hyperlink>
      <w:r w:rsidRPr="00827391">
        <w:rPr>
          <w:rStyle w:val="Hyperlink"/>
        </w:rPr>
        <w:t xml:space="preserve"> </w:t>
      </w:r>
    </w:p>
    <w:p w:rsidR="000150DF" w:rsidRDefault="000150DF" w:rsidP="00827391">
      <w:pPr>
        <w:jc w:val="both"/>
        <w:rPr>
          <w:lang w:eastAsia="ar-SA"/>
        </w:rPr>
      </w:pPr>
    </w:p>
    <w:p w:rsidR="00827391" w:rsidRPr="00827391" w:rsidRDefault="00827391" w:rsidP="00827391">
      <w:pPr>
        <w:jc w:val="both"/>
        <w:rPr>
          <w:lang w:eastAsia="ar-SA"/>
        </w:rPr>
      </w:pPr>
      <w:r w:rsidRPr="00827391">
        <w:rPr>
          <w:lang w:eastAsia="ar-SA"/>
        </w:rPr>
        <w:t xml:space="preserve">Skills for Australia, the Skills Service Organisation (SSO) responsible for the TAE Training and Education Training Package is conducting free consultation sessions and webinars on the implementation of the training package. Further information and registration is available from </w:t>
      </w:r>
      <w:r w:rsidRPr="00827391">
        <w:rPr>
          <w:rStyle w:val="Hyperlink"/>
        </w:rPr>
        <w:t>http://www.skillsforaustralia.com/</w:t>
      </w:r>
    </w:p>
    <w:p w:rsidR="00827391" w:rsidRPr="00827391" w:rsidRDefault="00827391" w:rsidP="00827391">
      <w:pPr>
        <w:spacing w:before="240"/>
        <w:jc w:val="both"/>
        <w:rPr>
          <w:b/>
          <w:iCs/>
          <w:color w:val="0066CC"/>
          <w:lang w:eastAsia="ar-SA"/>
        </w:rPr>
      </w:pPr>
      <w:r w:rsidRPr="00827391">
        <w:rPr>
          <w:b/>
          <w:iCs/>
          <w:color w:val="0066CC"/>
          <w:lang w:eastAsia="ar-SA"/>
        </w:rPr>
        <w:t>Resource Links</w:t>
      </w:r>
    </w:p>
    <w:p w:rsidR="00827391" w:rsidRPr="00827391" w:rsidRDefault="00827391" w:rsidP="00827391">
      <w:pPr>
        <w:pStyle w:val="Default"/>
        <w:jc w:val="both"/>
        <w:rPr>
          <w:rFonts w:ascii="Times New Roman" w:hAnsi="Times New Roman" w:cs="Times New Roman"/>
          <w:sz w:val="22"/>
          <w:szCs w:val="22"/>
        </w:rPr>
      </w:pPr>
      <w:r w:rsidRPr="00827391">
        <w:rPr>
          <w:rFonts w:ascii="Times New Roman" w:hAnsi="Times New Roman" w:cs="Times New Roman"/>
          <w:b/>
          <w:bCs/>
          <w:i/>
          <w:iCs/>
          <w:sz w:val="22"/>
          <w:szCs w:val="22"/>
        </w:rPr>
        <w:t xml:space="preserve">Building Strength in Numeracy </w:t>
      </w:r>
    </w:p>
    <w:p w:rsidR="00827391" w:rsidRPr="00827391" w:rsidRDefault="00827391" w:rsidP="00827391">
      <w:pPr>
        <w:jc w:val="both"/>
        <w:rPr>
          <w:rStyle w:val="Hyperlink"/>
        </w:rPr>
      </w:pPr>
      <w:r w:rsidRPr="00827391">
        <w:t xml:space="preserve">This free online resource revises and improves on the iconic numeracy resources 'Strength in Numbers' and 'Breaking the Maths Barrier', and other 'tried and true' numeracy teaching resources. It is a collection of activities that builds on and updates elements of the previous resources, as well as including many new ideas, activities and student practice exercises. The resource is accessible online for teachers to use in a range of settings. Available from: </w:t>
      </w:r>
      <w:hyperlink r:id="rId21" w:history="1">
        <w:r w:rsidRPr="00827391">
          <w:rPr>
            <w:rStyle w:val="Hyperlink"/>
          </w:rPr>
          <w:t>http://www.valbec.org.au/building-strength-with-numeracy/index.htm</w:t>
        </w:r>
      </w:hyperlink>
    </w:p>
    <w:p w:rsidR="000150DF" w:rsidRDefault="000150DF" w:rsidP="00827391">
      <w:pPr>
        <w:pStyle w:val="Default"/>
        <w:jc w:val="both"/>
        <w:rPr>
          <w:rFonts w:ascii="Times New Roman" w:hAnsi="Times New Roman" w:cs="Times New Roman"/>
          <w:b/>
          <w:bCs/>
          <w:i/>
          <w:iCs/>
          <w:sz w:val="22"/>
          <w:szCs w:val="22"/>
        </w:rPr>
      </w:pPr>
    </w:p>
    <w:p w:rsidR="000150DF" w:rsidRDefault="000150DF" w:rsidP="00827391">
      <w:pPr>
        <w:pStyle w:val="Default"/>
        <w:jc w:val="both"/>
        <w:rPr>
          <w:rFonts w:ascii="Times New Roman" w:hAnsi="Times New Roman" w:cs="Times New Roman"/>
          <w:b/>
          <w:bCs/>
          <w:i/>
          <w:iCs/>
          <w:sz w:val="22"/>
          <w:szCs w:val="22"/>
        </w:rPr>
      </w:pPr>
    </w:p>
    <w:p w:rsidR="000150DF" w:rsidRDefault="000150DF" w:rsidP="00827391">
      <w:pPr>
        <w:pStyle w:val="Default"/>
        <w:jc w:val="both"/>
        <w:rPr>
          <w:rFonts w:ascii="Times New Roman" w:hAnsi="Times New Roman" w:cs="Times New Roman"/>
          <w:b/>
          <w:bCs/>
          <w:i/>
          <w:iCs/>
          <w:sz w:val="22"/>
          <w:szCs w:val="22"/>
        </w:rPr>
      </w:pPr>
    </w:p>
    <w:p w:rsidR="000150DF" w:rsidRDefault="000150DF" w:rsidP="00827391">
      <w:pPr>
        <w:pStyle w:val="Default"/>
        <w:jc w:val="both"/>
        <w:rPr>
          <w:rFonts w:ascii="Times New Roman" w:hAnsi="Times New Roman" w:cs="Times New Roman"/>
          <w:b/>
          <w:bCs/>
          <w:i/>
          <w:iCs/>
          <w:sz w:val="22"/>
          <w:szCs w:val="22"/>
        </w:rPr>
      </w:pPr>
    </w:p>
    <w:p w:rsidR="000150DF" w:rsidRDefault="000150DF" w:rsidP="00827391">
      <w:pPr>
        <w:pStyle w:val="Default"/>
        <w:jc w:val="both"/>
        <w:rPr>
          <w:rFonts w:ascii="Times New Roman" w:hAnsi="Times New Roman" w:cs="Times New Roman"/>
          <w:b/>
          <w:bCs/>
          <w:i/>
          <w:iCs/>
          <w:sz w:val="22"/>
          <w:szCs w:val="22"/>
        </w:rPr>
      </w:pPr>
    </w:p>
    <w:p w:rsidR="00827391" w:rsidRPr="000150DF" w:rsidRDefault="00827391" w:rsidP="00827391">
      <w:pPr>
        <w:pStyle w:val="Default"/>
        <w:jc w:val="both"/>
        <w:rPr>
          <w:rFonts w:ascii="Times New Roman" w:hAnsi="Times New Roman" w:cs="Times New Roman"/>
          <w:b/>
          <w:bCs/>
          <w:sz w:val="22"/>
          <w:szCs w:val="22"/>
        </w:rPr>
      </w:pPr>
      <w:r w:rsidRPr="000150DF">
        <w:rPr>
          <w:rFonts w:ascii="Times New Roman" w:hAnsi="Times New Roman" w:cs="Times New Roman"/>
          <w:b/>
          <w:bCs/>
          <w:sz w:val="22"/>
          <w:szCs w:val="22"/>
        </w:rPr>
        <w:lastRenderedPageBreak/>
        <w:t xml:space="preserve">Consumer Affairs Victoria, Consumer Stuff </w:t>
      </w:r>
    </w:p>
    <w:p w:rsidR="00827391" w:rsidRPr="00827391" w:rsidRDefault="00827391" w:rsidP="00827391">
      <w:pPr>
        <w:jc w:val="both"/>
      </w:pPr>
      <w:r w:rsidRPr="00827391">
        <w:t xml:space="preserve">Consumer Affairs Victoria has produced a number of free resources in the areas of Maths, English and Commerce alongside Health and Wellbeing and Consuming Planet Earth. </w:t>
      </w:r>
      <w:r w:rsidRPr="00827391">
        <w:rPr>
          <w:i/>
          <w:iCs/>
        </w:rPr>
        <w:t xml:space="preserve">Consumer Stuff </w:t>
      </w:r>
      <w:r w:rsidRPr="00827391">
        <w:t>has an applied learning focus using real-life scenarios. Go to:</w:t>
      </w:r>
      <w:r w:rsidRPr="00827391">
        <w:rPr>
          <w:rStyle w:val="Hyperlink"/>
        </w:rPr>
        <w:t xml:space="preserve"> http://www.consumer.vic.gov.au/</w:t>
      </w:r>
      <w:r w:rsidR="000150DF">
        <w:rPr>
          <w:rStyle w:val="Hyperlink"/>
        </w:rPr>
        <w:t>‌</w:t>
      </w:r>
      <w:r w:rsidRPr="00827391">
        <w:rPr>
          <w:rStyle w:val="Hyperlink"/>
        </w:rPr>
        <w:t>resources-and-education</w:t>
      </w:r>
      <w:r w:rsidRPr="00827391">
        <w:rPr>
          <w:color w:val="0000FF"/>
        </w:rPr>
        <w:t xml:space="preserve"> </w:t>
      </w:r>
      <w:r w:rsidRPr="00827391">
        <w:t>and follow the link to the Teacher Resources page</w:t>
      </w:r>
    </w:p>
    <w:p w:rsidR="000150DF" w:rsidRDefault="000150DF" w:rsidP="00827391">
      <w:pPr>
        <w:pStyle w:val="Default"/>
        <w:jc w:val="both"/>
        <w:rPr>
          <w:rFonts w:ascii="Times New Roman" w:hAnsi="Times New Roman" w:cs="Times New Roman"/>
          <w:b/>
          <w:bCs/>
          <w:sz w:val="22"/>
          <w:szCs w:val="22"/>
        </w:rPr>
      </w:pPr>
    </w:p>
    <w:p w:rsidR="00827391" w:rsidRPr="00827391" w:rsidRDefault="00827391" w:rsidP="00827391">
      <w:pPr>
        <w:pStyle w:val="Default"/>
        <w:jc w:val="both"/>
        <w:rPr>
          <w:rFonts w:ascii="Times New Roman" w:hAnsi="Times New Roman" w:cs="Times New Roman"/>
          <w:sz w:val="22"/>
          <w:szCs w:val="22"/>
        </w:rPr>
      </w:pPr>
      <w:r w:rsidRPr="00827391">
        <w:rPr>
          <w:rFonts w:ascii="Times New Roman" w:hAnsi="Times New Roman" w:cs="Times New Roman"/>
          <w:b/>
          <w:bCs/>
          <w:sz w:val="22"/>
          <w:szCs w:val="22"/>
        </w:rPr>
        <w:t xml:space="preserve">Adult Literacy &amp; Numeracy teaching websites </w:t>
      </w:r>
    </w:p>
    <w:p w:rsidR="00827391" w:rsidRPr="00827391" w:rsidRDefault="00827391" w:rsidP="00827391">
      <w:pPr>
        <w:jc w:val="both"/>
        <w:rPr>
          <w:color w:val="0000FF"/>
        </w:rPr>
      </w:pPr>
      <w:r w:rsidRPr="00827391">
        <w:rPr>
          <w:b/>
          <w:bCs/>
        </w:rPr>
        <w:t xml:space="preserve">SAFE-T1: </w:t>
      </w:r>
      <w:r w:rsidRPr="00827391">
        <w:t xml:space="preserve">This website has a range of information and activities (online and print based) about workplace health and safety. A number of the activities are designed to develop literacy skills. See </w:t>
      </w:r>
      <w:r w:rsidRPr="00827391">
        <w:rPr>
          <w:rStyle w:val="Hyperlink"/>
        </w:rPr>
        <w:t xml:space="preserve">www.safe-t1.net.au </w:t>
      </w:r>
    </w:p>
    <w:p w:rsidR="000150DF" w:rsidRDefault="000150DF" w:rsidP="00827391">
      <w:pPr>
        <w:pStyle w:val="Default"/>
        <w:spacing w:before="120" w:after="120"/>
        <w:jc w:val="both"/>
        <w:rPr>
          <w:rFonts w:ascii="Times New Roman" w:eastAsia="Calibri" w:hAnsi="Times New Roman" w:cs="Times New Roman"/>
          <w:b/>
          <w:color w:val="auto"/>
          <w:sz w:val="22"/>
          <w:szCs w:val="22"/>
        </w:rPr>
      </w:pPr>
    </w:p>
    <w:p w:rsidR="00827391" w:rsidRPr="00827391" w:rsidRDefault="00827391" w:rsidP="00827391">
      <w:pPr>
        <w:pStyle w:val="Default"/>
        <w:spacing w:before="120" w:after="120"/>
        <w:jc w:val="both"/>
        <w:rPr>
          <w:rFonts w:ascii="Times New Roman" w:hAnsi="Times New Roman" w:cs="Times New Roman"/>
          <w:color w:val="0000FF"/>
          <w:sz w:val="22"/>
          <w:szCs w:val="22"/>
        </w:rPr>
      </w:pPr>
      <w:r w:rsidRPr="00827391">
        <w:rPr>
          <w:rFonts w:ascii="Times New Roman" w:eastAsia="Calibri" w:hAnsi="Times New Roman" w:cs="Times New Roman"/>
          <w:b/>
          <w:color w:val="auto"/>
          <w:sz w:val="22"/>
          <w:szCs w:val="22"/>
        </w:rPr>
        <w:t xml:space="preserve">BBC </w:t>
      </w:r>
      <w:proofErr w:type="spellStart"/>
      <w:r w:rsidRPr="00827391">
        <w:rPr>
          <w:rFonts w:ascii="Times New Roman" w:eastAsia="Calibri" w:hAnsi="Times New Roman" w:cs="Times New Roman"/>
          <w:b/>
          <w:color w:val="auto"/>
          <w:sz w:val="22"/>
          <w:szCs w:val="22"/>
        </w:rPr>
        <w:t>Skillwise</w:t>
      </w:r>
      <w:proofErr w:type="spellEnd"/>
      <w:r w:rsidRPr="00827391">
        <w:rPr>
          <w:rFonts w:ascii="Times New Roman" w:eastAsia="Calibri" w:hAnsi="Times New Roman" w:cs="Times New Roman"/>
          <w:color w:val="auto"/>
          <w:sz w:val="22"/>
          <w:szCs w:val="22"/>
        </w:rPr>
        <w:t xml:space="preserve">: Literacy, numeracy, games, learner’s stories and more: </w:t>
      </w:r>
      <w:r w:rsidRPr="00827391">
        <w:rPr>
          <w:rStyle w:val="Hyperlink"/>
          <w:rFonts w:ascii="Times New Roman" w:hAnsi="Times New Roman"/>
        </w:rPr>
        <w:t xml:space="preserve">http://www.bbc.co.uk/skillswise/ </w:t>
      </w:r>
    </w:p>
    <w:p w:rsidR="000150DF" w:rsidRDefault="000150DF" w:rsidP="00827391">
      <w:pPr>
        <w:pStyle w:val="Default"/>
        <w:spacing w:before="120" w:after="120"/>
        <w:jc w:val="both"/>
        <w:rPr>
          <w:rFonts w:ascii="Times New Roman" w:eastAsia="Calibri" w:hAnsi="Times New Roman" w:cs="Times New Roman"/>
          <w:b/>
          <w:color w:val="auto"/>
          <w:sz w:val="22"/>
          <w:szCs w:val="22"/>
        </w:rPr>
      </w:pPr>
    </w:p>
    <w:p w:rsidR="00827391" w:rsidRPr="00827391" w:rsidRDefault="00827391" w:rsidP="00827391">
      <w:pPr>
        <w:pStyle w:val="Default"/>
        <w:spacing w:before="120" w:after="120"/>
        <w:jc w:val="both"/>
        <w:rPr>
          <w:rFonts w:ascii="Times New Roman" w:hAnsi="Times New Roman" w:cs="Times New Roman"/>
          <w:color w:val="0000FF"/>
          <w:sz w:val="22"/>
          <w:szCs w:val="22"/>
        </w:rPr>
      </w:pPr>
      <w:r w:rsidRPr="00827391">
        <w:rPr>
          <w:rFonts w:ascii="Times New Roman" w:eastAsia="Calibri" w:hAnsi="Times New Roman" w:cs="Times New Roman"/>
          <w:b/>
          <w:color w:val="auto"/>
          <w:sz w:val="22"/>
          <w:szCs w:val="22"/>
        </w:rPr>
        <w:t>Algebra and trigonometry</w:t>
      </w:r>
      <w:r w:rsidRPr="00827391">
        <w:rPr>
          <w:rFonts w:ascii="Times New Roman" w:eastAsia="Calibri" w:hAnsi="Times New Roman" w:cs="Times New Roman"/>
          <w:color w:val="auto"/>
          <w:sz w:val="22"/>
          <w:szCs w:val="22"/>
        </w:rPr>
        <w:t xml:space="preserve"> resource – online: </w:t>
      </w:r>
      <w:r w:rsidRPr="00827391">
        <w:rPr>
          <w:rStyle w:val="Hyperlink"/>
          <w:rFonts w:ascii="Times New Roman" w:hAnsi="Times New Roman"/>
        </w:rPr>
        <w:t xml:space="preserve">http://www.mitac.org.au/trig/index.htm </w:t>
      </w:r>
    </w:p>
    <w:p w:rsidR="000150DF" w:rsidRDefault="000150DF" w:rsidP="00827391">
      <w:pPr>
        <w:pStyle w:val="Default"/>
        <w:spacing w:before="120" w:after="120"/>
        <w:jc w:val="both"/>
        <w:rPr>
          <w:rFonts w:ascii="Times New Roman" w:eastAsia="Calibri" w:hAnsi="Times New Roman" w:cs="Times New Roman"/>
          <w:b/>
          <w:color w:val="auto"/>
          <w:sz w:val="22"/>
          <w:szCs w:val="22"/>
        </w:rPr>
      </w:pPr>
    </w:p>
    <w:p w:rsidR="00827391" w:rsidRPr="00827391" w:rsidRDefault="00827391" w:rsidP="00827391">
      <w:pPr>
        <w:pStyle w:val="Default"/>
        <w:spacing w:before="120" w:after="120"/>
        <w:jc w:val="both"/>
        <w:rPr>
          <w:rStyle w:val="Hyperlink"/>
          <w:rFonts w:ascii="Times New Roman" w:hAnsi="Times New Roman"/>
        </w:rPr>
      </w:pPr>
      <w:r w:rsidRPr="00827391">
        <w:rPr>
          <w:rFonts w:ascii="Times New Roman" w:eastAsia="Calibri" w:hAnsi="Times New Roman" w:cs="Times New Roman"/>
          <w:b/>
          <w:color w:val="auto"/>
          <w:sz w:val="22"/>
          <w:szCs w:val="22"/>
        </w:rPr>
        <w:t>Online Flexible Learning Toolboxes</w:t>
      </w:r>
      <w:r w:rsidRPr="00827391">
        <w:rPr>
          <w:rFonts w:ascii="Times New Roman" w:eastAsia="Calibri" w:hAnsi="Times New Roman" w:cs="Times New Roman"/>
          <w:color w:val="auto"/>
          <w:sz w:val="22"/>
          <w:szCs w:val="22"/>
        </w:rPr>
        <w:t xml:space="preserve"> at: </w:t>
      </w:r>
      <w:hyperlink r:id="rId22" w:history="1">
        <w:r w:rsidR="000150DF" w:rsidRPr="00F04A0A">
          <w:rPr>
            <w:rStyle w:val="Hyperlink"/>
            <w:rFonts w:ascii="Times New Roman" w:hAnsi="Times New Roman"/>
          </w:rPr>
          <w:t>http://toolboxes.flexiblelearning.net.au</w:t>
        </w:r>
      </w:hyperlink>
      <w:r w:rsidR="000150DF" w:rsidRPr="000150DF">
        <w:rPr>
          <w:rFonts w:eastAsia="Calibri"/>
          <w:color w:val="auto"/>
          <w:szCs w:val="22"/>
        </w:rPr>
        <w:t xml:space="preserve">  </w:t>
      </w:r>
      <w:r w:rsidR="000150DF" w:rsidRPr="000150DF">
        <w:rPr>
          <w:rFonts w:ascii="Times New Roman" w:hAnsi="Times New Roman" w:cs="Times New Roman"/>
          <w:color w:val="auto"/>
          <w:szCs w:val="20"/>
        </w:rPr>
        <w:t xml:space="preserve">or </w:t>
      </w:r>
      <w:r w:rsidR="000150DF" w:rsidRPr="00827391">
        <w:rPr>
          <w:rStyle w:val="Hyperlink"/>
          <w:rFonts w:ascii="Times New Roman" w:hAnsi="Times New Roman"/>
        </w:rPr>
        <w:t>https://nationalvetcontent.edu.au/</w:t>
      </w:r>
    </w:p>
    <w:p w:rsidR="000150DF" w:rsidRDefault="000150DF" w:rsidP="00827391">
      <w:pPr>
        <w:pStyle w:val="Default"/>
        <w:spacing w:before="120" w:after="120"/>
        <w:jc w:val="both"/>
        <w:rPr>
          <w:rFonts w:ascii="Times New Roman" w:eastAsia="Calibri" w:hAnsi="Times New Roman" w:cs="Times New Roman"/>
          <w:b/>
          <w:color w:val="auto"/>
          <w:szCs w:val="22"/>
        </w:rPr>
      </w:pPr>
    </w:p>
    <w:p w:rsidR="00827391" w:rsidRPr="00827391" w:rsidRDefault="00827391" w:rsidP="00827391">
      <w:pPr>
        <w:pStyle w:val="Default"/>
        <w:spacing w:before="120" w:after="120"/>
        <w:jc w:val="both"/>
        <w:rPr>
          <w:rFonts w:ascii="Times New Roman" w:eastAsia="Calibri" w:hAnsi="Times New Roman" w:cs="Times New Roman"/>
          <w:color w:val="auto"/>
          <w:szCs w:val="22"/>
        </w:rPr>
      </w:pPr>
      <w:r w:rsidRPr="00827391">
        <w:rPr>
          <w:rFonts w:ascii="Times New Roman" w:eastAsia="Calibri" w:hAnsi="Times New Roman" w:cs="Times New Roman"/>
          <w:b/>
          <w:color w:val="auto"/>
          <w:szCs w:val="22"/>
        </w:rPr>
        <w:t>Talking Good Health”</w:t>
      </w:r>
      <w:r w:rsidRPr="00827391">
        <w:rPr>
          <w:rStyle w:val="Hyperlink"/>
          <w:rFonts w:ascii="Times New Roman" w:hAnsi="Times New Roman"/>
        </w:rPr>
        <w:t xml:space="preserve"> </w:t>
      </w:r>
      <w:r w:rsidRPr="00827391">
        <w:rPr>
          <w:rFonts w:ascii="Times New Roman" w:eastAsia="Calibri" w:hAnsi="Times New Roman" w:cs="Times New Roman"/>
          <w:color w:val="auto"/>
          <w:szCs w:val="22"/>
        </w:rPr>
        <w:t xml:space="preserve">is </w:t>
      </w:r>
      <w:proofErr w:type="gramStart"/>
      <w:r w:rsidRPr="00827391">
        <w:rPr>
          <w:rFonts w:ascii="Times New Roman" w:eastAsia="Calibri" w:hAnsi="Times New Roman" w:cs="Times New Roman"/>
          <w:color w:val="auto"/>
          <w:szCs w:val="22"/>
        </w:rPr>
        <w:t>an English</w:t>
      </w:r>
      <w:proofErr w:type="gramEnd"/>
      <w:r w:rsidRPr="00827391">
        <w:rPr>
          <w:rFonts w:ascii="Times New Roman" w:eastAsia="Calibri" w:hAnsi="Times New Roman" w:cs="Times New Roman"/>
          <w:color w:val="auto"/>
          <w:szCs w:val="22"/>
        </w:rPr>
        <w:t xml:space="preserve"> as an Additional Language</w:t>
      </w:r>
      <w:r w:rsidR="000150DF">
        <w:rPr>
          <w:rFonts w:ascii="Times New Roman" w:eastAsia="Calibri" w:hAnsi="Times New Roman" w:cs="Times New Roman"/>
          <w:color w:val="auto"/>
          <w:szCs w:val="22"/>
        </w:rPr>
        <w:t xml:space="preserve"> </w:t>
      </w:r>
      <w:r w:rsidRPr="00827391">
        <w:rPr>
          <w:rFonts w:ascii="Times New Roman" w:eastAsia="Calibri" w:hAnsi="Times New Roman" w:cs="Times New Roman"/>
          <w:color w:val="auto"/>
          <w:szCs w:val="22"/>
        </w:rPr>
        <w:t>(EAL) teaching resource which provides non English speakers with the language skills to communicate with doctors and health workers, knowledge of preventive health strategies and contact details for relevant health services.</w:t>
      </w:r>
    </w:p>
    <w:p w:rsidR="00827391" w:rsidRPr="00827391" w:rsidRDefault="00827391" w:rsidP="00827391">
      <w:pPr>
        <w:pStyle w:val="Default"/>
        <w:spacing w:before="120" w:after="120"/>
        <w:jc w:val="both"/>
        <w:rPr>
          <w:rStyle w:val="Hyperlink"/>
          <w:rFonts w:ascii="Times New Roman" w:hAnsi="Times New Roman"/>
        </w:rPr>
      </w:pPr>
      <w:r w:rsidRPr="00827391">
        <w:rPr>
          <w:rStyle w:val="Hyperlink"/>
          <w:rFonts w:ascii="Times New Roman" w:hAnsi="Times New Roman"/>
        </w:rPr>
        <w:t>http://www.mhcs.health.nsw.gov.au/services/MHCS_research/health-literacy</w:t>
      </w:r>
    </w:p>
    <w:p w:rsidR="000150DF" w:rsidRDefault="000150DF" w:rsidP="00827391">
      <w:pPr>
        <w:pStyle w:val="Default"/>
        <w:jc w:val="both"/>
        <w:rPr>
          <w:rFonts w:ascii="Times New Roman" w:eastAsia="Calibri" w:hAnsi="Times New Roman" w:cs="Times New Roman"/>
          <w:b/>
          <w:color w:val="auto"/>
          <w:szCs w:val="22"/>
        </w:rPr>
      </w:pPr>
    </w:p>
    <w:p w:rsidR="00827391" w:rsidRPr="00827391" w:rsidRDefault="00827391" w:rsidP="00827391">
      <w:pPr>
        <w:pStyle w:val="Default"/>
        <w:jc w:val="both"/>
        <w:rPr>
          <w:rFonts w:ascii="Times New Roman" w:eastAsia="Calibri" w:hAnsi="Times New Roman" w:cs="Times New Roman"/>
          <w:color w:val="auto"/>
          <w:szCs w:val="22"/>
        </w:rPr>
      </w:pPr>
      <w:r w:rsidRPr="00827391">
        <w:rPr>
          <w:rFonts w:ascii="Times New Roman" w:eastAsia="Calibri" w:hAnsi="Times New Roman" w:cs="Times New Roman"/>
          <w:b/>
          <w:color w:val="auto"/>
          <w:szCs w:val="22"/>
        </w:rPr>
        <w:t>Digital Literacies:  Research and Resources in Language Teaching (</w:t>
      </w:r>
      <w:r w:rsidRPr="00827391">
        <w:rPr>
          <w:rFonts w:ascii="Times New Roman" w:eastAsia="Calibri" w:hAnsi="Times New Roman" w:cs="Times New Roman"/>
          <w:color w:val="auto"/>
          <w:szCs w:val="22"/>
        </w:rPr>
        <w:t xml:space="preserve">2013) Gavin </w:t>
      </w:r>
      <w:proofErr w:type="spellStart"/>
      <w:r w:rsidRPr="00827391">
        <w:rPr>
          <w:rFonts w:ascii="Times New Roman" w:eastAsia="Calibri" w:hAnsi="Times New Roman" w:cs="Times New Roman"/>
          <w:color w:val="auto"/>
          <w:szCs w:val="22"/>
        </w:rPr>
        <w:t>Dudeney</w:t>
      </w:r>
      <w:proofErr w:type="spellEnd"/>
      <w:r w:rsidRPr="00827391">
        <w:rPr>
          <w:rFonts w:ascii="Times New Roman" w:eastAsia="Calibri" w:hAnsi="Times New Roman" w:cs="Times New Roman"/>
          <w:color w:val="auto"/>
          <w:szCs w:val="22"/>
        </w:rPr>
        <w:t xml:space="preserve">, Nicky </w:t>
      </w:r>
      <w:proofErr w:type="spellStart"/>
      <w:r w:rsidRPr="00827391">
        <w:rPr>
          <w:rFonts w:ascii="Times New Roman" w:eastAsia="Calibri" w:hAnsi="Times New Roman" w:cs="Times New Roman"/>
          <w:color w:val="auto"/>
          <w:szCs w:val="22"/>
        </w:rPr>
        <w:t>Hockly</w:t>
      </w:r>
      <w:proofErr w:type="spellEnd"/>
      <w:r w:rsidRPr="00827391">
        <w:rPr>
          <w:rFonts w:ascii="Times New Roman" w:eastAsia="Calibri" w:hAnsi="Times New Roman" w:cs="Times New Roman"/>
          <w:color w:val="auto"/>
          <w:szCs w:val="22"/>
        </w:rPr>
        <w:t xml:space="preserve">, Mark </w:t>
      </w:r>
      <w:proofErr w:type="spellStart"/>
      <w:r w:rsidRPr="00827391">
        <w:rPr>
          <w:rFonts w:ascii="Times New Roman" w:eastAsia="Calibri" w:hAnsi="Times New Roman" w:cs="Times New Roman"/>
          <w:color w:val="auto"/>
          <w:szCs w:val="22"/>
        </w:rPr>
        <w:t>Pegrum</w:t>
      </w:r>
      <w:proofErr w:type="spellEnd"/>
      <w:r w:rsidRPr="00827391">
        <w:rPr>
          <w:rFonts w:ascii="Times New Roman" w:eastAsia="Calibri" w:hAnsi="Times New Roman" w:cs="Times New Roman"/>
          <w:color w:val="auto"/>
          <w:szCs w:val="22"/>
        </w:rPr>
        <w:t xml:space="preserve">    Gavin </w:t>
      </w:r>
      <w:proofErr w:type="spellStart"/>
      <w:r w:rsidRPr="00827391">
        <w:rPr>
          <w:rFonts w:ascii="Times New Roman" w:eastAsia="Calibri" w:hAnsi="Times New Roman" w:cs="Times New Roman"/>
          <w:color w:val="auto"/>
          <w:szCs w:val="22"/>
        </w:rPr>
        <w:t>Dudeney</w:t>
      </w:r>
      <w:proofErr w:type="spellEnd"/>
      <w:r w:rsidRPr="00827391">
        <w:rPr>
          <w:rFonts w:ascii="Times New Roman" w:eastAsia="Calibri" w:hAnsi="Times New Roman" w:cs="Times New Roman"/>
          <w:color w:val="auto"/>
          <w:szCs w:val="22"/>
        </w:rPr>
        <w:t xml:space="preserve">, Nicky </w:t>
      </w:r>
      <w:proofErr w:type="spellStart"/>
      <w:r w:rsidRPr="00827391">
        <w:rPr>
          <w:rFonts w:ascii="Times New Roman" w:eastAsia="Calibri" w:hAnsi="Times New Roman" w:cs="Times New Roman"/>
          <w:color w:val="auto"/>
          <w:szCs w:val="22"/>
        </w:rPr>
        <w:t>Hockly</w:t>
      </w:r>
      <w:proofErr w:type="spellEnd"/>
      <w:r w:rsidRPr="00827391">
        <w:rPr>
          <w:rFonts w:ascii="Times New Roman" w:eastAsia="Calibri" w:hAnsi="Times New Roman" w:cs="Times New Roman"/>
          <w:color w:val="auto"/>
          <w:szCs w:val="22"/>
        </w:rPr>
        <w:t xml:space="preserve">, Mark </w:t>
      </w:r>
      <w:proofErr w:type="spellStart"/>
      <w:r w:rsidRPr="00827391">
        <w:rPr>
          <w:rFonts w:ascii="Times New Roman" w:eastAsia="Calibri" w:hAnsi="Times New Roman" w:cs="Times New Roman"/>
          <w:color w:val="auto"/>
          <w:szCs w:val="22"/>
        </w:rPr>
        <w:t>Pegrum</w:t>
      </w:r>
      <w:proofErr w:type="spellEnd"/>
    </w:p>
    <w:p w:rsidR="00827391" w:rsidRPr="00827391" w:rsidRDefault="00827391" w:rsidP="00827391">
      <w:pPr>
        <w:pStyle w:val="Default"/>
        <w:spacing w:before="120" w:after="120"/>
        <w:jc w:val="both"/>
        <w:rPr>
          <w:rFonts w:ascii="Times New Roman" w:eastAsia="Calibri" w:hAnsi="Times New Roman" w:cs="Times New Roman"/>
          <w:color w:val="auto"/>
          <w:szCs w:val="22"/>
        </w:rPr>
      </w:pPr>
      <w:r w:rsidRPr="00827391">
        <w:rPr>
          <w:rFonts w:ascii="Times New Roman" w:eastAsia="Calibri" w:hAnsi="Times New Roman" w:cs="Times New Roman"/>
          <w:color w:val="auto"/>
          <w:szCs w:val="22"/>
        </w:rPr>
        <w:t>This publication explores how to teach digital literacies in the English language classroom</w:t>
      </w:r>
    </w:p>
    <w:p w:rsidR="00827391" w:rsidRPr="00827391" w:rsidRDefault="00827391" w:rsidP="00827391">
      <w:pPr>
        <w:ind w:left="-284"/>
        <w:jc w:val="both"/>
        <w:rPr>
          <w:b/>
          <w:lang w:eastAsia="ar-SA"/>
        </w:rPr>
      </w:pPr>
    </w:p>
    <w:sectPr w:rsidR="00827391" w:rsidRPr="00827391" w:rsidSect="00AE4967">
      <w:footerReference w:type="default" r:id="rId23"/>
      <w:footerReference w:type="first" r:id="rId24"/>
      <w:pgSz w:w="11907" w:h="16840" w:code="9"/>
      <w:pgMar w:top="899" w:right="992" w:bottom="1134" w:left="126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57" w:rsidRDefault="00DD2857" w:rsidP="00846881">
      <w:r>
        <w:separator/>
      </w:r>
    </w:p>
  </w:endnote>
  <w:endnote w:type="continuationSeparator" w:id="0">
    <w:p w:rsidR="00DD2857" w:rsidRDefault="00DD2857"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684239"/>
      <w:docPartObj>
        <w:docPartGallery w:val="Page Numbers (Bottom of Page)"/>
        <w:docPartUnique/>
      </w:docPartObj>
    </w:sdtPr>
    <w:sdtEndPr>
      <w:rPr>
        <w:rFonts w:ascii="Arial" w:hAnsi="Arial" w:cs="Arial"/>
        <w:noProof/>
        <w:sz w:val="22"/>
        <w:szCs w:val="22"/>
      </w:rPr>
    </w:sdtEndPr>
    <w:sdtContent>
      <w:p w:rsidR="00AE4967" w:rsidRPr="00AE4967" w:rsidRDefault="00AE4967">
        <w:pPr>
          <w:pStyle w:val="Footer"/>
          <w:jc w:val="right"/>
          <w:rPr>
            <w:rFonts w:ascii="Arial" w:hAnsi="Arial" w:cs="Arial"/>
            <w:sz w:val="22"/>
            <w:szCs w:val="22"/>
          </w:rPr>
        </w:pPr>
        <w:r w:rsidRPr="00AE4967">
          <w:rPr>
            <w:rFonts w:ascii="Arial" w:hAnsi="Arial" w:cs="Arial"/>
            <w:sz w:val="22"/>
            <w:szCs w:val="22"/>
          </w:rPr>
          <w:fldChar w:fldCharType="begin"/>
        </w:r>
        <w:r w:rsidRPr="00AE4967">
          <w:rPr>
            <w:rFonts w:ascii="Arial" w:hAnsi="Arial" w:cs="Arial"/>
            <w:sz w:val="22"/>
            <w:szCs w:val="22"/>
          </w:rPr>
          <w:instrText xml:space="preserve"> PAGE   \* MERGEFORMAT </w:instrText>
        </w:r>
        <w:r w:rsidRPr="00AE4967">
          <w:rPr>
            <w:rFonts w:ascii="Arial" w:hAnsi="Arial" w:cs="Arial"/>
            <w:sz w:val="22"/>
            <w:szCs w:val="22"/>
          </w:rPr>
          <w:fldChar w:fldCharType="separate"/>
        </w:r>
        <w:r w:rsidR="003D5FEF">
          <w:rPr>
            <w:rFonts w:ascii="Arial" w:hAnsi="Arial" w:cs="Arial"/>
            <w:noProof/>
            <w:sz w:val="22"/>
            <w:szCs w:val="22"/>
          </w:rPr>
          <w:t>1</w:t>
        </w:r>
        <w:r w:rsidRPr="00AE4967">
          <w:rPr>
            <w:rFonts w:ascii="Arial" w:hAnsi="Arial" w:cs="Arial"/>
            <w:noProof/>
            <w:sz w:val="22"/>
            <w:szCs w:val="22"/>
          </w:rPr>
          <w:fldChar w:fldCharType="end"/>
        </w:r>
      </w:p>
    </w:sdtContent>
  </w:sdt>
  <w:p w:rsidR="00AE4967" w:rsidRDefault="00AE4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4" w:rsidRPr="009D5D01" w:rsidRDefault="00CC4451"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00AC3A84" w:rsidRPr="009D5D01">
      <w:rPr>
        <w:rFonts w:ascii="Arial" w:hAnsi="Arial" w:cs="Arial"/>
        <w:sz w:val="20"/>
      </w:rPr>
      <w:instrText xml:space="preserve"> PAGE   \* MERGEFORMAT </w:instrText>
    </w:r>
    <w:r w:rsidRPr="009D5D01">
      <w:rPr>
        <w:rFonts w:ascii="Arial" w:hAnsi="Arial" w:cs="Arial"/>
        <w:sz w:val="20"/>
      </w:rPr>
      <w:fldChar w:fldCharType="separate"/>
    </w:r>
    <w:r w:rsidR="00AE4967">
      <w:rPr>
        <w:rFonts w:ascii="Arial" w:hAnsi="Arial" w:cs="Arial"/>
        <w:noProof/>
        <w:sz w:val="20"/>
      </w:rPr>
      <w:t>1</w:t>
    </w:r>
    <w:r w:rsidRPr="009D5D01">
      <w:rPr>
        <w:rFonts w:ascii="Arial" w:hAnsi="Arial" w:cs="Arial"/>
        <w:noProof/>
        <w:sz w:val="20"/>
      </w:rPr>
      <w:fldChar w:fldCharType="end"/>
    </w:r>
    <w:r w:rsidR="00AC3A84" w:rsidRPr="009D5D01">
      <w:rPr>
        <w:rFonts w:ascii="Arial" w:hAnsi="Arial" w:cs="Arial"/>
        <w:sz w:val="20"/>
      </w:rPr>
      <w:t xml:space="preserve"> | </w:t>
    </w:r>
    <w:r w:rsidR="00AC3A84" w:rsidRPr="009D5D01">
      <w:rPr>
        <w:rFonts w:ascii="Arial" w:hAnsi="Arial" w:cs="Arial"/>
        <w:color w:val="808080"/>
        <w:spacing w:val="60"/>
        <w:sz w:val="20"/>
      </w:rPr>
      <w:t>Page</w:t>
    </w:r>
  </w:p>
  <w:p w:rsidR="00AC3A84" w:rsidRDefault="00AC3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57" w:rsidRDefault="00DD2857" w:rsidP="00846881">
      <w:r>
        <w:separator/>
      </w:r>
    </w:p>
  </w:footnote>
  <w:footnote w:type="continuationSeparator" w:id="0">
    <w:p w:rsidR="00DD2857" w:rsidRDefault="00DD2857"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4D54A8"/>
    <w:multiLevelType w:val="hybridMultilevel"/>
    <w:tmpl w:val="D414A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9D556C"/>
    <w:multiLevelType w:val="hybridMultilevel"/>
    <w:tmpl w:val="9550834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8627EE1"/>
    <w:multiLevelType w:val="hybridMultilevel"/>
    <w:tmpl w:val="BE461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BA0367"/>
    <w:multiLevelType w:val="multilevel"/>
    <w:tmpl w:val="7758F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21597"/>
    <w:multiLevelType w:val="hybridMultilevel"/>
    <w:tmpl w:val="E146005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7D51A22"/>
    <w:multiLevelType w:val="hybridMultilevel"/>
    <w:tmpl w:val="A06C016A"/>
    <w:lvl w:ilvl="0" w:tplc="0C090003">
      <w:start w:val="1"/>
      <w:numFmt w:val="bullet"/>
      <w:lvlText w:val="o"/>
      <w:lvlJc w:val="left"/>
      <w:pPr>
        <w:ind w:left="1572" w:hanging="360"/>
      </w:pPr>
      <w:rPr>
        <w:rFonts w:ascii="Courier New" w:hAnsi="Courier New" w:cs="Courier New"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3">
    <w:nsid w:val="3DF17504"/>
    <w:multiLevelType w:val="hybridMultilevel"/>
    <w:tmpl w:val="CB6EB3F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8F125B"/>
    <w:multiLevelType w:val="hybridMultilevel"/>
    <w:tmpl w:val="D9A89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B80477"/>
    <w:multiLevelType w:val="hybridMultilevel"/>
    <w:tmpl w:val="F4FAD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7">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nsid w:val="4F302BD7"/>
    <w:multiLevelType w:val="hybridMultilevel"/>
    <w:tmpl w:val="1D00C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CE02EE"/>
    <w:multiLevelType w:val="hybridMultilevel"/>
    <w:tmpl w:val="206666D0"/>
    <w:lvl w:ilvl="0" w:tplc="7F4274B4">
      <w:start w:val="1"/>
      <w:numFmt w:val="bullet"/>
      <w:pStyle w:val="Style1"/>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EB3D4B"/>
    <w:multiLevelType w:val="hybridMultilevel"/>
    <w:tmpl w:val="BAE09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36156CA"/>
    <w:multiLevelType w:val="hybridMultilevel"/>
    <w:tmpl w:val="92C89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5D742B8"/>
    <w:multiLevelType w:val="multilevel"/>
    <w:tmpl w:val="91642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770107F"/>
    <w:multiLevelType w:val="hybridMultilevel"/>
    <w:tmpl w:val="3190E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FCB04A8"/>
    <w:multiLevelType w:val="multilevel"/>
    <w:tmpl w:val="BCB6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523053"/>
    <w:multiLevelType w:val="hybridMultilevel"/>
    <w:tmpl w:val="26A62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7B40190B"/>
    <w:multiLevelType w:val="hybridMultilevel"/>
    <w:tmpl w:val="CB62013A"/>
    <w:lvl w:ilvl="0" w:tplc="0C090003">
      <w:start w:val="1"/>
      <w:numFmt w:val="bullet"/>
      <w:lvlText w:val="o"/>
      <w:lvlJc w:val="left"/>
      <w:pPr>
        <w:ind w:left="436" w:hanging="360"/>
      </w:pPr>
      <w:rPr>
        <w:rFonts w:ascii="Courier New" w:hAnsi="Courier New" w:cs="Courier New"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1">
    <w:nsid w:val="7DB14269"/>
    <w:multiLevelType w:val="hybridMultilevel"/>
    <w:tmpl w:val="09D4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B968CF"/>
    <w:multiLevelType w:val="hybridMultilevel"/>
    <w:tmpl w:val="1E620E0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27"/>
  </w:num>
  <w:num w:numId="2">
    <w:abstractNumId w:val="2"/>
  </w:num>
  <w:num w:numId="3">
    <w:abstractNumId w:val="0"/>
  </w:num>
  <w:num w:numId="4">
    <w:abstractNumId w:val="19"/>
  </w:num>
  <w:num w:numId="5">
    <w:abstractNumId w:val="1"/>
  </w:num>
  <w:num w:numId="6">
    <w:abstractNumId w:val="17"/>
  </w:num>
  <w:num w:numId="7">
    <w:abstractNumId w:val="6"/>
  </w:num>
  <w:num w:numId="8">
    <w:abstractNumId w:val="25"/>
  </w:num>
  <w:num w:numId="9">
    <w:abstractNumId w:val="16"/>
  </w:num>
  <w:num w:numId="10">
    <w:abstractNumId w:val="11"/>
  </w:num>
  <w:num w:numId="11">
    <w:abstractNumId w:val="7"/>
  </w:num>
  <w:num w:numId="12">
    <w:abstractNumId w:val="3"/>
  </w:num>
  <w:num w:numId="13">
    <w:abstractNumId w:val="20"/>
  </w:num>
  <w:num w:numId="14">
    <w:abstractNumId w:val="29"/>
  </w:num>
  <w:num w:numId="15">
    <w:abstractNumId w:val="14"/>
  </w:num>
  <w:num w:numId="16">
    <w:abstractNumId w:val="31"/>
  </w:num>
  <w:num w:numId="17">
    <w:abstractNumId w:val="4"/>
  </w:num>
  <w:num w:numId="18">
    <w:abstractNumId w:val="15"/>
  </w:num>
  <w:num w:numId="19">
    <w:abstractNumId w:val="8"/>
  </w:num>
  <w:num w:numId="20">
    <w:abstractNumId w:val="26"/>
  </w:num>
  <w:num w:numId="21">
    <w:abstractNumId w:val="23"/>
  </w:num>
  <w:num w:numId="22">
    <w:abstractNumId w:val="32"/>
  </w:num>
  <w:num w:numId="23">
    <w:abstractNumId w:val="22"/>
  </w:num>
  <w:num w:numId="24">
    <w:abstractNumId w:val="12"/>
  </w:num>
  <w:num w:numId="25">
    <w:abstractNumId w:val="5"/>
  </w:num>
  <w:num w:numId="26">
    <w:abstractNumId w:val="13"/>
  </w:num>
  <w:num w:numId="27">
    <w:abstractNumId w:val="30"/>
  </w:num>
  <w:num w:numId="28">
    <w:abstractNumId w:val="10"/>
  </w:num>
  <w:num w:numId="29">
    <w:abstractNumId w:val="18"/>
  </w:num>
  <w:num w:numId="30">
    <w:abstractNumId w:val="9"/>
  </w:num>
  <w:num w:numId="31">
    <w:abstractNumId w:val="28"/>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150DF"/>
    <w:rsid w:val="00021555"/>
    <w:rsid w:val="0002288F"/>
    <w:rsid w:val="0002677B"/>
    <w:rsid w:val="000425DB"/>
    <w:rsid w:val="00054841"/>
    <w:rsid w:val="00060214"/>
    <w:rsid w:val="00060EA4"/>
    <w:rsid w:val="00067FB2"/>
    <w:rsid w:val="000701E5"/>
    <w:rsid w:val="00075C15"/>
    <w:rsid w:val="0008021C"/>
    <w:rsid w:val="000901F6"/>
    <w:rsid w:val="000A28AF"/>
    <w:rsid w:val="000C3753"/>
    <w:rsid w:val="000C782C"/>
    <w:rsid w:val="000E69D3"/>
    <w:rsid w:val="000F526B"/>
    <w:rsid w:val="00105130"/>
    <w:rsid w:val="001079BD"/>
    <w:rsid w:val="001214D4"/>
    <w:rsid w:val="00125617"/>
    <w:rsid w:val="001411A4"/>
    <w:rsid w:val="00142591"/>
    <w:rsid w:val="00170C46"/>
    <w:rsid w:val="00181F47"/>
    <w:rsid w:val="001C0117"/>
    <w:rsid w:val="001C4930"/>
    <w:rsid w:val="001D2F77"/>
    <w:rsid w:val="001F4D3D"/>
    <w:rsid w:val="00206E94"/>
    <w:rsid w:val="00213CB1"/>
    <w:rsid w:val="00213DAB"/>
    <w:rsid w:val="00230FD5"/>
    <w:rsid w:val="00234DCA"/>
    <w:rsid w:val="00241DCD"/>
    <w:rsid w:val="00251607"/>
    <w:rsid w:val="00261124"/>
    <w:rsid w:val="00264866"/>
    <w:rsid w:val="002831C1"/>
    <w:rsid w:val="00284B19"/>
    <w:rsid w:val="002854A7"/>
    <w:rsid w:val="002A24E2"/>
    <w:rsid w:val="002C2A70"/>
    <w:rsid w:val="002E0F07"/>
    <w:rsid w:val="002F06B6"/>
    <w:rsid w:val="00307E72"/>
    <w:rsid w:val="00340366"/>
    <w:rsid w:val="0034615B"/>
    <w:rsid w:val="00352C50"/>
    <w:rsid w:val="00361349"/>
    <w:rsid w:val="00384947"/>
    <w:rsid w:val="003B7B63"/>
    <w:rsid w:val="003C1BC2"/>
    <w:rsid w:val="003D454C"/>
    <w:rsid w:val="003D5FEF"/>
    <w:rsid w:val="003F0B63"/>
    <w:rsid w:val="003F12E2"/>
    <w:rsid w:val="003F3D59"/>
    <w:rsid w:val="003F640F"/>
    <w:rsid w:val="004304A3"/>
    <w:rsid w:val="004304A7"/>
    <w:rsid w:val="004330CF"/>
    <w:rsid w:val="0043652A"/>
    <w:rsid w:val="00453CAD"/>
    <w:rsid w:val="00457F24"/>
    <w:rsid w:val="004604A8"/>
    <w:rsid w:val="00465DA4"/>
    <w:rsid w:val="0048144F"/>
    <w:rsid w:val="004A0D5C"/>
    <w:rsid w:val="004B182C"/>
    <w:rsid w:val="004C32C0"/>
    <w:rsid w:val="004C61C8"/>
    <w:rsid w:val="004C7772"/>
    <w:rsid w:val="004E0F9A"/>
    <w:rsid w:val="004E42D2"/>
    <w:rsid w:val="004E4A2C"/>
    <w:rsid w:val="0050194D"/>
    <w:rsid w:val="00505EC2"/>
    <w:rsid w:val="00506F42"/>
    <w:rsid w:val="005221AE"/>
    <w:rsid w:val="00536747"/>
    <w:rsid w:val="00540C9F"/>
    <w:rsid w:val="00541E79"/>
    <w:rsid w:val="005543E8"/>
    <w:rsid w:val="005806EA"/>
    <w:rsid w:val="00583630"/>
    <w:rsid w:val="00590B75"/>
    <w:rsid w:val="005B4815"/>
    <w:rsid w:val="005E1085"/>
    <w:rsid w:val="005F153D"/>
    <w:rsid w:val="00617EB3"/>
    <w:rsid w:val="006222A9"/>
    <w:rsid w:val="006254CC"/>
    <w:rsid w:val="00626260"/>
    <w:rsid w:val="006344F3"/>
    <w:rsid w:val="006345C8"/>
    <w:rsid w:val="006409D9"/>
    <w:rsid w:val="00651785"/>
    <w:rsid w:val="00663E2B"/>
    <w:rsid w:val="0067572C"/>
    <w:rsid w:val="00687039"/>
    <w:rsid w:val="006935A8"/>
    <w:rsid w:val="0069413C"/>
    <w:rsid w:val="00696854"/>
    <w:rsid w:val="006A1696"/>
    <w:rsid w:val="006A5387"/>
    <w:rsid w:val="006A7631"/>
    <w:rsid w:val="006D4561"/>
    <w:rsid w:val="00717852"/>
    <w:rsid w:val="00732B9C"/>
    <w:rsid w:val="0074352C"/>
    <w:rsid w:val="007602BC"/>
    <w:rsid w:val="0076398D"/>
    <w:rsid w:val="00764A0A"/>
    <w:rsid w:val="00770AF9"/>
    <w:rsid w:val="007716FE"/>
    <w:rsid w:val="00772628"/>
    <w:rsid w:val="00790C20"/>
    <w:rsid w:val="007951E1"/>
    <w:rsid w:val="00795B53"/>
    <w:rsid w:val="007A3F91"/>
    <w:rsid w:val="007E1DFE"/>
    <w:rsid w:val="007E59F5"/>
    <w:rsid w:val="007F2E60"/>
    <w:rsid w:val="008218F7"/>
    <w:rsid w:val="00823BB5"/>
    <w:rsid w:val="00823FE1"/>
    <w:rsid w:val="00827391"/>
    <w:rsid w:val="00833755"/>
    <w:rsid w:val="00833C11"/>
    <w:rsid w:val="00846881"/>
    <w:rsid w:val="00853CCC"/>
    <w:rsid w:val="00867D3A"/>
    <w:rsid w:val="00880ACA"/>
    <w:rsid w:val="008814BC"/>
    <w:rsid w:val="0089186A"/>
    <w:rsid w:val="00896A2E"/>
    <w:rsid w:val="008E2680"/>
    <w:rsid w:val="008E2DD6"/>
    <w:rsid w:val="008E53DE"/>
    <w:rsid w:val="008F3646"/>
    <w:rsid w:val="00903B41"/>
    <w:rsid w:val="0091072F"/>
    <w:rsid w:val="00933C17"/>
    <w:rsid w:val="00935CC8"/>
    <w:rsid w:val="00965E53"/>
    <w:rsid w:val="009706F1"/>
    <w:rsid w:val="009843BA"/>
    <w:rsid w:val="0099526E"/>
    <w:rsid w:val="009A2373"/>
    <w:rsid w:val="009A4724"/>
    <w:rsid w:val="009C070E"/>
    <w:rsid w:val="009C22B5"/>
    <w:rsid w:val="009C5841"/>
    <w:rsid w:val="009C7B4C"/>
    <w:rsid w:val="009D5D01"/>
    <w:rsid w:val="009E137F"/>
    <w:rsid w:val="009E3636"/>
    <w:rsid w:val="009F13D1"/>
    <w:rsid w:val="00A011F2"/>
    <w:rsid w:val="00A14B2D"/>
    <w:rsid w:val="00A2083F"/>
    <w:rsid w:val="00A24A30"/>
    <w:rsid w:val="00A433B0"/>
    <w:rsid w:val="00A53CB0"/>
    <w:rsid w:val="00A6121E"/>
    <w:rsid w:val="00A83FB3"/>
    <w:rsid w:val="00A9135E"/>
    <w:rsid w:val="00AC3A84"/>
    <w:rsid w:val="00AC3CA3"/>
    <w:rsid w:val="00AD0AF3"/>
    <w:rsid w:val="00AE4967"/>
    <w:rsid w:val="00AF0514"/>
    <w:rsid w:val="00B06DFD"/>
    <w:rsid w:val="00B33E4F"/>
    <w:rsid w:val="00B41E45"/>
    <w:rsid w:val="00B5136F"/>
    <w:rsid w:val="00B609F5"/>
    <w:rsid w:val="00B632F5"/>
    <w:rsid w:val="00BC4B19"/>
    <w:rsid w:val="00C1486F"/>
    <w:rsid w:val="00C151BB"/>
    <w:rsid w:val="00C373FC"/>
    <w:rsid w:val="00C543C5"/>
    <w:rsid w:val="00C654BC"/>
    <w:rsid w:val="00C75A39"/>
    <w:rsid w:val="00C805B6"/>
    <w:rsid w:val="00C83B90"/>
    <w:rsid w:val="00CA0D2E"/>
    <w:rsid w:val="00CB16A1"/>
    <w:rsid w:val="00CC4451"/>
    <w:rsid w:val="00CD0632"/>
    <w:rsid w:val="00CE6005"/>
    <w:rsid w:val="00CE69B8"/>
    <w:rsid w:val="00CF6891"/>
    <w:rsid w:val="00D33418"/>
    <w:rsid w:val="00D40629"/>
    <w:rsid w:val="00D53A53"/>
    <w:rsid w:val="00D743C1"/>
    <w:rsid w:val="00D80637"/>
    <w:rsid w:val="00D84182"/>
    <w:rsid w:val="00DA4969"/>
    <w:rsid w:val="00DC4759"/>
    <w:rsid w:val="00DD2857"/>
    <w:rsid w:val="00DD6095"/>
    <w:rsid w:val="00DD6855"/>
    <w:rsid w:val="00DF4B4A"/>
    <w:rsid w:val="00E01CF7"/>
    <w:rsid w:val="00E320A4"/>
    <w:rsid w:val="00E76B2D"/>
    <w:rsid w:val="00E87617"/>
    <w:rsid w:val="00E91E6B"/>
    <w:rsid w:val="00EB3698"/>
    <w:rsid w:val="00EE44E9"/>
    <w:rsid w:val="00EE4BD9"/>
    <w:rsid w:val="00EE5E95"/>
    <w:rsid w:val="00F11B03"/>
    <w:rsid w:val="00F11CAC"/>
    <w:rsid w:val="00F17667"/>
    <w:rsid w:val="00F24B4E"/>
    <w:rsid w:val="00F30F82"/>
    <w:rsid w:val="00F343D3"/>
    <w:rsid w:val="00F67309"/>
    <w:rsid w:val="00F7004E"/>
    <w:rsid w:val="00F8781E"/>
    <w:rsid w:val="00F94CA4"/>
    <w:rsid w:val="00F9767D"/>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40629"/>
    <w:rPr>
      <w:color w:val="800080" w:themeColor="followedHyperlink"/>
      <w:u w:val="single"/>
    </w:rPr>
  </w:style>
  <w:style w:type="paragraph" w:styleId="NormalWeb">
    <w:name w:val="Normal (Web)"/>
    <w:basedOn w:val="Normal"/>
    <w:uiPriority w:val="99"/>
    <w:unhideWhenUsed/>
    <w:rsid w:val="00075C15"/>
    <w:pPr>
      <w:overflowPunct/>
      <w:autoSpaceDE/>
      <w:autoSpaceDN/>
      <w:adjustRightInd/>
      <w:spacing w:before="100" w:beforeAutospacing="1" w:after="225"/>
      <w:textAlignment w:val="auto"/>
    </w:pPr>
    <w:rPr>
      <w:color w:val="888888"/>
      <w:sz w:val="23"/>
      <w:szCs w:val="23"/>
    </w:rPr>
  </w:style>
  <w:style w:type="character" w:styleId="Strong">
    <w:name w:val="Strong"/>
    <w:basedOn w:val="DefaultParagraphFont"/>
    <w:uiPriority w:val="22"/>
    <w:qFormat/>
    <w:rsid w:val="00DA4969"/>
    <w:rPr>
      <w:b/>
      <w:bCs/>
    </w:rPr>
  </w:style>
  <w:style w:type="paragraph" w:customStyle="1" w:styleId="article-title">
    <w:name w:val="article-title"/>
    <w:basedOn w:val="Normal"/>
    <w:rsid w:val="00361349"/>
    <w:pPr>
      <w:overflowPunct/>
      <w:autoSpaceDE/>
      <w:autoSpaceDN/>
      <w:adjustRightInd/>
      <w:spacing w:after="270" w:line="360" w:lineRule="atLeast"/>
      <w:textAlignment w:val="auto"/>
    </w:pPr>
    <w:rPr>
      <w:rFonts w:ascii="Arial" w:eastAsiaTheme="minorHAnsi" w:hAnsi="Arial" w:cs="Arial"/>
      <w:b/>
      <w:bCs/>
      <w:color w:val="000000"/>
      <w:sz w:val="27"/>
      <w:szCs w:val="27"/>
    </w:rPr>
  </w:style>
  <w:style w:type="paragraph" w:customStyle="1" w:styleId="Style1">
    <w:name w:val="Style1"/>
    <w:basedOn w:val="Normal"/>
    <w:qFormat/>
    <w:rsid w:val="00827391"/>
    <w:pPr>
      <w:numPr>
        <w:numId w:val="33"/>
      </w:numPr>
      <w:tabs>
        <w:tab w:val="left" w:pos="360"/>
        <w:tab w:val="left" w:pos="1418"/>
      </w:tabs>
      <w:suppressAutoHyphens/>
      <w:overflowPunct/>
      <w:autoSpaceDE/>
      <w:autoSpaceDN/>
      <w:adjustRightInd/>
      <w:spacing w:before="120" w:after="120"/>
      <w:ind w:left="284" w:hanging="284"/>
      <w:textAlignment w:val="auto"/>
    </w:pPr>
    <w:rPr>
      <w:rFonts w:ascii="Arial" w:hAnsi="Arial" w:cs="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40629"/>
    <w:rPr>
      <w:color w:val="800080" w:themeColor="followedHyperlink"/>
      <w:u w:val="single"/>
    </w:rPr>
  </w:style>
  <w:style w:type="paragraph" w:styleId="NormalWeb">
    <w:name w:val="Normal (Web)"/>
    <w:basedOn w:val="Normal"/>
    <w:uiPriority w:val="99"/>
    <w:unhideWhenUsed/>
    <w:rsid w:val="00075C15"/>
    <w:pPr>
      <w:overflowPunct/>
      <w:autoSpaceDE/>
      <w:autoSpaceDN/>
      <w:adjustRightInd/>
      <w:spacing w:before="100" w:beforeAutospacing="1" w:after="225"/>
      <w:textAlignment w:val="auto"/>
    </w:pPr>
    <w:rPr>
      <w:color w:val="888888"/>
      <w:sz w:val="23"/>
      <w:szCs w:val="23"/>
    </w:rPr>
  </w:style>
  <w:style w:type="character" w:styleId="Strong">
    <w:name w:val="Strong"/>
    <w:basedOn w:val="DefaultParagraphFont"/>
    <w:uiPriority w:val="22"/>
    <w:qFormat/>
    <w:rsid w:val="00DA4969"/>
    <w:rPr>
      <w:b/>
      <w:bCs/>
    </w:rPr>
  </w:style>
  <w:style w:type="paragraph" w:customStyle="1" w:styleId="article-title">
    <w:name w:val="article-title"/>
    <w:basedOn w:val="Normal"/>
    <w:rsid w:val="00361349"/>
    <w:pPr>
      <w:overflowPunct/>
      <w:autoSpaceDE/>
      <w:autoSpaceDN/>
      <w:adjustRightInd/>
      <w:spacing w:after="270" w:line="360" w:lineRule="atLeast"/>
      <w:textAlignment w:val="auto"/>
    </w:pPr>
    <w:rPr>
      <w:rFonts w:ascii="Arial" w:eastAsiaTheme="minorHAnsi" w:hAnsi="Arial" w:cs="Arial"/>
      <w:b/>
      <w:bCs/>
      <w:color w:val="000000"/>
      <w:sz w:val="27"/>
      <w:szCs w:val="27"/>
    </w:rPr>
  </w:style>
  <w:style w:type="paragraph" w:customStyle="1" w:styleId="Style1">
    <w:name w:val="Style1"/>
    <w:basedOn w:val="Normal"/>
    <w:qFormat/>
    <w:rsid w:val="00827391"/>
    <w:pPr>
      <w:numPr>
        <w:numId w:val="33"/>
      </w:numPr>
      <w:tabs>
        <w:tab w:val="left" w:pos="360"/>
        <w:tab w:val="left" w:pos="1418"/>
      </w:tabs>
      <w:suppressAutoHyphens/>
      <w:overflowPunct/>
      <w:autoSpaceDE/>
      <w:autoSpaceDN/>
      <w:adjustRightInd/>
      <w:spacing w:before="120" w:after="120"/>
      <w:ind w:left="284" w:hanging="284"/>
      <w:textAlignment w:val="auto"/>
    </w:pPr>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29676">
      <w:bodyDiv w:val="1"/>
      <w:marLeft w:val="0"/>
      <w:marRight w:val="0"/>
      <w:marTop w:val="0"/>
      <w:marBottom w:val="0"/>
      <w:divBdr>
        <w:top w:val="none" w:sz="0" w:space="0" w:color="auto"/>
        <w:left w:val="none" w:sz="0" w:space="0" w:color="auto"/>
        <w:bottom w:val="none" w:sz="0" w:space="0" w:color="auto"/>
        <w:right w:val="none" w:sz="0" w:space="0" w:color="auto"/>
      </w:divBdr>
    </w:div>
    <w:div w:id="1157500182">
      <w:bodyDiv w:val="1"/>
      <w:marLeft w:val="0"/>
      <w:marRight w:val="0"/>
      <w:marTop w:val="0"/>
      <w:marBottom w:val="0"/>
      <w:divBdr>
        <w:top w:val="none" w:sz="0" w:space="0" w:color="auto"/>
        <w:left w:val="none" w:sz="0" w:space="0" w:color="auto"/>
        <w:bottom w:val="none" w:sz="0" w:space="0" w:color="auto"/>
        <w:right w:val="none" w:sz="0" w:space="0" w:color="auto"/>
      </w:divBdr>
      <w:divsChild>
        <w:div w:id="654140328">
          <w:marLeft w:val="0"/>
          <w:marRight w:val="0"/>
          <w:marTop w:val="0"/>
          <w:marBottom w:val="0"/>
          <w:divBdr>
            <w:top w:val="none" w:sz="0" w:space="0" w:color="auto"/>
            <w:left w:val="none" w:sz="0" w:space="0" w:color="auto"/>
            <w:bottom w:val="none" w:sz="0" w:space="0" w:color="auto"/>
            <w:right w:val="none" w:sz="0" w:space="0" w:color="auto"/>
          </w:divBdr>
          <w:divsChild>
            <w:div w:id="1185706286">
              <w:marLeft w:val="0"/>
              <w:marRight w:val="0"/>
              <w:marTop w:val="0"/>
              <w:marBottom w:val="0"/>
              <w:divBdr>
                <w:top w:val="none" w:sz="0" w:space="0" w:color="auto"/>
                <w:left w:val="none" w:sz="0" w:space="0" w:color="auto"/>
                <w:bottom w:val="none" w:sz="0" w:space="0" w:color="auto"/>
                <w:right w:val="none" w:sz="0" w:space="0" w:color="auto"/>
              </w:divBdr>
              <w:divsChild>
                <w:div w:id="1163814554">
                  <w:marLeft w:val="0"/>
                  <w:marRight w:val="0"/>
                  <w:marTop w:val="750"/>
                  <w:marBottom w:val="0"/>
                  <w:divBdr>
                    <w:top w:val="none" w:sz="0" w:space="0" w:color="auto"/>
                    <w:left w:val="none" w:sz="0" w:space="0" w:color="auto"/>
                    <w:bottom w:val="none" w:sz="0" w:space="0" w:color="auto"/>
                    <w:right w:val="none" w:sz="0" w:space="0" w:color="auto"/>
                  </w:divBdr>
                  <w:divsChild>
                    <w:div w:id="479620659">
                      <w:marLeft w:val="0"/>
                      <w:marRight w:val="0"/>
                      <w:marTop w:val="0"/>
                      <w:marBottom w:val="0"/>
                      <w:divBdr>
                        <w:top w:val="none" w:sz="0" w:space="0" w:color="auto"/>
                        <w:left w:val="none" w:sz="0" w:space="0" w:color="auto"/>
                        <w:bottom w:val="none" w:sz="0" w:space="0" w:color="auto"/>
                        <w:right w:val="none" w:sz="0" w:space="0" w:color="auto"/>
                      </w:divBdr>
                      <w:divsChild>
                        <w:div w:id="249119496">
                          <w:marLeft w:val="0"/>
                          <w:marRight w:val="0"/>
                          <w:marTop w:val="0"/>
                          <w:marBottom w:val="0"/>
                          <w:divBdr>
                            <w:top w:val="none" w:sz="0" w:space="0" w:color="auto"/>
                            <w:left w:val="none" w:sz="0" w:space="0" w:color="auto"/>
                            <w:bottom w:val="none" w:sz="0" w:space="0" w:color="auto"/>
                            <w:right w:val="none" w:sz="0" w:space="0" w:color="auto"/>
                          </w:divBdr>
                          <w:divsChild>
                            <w:div w:id="1669286367">
                              <w:marLeft w:val="0"/>
                              <w:marRight w:val="0"/>
                              <w:marTop w:val="0"/>
                              <w:marBottom w:val="750"/>
                              <w:divBdr>
                                <w:top w:val="none" w:sz="0" w:space="0" w:color="auto"/>
                                <w:left w:val="none" w:sz="0" w:space="0" w:color="auto"/>
                                <w:bottom w:val="none" w:sz="0" w:space="0" w:color="auto"/>
                                <w:right w:val="none" w:sz="0" w:space="0" w:color="auto"/>
                              </w:divBdr>
                              <w:divsChild>
                                <w:div w:id="20578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352094">
      <w:bodyDiv w:val="1"/>
      <w:marLeft w:val="0"/>
      <w:marRight w:val="0"/>
      <w:marTop w:val="0"/>
      <w:marBottom w:val="0"/>
      <w:divBdr>
        <w:top w:val="none" w:sz="0" w:space="0" w:color="auto"/>
        <w:left w:val="none" w:sz="0" w:space="0" w:color="auto"/>
        <w:bottom w:val="none" w:sz="0" w:space="0" w:color="auto"/>
        <w:right w:val="none" w:sz="0" w:space="0" w:color="auto"/>
      </w:divBdr>
    </w:div>
    <w:div w:id="1912811468">
      <w:bodyDiv w:val="1"/>
      <w:marLeft w:val="0"/>
      <w:marRight w:val="0"/>
      <w:marTop w:val="0"/>
      <w:marBottom w:val="0"/>
      <w:divBdr>
        <w:top w:val="none" w:sz="0" w:space="0" w:color="auto"/>
        <w:left w:val="none" w:sz="0" w:space="0" w:color="auto"/>
        <w:bottom w:val="none" w:sz="0" w:space="0" w:color="auto"/>
        <w:right w:val="none" w:sz="0" w:space="0" w:color="auto"/>
      </w:divBdr>
      <w:divsChild>
        <w:div w:id="1413771385">
          <w:marLeft w:val="0"/>
          <w:marRight w:val="0"/>
          <w:marTop w:val="0"/>
          <w:marBottom w:val="0"/>
          <w:divBdr>
            <w:top w:val="none" w:sz="0" w:space="0" w:color="auto"/>
            <w:left w:val="none" w:sz="0" w:space="0" w:color="auto"/>
            <w:bottom w:val="none" w:sz="0" w:space="0" w:color="auto"/>
            <w:right w:val="none" w:sz="0" w:space="0" w:color="auto"/>
          </w:divBdr>
          <w:divsChild>
            <w:div w:id="739475097">
              <w:marLeft w:val="0"/>
              <w:marRight w:val="0"/>
              <w:marTop w:val="0"/>
              <w:marBottom w:val="0"/>
              <w:divBdr>
                <w:top w:val="none" w:sz="0" w:space="0" w:color="auto"/>
                <w:left w:val="none" w:sz="0" w:space="0" w:color="auto"/>
                <w:bottom w:val="none" w:sz="0" w:space="0" w:color="auto"/>
                <w:right w:val="none" w:sz="0" w:space="0" w:color="auto"/>
              </w:divBdr>
              <w:divsChild>
                <w:div w:id="223639588">
                  <w:marLeft w:val="0"/>
                  <w:marRight w:val="0"/>
                  <w:marTop w:val="750"/>
                  <w:marBottom w:val="0"/>
                  <w:divBdr>
                    <w:top w:val="none" w:sz="0" w:space="0" w:color="auto"/>
                    <w:left w:val="none" w:sz="0" w:space="0" w:color="auto"/>
                    <w:bottom w:val="none" w:sz="0" w:space="0" w:color="auto"/>
                    <w:right w:val="none" w:sz="0" w:space="0" w:color="auto"/>
                  </w:divBdr>
                  <w:divsChild>
                    <w:div w:id="1231383640">
                      <w:marLeft w:val="0"/>
                      <w:marRight w:val="0"/>
                      <w:marTop w:val="0"/>
                      <w:marBottom w:val="0"/>
                      <w:divBdr>
                        <w:top w:val="none" w:sz="0" w:space="0" w:color="auto"/>
                        <w:left w:val="none" w:sz="0" w:space="0" w:color="auto"/>
                        <w:bottom w:val="none" w:sz="0" w:space="0" w:color="auto"/>
                        <w:right w:val="none" w:sz="0" w:space="0" w:color="auto"/>
                      </w:divBdr>
                      <w:divsChild>
                        <w:div w:id="86268636">
                          <w:marLeft w:val="0"/>
                          <w:marRight w:val="0"/>
                          <w:marTop w:val="0"/>
                          <w:marBottom w:val="0"/>
                          <w:divBdr>
                            <w:top w:val="none" w:sz="0" w:space="0" w:color="auto"/>
                            <w:left w:val="none" w:sz="0" w:space="0" w:color="auto"/>
                            <w:bottom w:val="none" w:sz="0" w:space="0" w:color="auto"/>
                            <w:right w:val="none" w:sz="0" w:space="0" w:color="auto"/>
                          </w:divBdr>
                          <w:divsChild>
                            <w:div w:id="1412652439">
                              <w:marLeft w:val="0"/>
                              <w:marRight w:val="0"/>
                              <w:marTop w:val="0"/>
                              <w:marBottom w:val="750"/>
                              <w:divBdr>
                                <w:top w:val="none" w:sz="0" w:space="0" w:color="auto"/>
                                <w:left w:val="none" w:sz="0" w:space="0" w:color="auto"/>
                                <w:bottom w:val="none" w:sz="0" w:space="0" w:color="auto"/>
                                <w:right w:val="none" w:sz="0" w:space="0" w:color="auto"/>
                              </w:divBdr>
                              <w:divsChild>
                                <w:div w:id="15228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ining/providers/rto/Pages/courses.aspx" TargetMode="External"/><Relationship Id="rId18" Type="http://schemas.openxmlformats.org/officeDocument/2006/relationships/hyperlink" Target="mailto:ADiScias@gordontafe.edu.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albec.org.au/building-strength-with-numeracy/index.htm" TargetMode="External"/><Relationship Id="rId7" Type="http://schemas.microsoft.com/office/2007/relationships/stylesWithEffects" Target="stylesWithEffects.xml"/><Relationship Id="rId12" Type="http://schemas.openxmlformats.org/officeDocument/2006/relationships/hyperlink" Target="http://www.education.vic.gov.au/training/providers/rto/Pages/courses.aspx" TargetMode="External"/><Relationship Id="rId17" Type="http://schemas.openxmlformats.org/officeDocument/2006/relationships/hyperlink" Target="mailto:tim.morris@rmit.edu.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siebel@kangan.edu.au" TargetMode="External"/><Relationship Id="rId20" Type="http://schemas.openxmlformats.org/officeDocument/2006/relationships/hyperlink" Target="http://www.education.vic.gov.au/training/providers/rto/Pages/purchasingguid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KathyKondekas@melbournepolytechnic.edu.a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trainin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training/providers/rto/Pages/courses.aspx" TargetMode="External"/><Relationship Id="rId22" Type="http://schemas.openxmlformats.org/officeDocument/2006/relationships/hyperlink" Target="http://toolboxes.flexiblelearning.net.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36D5D-0EF5-4684-9D44-D1EFD8519BF9}"/>
</file>

<file path=customXml/itemProps2.xml><?xml version="1.0" encoding="utf-8"?>
<ds:datastoreItem xmlns:ds="http://schemas.openxmlformats.org/officeDocument/2006/customXml" ds:itemID="{FED92EB6-3694-4191-ADBD-0681F2F0D550}"/>
</file>

<file path=customXml/itemProps3.xml><?xml version="1.0" encoding="utf-8"?>
<ds:datastoreItem xmlns:ds="http://schemas.openxmlformats.org/officeDocument/2006/customXml" ds:itemID="{85E18A03-D8D3-4078-9C2F-B6CED4104F76}"/>
</file>

<file path=customXml/itemProps4.xml><?xml version="1.0" encoding="utf-8"?>
<ds:datastoreItem xmlns:ds="http://schemas.openxmlformats.org/officeDocument/2006/customXml" ds:itemID="{E75B9E8B-C939-4464-BB79-B92E06E0D253}"/>
</file>

<file path=docProps/app.xml><?xml version="1.0" encoding="utf-8"?>
<Properties xmlns="http://schemas.openxmlformats.org/officeDocument/2006/extended-properties" xmlns:vt="http://schemas.openxmlformats.org/officeDocument/2006/docPropsVTypes">
  <Template>Memo - HESG Memorandum.dot</Template>
  <TotalTime>93</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Registrations for 2016 Learn Local Conference</vt:lpstr>
    </vt:vector>
  </TitlesOfParts>
  <Company>Dept. Of Education and Training (DE&amp;T)</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Reaccreditation of ACFE Board curriculum and related info</dc:title>
  <dc:creator>08306670</dc:creator>
  <cp:lastModifiedBy>Morrow, Jackie A</cp:lastModifiedBy>
  <cp:revision>7</cp:revision>
  <cp:lastPrinted>2016-07-19T03:18:00Z</cp:lastPrinted>
  <dcterms:created xsi:type="dcterms:W3CDTF">2016-07-19T02:08:00Z</dcterms:created>
  <dcterms:modified xsi:type="dcterms:W3CDTF">2016-07-21T02:58:00Z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{a3561d1d-94dc-4cb0-ad6e-086fe8b613f4}</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_docset_NoMedatataSyncRequired">
    <vt:lpwstr>False</vt:lpwstr>
  </property>
  <property fmtid="{D5CDD505-2E9C-101B-9397-08002B2CF9AE}" pid="12" name="RecordPoint_SubmissionCompleted">
    <vt:lpwstr/>
  </property>
  <property fmtid="{D5CDD505-2E9C-101B-9397-08002B2CF9AE}" pid="13" name="RecordPoint_RecordNumberSubmitted">
    <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