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p w14:paraId="1383BEDD" w14:textId="77777777" w:rsidR="009D5D01" w:rsidRPr="008F3646" w:rsidRDefault="008C7036" w:rsidP="00A66DA8">
            <w:pPr>
              <w:ind w:left="432" w:right="397"/>
              <w:rPr>
                <w:rFonts w:ascii="Arial" w:hAnsi="Arial" w:cs="Arial"/>
              </w:rPr>
            </w:pPr>
            <w:bookmarkStart w:id="0" w:name="_GoBack"/>
            <w:bookmarkEnd w:id="0"/>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4" w14:textId="26BB6E07" w:rsidR="009D5D01" w:rsidRPr="00744E0A" w:rsidRDefault="009D5D01" w:rsidP="00817539">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817539">
        <w:rPr>
          <w:rFonts w:ascii="Arial" w:hAnsi="Arial"/>
          <w:b/>
          <w:i/>
          <w:color w:val="000000"/>
          <w:sz w:val="22"/>
          <w:szCs w:val="24"/>
          <w:lang w:val="en-GB" w:eastAsia="en-US"/>
        </w:rPr>
        <w:t xml:space="preserve"> </w:t>
      </w:r>
      <w:r w:rsidR="000C2E1F">
        <w:rPr>
          <w:rFonts w:ascii="Arial" w:hAnsi="Arial"/>
          <w:b/>
          <w:i/>
          <w:color w:val="000000"/>
          <w:sz w:val="22"/>
          <w:szCs w:val="24"/>
          <w:lang w:val="en-GB" w:eastAsia="en-US"/>
        </w:rPr>
        <w:t>2016 / 0</w:t>
      </w:r>
      <w:r w:rsidR="00252028">
        <w:rPr>
          <w:rFonts w:ascii="Arial" w:hAnsi="Arial"/>
          <w:b/>
          <w:i/>
          <w:color w:val="000000"/>
          <w:sz w:val="22"/>
          <w:szCs w:val="24"/>
          <w:lang w:val="en-GB" w:eastAsia="en-US"/>
        </w:rPr>
        <w:t>5</w:t>
      </w:r>
      <w:r w:rsidR="000C2E1F">
        <w:rPr>
          <w:rFonts w:ascii="Arial" w:hAnsi="Arial"/>
          <w:b/>
          <w:i/>
          <w:color w:val="000000"/>
          <w:sz w:val="22"/>
          <w:szCs w:val="24"/>
          <w:lang w:val="en-GB" w:eastAsia="en-US"/>
        </w:rPr>
        <w:t xml:space="preserve"> / </w:t>
      </w:r>
      <w:r w:rsidR="00FA03D8">
        <w:rPr>
          <w:rFonts w:ascii="Arial" w:hAnsi="Arial"/>
          <w:b/>
          <w:i/>
          <w:color w:val="000000"/>
          <w:sz w:val="22"/>
          <w:szCs w:val="24"/>
          <w:lang w:val="en-GB" w:eastAsia="en-US"/>
        </w:rPr>
        <w:t>12</w:t>
      </w:r>
      <w:r w:rsidR="00817539">
        <w:rPr>
          <w:rFonts w:ascii="Arial" w:hAnsi="Arial"/>
          <w:b/>
          <w:i/>
          <w:color w:val="000000"/>
          <w:sz w:val="22"/>
          <w:szCs w:val="24"/>
          <w:lang w:val="en-GB" w:eastAsia="en-US"/>
        </w:rPr>
        <w:t xml:space="preserve">     </w:t>
      </w:r>
    </w:p>
    <w:p w14:paraId="1383BEE5"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383BEEB" w14:textId="77777777" w:rsidTr="00A66DA8">
        <w:tc>
          <w:tcPr>
            <w:tcW w:w="3119" w:type="dxa"/>
            <w:shd w:val="clear" w:color="auto" w:fill="auto"/>
          </w:tcPr>
          <w:p w14:paraId="1383BEE6" w14:textId="77777777" w:rsidR="009D5D01" w:rsidRDefault="009D5D01" w:rsidP="00A66DA8">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383BEE7" w14:textId="77777777" w:rsidR="009D5D01" w:rsidRPr="006F3F2F" w:rsidRDefault="009D5D01" w:rsidP="00D72B0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383BEE8" w14:textId="77777777" w:rsidR="002D0BFF" w:rsidRPr="0052344F" w:rsidRDefault="002D0BFF"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1383BEE9" w14:textId="77777777" w:rsidR="009D5D01" w:rsidRPr="006F3F2F" w:rsidRDefault="009D5D01" w:rsidP="00802E41">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1383BEEA" w14:textId="77777777" w:rsidR="009D5D01" w:rsidRPr="006F3F2F" w:rsidRDefault="009D5D01" w:rsidP="00A66DA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383BEEF" w14:textId="77777777" w:rsidTr="00A66DA8">
        <w:tc>
          <w:tcPr>
            <w:tcW w:w="3119" w:type="dxa"/>
            <w:shd w:val="clear" w:color="auto" w:fill="auto"/>
          </w:tcPr>
          <w:p w14:paraId="1383BEEC" w14:textId="77777777" w:rsidR="009D5D01" w:rsidRPr="001336DE" w:rsidRDefault="009D5D01" w:rsidP="00A66DA8">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1383BEED" w14:textId="72272C85" w:rsidR="009D5D01" w:rsidRPr="0052344F" w:rsidRDefault="00AE43FA"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Participation Branch staff</w:t>
            </w:r>
          </w:p>
        </w:tc>
        <w:tc>
          <w:tcPr>
            <w:tcW w:w="4110" w:type="dxa"/>
            <w:shd w:val="clear" w:color="auto" w:fill="auto"/>
          </w:tcPr>
          <w:p w14:paraId="1383BEEE" w14:textId="190BBB8F" w:rsidR="009D5D01" w:rsidRPr="006F3F2F" w:rsidRDefault="009D5D01" w:rsidP="00A66DA8">
            <w:pPr>
              <w:tabs>
                <w:tab w:val="left" w:pos="1080"/>
              </w:tabs>
              <w:spacing w:before="60"/>
              <w:ind w:right="397"/>
              <w:rPr>
                <w:rFonts w:ascii="Arial" w:hAnsi="Arial"/>
                <w:color w:val="000000"/>
                <w:sz w:val="22"/>
                <w:szCs w:val="24"/>
                <w:lang w:val="en-GB" w:eastAsia="en-US"/>
              </w:rPr>
            </w:pPr>
          </w:p>
        </w:tc>
      </w:tr>
    </w:tbl>
    <w:p w14:paraId="1383BEF4"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1383BEF5"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E22DA">
        <w:rPr>
          <w:rFonts w:ascii="Arial" w:hAnsi="Arial"/>
          <w:color w:val="000000"/>
          <w:sz w:val="22"/>
          <w:szCs w:val="24"/>
          <w:lang w:val="en-GB" w:eastAsia="en-US"/>
        </w:rPr>
        <w:t>Ryan Collins</w:t>
      </w:r>
      <w:r w:rsidRPr="00044F8A">
        <w:rPr>
          <w:rFonts w:ascii="Arial" w:hAnsi="Arial"/>
          <w:color w:val="000000"/>
          <w:sz w:val="22"/>
          <w:szCs w:val="24"/>
          <w:lang w:val="en-GB" w:eastAsia="en-US"/>
        </w:rPr>
        <w:t xml:space="preserve">, </w:t>
      </w:r>
      <w:r w:rsidR="003E22DA">
        <w:rPr>
          <w:rFonts w:ascii="Arial" w:hAnsi="Arial"/>
          <w:color w:val="000000"/>
          <w:sz w:val="22"/>
          <w:szCs w:val="24"/>
          <w:lang w:val="en-GB" w:eastAsia="en-US"/>
        </w:rPr>
        <w:t>A/</w:t>
      </w:r>
      <w:r w:rsidRPr="00044F8A">
        <w:rPr>
          <w:rFonts w:ascii="Arial" w:hAnsi="Arial"/>
          <w:color w:val="000000"/>
          <w:sz w:val="22"/>
          <w:szCs w:val="24"/>
          <w:lang w:val="en-GB" w:eastAsia="en-US"/>
        </w:rPr>
        <w:t>Director, Participation Branch</w:t>
      </w:r>
    </w:p>
    <w:p w14:paraId="1383BEF6" w14:textId="196DF5B0"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FA03D8" w:rsidRPr="00FA03D8">
        <w:rPr>
          <w:rFonts w:ascii="Arial" w:hAnsi="Arial"/>
          <w:color w:val="000000"/>
          <w:sz w:val="22"/>
          <w:lang w:val="en-GB" w:eastAsia="en-US"/>
        </w:rPr>
        <w:t>12</w:t>
      </w:r>
      <w:r w:rsidR="00252028" w:rsidRPr="00FA03D8">
        <w:rPr>
          <w:rFonts w:ascii="Arial" w:hAnsi="Arial"/>
          <w:color w:val="000000"/>
          <w:sz w:val="22"/>
          <w:lang w:val="en-GB" w:eastAsia="en-US"/>
        </w:rPr>
        <w:t xml:space="preserve"> May</w:t>
      </w:r>
      <w:r w:rsidR="007548D2" w:rsidRPr="00FA03D8">
        <w:rPr>
          <w:rFonts w:ascii="Arial" w:hAnsi="Arial"/>
          <w:color w:val="000000"/>
          <w:sz w:val="22"/>
          <w:lang w:val="en-GB" w:eastAsia="en-US"/>
        </w:rPr>
        <w:t xml:space="preserve"> 2</w:t>
      </w:r>
      <w:r w:rsidR="009F0CA5" w:rsidRPr="00FA03D8">
        <w:rPr>
          <w:rFonts w:ascii="Arial" w:hAnsi="Arial"/>
          <w:color w:val="000000"/>
          <w:sz w:val="22"/>
          <w:lang w:val="en-GB" w:eastAsia="en-US"/>
        </w:rPr>
        <w:t>01</w:t>
      </w:r>
      <w:r w:rsidR="003E22DA" w:rsidRPr="00FA03D8">
        <w:rPr>
          <w:rFonts w:ascii="Arial" w:hAnsi="Arial"/>
          <w:color w:val="000000"/>
          <w:sz w:val="22"/>
          <w:lang w:val="en-GB" w:eastAsia="en-US"/>
        </w:rPr>
        <w:t>6</w:t>
      </w:r>
    </w:p>
    <w:p w14:paraId="1383BEF7" w14:textId="6CE7F3D2"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91327">
        <w:rPr>
          <w:rFonts w:ascii="Arial" w:hAnsi="Arial"/>
          <w:i/>
          <w:color w:val="000000"/>
          <w:sz w:val="22"/>
          <w:lang w:val="en-GB" w:eastAsia="en-US"/>
        </w:rPr>
        <w:t xml:space="preserve">2016 Victorian Learn Local Awards – </w:t>
      </w:r>
      <w:r w:rsidR="00252028">
        <w:rPr>
          <w:rFonts w:ascii="Arial" w:hAnsi="Arial"/>
          <w:i/>
          <w:color w:val="000000"/>
          <w:sz w:val="22"/>
          <w:lang w:val="en-GB" w:eastAsia="en-US"/>
        </w:rPr>
        <w:t>Three weeks to go until nominations close.</w:t>
      </w:r>
    </w:p>
    <w:p w14:paraId="1383BEF8" w14:textId="77777777" w:rsidR="00491327" w:rsidRPr="00044F8A" w:rsidRDefault="00491327"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1383BEF9"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383BEFB" w14:textId="5B664C82" w:rsidR="00491327" w:rsidRDefault="00491327"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sidRPr="00491327">
        <w:rPr>
          <w:rFonts w:ascii="Arial" w:hAnsi="Arial" w:cs="Arial"/>
          <w:bCs/>
          <w:color w:val="000000"/>
          <w:lang w:val="en-GB"/>
        </w:rPr>
        <w:t xml:space="preserve">Nominations for the 2016 Awards </w:t>
      </w:r>
      <w:r w:rsidR="00125484">
        <w:rPr>
          <w:rFonts w:ascii="Arial" w:hAnsi="Arial" w:cs="Arial"/>
          <w:bCs/>
          <w:color w:val="000000"/>
          <w:lang w:val="en-GB"/>
        </w:rPr>
        <w:t>are now open.</w:t>
      </w:r>
    </w:p>
    <w:p w14:paraId="6FA1A965" w14:textId="29D1D6C2" w:rsidR="00125484" w:rsidRPr="00491327" w:rsidRDefault="00125484" w:rsidP="00125484">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Pr>
          <w:rFonts w:ascii="Arial" w:hAnsi="Arial" w:cs="Arial"/>
          <w:bCs/>
          <w:color w:val="000000"/>
          <w:lang w:val="en-GB"/>
        </w:rPr>
        <w:t xml:space="preserve">Nomination packs are available at: </w:t>
      </w:r>
      <w:hyperlink r:id="rId13" w:history="1">
        <w:r w:rsidRPr="00FA5C1B">
          <w:rPr>
            <w:rStyle w:val="Hyperlink"/>
            <w:rFonts w:ascii="Arial" w:hAnsi="Arial" w:cs="Arial"/>
          </w:rPr>
          <w:t>www.education.vic.gov.au/learnlocalawards</w:t>
        </w:r>
      </w:hyperlink>
      <w:r>
        <w:rPr>
          <w:rFonts w:ascii="Arial" w:hAnsi="Arial" w:cs="Arial"/>
          <w:bCs/>
          <w:color w:val="000000"/>
          <w:lang w:val="en-GB"/>
        </w:rPr>
        <w:t xml:space="preserve"> </w:t>
      </w:r>
    </w:p>
    <w:p w14:paraId="22E8E357" w14:textId="53AE6901" w:rsidR="00125484" w:rsidRDefault="00125484"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Pr>
          <w:rFonts w:ascii="Arial" w:hAnsi="Arial" w:cs="Arial"/>
          <w:bCs/>
          <w:color w:val="000000"/>
          <w:lang w:val="en-GB"/>
        </w:rPr>
        <w:t>Nominations will close on Friday 3 June 2016.</w:t>
      </w:r>
    </w:p>
    <w:p w14:paraId="1383BEFD"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383BEFE" w14:textId="77777777" w:rsidR="009D5D01" w:rsidRPr="00252028"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16"/>
          <w:szCs w:val="16"/>
          <w:lang w:val="en-GB" w:eastAsia="en-US"/>
        </w:rPr>
      </w:pPr>
    </w:p>
    <w:p w14:paraId="1383BEFF" w14:textId="1A1D6732" w:rsidR="00491327" w:rsidRDefault="00252028" w:rsidP="00324DCB">
      <w:pPr>
        <w:ind w:left="-284" w:right="-268"/>
        <w:rPr>
          <w:rFonts w:ascii="Arial" w:hAnsi="Arial" w:cs="Arial"/>
          <w:sz w:val="22"/>
          <w:szCs w:val="22"/>
        </w:rPr>
      </w:pPr>
      <w:r>
        <w:rPr>
          <w:rFonts w:ascii="Arial" w:hAnsi="Arial" w:cs="Arial"/>
          <w:sz w:val="22"/>
          <w:szCs w:val="22"/>
        </w:rPr>
        <w:t xml:space="preserve">There are only three weeks left until nominations close for the </w:t>
      </w:r>
      <w:r w:rsidR="00532C79" w:rsidRPr="00FA5C1B">
        <w:rPr>
          <w:rFonts w:ascii="Arial" w:hAnsi="Arial" w:cs="Arial"/>
          <w:sz w:val="22"/>
          <w:szCs w:val="22"/>
        </w:rPr>
        <w:t>201</w:t>
      </w:r>
      <w:r w:rsidR="00532C79">
        <w:rPr>
          <w:rFonts w:ascii="Arial" w:hAnsi="Arial" w:cs="Arial"/>
          <w:sz w:val="22"/>
          <w:szCs w:val="22"/>
        </w:rPr>
        <w:t>6</w:t>
      </w:r>
      <w:r w:rsidR="00532C79" w:rsidRPr="00FA5C1B">
        <w:rPr>
          <w:rFonts w:ascii="Arial" w:hAnsi="Arial" w:cs="Arial"/>
          <w:sz w:val="22"/>
          <w:szCs w:val="22"/>
        </w:rPr>
        <w:t xml:space="preserve"> Victorian Learn Local Awards</w:t>
      </w:r>
      <w:r>
        <w:rPr>
          <w:rFonts w:ascii="Arial" w:hAnsi="Arial" w:cs="Arial"/>
          <w:sz w:val="22"/>
          <w:szCs w:val="22"/>
        </w:rPr>
        <w:t>.  All nominations must be submitted by 5pm on Friday 3 June</w:t>
      </w:r>
      <w:r w:rsidR="00491327">
        <w:rPr>
          <w:rFonts w:ascii="Arial" w:hAnsi="Arial" w:cs="Arial"/>
          <w:sz w:val="22"/>
          <w:szCs w:val="22"/>
        </w:rPr>
        <w:t xml:space="preserve">.  </w:t>
      </w:r>
    </w:p>
    <w:p w14:paraId="1383BF00" w14:textId="77777777" w:rsidR="00491327" w:rsidRPr="00FA5C1B" w:rsidRDefault="00491327" w:rsidP="00324DCB">
      <w:pPr>
        <w:ind w:left="-284" w:right="-268"/>
        <w:rPr>
          <w:rFonts w:ascii="Arial" w:hAnsi="Arial" w:cs="Arial"/>
          <w:sz w:val="22"/>
          <w:szCs w:val="22"/>
        </w:rPr>
      </w:pPr>
    </w:p>
    <w:p w14:paraId="1383BF01" w14:textId="77777777" w:rsidR="00491327" w:rsidRDefault="00491327" w:rsidP="00324DCB">
      <w:pPr>
        <w:ind w:left="-284" w:right="-268"/>
        <w:rPr>
          <w:rFonts w:ascii="Arial" w:hAnsi="Arial" w:cs="Arial"/>
          <w:sz w:val="22"/>
          <w:szCs w:val="22"/>
        </w:rPr>
      </w:pPr>
      <w:r w:rsidRPr="00FA5C1B">
        <w:rPr>
          <w:rFonts w:ascii="Arial" w:hAnsi="Arial" w:cs="Arial"/>
          <w:sz w:val="22"/>
          <w:szCs w:val="22"/>
        </w:rPr>
        <w:t>The Awards are proudly brought to you by the Adult, Communit</w:t>
      </w:r>
      <w:r>
        <w:rPr>
          <w:rFonts w:ascii="Arial" w:hAnsi="Arial" w:cs="Arial"/>
          <w:sz w:val="22"/>
          <w:szCs w:val="22"/>
        </w:rPr>
        <w:t xml:space="preserve">y and Further Education Board and are one of the ways the Board </w:t>
      </w:r>
      <w:r w:rsidRPr="00FA5C1B">
        <w:rPr>
          <w:rFonts w:ascii="Arial" w:hAnsi="Arial" w:cs="Arial"/>
          <w:sz w:val="22"/>
          <w:szCs w:val="22"/>
        </w:rPr>
        <w:t>recognise</w:t>
      </w:r>
      <w:r>
        <w:rPr>
          <w:rFonts w:ascii="Arial" w:hAnsi="Arial" w:cs="Arial"/>
          <w:sz w:val="22"/>
          <w:szCs w:val="22"/>
        </w:rPr>
        <w:t>s</w:t>
      </w:r>
      <w:r w:rsidRPr="00FA5C1B">
        <w:rPr>
          <w:rFonts w:ascii="Arial" w:hAnsi="Arial" w:cs="Arial"/>
          <w:sz w:val="22"/>
          <w:szCs w:val="22"/>
        </w:rPr>
        <w:t xml:space="preserve"> and reward</w:t>
      </w:r>
      <w:r>
        <w:rPr>
          <w:rFonts w:ascii="Arial" w:hAnsi="Arial" w:cs="Arial"/>
          <w:sz w:val="22"/>
          <w:szCs w:val="22"/>
        </w:rPr>
        <w:t>s</w:t>
      </w:r>
      <w:r w:rsidRPr="00FA5C1B">
        <w:rPr>
          <w:rFonts w:ascii="Arial" w:hAnsi="Arial" w:cs="Arial"/>
          <w:sz w:val="22"/>
          <w:szCs w:val="22"/>
        </w:rPr>
        <w:t xml:space="preserve"> the outstanding achievements of organisations, programs and individuals within the Learn Local education and training sector.</w:t>
      </w:r>
    </w:p>
    <w:p w14:paraId="750CA9F9" w14:textId="24FC0346" w:rsidR="00252028" w:rsidRDefault="00252028" w:rsidP="00324DCB">
      <w:pPr>
        <w:ind w:left="-284" w:right="-268"/>
        <w:rPr>
          <w:rFonts w:ascii="Arial" w:hAnsi="Arial" w:cs="Arial"/>
          <w:sz w:val="22"/>
          <w:szCs w:val="22"/>
        </w:rPr>
      </w:pPr>
    </w:p>
    <w:p w14:paraId="52D5B475" w14:textId="77777777" w:rsidR="00252028" w:rsidRPr="00FA5C1B" w:rsidRDefault="00252028" w:rsidP="00252028">
      <w:pPr>
        <w:ind w:left="-284" w:right="-268"/>
        <w:rPr>
          <w:rFonts w:ascii="Arial" w:hAnsi="Arial" w:cs="Arial"/>
          <w:sz w:val="22"/>
          <w:szCs w:val="22"/>
        </w:rPr>
      </w:pPr>
      <w:r w:rsidRPr="00FA5C1B">
        <w:rPr>
          <w:rFonts w:ascii="Arial" w:hAnsi="Arial" w:cs="Arial"/>
          <w:sz w:val="22"/>
          <w:szCs w:val="22"/>
        </w:rPr>
        <w:t xml:space="preserve">A prize fund of $50,000 will be shared across five award categories. We are pleased to once again offer prizes to the </w:t>
      </w:r>
      <w:r>
        <w:rPr>
          <w:rFonts w:ascii="Arial" w:hAnsi="Arial" w:cs="Arial"/>
          <w:sz w:val="22"/>
          <w:szCs w:val="22"/>
        </w:rPr>
        <w:t>winner and all of the finalists in each of the following award categories:</w:t>
      </w:r>
    </w:p>
    <w:p w14:paraId="6B78BD59" w14:textId="77777777" w:rsidR="00252028" w:rsidRPr="000C2E1F" w:rsidRDefault="00252028" w:rsidP="00252028">
      <w:pPr>
        <w:pStyle w:val="PlainText"/>
        <w:numPr>
          <w:ilvl w:val="0"/>
          <w:numId w:val="15"/>
        </w:numPr>
        <w:ind w:left="0" w:right="-268" w:hanging="284"/>
        <w:jc w:val="both"/>
        <w:rPr>
          <w:rFonts w:ascii="Arial" w:hAnsi="Arial" w:cs="Arial"/>
          <w:szCs w:val="22"/>
        </w:rPr>
      </w:pPr>
      <w:r w:rsidRPr="000C2E1F">
        <w:rPr>
          <w:rFonts w:ascii="Arial" w:hAnsi="Arial" w:cs="Arial"/>
        </w:rPr>
        <w:t>The Rowena</w:t>
      </w:r>
      <w:r>
        <w:rPr>
          <w:rFonts w:ascii="Arial" w:hAnsi="Arial" w:cs="Arial"/>
        </w:rPr>
        <w:t xml:space="preserve"> Allen Award - Recognising Pre-a</w:t>
      </w:r>
      <w:r w:rsidRPr="000C2E1F">
        <w:rPr>
          <w:rFonts w:ascii="Arial" w:hAnsi="Arial" w:cs="Arial"/>
        </w:rPr>
        <w:t>ccredited Learner Excellence</w:t>
      </w:r>
      <w:r>
        <w:rPr>
          <w:rFonts w:ascii="Arial" w:hAnsi="Arial" w:cs="Arial"/>
        </w:rPr>
        <w:t>:</w:t>
      </w:r>
      <w:r w:rsidRPr="000C2E1F">
        <w:rPr>
          <w:rFonts w:ascii="Arial" w:hAnsi="Arial" w:cs="Arial"/>
        </w:rPr>
        <w:t xml:space="preserve"> </w:t>
      </w:r>
      <w:r w:rsidRPr="000C2E1F">
        <w:rPr>
          <w:rFonts w:ascii="Arial" w:hAnsi="Arial" w:cs="Arial"/>
          <w:szCs w:val="22"/>
        </w:rPr>
        <w:t>$5,000 (winner)</w:t>
      </w:r>
      <w:r>
        <w:rPr>
          <w:rFonts w:ascii="Arial" w:hAnsi="Arial" w:cs="Arial"/>
          <w:szCs w:val="22"/>
        </w:rPr>
        <w:t>,</w:t>
      </w:r>
      <w:r w:rsidRPr="000C2E1F">
        <w:rPr>
          <w:rFonts w:ascii="Arial" w:hAnsi="Arial" w:cs="Arial"/>
          <w:szCs w:val="22"/>
        </w:rPr>
        <w:t xml:space="preserve"> $1,000 (finalists)</w:t>
      </w:r>
    </w:p>
    <w:p w14:paraId="1204FF2A" w14:textId="77777777" w:rsidR="00252028" w:rsidRPr="00FA5C1B" w:rsidRDefault="00252028" w:rsidP="00252028">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Practitioner</w:t>
      </w:r>
      <w:r>
        <w:rPr>
          <w:rFonts w:ascii="Arial" w:hAnsi="Arial" w:cs="Arial"/>
          <w:sz w:val="22"/>
          <w:szCs w:val="22"/>
        </w:rPr>
        <w:t>:</w:t>
      </w:r>
      <w:r w:rsidRPr="00FA5C1B">
        <w:rPr>
          <w:rFonts w:ascii="Arial" w:hAnsi="Arial" w:cs="Arial"/>
          <w:sz w:val="22"/>
          <w:szCs w:val="22"/>
        </w:rPr>
        <w:t xml:space="preserve"> $5</w:t>
      </w:r>
      <w:r>
        <w:rPr>
          <w:rFonts w:ascii="Arial" w:hAnsi="Arial" w:cs="Arial"/>
          <w:sz w:val="22"/>
          <w:szCs w:val="22"/>
        </w:rPr>
        <w:t>,</w:t>
      </w:r>
      <w:r w:rsidRPr="00FA5C1B">
        <w:rPr>
          <w:rFonts w:ascii="Arial" w:hAnsi="Arial" w:cs="Arial"/>
          <w:sz w:val="22"/>
          <w:szCs w:val="22"/>
        </w:rPr>
        <w:t>000 (winner)</w:t>
      </w:r>
      <w:r>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64BD9D16" w14:textId="77777777" w:rsidR="00252028" w:rsidRPr="00FA5C1B" w:rsidRDefault="00252028" w:rsidP="00252028">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Pathways Program</w:t>
      </w:r>
      <w:r>
        <w:rPr>
          <w:rFonts w:ascii="Arial" w:hAnsi="Arial" w:cs="Arial"/>
          <w:sz w:val="22"/>
          <w:szCs w:val="22"/>
        </w:rPr>
        <w:t>:</w:t>
      </w:r>
      <w:r w:rsidRPr="00FA5C1B">
        <w:rPr>
          <w:rFonts w:ascii="Arial" w:hAnsi="Arial" w:cs="Arial"/>
          <w:sz w:val="22"/>
          <w:szCs w:val="22"/>
        </w:rPr>
        <w:t xml:space="preserve"> $10,000 (winner)</w:t>
      </w:r>
      <w:r>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594042FC" w14:textId="77777777" w:rsidR="00252028" w:rsidRPr="00FA5C1B" w:rsidRDefault="00252028" w:rsidP="00252028">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Excellence in Creating Local Solutions</w:t>
      </w:r>
      <w:r>
        <w:rPr>
          <w:rFonts w:ascii="Arial" w:hAnsi="Arial" w:cs="Arial"/>
          <w:sz w:val="22"/>
          <w:szCs w:val="22"/>
        </w:rPr>
        <w:t>:</w:t>
      </w:r>
      <w:r w:rsidRPr="00FA5C1B">
        <w:rPr>
          <w:rFonts w:ascii="Arial" w:hAnsi="Arial" w:cs="Arial"/>
          <w:sz w:val="22"/>
          <w:szCs w:val="22"/>
        </w:rPr>
        <w:t xml:space="preserve"> $10,000 (winner)</w:t>
      </w:r>
      <w:r>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156B044" w14:textId="77777777" w:rsidR="00252028" w:rsidRPr="00FA5C1B" w:rsidRDefault="00252028" w:rsidP="00252028">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AMES Diversity Innovation Award</w:t>
      </w:r>
      <w:r>
        <w:rPr>
          <w:rFonts w:ascii="Arial" w:hAnsi="Arial" w:cs="Arial"/>
          <w:sz w:val="22"/>
          <w:szCs w:val="22"/>
        </w:rPr>
        <w:t>:</w:t>
      </w:r>
      <w:r w:rsidRPr="00FA5C1B">
        <w:rPr>
          <w:rFonts w:ascii="Arial" w:hAnsi="Arial" w:cs="Arial"/>
          <w:sz w:val="22"/>
          <w:szCs w:val="22"/>
        </w:rPr>
        <w:t xml:space="preserve"> $10,000 (winner)</w:t>
      </w:r>
      <w:r>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 xml:space="preserve">000 (finalists) </w:t>
      </w:r>
    </w:p>
    <w:p w14:paraId="45B4D7B3" w14:textId="77777777" w:rsidR="00252028" w:rsidRDefault="00252028" w:rsidP="00324DCB">
      <w:pPr>
        <w:ind w:left="-284" w:right="-268"/>
        <w:rPr>
          <w:rFonts w:ascii="Arial" w:hAnsi="Arial" w:cs="Arial"/>
          <w:sz w:val="22"/>
          <w:szCs w:val="22"/>
        </w:rPr>
      </w:pPr>
    </w:p>
    <w:p w14:paraId="10082EE7" w14:textId="1538BAD1" w:rsidR="00252028" w:rsidRDefault="00252028" w:rsidP="00324DCB">
      <w:pPr>
        <w:ind w:left="-284" w:right="-268"/>
        <w:rPr>
          <w:rFonts w:ascii="Arial" w:hAnsi="Arial" w:cs="Arial"/>
          <w:sz w:val="22"/>
          <w:szCs w:val="22"/>
        </w:rPr>
      </w:pPr>
      <w:r>
        <w:rPr>
          <w:rFonts w:ascii="Arial" w:hAnsi="Arial" w:cs="Arial"/>
          <w:sz w:val="22"/>
          <w:szCs w:val="22"/>
        </w:rPr>
        <w:t xml:space="preserve">Please see </w:t>
      </w:r>
      <w:hyperlink r:id="rId14" w:history="1">
        <w:r w:rsidRPr="00252028">
          <w:rPr>
            <w:rStyle w:val="Hyperlink"/>
            <w:rFonts w:ascii="Arial" w:hAnsi="Arial" w:cs="Arial"/>
            <w:sz w:val="22"/>
            <w:szCs w:val="22"/>
          </w:rPr>
          <w:t>Participation Branch Memo 2016/04/12</w:t>
        </w:r>
      </w:hyperlink>
      <w:r>
        <w:rPr>
          <w:rFonts w:ascii="Arial" w:hAnsi="Arial" w:cs="Arial"/>
          <w:sz w:val="22"/>
          <w:szCs w:val="22"/>
        </w:rPr>
        <w:t xml:space="preserve"> for more information about the nomination and judging processes.</w:t>
      </w:r>
    </w:p>
    <w:p w14:paraId="5C82AA9E" w14:textId="163AF8C3" w:rsidR="00186B15" w:rsidRDefault="00186B15" w:rsidP="00324DCB">
      <w:pPr>
        <w:ind w:left="-284" w:right="-268"/>
        <w:rPr>
          <w:rFonts w:ascii="Arial" w:hAnsi="Arial" w:cs="Arial"/>
          <w:bCs/>
          <w:color w:val="000000"/>
          <w:sz w:val="22"/>
          <w:szCs w:val="22"/>
          <w:lang w:val="en-GB" w:eastAsia="en-US"/>
        </w:rPr>
      </w:pPr>
    </w:p>
    <w:p w14:paraId="64366D7E" w14:textId="6A52428E" w:rsidR="00186B15" w:rsidRPr="00491327" w:rsidRDefault="00252028" w:rsidP="00252028">
      <w:pPr>
        <w:ind w:left="-284" w:right="-268"/>
        <w:jc w:val="center"/>
        <w:rPr>
          <w:rFonts w:ascii="Arial" w:hAnsi="Arial" w:cs="Arial"/>
          <w:bCs/>
          <w:color w:val="000000"/>
          <w:sz w:val="22"/>
          <w:szCs w:val="22"/>
          <w:lang w:val="en-GB" w:eastAsia="en-US"/>
        </w:rPr>
      </w:pPr>
      <w:r>
        <w:rPr>
          <w:rFonts w:ascii="Arial" w:hAnsi="Arial" w:cs="Arial"/>
          <w:bCs/>
          <w:noProof/>
          <w:color w:val="000000"/>
          <w:sz w:val="22"/>
          <w:szCs w:val="22"/>
        </w:rPr>
        <w:drawing>
          <wp:inline distT="0" distB="0" distL="0" distR="0" wp14:anchorId="7CC9A6B3" wp14:editId="61EE110B">
            <wp:extent cx="4304175" cy="20288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VLLA_Website and FB ti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3364" cy="2037870"/>
                    </a:xfrm>
                    <a:prstGeom prst="rect">
                      <a:avLst/>
                    </a:prstGeom>
                  </pic:spPr>
                </pic:pic>
              </a:graphicData>
            </a:graphic>
          </wp:inline>
        </w:drawing>
      </w:r>
    </w:p>
    <w:sectPr w:rsidR="00186B15" w:rsidRPr="00491327" w:rsidSect="00324DCB">
      <w:footerReference w:type="first" r:id="rId16"/>
      <w:pgSz w:w="11907" w:h="16840" w:code="9"/>
      <w:pgMar w:top="899" w:right="992" w:bottom="709" w:left="1260" w:header="567"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BF15" w14:textId="77777777" w:rsidR="002E1123" w:rsidRDefault="002E1123" w:rsidP="00846881">
      <w:r>
        <w:separator/>
      </w:r>
    </w:p>
  </w:endnote>
  <w:endnote w:type="continuationSeparator" w:id="0">
    <w:p w14:paraId="1383BF16" w14:textId="77777777" w:rsidR="002E1123" w:rsidRDefault="002E112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BF17" w14:textId="77777777"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2238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BF13" w14:textId="77777777" w:rsidR="002E1123" w:rsidRDefault="002E1123" w:rsidP="00846881">
      <w:r>
        <w:separator/>
      </w:r>
    </w:p>
  </w:footnote>
  <w:footnote w:type="continuationSeparator" w:id="0">
    <w:p w14:paraId="1383BF14" w14:textId="77777777" w:rsidR="002E1123" w:rsidRDefault="002E1123"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45729"/>
    <w:rsid w:val="00060214"/>
    <w:rsid w:val="00060EA4"/>
    <w:rsid w:val="00063616"/>
    <w:rsid w:val="000701E5"/>
    <w:rsid w:val="0008021C"/>
    <w:rsid w:val="000901F6"/>
    <w:rsid w:val="000A1025"/>
    <w:rsid w:val="000A28AF"/>
    <w:rsid w:val="000C2E1F"/>
    <w:rsid w:val="000C3753"/>
    <w:rsid w:val="000C782C"/>
    <w:rsid w:val="000E181D"/>
    <w:rsid w:val="00105130"/>
    <w:rsid w:val="001079BD"/>
    <w:rsid w:val="001214D4"/>
    <w:rsid w:val="00125484"/>
    <w:rsid w:val="00125617"/>
    <w:rsid w:val="001411A4"/>
    <w:rsid w:val="00161B14"/>
    <w:rsid w:val="00163497"/>
    <w:rsid w:val="00181F47"/>
    <w:rsid w:val="00186B15"/>
    <w:rsid w:val="001A206F"/>
    <w:rsid w:val="001C0117"/>
    <w:rsid w:val="001C4930"/>
    <w:rsid w:val="001D2F77"/>
    <w:rsid w:val="00206E94"/>
    <w:rsid w:val="00213CB1"/>
    <w:rsid w:val="00234DCA"/>
    <w:rsid w:val="00241DCD"/>
    <w:rsid w:val="00252028"/>
    <w:rsid w:val="00264866"/>
    <w:rsid w:val="002831C1"/>
    <w:rsid w:val="00284B19"/>
    <w:rsid w:val="002871C2"/>
    <w:rsid w:val="002A24E2"/>
    <w:rsid w:val="002D0BFF"/>
    <w:rsid w:val="002D5296"/>
    <w:rsid w:val="002E1123"/>
    <w:rsid w:val="002F0511"/>
    <w:rsid w:val="00322BD0"/>
    <w:rsid w:val="00324DCB"/>
    <w:rsid w:val="00340366"/>
    <w:rsid w:val="00352C50"/>
    <w:rsid w:val="00384947"/>
    <w:rsid w:val="00394AC7"/>
    <w:rsid w:val="003A68DB"/>
    <w:rsid w:val="003B7B63"/>
    <w:rsid w:val="003D454C"/>
    <w:rsid w:val="003E22DA"/>
    <w:rsid w:val="003F0B63"/>
    <w:rsid w:val="003F3D59"/>
    <w:rsid w:val="003F640F"/>
    <w:rsid w:val="004304A3"/>
    <w:rsid w:val="00432FA8"/>
    <w:rsid w:val="00433FF7"/>
    <w:rsid w:val="00453CAD"/>
    <w:rsid w:val="004604A8"/>
    <w:rsid w:val="0048144F"/>
    <w:rsid w:val="00491327"/>
    <w:rsid w:val="004B182C"/>
    <w:rsid w:val="004C32C0"/>
    <w:rsid w:val="004C7772"/>
    <w:rsid w:val="004E42D2"/>
    <w:rsid w:val="00502F85"/>
    <w:rsid w:val="00505EC2"/>
    <w:rsid w:val="00506F42"/>
    <w:rsid w:val="00532C79"/>
    <w:rsid w:val="00536E60"/>
    <w:rsid w:val="00540C9F"/>
    <w:rsid w:val="005543E8"/>
    <w:rsid w:val="00576130"/>
    <w:rsid w:val="00583630"/>
    <w:rsid w:val="00590B75"/>
    <w:rsid w:val="00593251"/>
    <w:rsid w:val="00597427"/>
    <w:rsid w:val="005B4815"/>
    <w:rsid w:val="005E1085"/>
    <w:rsid w:val="005F153D"/>
    <w:rsid w:val="006254CC"/>
    <w:rsid w:val="00626260"/>
    <w:rsid w:val="006344F3"/>
    <w:rsid w:val="006409D9"/>
    <w:rsid w:val="00651785"/>
    <w:rsid w:val="006855AE"/>
    <w:rsid w:val="00687039"/>
    <w:rsid w:val="00690988"/>
    <w:rsid w:val="006935A8"/>
    <w:rsid w:val="006935C4"/>
    <w:rsid w:val="00696854"/>
    <w:rsid w:val="006A1696"/>
    <w:rsid w:val="006A5387"/>
    <w:rsid w:val="006B1B89"/>
    <w:rsid w:val="006D4561"/>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7539"/>
    <w:rsid w:val="00846881"/>
    <w:rsid w:val="0084771C"/>
    <w:rsid w:val="0085458B"/>
    <w:rsid w:val="00867D3A"/>
    <w:rsid w:val="00880ACA"/>
    <w:rsid w:val="0089186A"/>
    <w:rsid w:val="008B57C4"/>
    <w:rsid w:val="008C02AC"/>
    <w:rsid w:val="008C7036"/>
    <w:rsid w:val="008E2680"/>
    <w:rsid w:val="008E2DD6"/>
    <w:rsid w:val="008E53DE"/>
    <w:rsid w:val="008F3646"/>
    <w:rsid w:val="00903B41"/>
    <w:rsid w:val="00933C17"/>
    <w:rsid w:val="00965E53"/>
    <w:rsid w:val="009706F1"/>
    <w:rsid w:val="00976C76"/>
    <w:rsid w:val="009843BA"/>
    <w:rsid w:val="0099526E"/>
    <w:rsid w:val="009B2029"/>
    <w:rsid w:val="009C7B4C"/>
    <w:rsid w:val="009D5D01"/>
    <w:rsid w:val="009E3636"/>
    <w:rsid w:val="009F0CA5"/>
    <w:rsid w:val="00A011F2"/>
    <w:rsid w:val="00A04A84"/>
    <w:rsid w:val="00A05E12"/>
    <w:rsid w:val="00A14B2D"/>
    <w:rsid w:val="00A2083F"/>
    <w:rsid w:val="00A24A30"/>
    <w:rsid w:val="00A355AE"/>
    <w:rsid w:val="00A66DA8"/>
    <w:rsid w:val="00A83FB3"/>
    <w:rsid w:val="00A9135E"/>
    <w:rsid w:val="00AB0D48"/>
    <w:rsid w:val="00AD0AF3"/>
    <w:rsid w:val="00AE43FA"/>
    <w:rsid w:val="00AF0514"/>
    <w:rsid w:val="00B018F3"/>
    <w:rsid w:val="00B11D3D"/>
    <w:rsid w:val="00B21FF1"/>
    <w:rsid w:val="00B33E4F"/>
    <w:rsid w:val="00B41E45"/>
    <w:rsid w:val="00B435C6"/>
    <w:rsid w:val="00B5136F"/>
    <w:rsid w:val="00B61E8C"/>
    <w:rsid w:val="00B632F5"/>
    <w:rsid w:val="00BA4DA4"/>
    <w:rsid w:val="00C151BB"/>
    <w:rsid w:val="00C373FC"/>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53A53"/>
    <w:rsid w:val="00D72B00"/>
    <w:rsid w:val="00D83221"/>
    <w:rsid w:val="00DB01D8"/>
    <w:rsid w:val="00DC38A8"/>
    <w:rsid w:val="00DD6095"/>
    <w:rsid w:val="00DD6855"/>
    <w:rsid w:val="00E2238D"/>
    <w:rsid w:val="00E320A4"/>
    <w:rsid w:val="00E6663B"/>
    <w:rsid w:val="00E91E6B"/>
    <w:rsid w:val="00EE4BD9"/>
    <w:rsid w:val="00EE5E95"/>
    <w:rsid w:val="00F034E1"/>
    <w:rsid w:val="00F11CAC"/>
    <w:rsid w:val="00F13367"/>
    <w:rsid w:val="00F17667"/>
    <w:rsid w:val="00F24B4E"/>
    <w:rsid w:val="00F30F82"/>
    <w:rsid w:val="00F343D3"/>
    <w:rsid w:val="00F8781E"/>
    <w:rsid w:val="00FA03D8"/>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learnlocal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4" Type="http://schemas.openxmlformats.org/officeDocument/2006/relationships/hyperlink" Target="http://www.education.vic.gov.au/training/providers/learnlocal/Pages/memo.aspx"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0c467ce9530a8dc02d048de1753ec8a5">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20d52af059d9129a11ab81c2024f1b92"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union memberTypes="dms:Text">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un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00131-AA4C-4D25-919E-11BC1A1EF136}"/>
</file>

<file path=customXml/itemProps2.xml><?xml version="1.0" encoding="utf-8"?>
<ds:datastoreItem xmlns:ds="http://schemas.openxmlformats.org/officeDocument/2006/customXml" ds:itemID="{21D34596-53C1-4B4F-8980-143B2CAF6BB6}"/>
</file>

<file path=customXml/itemProps3.xml><?xml version="1.0" encoding="utf-8"?>
<ds:datastoreItem xmlns:ds="http://schemas.openxmlformats.org/officeDocument/2006/customXml" ds:itemID="{36824E25-4FE0-4DBE-B890-F1CB4039085A}"/>
</file>

<file path=customXml/itemProps4.xml><?xml version="1.0" encoding="utf-8"?>
<ds:datastoreItem xmlns:ds="http://schemas.openxmlformats.org/officeDocument/2006/customXml" ds:itemID="{F222B755-4B5C-40DC-8356-9A3338E6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05580-A540-4F2A-B47C-98C209ADEE43}"/>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 Local staff development opportunities - pre-accredited programs</vt:lpstr>
    </vt:vector>
  </TitlesOfParts>
  <Company>Dept. Of Education and Training (DE&amp;T)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staff development opportunities - pre-accredited programs</dc:title>
  <dc:creator>08306670</dc:creator>
  <cp:lastModifiedBy>Morrow, Jackie A</cp:lastModifiedBy>
  <cp:revision>2</cp:revision>
  <cp:lastPrinted>2016-02-29T22:20:00Z</cp:lastPrinted>
  <dcterms:created xsi:type="dcterms:W3CDTF">2016-05-11T23:46:00Z</dcterms:created>
  <dcterms:modified xsi:type="dcterms:W3CDTF">2016-05-11T23:46:00Z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{8bce952e-026f-4f33-845d-1d66e5f1a40e}</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
  </property>
  <property fmtid="{D5CDD505-2E9C-101B-9397-08002B2CF9AE}" pid="21" name="RecordPoint_SubmissionCompleted">
    <vt:lpwstr/>
  </property>
  <property fmtid="{D5CDD505-2E9C-101B-9397-08002B2CF9AE}" pid="22" name="RecordPoint_ActiveItemMoved">
    <vt:lpwstr/>
  </property>
  <property fmtid="{D5CDD505-2E9C-101B-9397-08002B2CF9AE}" pid="23" name="RecordPoint_RecordFormat">
    <vt:lpwstr/>
  </property>
</Properties>
</file>