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12B72777" w14:textId="77777777" w:rsidTr="00D36147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B981B" w14:textId="77777777" w:rsidR="009D5D01" w:rsidRPr="008F3646" w:rsidRDefault="0000680B" w:rsidP="00D36147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38E69EB7">
                <v:group id="_x0000_s1039" style="position:absolute;left:0;text-align:left;margin-left:11.45pt;margin-top:-21.3pt;width:530pt;height:109.45pt;z-index:251659264" coordorigin="1031,474" coordsize="9514,189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0" type="#_x0000_t202" style="position:absolute;left:1031;top:930;width:9514;height:1217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black">
                    <v:textbox style="mso-next-textbox:#Text Box 2">
                      <w:txbxContent>
                        <w:p w14:paraId="0263ACA0" w14:textId="77777777" w:rsidR="000A7685" w:rsidRPr="00633C39" w:rsidRDefault="000A7685" w:rsidP="009D5D01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szCs w:val="24"/>
                            </w:rPr>
                            <w:t>Higher Education and Skills Group</w:t>
                          </w:r>
                        </w:p>
                        <w:p w14:paraId="44E216F2" w14:textId="77777777" w:rsidR="000A7685" w:rsidRPr="006F3F2F" w:rsidRDefault="000A7685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0970AD3" w14:textId="419CEE86" w:rsidR="000A7685" w:rsidRPr="006F3F2F" w:rsidRDefault="000A7685" w:rsidP="009D5D01">
                          <w:pPr>
                            <w:ind w:left="-14" w:firstLine="14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</w:pPr>
                          <w:r w:rsidRPr="006F3F2F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  <w:t>Participation Branch Memo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1031;top:2124;width:9514;height:24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bfbfbf">
                    <v:textbox>
                      <w:txbxContent>
                        <w:p w14:paraId="2D870104" w14:textId="77777777" w:rsidR="000A7685" w:rsidRPr="00633C39" w:rsidRDefault="000A7685" w:rsidP="009D5D01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" o:spid="_x0000_s1042" type="#_x0000_t202" style="position:absolute;left:1031;top:474;width:9514;height: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1f497d">
                    <v:textbox>
                      <w:txbxContent>
                        <w:p w14:paraId="2F3ED16B" w14:textId="408FE70C" w:rsidR="000A7685" w:rsidRPr="00633C39" w:rsidRDefault="000A7685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Department of Education and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Training</w:t>
                          </w:r>
                        </w:p>
                        <w:p w14:paraId="17F4BCFB" w14:textId="77777777" w:rsidR="000A7685" w:rsidRDefault="000A7685" w:rsidP="009D5D01"/>
                      </w:txbxContent>
                    </v:textbox>
                  </v:shape>
                </v:group>
              </w:pict>
            </w:r>
          </w:p>
        </w:tc>
      </w:tr>
    </w:tbl>
    <w:p w14:paraId="1771CA0A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6091E4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2AC98A6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0CF8290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D08C6F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2A821B0" w14:textId="08FEB9A6"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4A0D5C">
        <w:rPr>
          <w:rFonts w:ascii="Arial" w:hAnsi="Arial"/>
          <w:i/>
          <w:color w:val="000000"/>
          <w:sz w:val="22"/>
          <w:szCs w:val="24"/>
          <w:lang w:val="en-GB" w:eastAsia="en-US"/>
        </w:rPr>
        <w:t>5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934540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05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/ </w:t>
      </w:r>
      <w:r w:rsidR="00934540">
        <w:rPr>
          <w:rFonts w:ascii="Arial" w:hAnsi="Arial"/>
          <w:i/>
          <w:color w:val="000000"/>
          <w:sz w:val="22"/>
          <w:szCs w:val="24"/>
          <w:lang w:val="en-GB" w:eastAsia="en-US"/>
        </w:rPr>
        <w:t>11</w:t>
      </w:r>
    </w:p>
    <w:p w14:paraId="0DA0113C" w14:textId="77777777" w:rsidR="004D1462" w:rsidRDefault="004D1462" w:rsidP="004D1462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3827"/>
      </w:tblGrid>
      <w:tr w:rsidR="004D1462" w:rsidRPr="006F3F2F" w14:paraId="3BAFA2D2" w14:textId="77777777" w:rsidTr="00F82548">
        <w:tc>
          <w:tcPr>
            <w:tcW w:w="3119" w:type="dxa"/>
            <w:shd w:val="clear" w:color="auto" w:fill="auto"/>
          </w:tcPr>
          <w:p w14:paraId="50C1E1B8" w14:textId="77777777" w:rsidR="004D1462" w:rsidRDefault="004D1462" w:rsidP="00F82548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All </w:t>
            </w: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38FD2F27" w14:textId="77777777" w:rsidR="004D1462" w:rsidRPr="006F3F2F" w:rsidRDefault="004D1462" w:rsidP="00F82548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6406C6CE" w14:textId="77777777" w:rsidR="004D1462" w:rsidRPr="006F3F2F" w:rsidRDefault="004D1462" w:rsidP="00F8254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827" w:type="dxa"/>
            <w:shd w:val="clear" w:color="auto" w:fill="auto"/>
          </w:tcPr>
          <w:p w14:paraId="7305AC4B" w14:textId="77777777" w:rsidR="004D1462" w:rsidRPr="006F3F2F" w:rsidRDefault="004D1462" w:rsidP="00F8254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4D1462" w:rsidRPr="006F3F2F" w14:paraId="479A92A1" w14:textId="77777777" w:rsidTr="00F82548">
        <w:tc>
          <w:tcPr>
            <w:tcW w:w="3119" w:type="dxa"/>
            <w:shd w:val="clear" w:color="auto" w:fill="auto"/>
          </w:tcPr>
          <w:p w14:paraId="5C062994" w14:textId="77777777" w:rsidR="004D1462" w:rsidRPr="0052344F" w:rsidRDefault="004D1462" w:rsidP="00F8254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  <w:p w14:paraId="7376040E" w14:textId="77777777" w:rsidR="004D1462" w:rsidRPr="001336DE" w:rsidRDefault="004D1462" w:rsidP="00F82548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11867F81" w14:textId="77777777" w:rsidR="004D1462" w:rsidRDefault="004D1462" w:rsidP="00F8254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LLENs</w:t>
            </w:r>
          </w:p>
          <w:p w14:paraId="6FD6396C" w14:textId="77777777" w:rsidR="004D1462" w:rsidRPr="00807408" w:rsidRDefault="004D1462" w:rsidP="00F8254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Chairs and Executive Officers</w:t>
            </w:r>
          </w:p>
        </w:tc>
        <w:tc>
          <w:tcPr>
            <w:tcW w:w="3827" w:type="dxa"/>
            <w:shd w:val="clear" w:color="auto" w:fill="auto"/>
          </w:tcPr>
          <w:p w14:paraId="0865E1F8" w14:textId="11230235" w:rsidR="004D1462" w:rsidRPr="006F3F2F" w:rsidRDefault="004D1462" w:rsidP="00F8254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14:paraId="0FF7F26C" w14:textId="77777777" w:rsidR="004D1462" w:rsidRPr="00044F8A" w:rsidRDefault="004D1462" w:rsidP="004D1462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034E1A4B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66534F63" w14:textId="3AAF60D4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D36147">
        <w:rPr>
          <w:rFonts w:ascii="Arial" w:hAnsi="Arial"/>
          <w:color w:val="000000"/>
          <w:sz w:val="22"/>
          <w:szCs w:val="24"/>
          <w:lang w:val="en-GB" w:eastAsia="en-US"/>
        </w:rPr>
        <w:t>Verna Kearney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, </w:t>
      </w:r>
      <w:r w:rsidR="00D36147">
        <w:rPr>
          <w:rFonts w:ascii="Arial" w:hAnsi="Arial"/>
          <w:color w:val="000000"/>
          <w:sz w:val="22"/>
          <w:szCs w:val="24"/>
          <w:lang w:val="en-GB" w:eastAsia="en-US"/>
        </w:rPr>
        <w:t xml:space="preserve">Acting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Director, </w:t>
      </w:r>
      <w:proofErr w:type="gramStart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14:paraId="25198640" w14:textId="4FC8253D"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934540">
        <w:rPr>
          <w:rFonts w:ascii="Arial" w:hAnsi="Arial"/>
          <w:color w:val="000000"/>
          <w:sz w:val="22"/>
          <w:lang w:val="en-GB" w:eastAsia="en-US"/>
        </w:rPr>
        <w:t>11</w:t>
      </w:r>
      <w:r w:rsidR="0043192E">
        <w:rPr>
          <w:rFonts w:ascii="Arial" w:hAnsi="Arial"/>
          <w:color w:val="000000"/>
          <w:sz w:val="22"/>
          <w:lang w:val="en-GB" w:eastAsia="en-US"/>
        </w:rPr>
        <w:t>/</w:t>
      </w:r>
      <w:r w:rsidR="00934540">
        <w:rPr>
          <w:rFonts w:ascii="Arial" w:hAnsi="Arial"/>
          <w:color w:val="000000"/>
          <w:sz w:val="22"/>
          <w:lang w:val="en-GB" w:eastAsia="en-US"/>
        </w:rPr>
        <w:t>5/</w:t>
      </w:r>
      <w:r w:rsidR="0043192E">
        <w:rPr>
          <w:rFonts w:ascii="Arial" w:hAnsi="Arial"/>
          <w:color w:val="000000"/>
          <w:sz w:val="22"/>
          <w:lang w:val="en-GB" w:eastAsia="en-US"/>
        </w:rPr>
        <w:t>2015</w:t>
      </w:r>
    </w:p>
    <w:p w14:paraId="5F400457" w14:textId="300FBCA2" w:rsidR="009D5D01" w:rsidRPr="00D36147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6A0322">
        <w:rPr>
          <w:rFonts w:ascii="Arial" w:hAnsi="Arial"/>
          <w:b/>
          <w:color w:val="000000"/>
          <w:sz w:val="22"/>
          <w:lang w:val="en-GB" w:eastAsia="en-US"/>
        </w:rPr>
        <w:t xml:space="preserve">UPDATE: </w:t>
      </w:r>
      <w:r w:rsidR="00496D9D">
        <w:rPr>
          <w:rFonts w:ascii="Arial" w:hAnsi="Arial"/>
          <w:i/>
          <w:color w:val="000000"/>
          <w:sz w:val="22"/>
          <w:lang w:val="en-GB" w:eastAsia="en-US"/>
        </w:rPr>
        <w:t>Strengthening DET regional relationships and support consultation</w:t>
      </w:r>
    </w:p>
    <w:p w14:paraId="35F35533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3E063A4B" w14:textId="14DF45F9" w:rsidR="006A0322" w:rsidRPr="006A0322" w:rsidRDefault="009D5D01" w:rsidP="006A03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0FF714A2" w14:textId="79CBC0A8" w:rsidR="006A0322" w:rsidRPr="006A0322" w:rsidRDefault="006A0322" w:rsidP="006A0322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</w:pPr>
      <w:r w:rsidRPr="006A0322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GB" w:eastAsia="en-US"/>
        </w:rPr>
        <w:t>UPDATE</w:t>
      </w:r>
      <w:r w:rsidRPr="006A0322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 xml:space="preserve">: </w:t>
      </w:r>
      <w:r w:rsidR="00265B5A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 xml:space="preserve">Consultation </w:t>
      </w:r>
      <w:r w:rsidRPr="006A0322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 xml:space="preserve">Forum, 22 May 2015. Expressions of interest </w:t>
      </w:r>
      <w:r w:rsidR="00265B5A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>to attend must be</w:t>
      </w:r>
      <w:r w:rsidRPr="006A0322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 xml:space="preserve">submitted to </w:t>
      </w:r>
      <w:hyperlink r:id="rId8" w:history="1">
        <w:r w:rsidRPr="00934540">
          <w:rPr>
            <w:rStyle w:val="Hyperlink"/>
            <w:rFonts w:ascii="Arial" w:hAnsi="Arial" w:cs="Arial"/>
            <w:sz w:val="22"/>
            <w:szCs w:val="22"/>
          </w:rPr>
          <w:t>regional.services@edumail.vic.gov.au</w:t>
        </w:r>
      </w:hyperlink>
      <w:r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 xml:space="preserve"> </w:t>
      </w:r>
      <w:r w:rsidRPr="006A0322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>by COB 14 May 2015.</w:t>
      </w:r>
    </w:p>
    <w:p w14:paraId="6D6F2ACE" w14:textId="23C79F8A" w:rsidR="000F5DFB" w:rsidRPr="006811E8" w:rsidRDefault="000A7685" w:rsidP="000F5DFB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sz w:val="22"/>
          <w:szCs w:val="22"/>
          <w:lang w:val="en-GB" w:eastAsia="en-US"/>
        </w:rPr>
      </w:pPr>
      <w:r w:rsidRPr="006811E8"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The consultation process will run </w:t>
      </w:r>
      <w:r w:rsidR="004D1462" w:rsidRPr="006811E8"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between April and </w:t>
      </w:r>
      <w:r w:rsidR="0075654D">
        <w:rPr>
          <w:rFonts w:ascii="Arial" w:hAnsi="Arial" w:cs="Arial"/>
          <w:bCs/>
          <w:i/>
          <w:sz w:val="22"/>
          <w:szCs w:val="22"/>
          <w:lang w:val="en-GB" w:eastAsia="en-US"/>
        </w:rPr>
        <w:t>29 May</w:t>
      </w:r>
      <w:r w:rsidR="0075654D" w:rsidRPr="006811E8"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 </w:t>
      </w:r>
      <w:r w:rsidR="004D1462" w:rsidRPr="006811E8">
        <w:rPr>
          <w:rFonts w:ascii="Arial" w:hAnsi="Arial" w:cs="Arial"/>
          <w:bCs/>
          <w:i/>
          <w:sz w:val="22"/>
          <w:szCs w:val="22"/>
          <w:lang w:val="en-GB" w:eastAsia="en-US"/>
        </w:rPr>
        <w:t>2015</w:t>
      </w:r>
    </w:p>
    <w:p w14:paraId="4E49E4DA" w14:textId="078EF385" w:rsidR="000F5DFB" w:rsidRPr="000F5DFB" w:rsidRDefault="000F5DFB" w:rsidP="000F5DFB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The</w:t>
      </w:r>
      <w:r w:rsidRPr="000F5DFB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 consultation paper can be found at </w:t>
      </w:r>
      <w:hyperlink r:id="rId9" w:history="1">
        <w:r w:rsidRPr="000F5DFB">
          <w:rPr>
            <w:rStyle w:val="Hyperlink"/>
            <w:rFonts w:ascii="Arial" w:hAnsi="Arial" w:cs="Arial"/>
            <w:bCs/>
            <w:i/>
            <w:sz w:val="22"/>
            <w:szCs w:val="22"/>
            <w:lang w:val="en-US" w:eastAsia="en-US"/>
          </w:rPr>
          <w:t>http://www.education.vic.gov.au/about/department/Pages/regionalsupport.aspx</w:t>
        </w:r>
      </w:hyperlink>
      <w:r w:rsidRPr="000F5DFB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 and provides a frame of reference for this.</w:t>
      </w:r>
    </w:p>
    <w:p w14:paraId="016EADC0" w14:textId="4CD82C8F"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0E0C4411" w14:textId="77777777" w:rsidR="009D5D01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073B0093" w14:textId="773F66A1" w:rsidR="00934540" w:rsidRDefault="00934540" w:rsidP="00934540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center"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UPDATE</w:t>
      </w:r>
    </w:p>
    <w:p w14:paraId="07099A2F" w14:textId="77777777" w:rsidR="00EB1856" w:rsidRDefault="00EB1856" w:rsidP="00934540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center"/>
        <w:textAlignment w:val="auto"/>
        <w:rPr>
          <w:rFonts w:ascii="Arial" w:hAnsi="Arial" w:cs="Arial"/>
          <w:b/>
          <w:szCs w:val="24"/>
        </w:rPr>
      </w:pPr>
    </w:p>
    <w:p w14:paraId="5563225A" w14:textId="6FBE4339" w:rsidR="00934540" w:rsidRDefault="00934540" w:rsidP="00496D9D">
      <w:pPr>
        <w:tabs>
          <w:tab w:val="left" w:pos="1080"/>
          <w:tab w:val="left" w:pos="9753"/>
        </w:tabs>
        <w:spacing w:before="60"/>
        <w:ind w:left="-284" w:right="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Further to the Participation Branch Memo of 28 April 2015, a</w:t>
      </w:r>
      <w:r w:rsidR="006A0322">
        <w:rPr>
          <w:rFonts w:ascii="Arial" w:hAnsi="Arial" w:cs="Arial"/>
          <w:sz w:val="22"/>
          <w:szCs w:val="22"/>
        </w:rPr>
        <w:t xml:space="preserve">s part of the </w:t>
      </w:r>
      <w:r w:rsidR="00496D9D">
        <w:rPr>
          <w:rFonts w:ascii="Arial" w:hAnsi="Arial"/>
          <w:i/>
          <w:color w:val="000000"/>
          <w:sz w:val="22"/>
          <w:lang w:val="en-GB" w:eastAsia="en-US"/>
        </w:rPr>
        <w:t>Strengthening DET regional relationships and support consultation</w:t>
      </w:r>
      <w:r w:rsidR="006A0322">
        <w:rPr>
          <w:rFonts w:ascii="Arial" w:hAnsi="Arial" w:cs="Arial"/>
          <w:sz w:val="22"/>
          <w:szCs w:val="22"/>
        </w:rPr>
        <w:t xml:space="preserve">, the </w:t>
      </w:r>
      <w:r w:rsidR="00496D9D">
        <w:rPr>
          <w:rFonts w:ascii="Arial" w:hAnsi="Arial" w:cs="Arial"/>
          <w:sz w:val="22"/>
          <w:szCs w:val="22"/>
        </w:rPr>
        <w:t>D</w:t>
      </w:r>
      <w:r w:rsidR="006A0322">
        <w:rPr>
          <w:rFonts w:ascii="Arial" w:hAnsi="Arial" w:cs="Arial"/>
          <w:sz w:val="22"/>
          <w:szCs w:val="22"/>
        </w:rPr>
        <w:t xml:space="preserve">epartment </w:t>
      </w:r>
      <w:r w:rsidRPr="00934540">
        <w:rPr>
          <w:rFonts w:ascii="Arial" w:hAnsi="Arial" w:cs="Arial"/>
          <w:sz w:val="22"/>
          <w:szCs w:val="22"/>
        </w:rPr>
        <w:t>w</w:t>
      </w:r>
      <w:r w:rsidR="006A0322">
        <w:rPr>
          <w:rFonts w:ascii="Arial" w:hAnsi="Arial" w:cs="Arial"/>
          <w:sz w:val="22"/>
          <w:szCs w:val="22"/>
        </w:rPr>
        <w:t xml:space="preserve">ill be holding a large forum on </w:t>
      </w:r>
      <w:r w:rsidRPr="00934540">
        <w:rPr>
          <w:rFonts w:ascii="Arial" w:hAnsi="Arial" w:cs="Arial"/>
          <w:sz w:val="22"/>
          <w:szCs w:val="22"/>
        </w:rPr>
        <w:t>22 May</w:t>
      </w:r>
      <w:r>
        <w:rPr>
          <w:rFonts w:ascii="Arial" w:hAnsi="Arial" w:cs="Arial"/>
          <w:sz w:val="22"/>
          <w:szCs w:val="22"/>
        </w:rPr>
        <w:t xml:space="preserve"> 2015</w:t>
      </w:r>
      <w:r w:rsidR="006A0322">
        <w:rPr>
          <w:rFonts w:ascii="Arial" w:hAnsi="Arial" w:cs="Arial"/>
          <w:sz w:val="22"/>
          <w:szCs w:val="22"/>
        </w:rPr>
        <w:t xml:space="preserve"> in central Melbourne, </w:t>
      </w:r>
      <w:r w:rsidRPr="00934540">
        <w:rPr>
          <w:rFonts w:ascii="Arial" w:hAnsi="Arial" w:cs="Arial"/>
          <w:sz w:val="22"/>
          <w:szCs w:val="22"/>
        </w:rPr>
        <w:t xml:space="preserve">from 10.00am </w:t>
      </w:r>
      <w:r w:rsidR="006A0322">
        <w:rPr>
          <w:rFonts w:ascii="Arial" w:hAnsi="Arial" w:cs="Arial"/>
          <w:sz w:val="22"/>
          <w:szCs w:val="22"/>
        </w:rPr>
        <w:t xml:space="preserve">until 3.30pm. </w:t>
      </w:r>
      <w:r w:rsidRPr="00934540">
        <w:rPr>
          <w:rFonts w:ascii="Arial" w:hAnsi="Arial" w:cs="Arial"/>
          <w:sz w:val="22"/>
          <w:szCs w:val="22"/>
        </w:rPr>
        <w:t>The purpose of the forum is to test</w:t>
      </w:r>
      <w:r w:rsidR="006A0322">
        <w:rPr>
          <w:rFonts w:ascii="Arial" w:hAnsi="Arial" w:cs="Arial"/>
          <w:sz w:val="22"/>
          <w:szCs w:val="22"/>
        </w:rPr>
        <w:t xml:space="preserve"> the findings gathered to date. </w:t>
      </w:r>
      <w:r w:rsidRPr="00934540">
        <w:rPr>
          <w:rFonts w:ascii="Arial" w:hAnsi="Arial" w:cs="Arial"/>
          <w:sz w:val="22"/>
          <w:szCs w:val="22"/>
        </w:rPr>
        <w:t>It will also provide an opportunity for those who have not yet participated in the consulta</w:t>
      </w:r>
      <w:r w:rsidR="00EB1856">
        <w:rPr>
          <w:rFonts w:ascii="Arial" w:hAnsi="Arial" w:cs="Arial"/>
          <w:sz w:val="22"/>
          <w:szCs w:val="22"/>
        </w:rPr>
        <w:t>tion to contribute their views.</w:t>
      </w:r>
    </w:p>
    <w:p w14:paraId="1440DA1C" w14:textId="77777777" w:rsidR="00934540" w:rsidRPr="00934540" w:rsidRDefault="00934540" w:rsidP="00934540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sz w:val="22"/>
          <w:szCs w:val="22"/>
        </w:rPr>
      </w:pPr>
    </w:p>
    <w:p w14:paraId="0DC8B546" w14:textId="27322728" w:rsidR="00934540" w:rsidRDefault="00934540" w:rsidP="00934540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sz w:val="22"/>
          <w:szCs w:val="22"/>
        </w:rPr>
      </w:pPr>
      <w:r w:rsidRPr="00934540">
        <w:rPr>
          <w:rFonts w:ascii="Arial" w:hAnsi="Arial" w:cs="Arial"/>
          <w:sz w:val="22"/>
          <w:szCs w:val="22"/>
        </w:rPr>
        <w:t xml:space="preserve">The </w:t>
      </w:r>
      <w:r w:rsidR="0000680B">
        <w:rPr>
          <w:rFonts w:ascii="Arial" w:hAnsi="Arial" w:cs="Arial"/>
          <w:sz w:val="22"/>
          <w:szCs w:val="22"/>
        </w:rPr>
        <w:t>D</w:t>
      </w:r>
      <w:r w:rsidRPr="00934540">
        <w:rPr>
          <w:rFonts w:ascii="Arial" w:hAnsi="Arial" w:cs="Arial"/>
          <w:sz w:val="22"/>
          <w:szCs w:val="22"/>
        </w:rPr>
        <w:t>epartment is seeking expressions of interest to attend from across the education sector.</w:t>
      </w:r>
      <w:r w:rsidR="00EB1856">
        <w:rPr>
          <w:rFonts w:ascii="Arial" w:hAnsi="Arial" w:cs="Arial"/>
          <w:sz w:val="22"/>
          <w:szCs w:val="22"/>
        </w:rPr>
        <w:t xml:space="preserve"> </w:t>
      </w:r>
    </w:p>
    <w:p w14:paraId="71C7825C" w14:textId="77777777" w:rsidR="00934540" w:rsidRDefault="00934540" w:rsidP="00934540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7DD414A" w14:textId="77777777" w:rsidR="00EB1856" w:rsidRDefault="00934540" w:rsidP="00934540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sz w:val="22"/>
          <w:szCs w:val="22"/>
        </w:rPr>
      </w:pPr>
      <w:r w:rsidRPr="00934540">
        <w:rPr>
          <w:rFonts w:ascii="Arial" w:hAnsi="Arial" w:cs="Arial"/>
          <w:sz w:val="22"/>
          <w:szCs w:val="22"/>
        </w:rPr>
        <w:t>Those interested in attending</w:t>
      </w:r>
      <w:r w:rsidR="006A0322">
        <w:rPr>
          <w:rFonts w:ascii="Arial" w:hAnsi="Arial" w:cs="Arial"/>
          <w:sz w:val="22"/>
          <w:szCs w:val="22"/>
        </w:rPr>
        <w:t xml:space="preserve"> the forum need to complete the </w:t>
      </w:r>
      <w:r w:rsidRPr="00934540">
        <w:rPr>
          <w:rFonts w:ascii="Arial" w:hAnsi="Arial" w:cs="Arial"/>
          <w:sz w:val="22"/>
          <w:szCs w:val="22"/>
        </w:rPr>
        <w:t>information below and submit to</w:t>
      </w:r>
      <w:r w:rsidR="006A0322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934540">
          <w:rPr>
            <w:rStyle w:val="Hyperlink"/>
            <w:rFonts w:ascii="Arial" w:hAnsi="Arial" w:cs="Arial"/>
            <w:sz w:val="22"/>
            <w:szCs w:val="22"/>
          </w:rPr>
          <w:t>regional.services@edumail.vic.gov.au</w:t>
        </w:r>
      </w:hyperlink>
      <w:r w:rsidR="006A0322">
        <w:rPr>
          <w:rFonts w:ascii="Arial" w:hAnsi="Arial" w:cs="Arial"/>
          <w:sz w:val="22"/>
          <w:szCs w:val="22"/>
        </w:rPr>
        <w:t xml:space="preserve"> </w:t>
      </w:r>
      <w:r w:rsidRPr="00934540">
        <w:rPr>
          <w:rFonts w:ascii="Arial" w:hAnsi="Arial" w:cs="Arial"/>
          <w:sz w:val="22"/>
          <w:szCs w:val="22"/>
        </w:rPr>
        <w:t xml:space="preserve">by </w:t>
      </w:r>
      <w:r w:rsidRPr="006A0322">
        <w:rPr>
          <w:rFonts w:ascii="Arial" w:hAnsi="Arial" w:cs="Arial"/>
          <w:b/>
          <w:sz w:val="22"/>
          <w:szCs w:val="22"/>
        </w:rPr>
        <w:t>COB 14 May 2015</w:t>
      </w:r>
      <w:r w:rsidR="006A0322">
        <w:rPr>
          <w:rFonts w:ascii="Arial" w:hAnsi="Arial" w:cs="Arial"/>
          <w:sz w:val="22"/>
          <w:szCs w:val="22"/>
        </w:rPr>
        <w:t>.</w:t>
      </w:r>
    </w:p>
    <w:p w14:paraId="47080F2B" w14:textId="77777777" w:rsidR="00EB1856" w:rsidRDefault="00EB1856" w:rsidP="00EB1856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</w:tblGrid>
      <w:tr w:rsidR="00EB1856" w14:paraId="09995D3E" w14:textId="77777777" w:rsidTr="00EB1856">
        <w:trPr>
          <w:tblCellSpacing w:w="15" w:type="dxa"/>
        </w:trPr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3DAB0" w14:textId="77777777" w:rsidR="00EB1856" w:rsidRPr="00EB1856" w:rsidRDefault="00EB185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Name: </w:t>
            </w:r>
            <w:r>
              <w:rPr>
                <w:sz w:val="21"/>
                <w:szCs w:val="21"/>
              </w:rPr>
              <w:t> </w:t>
            </w:r>
          </w:p>
        </w:tc>
      </w:tr>
      <w:tr w:rsidR="00EB1856" w14:paraId="5EF8D854" w14:textId="77777777" w:rsidTr="00EB1856">
        <w:trPr>
          <w:tblCellSpacing w:w="15" w:type="dxa"/>
        </w:trPr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ADC0D" w14:textId="77777777" w:rsidR="00EB1856" w:rsidRPr="00EB1856" w:rsidRDefault="00EB185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Title: </w:t>
            </w:r>
            <w:r>
              <w:rPr>
                <w:sz w:val="21"/>
                <w:szCs w:val="21"/>
              </w:rPr>
              <w:t> </w:t>
            </w:r>
          </w:p>
        </w:tc>
      </w:tr>
      <w:tr w:rsidR="00EB1856" w14:paraId="2F6F2794" w14:textId="77777777" w:rsidTr="00EB1856">
        <w:trPr>
          <w:tblCellSpacing w:w="15" w:type="dxa"/>
        </w:trPr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00727" w14:textId="77777777" w:rsidR="00EB1856" w:rsidRPr="00EB1856" w:rsidRDefault="00EB185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1"/>
                <w:szCs w:val="21"/>
              </w:rPr>
              <w:t>Organisation:</w:t>
            </w:r>
            <w:r>
              <w:rPr>
                <w:color w:val="000000"/>
                <w:sz w:val="21"/>
                <w:szCs w:val="21"/>
              </w:rPr>
              <w:t> </w:t>
            </w:r>
            <w:r>
              <w:rPr>
                <w:sz w:val="21"/>
                <w:szCs w:val="21"/>
              </w:rPr>
              <w:t> </w:t>
            </w:r>
          </w:p>
        </w:tc>
      </w:tr>
      <w:tr w:rsidR="00EB1856" w14:paraId="1009A0B8" w14:textId="77777777" w:rsidTr="00EB1856">
        <w:trPr>
          <w:tblCellSpacing w:w="15" w:type="dxa"/>
        </w:trPr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E2C62" w14:textId="77777777" w:rsidR="00EB1856" w:rsidRPr="00EB1856" w:rsidRDefault="00EB185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1"/>
                <w:szCs w:val="21"/>
              </w:rPr>
              <w:t>Location:</w:t>
            </w:r>
            <w:r>
              <w:rPr>
                <w:color w:val="000000"/>
                <w:sz w:val="21"/>
                <w:szCs w:val="21"/>
              </w:rPr>
              <w:t> </w:t>
            </w:r>
            <w:r>
              <w:rPr>
                <w:sz w:val="21"/>
                <w:szCs w:val="21"/>
              </w:rPr>
              <w:t> </w:t>
            </w:r>
          </w:p>
        </w:tc>
      </w:tr>
      <w:tr w:rsidR="00EB1856" w14:paraId="05404FCD" w14:textId="77777777" w:rsidTr="00EB1856">
        <w:trPr>
          <w:tblCellSpacing w:w="15" w:type="dxa"/>
        </w:trPr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762A6" w14:textId="77777777" w:rsidR="00EB1856" w:rsidRPr="00EB1856" w:rsidRDefault="00EB185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1"/>
                <w:szCs w:val="21"/>
              </w:rPr>
              <w:t>Contact email address:</w:t>
            </w:r>
            <w:r>
              <w:rPr>
                <w:color w:val="000000"/>
                <w:sz w:val="21"/>
                <w:szCs w:val="21"/>
              </w:rPr>
              <w:t> </w:t>
            </w:r>
            <w:r>
              <w:rPr>
                <w:sz w:val="21"/>
                <w:szCs w:val="21"/>
              </w:rPr>
              <w:t> </w:t>
            </w:r>
          </w:p>
        </w:tc>
      </w:tr>
      <w:tr w:rsidR="00EB1856" w14:paraId="781CF143" w14:textId="77777777" w:rsidTr="00EB1856">
        <w:trPr>
          <w:tblCellSpacing w:w="15" w:type="dxa"/>
        </w:trPr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2289E" w14:textId="77777777" w:rsidR="00EB1856" w:rsidRPr="00EB1856" w:rsidRDefault="00EB185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Contact telephone number: </w:t>
            </w:r>
            <w:r>
              <w:rPr>
                <w:sz w:val="21"/>
                <w:szCs w:val="21"/>
              </w:rPr>
              <w:t> </w:t>
            </w:r>
          </w:p>
        </w:tc>
      </w:tr>
      <w:tr w:rsidR="00EB1856" w14:paraId="5A631880" w14:textId="77777777" w:rsidTr="00EB1856">
        <w:trPr>
          <w:tblCellSpacing w:w="15" w:type="dxa"/>
        </w:trPr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09C91" w14:textId="77777777" w:rsidR="00EB1856" w:rsidRPr="00EB1856" w:rsidRDefault="00EB185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Dietary requirements: </w:t>
            </w:r>
            <w:r>
              <w:rPr>
                <w:sz w:val="21"/>
                <w:szCs w:val="21"/>
              </w:rPr>
              <w:t> </w:t>
            </w:r>
          </w:p>
        </w:tc>
      </w:tr>
    </w:tbl>
    <w:p w14:paraId="43EDD25D" w14:textId="09D0A81B" w:rsidR="00EB1856" w:rsidRPr="00EB1856" w:rsidRDefault="00EB1856" w:rsidP="00EB1856">
      <w:pPr>
        <w:rPr>
          <w:rFonts w:ascii="Calibri" w:eastAsia="Calibri" w:hAnsi="Calibri"/>
          <w:sz w:val="22"/>
          <w:szCs w:val="22"/>
          <w:lang w:eastAsia="en-US"/>
        </w:rPr>
      </w:pPr>
      <w:r>
        <w:t> </w:t>
      </w:r>
    </w:p>
    <w:p w14:paraId="1B694421" w14:textId="1B3AC2A9" w:rsidR="00934540" w:rsidRPr="00934540" w:rsidRDefault="00934540" w:rsidP="00934540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sz w:val="22"/>
          <w:szCs w:val="22"/>
        </w:rPr>
      </w:pPr>
      <w:r w:rsidRPr="00934540">
        <w:rPr>
          <w:rFonts w:ascii="Arial" w:hAnsi="Arial" w:cs="Arial"/>
          <w:sz w:val="22"/>
          <w:szCs w:val="22"/>
        </w:rPr>
        <w:t xml:space="preserve">Please note that places at the forum are limited, and </w:t>
      </w:r>
      <w:r w:rsidR="00265B5A">
        <w:rPr>
          <w:rFonts w:ascii="Arial" w:hAnsi="Arial" w:cs="Arial"/>
          <w:sz w:val="22"/>
          <w:szCs w:val="22"/>
        </w:rPr>
        <w:t>there is no</w:t>
      </w:r>
      <w:r w:rsidRPr="00934540">
        <w:rPr>
          <w:rFonts w:ascii="Arial" w:hAnsi="Arial" w:cs="Arial"/>
          <w:sz w:val="22"/>
          <w:szCs w:val="22"/>
        </w:rPr>
        <w:t xml:space="preserve"> guarantee that everyone who expresses interest will re</w:t>
      </w:r>
      <w:r w:rsidR="006A0322">
        <w:rPr>
          <w:rFonts w:ascii="Arial" w:hAnsi="Arial" w:cs="Arial"/>
          <w:sz w:val="22"/>
          <w:szCs w:val="22"/>
        </w:rPr>
        <w:t xml:space="preserve">ceive an invitation to attend. </w:t>
      </w:r>
      <w:r w:rsidRPr="00934540">
        <w:rPr>
          <w:rFonts w:ascii="Arial" w:hAnsi="Arial" w:cs="Arial"/>
          <w:sz w:val="22"/>
          <w:szCs w:val="22"/>
        </w:rPr>
        <w:t>Invitations will b</w:t>
      </w:r>
      <w:r w:rsidR="006A0322">
        <w:rPr>
          <w:rFonts w:ascii="Arial" w:hAnsi="Arial" w:cs="Arial"/>
          <w:sz w:val="22"/>
          <w:szCs w:val="22"/>
        </w:rPr>
        <w:t>e emailed to participants on 18 May 2015.</w:t>
      </w:r>
    </w:p>
    <w:p w14:paraId="7149B451" w14:textId="77777777" w:rsidR="006A0322" w:rsidRDefault="006A0322" w:rsidP="006A0322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center"/>
        <w:textAlignment w:val="auto"/>
        <w:rPr>
          <w:rFonts w:ascii="Arial" w:hAnsi="Arial" w:cs="Arial"/>
          <w:sz w:val="22"/>
          <w:szCs w:val="22"/>
        </w:rPr>
      </w:pPr>
    </w:p>
    <w:p w14:paraId="306778C9" w14:textId="7C62B1BE" w:rsidR="00934540" w:rsidRDefault="006A0322" w:rsidP="006A0322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center"/>
        <w:textAlignment w:val="auto"/>
        <w:rPr>
          <w:rFonts w:ascii="Arial" w:hAnsi="Arial" w:cs="Arial"/>
          <w:b/>
          <w:szCs w:val="24"/>
        </w:rPr>
      </w:pPr>
      <w:r w:rsidRPr="006A0322">
        <w:rPr>
          <w:rFonts w:ascii="Arial" w:hAnsi="Arial" w:cs="Arial"/>
          <w:b/>
          <w:szCs w:val="24"/>
        </w:rPr>
        <w:lastRenderedPageBreak/>
        <w:t>REMINDER</w:t>
      </w:r>
    </w:p>
    <w:p w14:paraId="24CDD24D" w14:textId="77777777" w:rsidR="00EB1856" w:rsidRPr="006A0322" w:rsidRDefault="00EB1856" w:rsidP="006A0322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center"/>
        <w:textAlignment w:val="auto"/>
        <w:rPr>
          <w:rFonts w:ascii="Arial" w:hAnsi="Arial" w:cs="Arial"/>
          <w:b/>
          <w:szCs w:val="24"/>
        </w:rPr>
      </w:pPr>
    </w:p>
    <w:p w14:paraId="7D91CC7C" w14:textId="252A0340" w:rsidR="00934540" w:rsidRPr="006A0322" w:rsidRDefault="006A0322" w:rsidP="006A0322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are many other ways </w:t>
      </w:r>
      <w:r w:rsidR="00934540" w:rsidRPr="00934540">
        <w:rPr>
          <w:rFonts w:ascii="Arial" w:hAnsi="Arial" w:cs="Arial"/>
          <w:sz w:val="22"/>
          <w:szCs w:val="22"/>
        </w:rPr>
        <w:t>to be involved in the consultation and</w:t>
      </w:r>
      <w:r w:rsidR="00EB1856">
        <w:rPr>
          <w:rFonts w:ascii="Arial" w:hAnsi="Arial" w:cs="Arial"/>
          <w:sz w:val="22"/>
          <w:szCs w:val="22"/>
        </w:rPr>
        <w:t xml:space="preserve"> to</w:t>
      </w:r>
      <w:r w:rsidR="00934540" w:rsidRPr="00934540">
        <w:rPr>
          <w:rFonts w:ascii="Arial" w:hAnsi="Arial" w:cs="Arial"/>
          <w:sz w:val="22"/>
          <w:szCs w:val="22"/>
        </w:rPr>
        <w:t xml:space="preserve"> have your say. You can visit</w:t>
      </w:r>
      <w:r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EB1856">
          <w:rPr>
            <w:rStyle w:val="Hyperlink"/>
            <w:rFonts w:ascii="Arial" w:hAnsi="Arial" w:cs="Arial"/>
            <w:sz w:val="22"/>
            <w:szCs w:val="22"/>
          </w:rPr>
          <w:t>regional</w:t>
        </w:r>
        <w:r w:rsidR="00934540" w:rsidRPr="00934540">
          <w:rPr>
            <w:rStyle w:val="Hyperlink"/>
            <w:rFonts w:ascii="Arial" w:hAnsi="Arial" w:cs="Arial"/>
            <w:sz w:val="22"/>
            <w:szCs w:val="22"/>
          </w:rPr>
          <w:t>services.ning.com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934540" w:rsidRPr="00934540">
        <w:rPr>
          <w:rFonts w:ascii="Arial" w:hAnsi="Arial" w:cs="Arial"/>
          <w:sz w:val="22"/>
          <w:szCs w:val="22"/>
        </w:rPr>
        <w:t>and sign up to the public forum. You can also make a written submission using the submission temp</w:t>
      </w:r>
      <w:r>
        <w:rPr>
          <w:rFonts w:ascii="Arial" w:hAnsi="Arial" w:cs="Arial"/>
          <w:sz w:val="22"/>
          <w:szCs w:val="22"/>
        </w:rPr>
        <w:t xml:space="preserve">late, which can be found </w:t>
      </w:r>
      <w:r w:rsidR="00EB1856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the </w:t>
      </w:r>
      <w:r w:rsidR="00EB1856">
        <w:rPr>
          <w:rFonts w:ascii="Arial" w:hAnsi="Arial" w:cs="Arial"/>
          <w:sz w:val="22"/>
          <w:szCs w:val="22"/>
        </w:rPr>
        <w:t>aforementioned website</w:t>
      </w:r>
      <w:r>
        <w:rPr>
          <w:rFonts w:ascii="Arial" w:hAnsi="Arial" w:cs="Arial"/>
          <w:sz w:val="22"/>
          <w:szCs w:val="22"/>
        </w:rPr>
        <w:t xml:space="preserve"> </w:t>
      </w:r>
      <w:r w:rsidR="00934540" w:rsidRPr="00934540">
        <w:rPr>
          <w:rFonts w:ascii="Arial" w:hAnsi="Arial" w:cs="Arial"/>
          <w:sz w:val="22"/>
          <w:szCs w:val="22"/>
        </w:rPr>
        <w:t>or the</w:t>
      </w:r>
      <w:r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934540" w:rsidRPr="00934540">
          <w:rPr>
            <w:rStyle w:val="Hyperlink"/>
            <w:rFonts w:ascii="Arial" w:hAnsi="Arial" w:cs="Arial"/>
            <w:sz w:val="22"/>
            <w:szCs w:val="22"/>
          </w:rPr>
          <w:t>project website</w:t>
        </w:r>
      </w:hyperlink>
      <w:r w:rsidR="00EB1856">
        <w:rPr>
          <w:rFonts w:ascii="Arial" w:hAnsi="Arial" w:cs="Arial"/>
          <w:sz w:val="22"/>
          <w:szCs w:val="22"/>
        </w:rPr>
        <w:t>, as can a template for responses to the questions posed throughout the consultation paper</w:t>
      </w:r>
      <w:r w:rsidR="00934540" w:rsidRPr="00934540">
        <w:rPr>
          <w:rFonts w:ascii="Arial" w:hAnsi="Arial" w:cs="Arial"/>
          <w:sz w:val="22"/>
          <w:szCs w:val="22"/>
        </w:rPr>
        <w:t>. Submissions</w:t>
      </w:r>
      <w:r w:rsidR="00EB1856">
        <w:rPr>
          <w:rFonts w:ascii="Arial" w:hAnsi="Arial" w:cs="Arial"/>
          <w:sz w:val="22"/>
          <w:szCs w:val="22"/>
        </w:rPr>
        <w:t xml:space="preserve"> and responses to questions</w:t>
      </w:r>
      <w:r w:rsidR="00934540" w:rsidRPr="00934540">
        <w:rPr>
          <w:rFonts w:ascii="Arial" w:hAnsi="Arial" w:cs="Arial"/>
          <w:sz w:val="22"/>
          <w:szCs w:val="22"/>
        </w:rPr>
        <w:t xml:space="preserve"> can be emailed to</w:t>
      </w:r>
      <w:r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934540" w:rsidRPr="00934540">
          <w:rPr>
            <w:rStyle w:val="Hyperlink"/>
            <w:rFonts w:ascii="Arial" w:hAnsi="Arial" w:cs="Arial"/>
            <w:sz w:val="22"/>
            <w:szCs w:val="22"/>
          </w:rPr>
          <w:t>regional.services@edumail.vic.gov.au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5657A825" w14:textId="77777777" w:rsidR="003B3529" w:rsidRDefault="003B3529" w:rsidP="003B3529">
      <w:pPr>
        <w:ind w:left="851"/>
        <w:rPr>
          <w:rFonts w:ascii="Arial" w:hAnsi="Arial" w:cs="Arial"/>
          <w:sz w:val="22"/>
          <w:szCs w:val="22"/>
        </w:rPr>
      </w:pPr>
    </w:p>
    <w:p w14:paraId="710EEDB8" w14:textId="63E035D5" w:rsidR="006A0322" w:rsidRDefault="006A0322" w:rsidP="006A0322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 previously advised two other targeted consultation sessions have been organised.</w:t>
      </w:r>
      <w:r w:rsidR="00EB185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There is still time to indicate your interest to attend.</w:t>
      </w:r>
    </w:p>
    <w:p w14:paraId="64C2AC32" w14:textId="77777777" w:rsidR="006A0322" w:rsidRDefault="006A0322" w:rsidP="006A0322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sz w:val="22"/>
          <w:szCs w:val="22"/>
        </w:rPr>
      </w:pPr>
    </w:p>
    <w:p w14:paraId="26A5934C" w14:textId="77777777" w:rsidR="00865A15" w:rsidRDefault="00865A15" w:rsidP="00EB1856">
      <w:pPr>
        <w:numPr>
          <w:ilvl w:val="0"/>
          <w:numId w:val="15"/>
        </w:numPr>
        <w:ind w:hanging="644"/>
        <w:rPr>
          <w:rFonts w:ascii="Arial" w:hAnsi="Arial" w:cs="Arial"/>
          <w:sz w:val="22"/>
          <w:szCs w:val="22"/>
        </w:rPr>
      </w:pPr>
      <w:r w:rsidRPr="00305026">
        <w:rPr>
          <w:rFonts w:ascii="Arial" w:hAnsi="Arial" w:cs="Arial"/>
          <w:sz w:val="22"/>
          <w:szCs w:val="22"/>
        </w:rPr>
        <w:t>LLEN EOs and Network Chairs, 22 May 2015,</w:t>
      </w:r>
      <w:r>
        <w:rPr>
          <w:rFonts w:ascii="Arial" w:hAnsi="Arial" w:cs="Arial"/>
          <w:sz w:val="22"/>
          <w:szCs w:val="22"/>
        </w:rPr>
        <w:t xml:space="preserve"> 2pm -3pm,</w:t>
      </w:r>
      <w:r w:rsidRPr="003050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5026">
        <w:rPr>
          <w:rFonts w:ascii="Arial" w:hAnsi="Arial" w:cs="Arial"/>
          <w:sz w:val="22"/>
          <w:szCs w:val="22"/>
        </w:rPr>
        <w:t>Rydges</w:t>
      </w:r>
      <w:proofErr w:type="spellEnd"/>
      <w:r w:rsidRPr="00305026">
        <w:rPr>
          <w:rFonts w:ascii="Arial" w:hAnsi="Arial" w:cs="Arial"/>
          <w:sz w:val="22"/>
          <w:szCs w:val="22"/>
        </w:rPr>
        <w:t>, Exhibition Street, Melbourne</w:t>
      </w:r>
      <w:r>
        <w:rPr>
          <w:rFonts w:ascii="Arial" w:hAnsi="Arial" w:cs="Arial"/>
          <w:sz w:val="22"/>
          <w:szCs w:val="22"/>
        </w:rPr>
        <w:t>.</w:t>
      </w:r>
    </w:p>
    <w:p w14:paraId="4B4EBC96" w14:textId="77777777" w:rsidR="00865A15" w:rsidRDefault="00865A15" w:rsidP="00865A15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sz w:val="22"/>
          <w:szCs w:val="22"/>
        </w:rPr>
      </w:pPr>
    </w:p>
    <w:p w14:paraId="1AD0C664" w14:textId="0A583256" w:rsidR="003B3529" w:rsidRPr="007E593B" w:rsidRDefault="003B3529" w:rsidP="006A0322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sz w:val="22"/>
          <w:szCs w:val="22"/>
        </w:rPr>
      </w:pPr>
      <w:r w:rsidRPr="007E593B">
        <w:rPr>
          <w:rFonts w:ascii="Arial" w:hAnsi="Arial" w:cs="Arial"/>
          <w:b/>
          <w:sz w:val="22"/>
          <w:szCs w:val="22"/>
        </w:rPr>
        <w:t xml:space="preserve">RSVP to </w:t>
      </w:r>
      <w:hyperlink r:id="rId14" w:history="1">
        <w:r w:rsidRPr="007E593B">
          <w:rPr>
            <w:rStyle w:val="Hyperlink"/>
            <w:rFonts w:ascii="Arial" w:hAnsi="Arial" w:cs="Arial"/>
            <w:b/>
            <w:sz w:val="22"/>
            <w:szCs w:val="22"/>
          </w:rPr>
          <w:t>valleau.analia.f@edumail.vic.gov.au</w:t>
        </w:r>
      </w:hyperlink>
      <w:r w:rsidRPr="007E593B">
        <w:rPr>
          <w:rFonts w:ascii="Arial" w:hAnsi="Arial" w:cs="Arial"/>
          <w:b/>
          <w:sz w:val="22"/>
          <w:szCs w:val="22"/>
        </w:rPr>
        <w:t xml:space="preserve"> for this consultation by COB Wednesday 20 May 2015.</w:t>
      </w:r>
    </w:p>
    <w:p w14:paraId="2239B490" w14:textId="77777777" w:rsidR="003B3529" w:rsidRPr="007E593B" w:rsidRDefault="003B3529" w:rsidP="003B3529">
      <w:pPr>
        <w:ind w:left="851"/>
        <w:rPr>
          <w:rFonts w:ascii="Arial" w:hAnsi="Arial" w:cs="Arial"/>
          <w:sz w:val="22"/>
          <w:szCs w:val="22"/>
        </w:rPr>
      </w:pPr>
    </w:p>
    <w:p w14:paraId="5AC0F964" w14:textId="7ED53493" w:rsidR="00305026" w:rsidRPr="007E593B" w:rsidRDefault="0075654D" w:rsidP="007E593B">
      <w:pPr>
        <w:numPr>
          <w:ilvl w:val="0"/>
          <w:numId w:val="15"/>
        </w:numPr>
        <w:ind w:left="0" w:hanging="284"/>
        <w:rPr>
          <w:rFonts w:ascii="Arial" w:hAnsi="Arial" w:cs="Arial"/>
          <w:sz w:val="22"/>
          <w:szCs w:val="22"/>
        </w:rPr>
      </w:pPr>
      <w:r w:rsidRPr="007E593B">
        <w:rPr>
          <w:rFonts w:ascii="Arial" w:hAnsi="Arial" w:cs="Arial"/>
          <w:sz w:val="22"/>
          <w:szCs w:val="22"/>
        </w:rPr>
        <w:t>ACFE Regional</w:t>
      </w:r>
      <w:r w:rsidR="00C46B2B" w:rsidRPr="007E593B">
        <w:rPr>
          <w:rFonts w:ascii="Arial" w:hAnsi="Arial" w:cs="Arial"/>
          <w:sz w:val="22"/>
          <w:szCs w:val="22"/>
        </w:rPr>
        <w:t xml:space="preserve"> Councils,</w:t>
      </w:r>
      <w:r w:rsidRPr="007E593B">
        <w:rPr>
          <w:rFonts w:ascii="Arial" w:hAnsi="Arial" w:cs="Arial"/>
          <w:sz w:val="22"/>
          <w:szCs w:val="22"/>
        </w:rPr>
        <w:t xml:space="preserve"> </w:t>
      </w:r>
      <w:r w:rsidR="0061019C" w:rsidRPr="007E593B">
        <w:rPr>
          <w:rFonts w:ascii="Arial" w:hAnsi="Arial" w:cs="Arial"/>
          <w:sz w:val="22"/>
          <w:szCs w:val="22"/>
        </w:rPr>
        <w:t xml:space="preserve"> 28 M</w:t>
      </w:r>
      <w:r w:rsidR="00ED33A8" w:rsidRPr="007E593B">
        <w:rPr>
          <w:rFonts w:ascii="Arial" w:hAnsi="Arial" w:cs="Arial"/>
          <w:sz w:val="22"/>
          <w:szCs w:val="22"/>
        </w:rPr>
        <w:t>ay</w:t>
      </w:r>
      <w:r w:rsidR="00990B2B" w:rsidRPr="007E593B">
        <w:rPr>
          <w:rFonts w:ascii="Arial" w:hAnsi="Arial" w:cs="Arial"/>
          <w:sz w:val="22"/>
          <w:szCs w:val="22"/>
        </w:rPr>
        <w:t>,</w:t>
      </w:r>
      <w:r w:rsidR="00305026" w:rsidRPr="007E593B">
        <w:rPr>
          <w:rFonts w:ascii="Arial" w:hAnsi="Arial" w:cs="Arial"/>
          <w:sz w:val="22"/>
          <w:szCs w:val="22"/>
        </w:rPr>
        <w:t>10:30</w:t>
      </w:r>
      <w:r w:rsidR="00ED33A8" w:rsidRPr="007E593B">
        <w:rPr>
          <w:rFonts w:ascii="Arial" w:hAnsi="Arial" w:cs="Arial"/>
          <w:sz w:val="22"/>
          <w:szCs w:val="22"/>
        </w:rPr>
        <w:t>am</w:t>
      </w:r>
      <w:r w:rsidR="00305026" w:rsidRPr="007E593B">
        <w:rPr>
          <w:rFonts w:ascii="Arial" w:hAnsi="Arial" w:cs="Arial"/>
          <w:sz w:val="22"/>
          <w:szCs w:val="22"/>
        </w:rPr>
        <w:t xml:space="preserve"> - </w:t>
      </w:r>
      <w:r w:rsidR="0061019C" w:rsidRPr="007E593B">
        <w:rPr>
          <w:rFonts w:ascii="Arial" w:hAnsi="Arial" w:cs="Arial"/>
          <w:sz w:val="22"/>
          <w:szCs w:val="22"/>
        </w:rPr>
        <w:t>11:30am</w:t>
      </w:r>
      <w:r w:rsidR="00ED33A8" w:rsidRPr="007E593B">
        <w:rPr>
          <w:rFonts w:ascii="Arial" w:hAnsi="Arial" w:cs="Arial"/>
          <w:sz w:val="22"/>
          <w:szCs w:val="22"/>
        </w:rPr>
        <w:t>, Department of Education and Training, 2 Treasury Pl, East Melbourne.</w:t>
      </w:r>
    </w:p>
    <w:p w14:paraId="266047B5" w14:textId="77777777" w:rsidR="00ED33A8" w:rsidRPr="007E593B" w:rsidRDefault="00ED33A8" w:rsidP="00ED33A8">
      <w:pPr>
        <w:ind w:left="1211"/>
        <w:rPr>
          <w:rFonts w:ascii="Arial" w:hAnsi="Arial" w:cs="Arial"/>
          <w:sz w:val="22"/>
          <w:szCs w:val="22"/>
        </w:rPr>
      </w:pPr>
    </w:p>
    <w:p w14:paraId="61D0FEAB" w14:textId="748FC237" w:rsidR="003B3529" w:rsidRPr="007E593B" w:rsidRDefault="003B3529" w:rsidP="006A0322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sz w:val="22"/>
          <w:szCs w:val="22"/>
        </w:rPr>
      </w:pPr>
      <w:r w:rsidRPr="007E593B">
        <w:rPr>
          <w:rFonts w:ascii="Arial" w:hAnsi="Arial" w:cs="Arial"/>
          <w:b/>
          <w:sz w:val="22"/>
          <w:szCs w:val="22"/>
        </w:rPr>
        <w:t xml:space="preserve">RSVP to </w:t>
      </w:r>
      <w:hyperlink r:id="rId15" w:history="1">
        <w:r w:rsidRPr="007E593B">
          <w:rPr>
            <w:rStyle w:val="Hyperlink"/>
            <w:rFonts w:ascii="Arial" w:hAnsi="Arial" w:cs="Arial"/>
            <w:b/>
            <w:sz w:val="22"/>
            <w:szCs w:val="22"/>
          </w:rPr>
          <w:t>valleau.analia.f@edumail.vic.gov.au</w:t>
        </w:r>
      </w:hyperlink>
      <w:r w:rsidRPr="007E593B">
        <w:rPr>
          <w:rFonts w:ascii="Arial" w:hAnsi="Arial" w:cs="Arial"/>
          <w:b/>
          <w:sz w:val="22"/>
          <w:szCs w:val="22"/>
        </w:rPr>
        <w:t xml:space="preserve"> for this consultation by COB Tuesday 26 May 2015.</w:t>
      </w:r>
    </w:p>
    <w:p w14:paraId="50455F16" w14:textId="77777777" w:rsidR="00265B5A" w:rsidRDefault="00265B5A" w:rsidP="00305026">
      <w:pPr>
        <w:rPr>
          <w:rFonts w:ascii="Arial" w:hAnsi="Arial" w:cs="Arial"/>
          <w:sz w:val="22"/>
          <w:szCs w:val="22"/>
        </w:rPr>
      </w:pPr>
    </w:p>
    <w:p w14:paraId="5E6D00B5" w14:textId="6760DF02" w:rsidR="005706AD" w:rsidRPr="00EB1856" w:rsidRDefault="00EB1856" w:rsidP="00265B5A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sz w:val="22"/>
          <w:szCs w:val="22"/>
        </w:rPr>
      </w:pPr>
      <w:r w:rsidRPr="00EB1856">
        <w:rPr>
          <w:rFonts w:ascii="Arial" w:hAnsi="Arial" w:cs="Arial"/>
          <w:b/>
          <w:sz w:val="22"/>
          <w:szCs w:val="22"/>
        </w:rPr>
        <w:t>Please be reminded that t</w:t>
      </w:r>
      <w:r w:rsidR="005706AD" w:rsidRPr="00EB1856">
        <w:rPr>
          <w:rFonts w:ascii="Arial" w:hAnsi="Arial" w:cs="Arial"/>
          <w:b/>
          <w:sz w:val="22"/>
          <w:szCs w:val="22"/>
        </w:rPr>
        <w:t>he consultation process will run until the 29</w:t>
      </w:r>
      <w:r w:rsidR="005706AD" w:rsidRPr="00EB185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5706AD" w:rsidRPr="00EB1856">
        <w:rPr>
          <w:rFonts w:ascii="Arial" w:hAnsi="Arial" w:cs="Arial"/>
          <w:b/>
          <w:sz w:val="22"/>
          <w:szCs w:val="22"/>
        </w:rPr>
        <w:t xml:space="preserve"> of May 2015.</w:t>
      </w:r>
    </w:p>
    <w:sectPr w:rsidR="005706AD" w:rsidRPr="00EB1856" w:rsidSect="00A2083F">
      <w:footerReference w:type="default" r:id="rId16"/>
      <w:footerReference w:type="first" r:id="rId17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44FF1" w14:textId="77777777" w:rsidR="000A7685" w:rsidRDefault="000A7685" w:rsidP="00846881">
      <w:r>
        <w:separator/>
      </w:r>
    </w:p>
  </w:endnote>
  <w:endnote w:type="continuationSeparator" w:id="0">
    <w:p w14:paraId="2DA5BA6C" w14:textId="77777777" w:rsidR="000A7685" w:rsidRDefault="000A7685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880D1" w14:textId="77777777" w:rsidR="00990B2B" w:rsidRPr="009D5D01" w:rsidRDefault="00990B2B" w:rsidP="00990B2B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00680B">
      <w:rPr>
        <w:rFonts w:ascii="Arial" w:hAnsi="Arial" w:cs="Arial"/>
        <w:noProof/>
        <w:sz w:val="20"/>
      </w:rPr>
      <w:t>2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4F57CDA2" w14:textId="77777777" w:rsidR="00990B2B" w:rsidRDefault="00990B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AED0C" w14:textId="77777777" w:rsidR="000A7685" w:rsidRPr="009D5D01" w:rsidRDefault="000A7685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00680B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6D94B54E" w14:textId="77777777" w:rsidR="000A7685" w:rsidRDefault="000A7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6DB0" w14:textId="77777777" w:rsidR="000A7685" w:rsidRDefault="000A7685" w:rsidP="00846881">
      <w:r>
        <w:separator/>
      </w:r>
    </w:p>
  </w:footnote>
  <w:footnote w:type="continuationSeparator" w:id="0">
    <w:p w14:paraId="04EA4623" w14:textId="77777777" w:rsidR="000A7685" w:rsidRDefault="000A7685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661774"/>
    <w:multiLevelType w:val="hybridMultilevel"/>
    <w:tmpl w:val="CD68B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435DD2"/>
    <w:multiLevelType w:val="hybridMultilevel"/>
    <w:tmpl w:val="33EC575A"/>
    <w:lvl w:ilvl="0" w:tplc="0C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5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4D4"/>
    <w:rsid w:val="0000680B"/>
    <w:rsid w:val="0001461B"/>
    <w:rsid w:val="00021555"/>
    <w:rsid w:val="0002288F"/>
    <w:rsid w:val="0002677B"/>
    <w:rsid w:val="000425DB"/>
    <w:rsid w:val="00053376"/>
    <w:rsid w:val="00060214"/>
    <w:rsid w:val="00060EA4"/>
    <w:rsid w:val="000701E5"/>
    <w:rsid w:val="0008021C"/>
    <w:rsid w:val="000901F6"/>
    <w:rsid w:val="000A28AF"/>
    <w:rsid w:val="000A7685"/>
    <w:rsid w:val="000C3753"/>
    <w:rsid w:val="000C782C"/>
    <w:rsid w:val="000F5DFB"/>
    <w:rsid w:val="00105130"/>
    <w:rsid w:val="001079BD"/>
    <w:rsid w:val="001214D4"/>
    <w:rsid w:val="00125617"/>
    <w:rsid w:val="001411A4"/>
    <w:rsid w:val="00181F47"/>
    <w:rsid w:val="001C0117"/>
    <w:rsid w:val="001C4930"/>
    <w:rsid w:val="001D2F77"/>
    <w:rsid w:val="00206E94"/>
    <w:rsid w:val="00213CB1"/>
    <w:rsid w:val="00234DCA"/>
    <w:rsid w:val="00241DCD"/>
    <w:rsid w:val="00264866"/>
    <w:rsid w:val="00265B5A"/>
    <w:rsid w:val="002831C1"/>
    <w:rsid w:val="00284B19"/>
    <w:rsid w:val="002A24E2"/>
    <w:rsid w:val="00305026"/>
    <w:rsid w:val="00340366"/>
    <w:rsid w:val="00352C50"/>
    <w:rsid w:val="00384947"/>
    <w:rsid w:val="003A0D60"/>
    <w:rsid w:val="003B3529"/>
    <w:rsid w:val="003B7B63"/>
    <w:rsid w:val="003D454C"/>
    <w:rsid w:val="003D5AF1"/>
    <w:rsid w:val="003F0B63"/>
    <w:rsid w:val="003F3D59"/>
    <w:rsid w:val="003F640F"/>
    <w:rsid w:val="004175B2"/>
    <w:rsid w:val="004304A3"/>
    <w:rsid w:val="0043192E"/>
    <w:rsid w:val="00453CAD"/>
    <w:rsid w:val="004604A8"/>
    <w:rsid w:val="0048144F"/>
    <w:rsid w:val="00496D9D"/>
    <w:rsid w:val="004A0D5C"/>
    <w:rsid w:val="004B182C"/>
    <w:rsid w:val="004C32C0"/>
    <w:rsid w:val="004C7772"/>
    <w:rsid w:val="004D1462"/>
    <w:rsid w:val="004E42D2"/>
    <w:rsid w:val="00505EC2"/>
    <w:rsid w:val="00506F42"/>
    <w:rsid w:val="00540C9F"/>
    <w:rsid w:val="005543E8"/>
    <w:rsid w:val="005706AD"/>
    <w:rsid w:val="00583630"/>
    <w:rsid w:val="00590B75"/>
    <w:rsid w:val="005B4815"/>
    <w:rsid w:val="005E1085"/>
    <w:rsid w:val="005F153D"/>
    <w:rsid w:val="0061019C"/>
    <w:rsid w:val="006254CC"/>
    <w:rsid w:val="00626260"/>
    <w:rsid w:val="006344F3"/>
    <w:rsid w:val="006409D9"/>
    <w:rsid w:val="00651785"/>
    <w:rsid w:val="00660F2B"/>
    <w:rsid w:val="00663D3F"/>
    <w:rsid w:val="006811E8"/>
    <w:rsid w:val="00687039"/>
    <w:rsid w:val="006935A8"/>
    <w:rsid w:val="00696854"/>
    <w:rsid w:val="006A0322"/>
    <w:rsid w:val="006A1696"/>
    <w:rsid w:val="006A5387"/>
    <w:rsid w:val="006D4561"/>
    <w:rsid w:val="00717852"/>
    <w:rsid w:val="0075654D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593B"/>
    <w:rsid w:val="007E59F5"/>
    <w:rsid w:val="00806019"/>
    <w:rsid w:val="00846881"/>
    <w:rsid w:val="00865A15"/>
    <w:rsid w:val="00867D3A"/>
    <w:rsid w:val="00880ACA"/>
    <w:rsid w:val="0089186A"/>
    <w:rsid w:val="008B665E"/>
    <w:rsid w:val="008E2680"/>
    <w:rsid w:val="008E2DD6"/>
    <w:rsid w:val="008E53DE"/>
    <w:rsid w:val="008F3646"/>
    <w:rsid w:val="00903B41"/>
    <w:rsid w:val="00933C17"/>
    <w:rsid w:val="00934540"/>
    <w:rsid w:val="00965E53"/>
    <w:rsid w:val="009706F1"/>
    <w:rsid w:val="009843BA"/>
    <w:rsid w:val="00990B2B"/>
    <w:rsid w:val="0099526E"/>
    <w:rsid w:val="009C7B4C"/>
    <w:rsid w:val="009D5D01"/>
    <w:rsid w:val="009E3636"/>
    <w:rsid w:val="00A011F2"/>
    <w:rsid w:val="00A01842"/>
    <w:rsid w:val="00A14B2D"/>
    <w:rsid w:val="00A2083F"/>
    <w:rsid w:val="00A24A30"/>
    <w:rsid w:val="00A6097C"/>
    <w:rsid w:val="00A83FB3"/>
    <w:rsid w:val="00A9135E"/>
    <w:rsid w:val="00AD0AF3"/>
    <w:rsid w:val="00AD42EA"/>
    <w:rsid w:val="00AF0514"/>
    <w:rsid w:val="00B33E4F"/>
    <w:rsid w:val="00B41E45"/>
    <w:rsid w:val="00B46077"/>
    <w:rsid w:val="00B5136F"/>
    <w:rsid w:val="00B632F5"/>
    <w:rsid w:val="00C118E2"/>
    <w:rsid w:val="00C151BB"/>
    <w:rsid w:val="00C373FC"/>
    <w:rsid w:val="00C46B2B"/>
    <w:rsid w:val="00C75A39"/>
    <w:rsid w:val="00C81E8F"/>
    <w:rsid w:val="00C83B90"/>
    <w:rsid w:val="00CA0D2E"/>
    <w:rsid w:val="00CB16A1"/>
    <w:rsid w:val="00CD0632"/>
    <w:rsid w:val="00CE69B8"/>
    <w:rsid w:val="00CF6891"/>
    <w:rsid w:val="00D33418"/>
    <w:rsid w:val="00D36147"/>
    <w:rsid w:val="00D53A53"/>
    <w:rsid w:val="00DD6095"/>
    <w:rsid w:val="00DD6855"/>
    <w:rsid w:val="00E320A4"/>
    <w:rsid w:val="00E4131C"/>
    <w:rsid w:val="00E91E6B"/>
    <w:rsid w:val="00EB1856"/>
    <w:rsid w:val="00EB1F35"/>
    <w:rsid w:val="00ED33A8"/>
    <w:rsid w:val="00EE4BD9"/>
    <w:rsid w:val="00EE5E95"/>
    <w:rsid w:val="00F11CAC"/>
    <w:rsid w:val="00F17667"/>
    <w:rsid w:val="00F24B4E"/>
    <w:rsid w:val="00F30F82"/>
    <w:rsid w:val="00F343D3"/>
    <w:rsid w:val="00F4003E"/>
    <w:rsid w:val="00F8781E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537BE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ms-rtefontsize-11">
    <w:name w:val="ms-rtefontsize-11"/>
    <w:rsid w:val="0043192E"/>
    <w:rPr>
      <w:sz w:val="18"/>
      <w:szCs w:val="18"/>
    </w:rPr>
  </w:style>
  <w:style w:type="character" w:styleId="FollowedHyperlink">
    <w:name w:val="FollowedHyperlink"/>
    <w:basedOn w:val="DefaultParagraphFont"/>
    <w:rsid w:val="007565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5629">
                          <w:marLeft w:val="39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6260">
                          <w:marLeft w:val="39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3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885">
                          <w:marLeft w:val="39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0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l.services@edumail.v" TargetMode="External"/><Relationship Id="rId13" Type="http://schemas.openxmlformats.org/officeDocument/2006/relationships/hyperlink" Target="mailto:regional.services@edumail.v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education.vic.gov.au/about/department/Pages/regionalsupport.asp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gional.services.nin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alleau.analia.f@edumail.vic.gov.au" TargetMode="External"/><Relationship Id="rId10" Type="http://schemas.openxmlformats.org/officeDocument/2006/relationships/hyperlink" Target="mailto:regional.services@edumail.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about/department/Pages/regionalsupport.aspx" TargetMode="External"/><Relationship Id="rId14" Type="http://schemas.openxmlformats.org/officeDocument/2006/relationships/hyperlink" Target="mailto:valleau.analia.f@edumail.vic.gov.au" TargetMode="External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D67D1-F2DD-46C5-89A0-EBE106501ADE}"/>
</file>

<file path=customXml/itemProps2.xml><?xml version="1.0" encoding="utf-8"?>
<ds:datastoreItem xmlns:ds="http://schemas.openxmlformats.org/officeDocument/2006/customXml" ds:itemID="{19ED73C5-5843-4CF1-9BDE-D30E31DE39C3}"/>
</file>

<file path=customXml/itemProps3.xml><?xml version="1.0" encoding="utf-8"?>
<ds:datastoreItem xmlns:ds="http://schemas.openxmlformats.org/officeDocument/2006/customXml" ds:itemID="{6F491AA3-A6BA-4B72-9C2A-407B6A1E9973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9</TotalTime>
  <Pages>2</Pages>
  <Words>418</Words>
  <Characters>3087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08306670</dc:creator>
  <cp:keywords/>
  <dc:description/>
  <cp:lastModifiedBy>Kene, Effie E</cp:lastModifiedBy>
  <cp:revision>3</cp:revision>
  <cp:lastPrinted>2015-05-11T03:12:00Z</cp:lastPrinted>
  <dcterms:created xsi:type="dcterms:W3CDTF">2015-05-11T03:07:00Z</dcterms:created>
  <dcterms:modified xsi:type="dcterms:W3CDTF">2015-05-11T03:19:00Z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