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6AC65AA4" w14:textId="77777777" w:rsidTr="00A66DA8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F04B" w14:textId="77777777" w:rsidR="009D5D01" w:rsidRPr="008F3646" w:rsidRDefault="000E181D" w:rsidP="00A66DA8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076FEE6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1B386865" w14:textId="77777777" w:rsidR="00976C76" w:rsidRPr="00633C39" w:rsidRDefault="00976C76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5E09A6C8" w14:textId="77777777" w:rsidR="00976C76" w:rsidRPr="006F3F2F" w:rsidRDefault="00976C76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503A6C" w14:textId="77777777" w:rsidR="00976C76" w:rsidRPr="006F3F2F" w:rsidRDefault="00976C76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0CA7F1C3" w14:textId="77777777" w:rsidR="00976C76" w:rsidRPr="00633C39" w:rsidRDefault="00976C76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6E95050D" w14:textId="75F052C7" w:rsidR="00976C76" w:rsidRPr="00633C39" w:rsidRDefault="00976C76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 w:rsidR="00A05E1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65EFBC35" w14:textId="77777777" w:rsidR="00976C76" w:rsidRDefault="00976C76" w:rsidP="009D5D01"/>
                      </w:txbxContent>
                    </v:textbox>
                  </v:shape>
                </v:group>
              </w:pict>
            </w:r>
          </w:p>
        </w:tc>
      </w:tr>
    </w:tbl>
    <w:p w14:paraId="569026E9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33190A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F8873D2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0D02F02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DA832E6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8B56CDC" w14:textId="705F9B95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9F0CA5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B21FF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5 / </w:t>
      </w:r>
      <w:proofErr w:type="gramStart"/>
      <w:r w:rsidR="00B21FF1">
        <w:rPr>
          <w:rFonts w:ascii="Arial" w:hAnsi="Arial"/>
          <w:i/>
          <w:color w:val="000000"/>
          <w:sz w:val="22"/>
          <w:szCs w:val="24"/>
          <w:lang w:val="en-GB" w:eastAsia="en-US"/>
        </w:rPr>
        <w:t>02  /</w:t>
      </w:r>
      <w:proofErr w:type="gramEnd"/>
      <w:r w:rsidR="00B21FF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10</w:t>
      </w:r>
    </w:p>
    <w:p w14:paraId="331DFC74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0F866C9D" w14:textId="77777777" w:rsidTr="00A66DA8">
        <w:tc>
          <w:tcPr>
            <w:tcW w:w="3119" w:type="dxa"/>
            <w:shd w:val="clear" w:color="auto" w:fill="auto"/>
          </w:tcPr>
          <w:p w14:paraId="206AC163" w14:textId="77777777" w:rsidR="009D5D01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A89C53D" w14:textId="77777777" w:rsidR="009D5D01" w:rsidRPr="006F3F2F" w:rsidRDefault="009D5D01" w:rsidP="00D72B00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52607992" w14:textId="77777777" w:rsidR="002D0BFF" w:rsidRPr="0052344F" w:rsidRDefault="002D0BFF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A24A9A8" w14:textId="77777777" w:rsidR="009D5D01" w:rsidRPr="006F3F2F" w:rsidRDefault="009D5D01" w:rsidP="00802E4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B8D8725" w14:textId="77777777"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0C79B867" w14:textId="77777777" w:rsidTr="00A66DA8">
        <w:tc>
          <w:tcPr>
            <w:tcW w:w="3119" w:type="dxa"/>
            <w:shd w:val="clear" w:color="auto" w:fill="auto"/>
          </w:tcPr>
          <w:p w14:paraId="3301722B" w14:textId="77777777" w:rsidR="009D5D01" w:rsidRPr="001336DE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98598C3" w14:textId="77777777" w:rsidR="009D5D01" w:rsidRPr="0052344F" w:rsidRDefault="009D5D01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75425311" w14:textId="77777777" w:rsidR="009D5D01" w:rsidRPr="006F3F2F" w:rsidRDefault="002D0BFF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  <w:tr w:rsidR="009D5D01" w:rsidRPr="006F3F2F" w14:paraId="3E2CC605" w14:textId="77777777" w:rsidTr="00A66DA8">
        <w:tc>
          <w:tcPr>
            <w:tcW w:w="3119" w:type="dxa"/>
            <w:shd w:val="clear" w:color="auto" w:fill="auto"/>
          </w:tcPr>
          <w:p w14:paraId="34A3F965" w14:textId="77777777" w:rsidR="009D5D01" w:rsidRPr="006F3F2F" w:rsidRDefault="009D5D01" w:rsidP="00A66DA8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11A37774" w14:textId="77777777"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2A55DC" w14:textId="77777777" w:rsidR="009D5D01" w:rsidRPr="006F3F2F" w:rsidRDefault="009D5D01" w:rsidP="00A66DA8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56B57346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0A142CE2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430A9585" w14:textId="753E61F3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7548D2" w:rsidRPr="007548D2">
        <w:rPr>
          <w:rFonts w:ascii="Arial" w:hAnsi="Arial"/>
          <w:color w:val="000000"/>
          <w:sz w:val="22"/>
          <w:lang w:val="en-GB" w:eastAsia="en-US"/>
        </w:rPr>
        <w:t>10 February 2</w:t>
      </w:r>
      <w:r w:rsidR="009F0CA5" w:rsidRPr="007548D2">
        <w:rPr>
          <w:rFonts w:ascii="Arial" w:hAnsi="Arial"/>
          <w:color w:val="000000"/>
          <w:sz w:val="22"/>
          <w:lang w:val="en-GB" w:eastAsia="en-US"/>
        </w:rPr>
        <w:t>01</w:t>
      </w:r>
      <w:r w:rsidR="00A66DA8" w:rsidRPr="007548D2">
        <w:rPr>
          <w:rFonts w:ascii="Arial" w:hAnsi="Arial"/>
          <w:color w:val="000000"/>
          <w:sz w:val="22"/>
          <w:lang w:val="en-GB" w:eastAsia="en-US"/>
        </w:rPr>
        <w:t>5</w:t>
      </w:r>
    </w:p>
    <w:p w14:paraId="0816EABC" w14:textId="77777777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6663B" w:rsidRPr="00E6663B">
        <w:rPr>
          <w:rFonts w:ascii="Arial" w:hAnsi="Arial"/>
          <w:i/>
          <w:color w:val="000000"/>
          <w:sz w:val="22"/>
          <w:lang w:val="en-GB" w:eastAsia="en-US"/>
        </w:rPr>
        <w:t>Learn Local s</w:t>
      </w:r>
      <w:r w:rsidR="00D72B00">
        <w:rPr>
          <w:rFonts w:ascii="Arial" w:hAnsi="Arial"/>
          <w:i/>
          <w:color w:val="000000"/>
          <w:sz w:val="22"/>
          <w:lang w:val="en-GB" w:eastAsia="en-US"/>
        </w:rPr>
        <w:t>taff development opportunities – pre-accredited programs</w:t>
      </w:r>
    </w:p>
    <w:p w14:paraId="7237D27C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6292D4FB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36019DCA" w14:textId="77777777" w:rsidR="002D5296" w:rsidRDefault="002D5296" w:rsidP="00536E60">
      <w:pPr>
        <w:rPr>
          <w:rFonts w:ascii="Arial" w:hAnsi="Arial" w:cs="Arial"/>
          <w:color w:val="000000"/>
          <w:sz w:val="22"/>
          <w:szCs w:val="22"/>
        </w:rPr>
      </w:pPr>
    </w:p>
    <w:p w14:paraId="770F2AD7" w14:textId="77777777" w:rsidR="008C02AC" w:rsidRPr="008C02AC" w:rsidRDefault="008C02AC" w:rsidP="008C02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1"/>
          <w:szCs w:val="21"/>
          <w:lang w:val="en-GB" w:eastAsia="en-US"/>
        </w:rPr>
      </w:pPr>
      <w:r w:rsidRPr="008C02AC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1. PQF workshops (including moderation) in all ACFE regions</w:t>
      </w:r>
    </w:p>
    <w:p w14:paraId="1BEB7FDB" w14:textId="77777777" w:rsidR="009D5D01" w:rsidRDefault="008C02AC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 w:rsidRPr="008C02AC"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>2. PQF employability workshop</w:t>
      </w:r>
      <w:r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 </w:t>
      </w:r>
    </w:p>
    <w:p w14:paraId="3494B0E0" w14:textId="77777777" w:rsidR="007F699C" w:rsidRDefault="007F699C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color w:val="000000"/>
          <w:sz w:val="21"/>
          <w:szCs w:val="21"/>
          <w:lang w:val="en-GB" w:eastAsia="en-US"/>
        </w:rPr>
        <w:t xml:space="preserve">Reservations for workshops via: </w:t>
      </w:r>
      <w:hyperlink r:id="rId12" w:history="1">
        <w:r>
          <w:rPr>
            <w:rStyle w:val="Hyperlink"/>
          </w:rPr>
          <w:t>http://e.mybookingmanager.com/E51422413229868</w:t>
        </w:r>
      </w:hyperlink>
    </w:p>
    <w:p w14:paraId="475263AE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3EC6F00A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70F383B3" w14:textId="77777777" w:rsidR="00D83221" w:rsidRPr="00A04A84" w:rsidRDefault="00536E60" w:rsidP="00D8322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1. </w:t>
      </w:r>
      <w:r w:rsidR="00D83221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Pre-accredited Quality Framework workshops available across Victoria</w:t>
      </w:r>
    </w:p>
    <w:p w14:paraId="49106296" w14:textId="77777777" w:rsidR="008C02AC" w:rsidRDefault="002F051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Pre-accredited Q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uality Framework workshops will be delivered in every ACFE region </w:t>
      </w:r>
      <w:r w:rsidR="008C02A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2015.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PQF w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orkshops are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ideal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way to supplement the i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nduction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of staff </w:t>
      </w:r>
      <w:proofErr w:type="gramStart"/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who</w:t>
      </w:r>
      <w:proofErr w:type="gramEnd"/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new to the pre-accredited environment</w:t>
      </w:r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the workshops also offer opportunities for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managers and teachers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further their understanding of the PQF. 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14:paraId="14A2F860" w14:textId="77777777" w:rsidR="008C02AC" w:rsidRDefault="008C02A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B1F3339" w14:textId="77777777" w:rsidR="002F0511" w:rsidRDefault="00BA4DA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workshops will address all aspects of the </w:t>
      </w:r>
      <w:hyperlink r:id="rId13" w:history="1">
        <w:r w:rsidRPr="00BA4DA4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Pre-accredited Quality Framework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incl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uding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pre-accredited curriculum, </w:t>
      </w:r>
      <w:r w:rsidR="008C02A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overview of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employability skills, and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moderation. Workshop dates</w:t>
      </w:r>
      <w:r w:rsidR="006935C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locations and registration details </w:t>
      </w:r>
      <w:r w:rsidR="00722C6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for </w:t>
      </w:r>
      <w:r w:rsidR="007F699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first semester</w:t>
      </w:r>
      <w:r w:rsidR="00722C6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workshops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are below.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14:paraId="06FCDBF7" w14:textId="77777777"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tbl>
      <w:tblPr>
        <w:tblW w:w="10100" w:type="dxa"/>
        <w:tblInd w:w="-176" w:type="dxa"/>
        <w:tblLook w:val="04A0" w:firstRow="1" w:lastRow="0" w:firstColumn="1" w:lastColumn="0" w:noHBand="0" w:noVBand="1"/>
      </w:tblPr>
      <w:tblGrid>
        <w:gridCol w:w="1948"/>
        <w:gridCol w:w="1373"/>
        <w:gridCol w:w="6779"/>
      </w:tblGrid>
      <w:tr w:rsidR="007D7D88" w:rsidRPr="007D7D88" w14:paraId="0C66F33F" w14:textId="77777777" w:rsidTr="007D7D88">
        <w:trPr>
          <w:trHeight w:val="732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2D8F466F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7D7D8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Date         2015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6C8DD089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7D7D8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17860B29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7D7D8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Venue</w:t>
            </w:r>
          </w:p>
        </w:tc>
      </w:tr>
      <w:tr w:rsidR="007D7D88" w:rsidRPr="007D7D88" w14:paraId="460A5186" w14:textId="77777777" w:rsidTr="007D7D88">
        <w:trPr>
          <w:trHeight w:val="32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48E7913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8C7A8CA" w14:textId="77777777" w:rsidR="007D7D88" w:rsidRPr="007D7D88" w:rsidRDefault="007D7D88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EA333E3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D7D88" w:rsidRPr="007D7D88" w14:paraId="48754BF6" w14:textId="77777777" w:rsidTr="007D7D88">
        <w:trPr>
          <w:trHeight w:val="32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5527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Friday March 13th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79FB" w14:textId="77777777" w:rsidR="007D7D88" w:rsidRPr="007D7D88" w:rsidRDefault="007D7D88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Wangaratta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7099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The Centre,  Chisholm Street, Wangaratta</w:t>
            </w:r>
          </w:p>
        </w:tc>
      </w:tr>
      <w:tr w:rsidR="007D7D88" w:rsidRPr="007D7D88" w14:paraId="4A5F4FDA" w14:textId="77777777" w:rsidTr="007D7D88">
        <w:trPr>
          <w:trHeight w:val="63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6F006EA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Friday March 20</w:t>
            </w:r>
            <w:r w:rsidRPr="007D7D88">
              <w:rPr>
                <w:rFonts w:ascii="Calibri" w:hAnsi="Calibri"/>
                <w:color w:val="000000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1462416" w14:textId="77777777" w:rsidR="007D7D88" w:rsidRPr="007D7D88" w:rsidRDefault="007D7D88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Pakenham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AE33B1C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proofErr w:type="spellStart"/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Toomah</w:t>
            </w:r>
            <w:proofErr w:type="spellEnd"/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 xml:space="preserve"> Community Centre, 18 Golden Green St, Pakenham (new Centre off Cardinia Rd – next to Cardinia rail station)</w:t>
            </w:r>
          </w:p>
        </w:tc>
      </w:tr>
      <w:tr w:rsidR="007D7D88" w:rsidRPr="007D7D88" w14:paraId="02C15C9C" w14:textId="77777777" w:rsidTr="007D7D88">
        <w:trPr>
          <w:trHeight w:val="3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3E41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Friday April 17</w:t>
            </w:r>
            <w:r w:rsidRPr="007D7D88">
              <w:rPr>
                <w:rFonts w:ascii="Calibri" w:hAnsi="Calibri"/>
                <w:color w:val="000000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1834" w14:textId="77777777" w:rsidR="007D7D88" w:rsidRPr="007D7D88" w:rsidRDefault="007D7D88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Bendigo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85DD" w14:textId="49153F34" w:rsidR="007D7D88" w:rsidRPr="007D7D88" w:rsidRDefault="008B57C4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Cs w:val="24"/>
                <w:lang w:eastAsia="en-GB"/>
              </w:rPr>
              <w:t>North Western Region Office, Department of Education &amp; Training, 7-15 McLaren Street, Bendigo</w:t>
            </w:r>
          </w:p>
        </w:tc>
      </w:tr>
      <w:tr w:rsidR="007D7D88" w:rsidRPr="007D7D88" w14:paraId="1AA66644" w14:textId="77777777" w:rsidTr="007D7D88">
        <w:trPr>
          <w:trHeight w:val="63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F0A80BF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Friday May 8</w:t>
            </w:r>
            <w:r w:rsidRPr="007D7D88">
              <w:rPr>
                <w:rFonts w:ascii="Calibri" w:hAnsi="Calibri"/>
                <w:color w:val="000000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0FA0271" w14:textId="77777777" w:rsidR="007D7D88" w:rsidRPr="007D7D88" w:rsidRDefault="007D7D88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Geelong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23C9ED6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Vines Rd Community Centre, 37-61 Vines Road (Hamlyn Heights ) Geelong</w:t>
            </w:r>
          </w:p>
        </w:tc>
      </w:tr>
      <w:tr w:rsidR="007D7D88" w:rsidRPr="007D7D88" w14:paraId="6ACA1E21" w14:textId="77777777" w:rsidTr="007D7D88">
        <w:trPr>
          <w:trHeight w:val="63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EF2E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Friday May 22nd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A58F" w14:textId="77777777" w:rsidR="007D7D88" w:rsidRPr="007D7D88" w:rsidRDefault="007D7D88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Glen Waverley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1D85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proofErr w:type="spellStart"/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Bestchance</w:t>
            </w:r>
            <w:proofErr w:type="spellEnd"/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 xml:space="preserve"> Training, 583 Ferntree Gully Road, Glen Waverley</w:t>
            </w:r>
          </w:p>
        </w:tc>
      </w:tr>
      <w:tr w:rsidR="007D7D88" w:rsidRPr="007D7D88" w14:paraId="51ECDB1F" w14:textId="77777777" w:rsidTr="007D7D88">
        <w:trPr>
          <w:trHeight w:val="63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6F2B546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Friday June 12th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821295B" w14:textId="77777777" w:rsidR="007D7D88" w:rsidRPr="007D7D88" w:rsidRDefault="007D7D88" w:rsidP="007D7D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Carrum Downs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B3C4340" w14:textId="77777777" w:rsidR="007D7D88" w:rsidRPr="007D7D88" w:rsidRDefault="007D7D88" w:rsidP="007D7D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 w:rsidRPr="007D7D88">
              <w:rPr>
                <w:rFonts w:ascii="Calibri" w:hAnsi="Calibri"/>
                <w:color w:val="000000"/>
                <w:szCs w:val="24"/>
                <w:lang w:eastAsia="en-GB"/>
              </w:rPr>
              <w:t>Lyrebird Community Centre, 203 Lyrebird Drive, Carrum Downs</w:t>
            </w:r>
          </w:p>
        </w:tc>
      </w:tr>
    </w:tbl>
    <w:p w14:paraId="069F0B42" w14:textId="77777777"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E7F9209" w14:textId="77777777"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F121972" w14:textId="77777777"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466EA68" w14:textId="77777777" w:rsidR="00536E60" w:rsidRPr="00536E60" w:rsidRDefault="00536E60" w:rsidP="00536E6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2. </w:t>
      </w:r>
      <w:r w:rsidRPr="00536E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Employability Skills for Pre-accredited Courses Workshop</w:t>
      </w:r>
    </w:p>
    <w:p w14:paraId="4B3B4FE7" w14:textId="14B1850A" w:rsidR="00536E60" w:rsidRPr="00536E60" w:rsidRDefault="007F699C" w:rsidP="00536E6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Participants in t</w:t>
      </w:r>
      <w:r w:rsid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</w:t>
      </w:r>
      <w:r w:rsidR="008C02A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is workshop </w:t>
      </w:r>
      <w:r w:rsid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will </w:t>
      </w:r>
      <w:r w:rsidR="00976C7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explore</w:t>
      </w:r>
      <w:r w:rsid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0E181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employability skills in depth and build on a basic understanding of the PQF Quality Framework.</w:t>
      </w:r>
      <w:r w:rsidR="00976C7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bookmarkStart w:id="0" w:name="_GoBack"/>
      <w:bookmarkEnd w:id="0"/>
    </w:p>
    <w:p w14:paraId="3D752CA1" w14:textId="77777777" w:rsidR="00536E60" w:rsidRPr="00536E60" w:rsidRDefault="00536E60" w:rsidP="00536E6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what</w:t>
      </w:r>
      <w:proofErr w:type="gramEnd"/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skills?</w:t>
      </w:r>
    </w:p>
    <w:p w14:paraId="533E02EA" w14:textId="77777777" w:rsidR="00536E60" w:rsidRPr="00536E60" w:rsidRDefault="001A206F" w:rsidP="00536E6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how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 </w:t>
      </w:r>
      <w:r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embed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ded </w:t>
      </w:r>
      <w:r w:rsidR="00536E60"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pre accredited courses</w:t>
      </w:r>
      <w:r w:rsidR="007F699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? </w:t>
      </w:r>
    </w:p>
    <w:p w14:paraId="0D02B077" w14:textId="77777777" w:rsidR="00536E60" w:rsidRPr="00536E60" w:rsidRDefault="001A206F" w:rsidP="00536E6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how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 </w:t>
      </w:r>
      <w:r w:rsidR="00536E60"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</w:t>
      </w:r>
      <w:r w:rsidR="00536E60"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 meaningful for learners? </w:t>
      </w:r>
    </w:p>
    <w:p w14:paraId="3B387675" w14:textId="77777777" w:rsidR="007F699C" w:rsidRDefault="007F699C" w:rsidP="00536E6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0254D4F" w14:textId="77777777" w:rsidR="00536E60" w:rsidRPr="001A206F" w:rsidRDefault="001A206F" w:rsidP="00536E6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This is a </w:t>
      </w:r>
      <w:r w:rsidR="00536E60" w:rsidRPr="00536E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practical, interactive workshop with plenty of useful tips and resources to take</w:t>
      </w:r>
      <w:r w:rsidR="00536E60" w:rsidRPr="001A206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away and use.  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2127"/>
        <w:gridCol w:w="4961"/>
      </w:tblGrid>
      <w:tr w:rsidR="008C02AC" w:rsidRPr="008C02AC" w14:paraId="2F7AB08C" w14:textId="77777777" w:rsidTr="007F699C">
        <w:trPr>
          <w:trHeight w:val="31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32138B45" w14:textId="77777777" w:rsidR="008C02AC" w:rsidRPr="008C02AC" w:rsidRDefault="008C02AC" w:rsidP="008C02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8C02AC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Date         2015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32D2990E" w14:textId="77777777" w:rsidR="008C02AC" w:rsidRPr="008C02AC" w:rsidRDefault="008C02AC" w:rsidP="008C02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8C02AC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54467EC8" w14:textId="77777777" w:rsidR="008C02AC" w:rsidRPr="008C02AC" w:rsidRDefault="008C02AC" w:rsidP="008C02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8C02AC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GB"/>
              </w:rPr>
              <w:t>Venue</w:t>
            </w:r>
          </w:p>
        </w:tc>
      </w:tr>
      <w:tr w:rsidR="008C02AC" w:rsidRPr="008C02AC" w14:paraId="3DD3F4D4" w14:textId="77777777" w:rsidTr="007F699C">
        <w:trPr>
          <w:trHeight w:val="324"/>
        </w:trPr>
        <w:tc>
          <w:tcPr>
            <w:tcW w:w="2552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0D3C84C" w14:textId="77777777" w:rsidR="008C02AC" w:rsidRPr="008C02AC" w:rsidRDefault="008C02AC" w:rsidP="008C02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GB" w:eastAsia="en-GB"/>
              </w:rPr>
            </w:pPr>
            <w:r w:rsidRPr="008C02AC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7B7D27E" w14:textId="77777777" w:rsidR="008C02AC" w:rsidRPr="008C02AC" w:rsidRDefault="008C02AC" w:rsidP="008C02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GB" w:eastAsia="en-GB"/>
              </w:rPr>
            </w:pPr>
            <w:r w:rsidRPr="008C02AC">
              <w:rPr>
                <w:rFonts w:ascii="Calibri" w:hAnsi="Calibri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4961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5212FF2B" w14:textId="77777777" w:rsidR="008C02AC" w:rsidRPr="008C02AC" w:rsidRDefault="008C02AC" w:rsidP="008C02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GB" w:eastAsia="en-GB"/>
              </w:rPr>
            </w:pPr>
            <w:r w:rsidRPr="008C02AC">
              <w:rPr>
                <w:rFonts w:ascii="Calibri" w:hAnsi="Calibri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8C02AC" w:rsidRPr="008C02AC" w14:paraId="2C72F966" w14:textId="77777777" w:rsidTr="007F699C">
        <w:trPr>
          <w:trHeight w:val="288"/>
        </w:trPr>
        <w:tc>
          <w:tcPr>
            <w:tcW w:w="2552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4B8D" w14:textId="4D84ABED" w:rsidR="008C02AC" w:rsidRPr="008C02AC" w:rsidRDefault="000E181D" w:rsidP="008C02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color w:val="000000"/>
                <w:szCs w:val="24"/>
                <w:lang w:eastAsia="en-GB"/>
              </w:rPr>
              <w:t xml:space="preserve">Thursday March </w:t>
            </w:r>
            <w:r w:rsidR="008C02AC" w:rsidRPr="008C02AC">
              <w:rPr>
                <w:rFonts w:ascii="Calibri" w:hAnsi="Calibri"/>
                <w:color w:val="000000"/>
                <w:szCs w:val="24"/>
                <w:lang w:eastAsia="en-GB"/>
              </w:rPr>
              <w:t>2</w:t>
            </w:r>
            <w:r>
              <w:rPr>
                <w:rFonts w:ascii="Calibri" w:hAnsi="Calibri"/>
                <w:color w:val="000000"/>
                <w:szCs w:val="24"/>
                <w:lang w:eastAsia="en-GB"/>
              </w:rPr>
              <w:t>0</w:t>
            </w:r>
            <w:r w:rsidR="008C02AC" w:rsidRPr="008C02AC">
              <w:rPr>
                <w:rFonts w:ascii="Calibri" w:hAnsi="Calibri"/>
                <w:color w:val="000000"/>
                <w:szCs w:val="24"/>
                <w:lang w:eastAsia="en-GB"/>
              </w:rPr>
              <w:t>th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0E3B" w14:textId="77777777" w:rsidR="008C02AC" w:rsidRPr="008C02AC" w:rsidRDefault="008C02AC" w:rsidP="008C02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eastAsia="en-GB"/>
              </w:rPr>
            </w:pPr>
            <w:r w:rsidRPr="008C02AC">
              <w:rPr>
                <w:rFonts w:ascii="Calibri" w:hAnsi="Calibri"/>
                <w:color w:val="000000"/>
                <w:szCs w:val="24"/>
                <w:lang w:eastAsia="en-GB"/>
              </w:rPr>
              <w:t>CBD Melbourne</w:t>
            </w:r>
          </w:p>
        </w:tc>
        <w:tc>
          <w:tcPr>
            <w:tcW w:w="4961" w:type="dxa"/>
            <w:tcBorders>
              <w:top w:val="single" w:sz="4" w:space="0" w:color="95B3D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B524" w14:textId="77777777" w:rsidR="008C02AC" w:rsidRPr="008C02AC" w:rsidRDefault="008C02AC" w:rsidP="008C02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4"/>
                <w:lang w:eastAsia="en-GB"/>
              </w:rPr>
            </w:pPr>
            <w:r w:rsidRPr="008C02AC">
              <w:rPr>
                <w:rFonts w:ascii="Calibri" w:hAnsi="Calibri"/>
                <w:color w:val="000000"/>
                <w:szCs w:val="24"/>
                <w:lang w:eastAsia="en-GB"/>
              </w:rPr>
              <w:t>CAE 253 Flinders Lane Melbourne</w:t>
            </w:r>
          </w:p>
        </w:tc>
      </w:tr>
    </w:tbl>
    <w:p w14:paraId="51D6974B" w14:textId="77777777" w:rsidR="0085458B" w:rsidRPr="00A9135E" w:rsidRDefault="0085458B" w:rsidP="00DB01D8">
      <w:pPr>
        <w:rPr>
          <w:szCs w:val="24"/>
        </w:rPr>
      </w:pPr>
    </w:p>
    <w:sectPr w:rsidR="0085458B" w:rsidRPr="00A9135E" w:rsidSect="008C02AC">
      <w:footerReference w:type="first" r:id="rId14"/>
      <w:pgSz w:w="11907" w:h="16840" w:code="9"/>
      <w:pgMar w:top="899" w:right="992" w:bottom="1258" w:left="126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EC87" w14:textId="77777777" w:rsidR="00976C76" w:rsidRDefault="00976C76" w:rsidP="00846881">
      <w:r>
        <w:separator/>
      </w:r>
    </w:p>
  </w:endnote>
  <w:endnote w:type="continuationSeparator" w:id="0">
    <w:p w14:paraId="196C28D8" w14:textId="77777777" w:rsidR="00976C76" w:rsidRDefault="00976C7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DD73" w14:textId="77777777" w:rsidR="00976C76" w:rsidRPr="009D5D01" w:rsidRDefault="00976C76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E181D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5C6071B9" w14:textId="77777777" w:rsidR="00976C76" w:rsidRDefault="00976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D918C" w14:textId="77777777" w:rsidR="00976C76" w:rsidRDefault="00976C76" w:rsidP="00846881">
      <w:r>
        <w:separator/>
      </w:r>
    </w:p>
  </w:footnote>
  <w:footnote w:type="continuationSeparator" w:id="0">
    <w:p w14:paraId="79BCB8B3" w14:textId="77777777" w:rsidR="00976C76" w:rsidRDefault="00976C7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C1D8A"/>
    <w:multiLevelType w:val="hybridMultilevel"/>
    <w:tmpl w:val="BB96E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63616"/>
    <w:rsid w:val="000701E5"/>
    <w:rsid w:val="0008021C"/>
    <w:rsid w:val="000901F6"/>
    <w:rsid w:val="000A28AF"/>
    <w:rsid w:val="000C3753"/>
    <w:rsid w:val="000C782C"/>
    <w:rsid w:val="000E181D"/>
    <w:rsid w:val="00105130"/>
    <w:rsid w:val="001079BD"/>
    <w:rsid w:val="001214D4"/>
    <w:rsid w:val="00125617"/>
    <w:rsid w:val="001411A4"/>
    <w:rsid w:val="00161B14"/>
    <w:rsid w:val="00181F47"/>
    <w:rsid w:val="001A206F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2D0BFF"/>
    <w:rsid w:val="002D5296"/>
    <w:rsid w:val="002F0511"/>
    <w:rsid w:val="00322BD0"/>
    <w:rsid w:val="00340366"/>
    <w:rsid w:val="00352C50"/>
    <w:rsid w:val="00384947"/>
    <w:rsid w:val="00394AC7"/>
    <w:rsid w:val="003A68DB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2F85"/>
    <w:rsid w:val="00505EC2"/>
    <w:rsid w:val="00506F42"/>
    <w:rsid w:val="00536E60"/>
    <w:rsid w:val="00540C9F"/>
    <w:rsid w:val="005543E8"/>
    <w:rsid w:val="00583630"/>
    <w:rsid w:val="00590B75"/>
    <w:rsid w:val="00597427"/>
    <w:rsid w:val="005B4815"/>
    <w:rsid w:val="005E1085"/>
    <w:rsid w:val="005F153D"/>
    <w:rsid w:val="006254CC"/>
    <w:rsid w:val="00626260"/>
    <w:rsid w:val="006344F3"/>
    <w:rsid w:val="006409D9"/>
    <w:rsid w:val="00651785"/>
    <w:rsid w:val="006855AE"/>
    <w:rsid w:val="00687039"/>
    <w:rsid w:val="006935A8"/>
    <w:rsid w:val="006935C4"/>
    <w:rsid w:val="00696854"/>
    <w:rsid w:val="006A1696"/>
    <w:rsid w:val="006A5387"/>
    <w:rsid w:val="006B1B89"/>
    <w:rsid w:val="006D4561"/>
    <w:rsid w:val="00717852"/>
    <w:rsid w:val="00722C6E"/>
    <w:rsid w:val="007548D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7D88"/>
    <w:rsid w:val="007E59F5"/>
    <w:rsid w:val="007F699C"/>
    <w:rsid w:val="007F7495"/>
    <w:rsid w:val="00802E41"/>
    <w:rsid w:val="00813145"/>
    <w:rsid w:val="00846881"/>
    <w:rsid w:val="0085458B"/>
    <w:rsid w:val="00867D3A"/>
    <w:rsid w:val="00880ACA"/>
    <w:rsid w:val="0089186A"/>
    <w:rsid w:val="008B57C4"/>
    <w:rsid w:val="008C02AC"/>
    <w:rsid w:val="008E2680"/>
    <w:rsid w:val="008E2DD6"/>
    <w:rsid w:val="008E53DE"/>
    <w:rsid w:val="008F3646"/>
    <w:rsid w:val="00903B41"/>
    <w:rsid w:val="00933C17"/>
    <w:rsid w:val="00965E53"/>
    <w:rsid w:val="009706F1"/>
    <w:rsid w:val="00976C76"/>
    <w:rsid w:val="009843BA"/>
    <w:rsid w:val="0099526E"/>
    <w:rsid w:val="009C7B4C"/>
    <w:rsid w:val="009D5D01"/>
    <w:rsid w:val="009E3636"/>
    <w:rsid w:val="009F0CA5"/>
    <w:rsid w:val="00A011F2"/>
    <w:rsid w:val="00A04A84"/>
    <w:rsid w:val="00A05E12"/>
    <w:rsid w:val="00A14B2D"/>
    <w:rsid w:val="00A2083F"/>
    <w:rsid w:val="00A24A30"/>
    <w:rsid w:val="00A66DA8"/>
    <w:rsid w:val="00A83FB3"/>
    <w:rsid w:val="00A9135E"/>
    <w:rsid w:val="00AB0D48"/>
    <w:rsid w:val="00AD0AF3"/>
    <w:rsid w:val="00AF0514"/>
    <w:rsid w:val="00B11D3D"/>
    <w:rsid w:val="00B21FF1"/>
    <w:rsid w:val="00B33E4F"/>
    <w:rsid w:val="00B41E45"/>
    <w:rsid w:val="00B435C6"/>
    <w:rsid w:val="00B5136F"/>
    <w:rsid w:val="00B632F5"/>
    <w:rsid w:val="00BA4DA4"/>
    <w:rsid w:val="00C151BB"/>
    <w:rsid w:val="00C373FC"/>
    <w:rsid w:val="00C75A39"/>
    <w:rsid w:val="00C83B90"/>
    <w:rsid w:val="00C87B8B"/>
    <w:rsid w:val="00CA0D2E"/>
    <w:rsid w:val="00CB16A1"/>
    <w:rsid w:val="00CC7273"/>
    <w:rsid w:val="00CD0632"/>
    <w:rsid w:val="00CE682F"/>
    <w:rsid w:val="00CE69B8"/>
    <w:rsid w:val="00CF40A6"/>
    <w:rsid w:val="00CF6891"/>
    <w:rsid w:val="00D22C4A"/>
    <w:rsid w:val="00D33418"/>
    <w:rsid w:val="00D53A53"/>
    <w:rsid w:val="00D72B00"/>
    <w:rsid w:val="00D83221"/>
    <w:rsid w:val="00DB01D8"/>
    <w:rsid w:val="00DD6095"/>
    <w:rsid w:val="00DD6855"/>
    <w:rsid w:val="00E320A4"/>
    <w:rsid w:val="00E6663B"/>
    <w:rsid w:val="00E91E6B"/>
    <w:rsid w:val="00EE4BD9"/>
    <w:rsid w:val="00EE5E95"/>
    <w:rsid w:val="00F034E1"/>
    <w:rsid w:val="00F11CAC"/>
    <w:rsid w:val="00F13367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250F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training/providers/learnlocal/Pages/pqf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.mybookingmanager.com/E5142241322986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Learn Local Staff Development Pre-Accredited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A6586-4D19-4969-A32C-1129B8832E32}"/>
</file>

<file path=customXml/itemProps2.xml><?xml version="1.0" encoding="utf-8"?>
<ds:datastoreItem xmlns:ds="http://schemas.openxmlformats.org/officeDocument/2006/customXml" ds:itemID="{21D34596-53C1-4B4F-8980-143B2CAF6BB6}"/>
</file>

<file path=customXml/itemProps3.xml><?xml version="1.0" encoding="utf-8"?>
<ds:datastoreItem xmlns:ds="http://schemas.openxmlformats.org/officeDocument/2006/customXml" ds:itemID="{36824E25-4FE0-4DBE-B890-F1CB4039085A}"/>
</file>

<file path=customXml/itemProps4.xml><?xml version="1.0" encoding="utf-8"?>
<ds:datastoreItem xmlns:ds="http://schemas.openxmlformats.org/officeDocument/2006/customXml" ds:itemID="{6C817153-96B7-4077-AA53-1974EF62B83A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7</TotalTime>
  <Pages>2</Pages>
  <Words>329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staff development opportunities - pre-accredited programs</vt:lpstr>
    </vt:vector>
  </TitlesOfParts>
  <Company>Dept. Of Education and Training (DE&amp;T)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staff development opportunities - pre-accredited programs</dc:title>
  <dc:subject/>
  <dc:creator>08306670</dc:creator>
  <cp:keywords/>
  <dc:description/>
  <cp:lastModifiedBy>Morrow, Jackie A</cp:lastModifiedBy>
  <cp:revision>7</cp:revision>
  <cp:lastPrinted>2015-02-05T03:15:00Z</cp:lastPrinted>
  <dcterms:created xsi:type="dcterms:W3CDTF">2015-02-05T03:14:00Z</dcterms:created>
  <dcterms:modified xsi:type="dcterms:W3CDTF">2015-02-10T00:13:00Z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1990100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