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FA5C1B" w:rsidRPr="00AB0E3A" w14:paraId="7DA1F747" w14:textId="77777777" w:rsidTr="00AB0E3A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B8D7" w14:textId="1C2404E2" w:rsidR="00FA5C1B" w:rsidRPr="00AB0E3A" w:rsidRDefault="001C0CA1" w:rsidP="00AB0E3A">
            <w:pPr>
              <w:ind w:left="432" w:right="397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pict w14:anchorId="283BE099">
                <v:group id="Group 15" o:spid="_x0000_s2050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2051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WQMIA&#10;AADaAAAADwAAAGRycy9kb3ducmV2LnhtbESPwWrDMBBE74H+g9hCbrGcmIbiWgkhUOitxC2B3hZr&#10;a5lYK9VSbOfvq0Ihx2Fm3jDVfra9GGkInWMF6ywHQdw43XGr4PPjdfUMIkRkjb1jUnCjAPvdw6LC&#10;UruJTzTWsRUJwqFEBSZGX0oZGkMWQ+Y8cfK+3WAxJjm0Ug84Jbjt5SbPt9Jix2nBoKejoeZSX62C&#10;r+L8o/17fWx6sy584eXpKZdKLR/nwwuISHO8h//bb1pBAX9X0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dZAwgAAANoAAAAPAAAAAAAAAAAAAAAAAJgCAABkcnMvZG93&#10;bnJldi54bWxQSwUGAAAAAAQABAD1AAAAhwMAAAAA&#10;" fillcolor="black">
                    <v:textbox style="mso-fit-shape-to-text:t">
                      <w:txbxContent>
                        <w:p w14:paraId="2C4A94ED" w14:textId="77777777" w:rsidR="00AB0E3A" w:rsidRPr="00633C39" w:rsidRDefault="00AB0E3A" w:rsidP="00FA5C1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4024B6" w14:textId="77777777" w:rsidR="00AB0E3A" w:rsidRPr="006F3F2F" w:rsidRDefault="00AB0E3A" w:rsidP="00FA5C1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BCD2112" w14:textId="77777777" w:rsidR="00AB0E3A" w:rsidRPr="006F3F2F" w:rsidRDefault="00AB0E3A" w:rsidP="00FA5C1B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2052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u9sIA&#10;AADaAAAADwAAAGRycy9kb3ducmV2LnhtbESPzWrDMBCE74W8g9hALyaRnZakOFFMMAT3VuqUnhdr&#10;a5tYK2PJP337qlDocZiZb5hTtphOTDS41rKCZBuDIK6sbrlW8HG7bl5AOI+ssbNMCr7JQXZePZww&#10;1Xbmd5pKX4sAYZeigsb7PpXSVQ0ZdFvbEwfvyw4GfZBDLfWAc4CbTu7ieC8NthwWGuwpb6i6l6MJ&#10;lPlQREnx9Nndo9Hn+Bbl0o1KPa6XyxGEp8X/h//ar1rBM/xeCTd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G72wgAAANoAAAAPAAAAAAAAAAAAAAAAAJgCAABkcnMvZG93&#10;bnJldi54bWxQSwUGAAAAAAQABAD1AAAAhwMAAAAA&#10;" fillcolor="#bfbfbf">
                    <v:textbox>
                      <w:txbxContent>
                        <w:p w14:paraId="78C8FCF0" w14:textId="77777777" w:rsidR="00AB0E3A" w:rsidRPr="00633C39" w:rsidRDefault="00AB0E3A" w:rsidP="00FA5C1B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2053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U28QA&#10;AADaAAAADwAAAGRycy9kb3ducmV2LnhtbESPzW7CMBCE75V4B2uRuKDigKrQBpyI/vBzpMADrOIl&#10;CYnXUexC+vY1ElKPo5n5RrPMetOIK3WusqxgOolAEOdWV1woOB3Xz68gnEfW2FgmBb/kIEsHT0tM&#10;tL3xN10PvhABwi5BBaX3bSKly0sy6Ca2JQ7e2XYGfZBdIXWHtwA3jZxFUSwNVhwWSmzpo6S8PvwY&#10;BXURvxybk3u/7Odb2kzf6vH680up0bBfLUB46v1/+NHeaQUx3K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1NvEAAAA2gAAAA8AAAAAAAAAAAAAAAAAmAIAAGRycy9k&#10;b3ducmV2LnhtbFBLBQYAAAAABAAEAPUAAACJAwAAAAA=&#10;" fillcolor="#1f497d">
                    <v:textbox>
                      <w:txbxContent>
                        <w:p w14:paraId="7A1C1FA9" w14:textId="77777777" w:rsidR="00AB0E3A" w:rsidRPr="00633C39" w:rsidRDefault="00AB0E3A" w:rsidP="00FA5C1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23F77E8C" w14:textId="77777777" w:rsidR="00AB0E3A" w:rsidRDefault="00AB0E3A" w:rsidP="00FA5C1B"/>
                      </w:txbxContent>
                    </v:textbox>
                  </v:shape>
                </v:group>
              </w:pict>
            </w:r>
          </w:p>
        </w:tc>
      </w:tr>
    </w:tbl>
    <w:p w14:paraId="499863A4" w14:textId="77777777" w:rsidR="00FA5C1B" w:rsidRPr="00AB0E3A" w:rsidRDefault="00FA5C1B" w:rsidP="00FA5C1B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7633665D" w14:textId="77777777" w:rsidR="00FA5C1B" w:rsidRPr="00AB0E3A" w:rsidRDefault="00FA5C1B" w:rsidP="00FA5C1B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2CEAEB2F" w14:textId="77777777" w:rsidR="00FA5C1B" w:rsidRPr="00AB0E3A" w:rsidRDefault="00FA5C1B" w:rsidP="00FA5C1B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B4D250B" w14:textId="77777777" w:rsidR="00FA5C1B" w:rsidRPr="00AB0E3A" w:rsidRDefault="00FA5C1B" w:rsidP="00FA5C1B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6992EEF6" w14:textId="77777777" w:rsidR="00FA5C1B" w:rsidRPr="00AB0E3A" w:rsidRDefault="00FA5C1B" w:rsidP="00FA5C1B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4E636A6" w14:textId="0C529853" w:rsidR="00FA5C1B" w:rsidRPr="00AB0E3A" w:rsidRDefault="00FA5C1B" w:rsidP="00FA5C1B">
      <w:pPr>
        <w:tabs>
          <w:tab w:val="left" w:pos="1080"/>
        </w:tabs>
        <w:spacing w:before="60"/>
        <w:ind w:left="-284" w:right="-453"/>
        <w:jc w:val="right"/>
        <w:rPr>
          <w:rFonts w:ascii="Arial" w:hAnsi="Arial" w:cs="Arial"/>
          <w:i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 xml:space="preserve">NUMBER: </w:t>
      </w:r>
      <w:r w:rsidRPr="00AB0E3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2015 / February / </w:t>
      </w:r>
      <w:r w:rsidR="00635B3F" w:rsidRPr="00AB0E3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20</w:t>
      </w:r>
    </w:p>
    <w:p w14:paraId="4ECB4BA1" w14:textId="77777777" w:rsidR="00FA5C1B" w:rsidRPr="00AB0E3A" w:rsidRDefault="00FA5C1B" w:rsidP="00FA5C1B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FA5C1B" w:rsidRPr="00AB0E3A" w14:paraId="11FC5A12" w14:textId="77777777" w:rsidTr="00AB0E3A">
        <w:tc>
          <w:tcPr>
            <w:tcW w:w="3119" w:type="dxa"/>
            <w:shd w:val="clear" w:color="auto" w:fill="auto"/>
          </w:tcPr>
          <w:p w14:paraId="68214AB5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603BFF2F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14:paraId="78B98A75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Board</w:t>
            </w:r>
          </w:p>
          <w:p w14:paraId="0101A949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7C815E2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Regional Councils</w:t>
            </w:r>
          </w:p>
        </w:tc>
      </w:tr>
      <w:tr w:rsidR="00FA5C1B" w:rsidRPr="00AB0E3A" w14:paraId="09C83CA0" w14:textId="77777777" w:rsidTr="00AB0E3A">
        <w:tc>
          <w:tcPr>
            <w:tcW w:w="3119" w:type="dxa"/>
            <w:shd w:val="clear" w:color="auto" w:fill="auto"/>
          </w:tcPr>
          <w:p w14:paraId="191810C0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i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14:paraId="4B474FAB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</w:p>
        </w:tc>
      </w:tr>
      <w:tr w:rsidR="00FA5C1B" w:rsidRPr="00AB0E3A" w14:paraId="3245C6C9" w14:textId="77777777" w:rsidTr="00AB0E3A">
        <w:tc>
          <w:tcPr>
            <w:tcW w:w="3119" w:type="dxa"/>
            <w:shd w:val="clear" w:color="auto" w:fill="auto"/>
          </w:tcPr>
          <w:p w14:paraId="61CA7002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  <w:r w:rsidRPr="00AB0E3A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2E37EB2C" w14:textId="77777777" w:rsidR="00FA5C1B" w:rsidRPr="00AB0E3A" w:rsidRDefault="00FA5C1B" w:rsidP="00AB0E3A">
            <w:pPr>
              <w:tabs>
                <w:tab w:val="left" w:pos="1080"/>
              </w:tabs>
              <w:spacing w:before="60"/>
              <w:rPr>
                <w:rFonts w:ascii="Arial" w:hAnsi="Arial" w:cs="Arial"/>
                <w:color w:val="000000"/>
                <w:szCs w:val="22"/>
                <w:lang w:val="en-GB" w:eastAsia="en-US"/>
              </w:rPr>
            </w:pPr>
          </w:p>
        </w:tc>
      </w:tr>
    </w:tbl>
    <w:p w14:paraId="39E7D1A8" w14:textId="77777777" w:rsidR="00FA5C1B" w:rsidRPr="00AB0E3A" w:rsidRDefault="00FA5C1B" w:rsidP="00FA5C1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0D62DC32" w14:textId="39F3C782" w:rsidR="00FA5C1B" w:rsidRPr="00AB0E3A" w:rsidRDefault="00FA5C1B" w:rsidP="00FA5C1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AB0E3A"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>Verna Kearney</w:t>
      </w:r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, </w:t>
      </w:r>
      <w:r w:rsidR="00AB0E3A"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Acting </w:t>
      </w:r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Director, </w:t>
      </w:r>
      <w:proofErr w:type="gramStart"/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>Participation</w:t>
      </w:r>
      <w:proofErr w:type="gramEnd"/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</w:p>
    <w:p w14:paraId="24A62C8D" w14:textId="740F9559" w:rsidR="00FA5C1B" w:rsidRPr="00AB0E3A" w:rsidRDefault="00FA5C1B" w:rsidP="00FA5C1B">
      <w:pPr>
        <w:tabs>
          <w:tab w:val="left" w:pos="1080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AB0E3A"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>24</w:t>
      </w:r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</w:t>
      </w:r>
      <w:r w:rsidR="00AB0E3A"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>April</w:t>
      </w:r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2015</w:t>
      </w:r>
    </w:p>
    <w:p w14:paraId="1607F484" w14:textId="7CE01195" w:rsidR="00FA5C1B" w:rsidRPr="00AB0E3A" w:rsidRDefault="00FA5C1B" w:rsidP="00FA5C1B">
      <w:pPr>
        <w:tabs>
          <w:tab w:val="left" w:pos="1080"/>
        </w:tabs>
        <w:spacing w:before="60"/>
        <w:ind w:left="-284" w:right="-126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AB0E3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AB0E3A">
        <w:rPr>
          <w:rFonts w:ascii="Arial" w:hAnsi="Arial" w:cs="Arial"/>
          <w:b/>
          <w:bCs/>
          <w:sz w:val="22"/>
          <w:szCs w:val="22"/>
        </w:rPr>
        <w:t xml:space="preserve">Call for nominations – 2015 Victorian </w:t>
      </w:r>
      <w:r w:rsidR="00AB0E3A" w:rsidRPr="00AB0E3A">
        <w:rPr>
          <w:rFonts w:ascii="Arial" w:hAnsi="Arial" w:cs="Arial"/>
          <w:b/>
          <w:bCs/>
          <w:sz w:val="22"/>
          <w:szCs w:val="22"/>
        </w:rPr>
        <w:t>Training Awards, new category</w:t>
      </w:r>
    </w:p>
    <w:p w14:paraId="4A3C36E2" w14:textId="77777777" w:rsidR="00FA5C1B" w:rsidRPr="00AB0E3A" w:rsidRDefault="00FA5C1B" w:rsidP="00FA5C1B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</w:p>
    <w:p w14:paraId="03124828" w14:textId="77777777" w:rsidR="00FA5C1B" w:rsidRPr="00AB0E3A" w:rsidRDefault="00FA5C1B" w:rsidP="00FA5C1B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F66E804" w14:textId="77777777" w:rsidR="00FA5C1B" w:rsidRPr="00AB0E3A" w:rsidRDefault="00FA5C1B" w:rsidP="00FA5C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  <w:t>ACTIONS / CRITICAL DATES:</w:t>
      </w:r>
    </w:p>
    <w:p w14:paraId="541F5FDE" w14:textId="77777777" w:rsidR="00AB0E3A" w:rsidRPr="00AB0E3A" w:rsidRDefault="00AB0E3A" w:rsidP="00FA5C1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/>
          <w:bCs/>
          <w:i/>
          <w:color w:val="00B050"/>
          <w:lang w:val="en-GB"/>
        </w:rPr>
      </w:pPr>
      <w:r w:rsidRPr="00AB0E3A">
        <w:rPr>
          <w:rFonts w:ascii="Arial" w:hAnsi="Arial" w:cs="Arial"/>
          <w:b/>
          <w:bCs/>
          <w:i/>
          <w:color w:val="00B050"/>
          <w:lang w:val="en-GB"/>
        </w:rPr>
        <w:t xml:space="preserve">New Award category only for Learn Local organisations - $10,000 prize money available </w:t>
      </w:r>
    </w:p>
    <w:p w14:paraId="59DFD837" w14:textId="28C69DC8" w:rsidR="00FA5C1B" w:rsidRPr="00AB0E3A" w:rsidRDefault="00FA5C1B" w:rsidP="00FA5C1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/>
          <w:bCs/>
          <w:i/>
          <w:color w:val="00B050"/>
          <w:lang w:val="en-GB"/>
        </w:rPr>
      </w:pPr>
      <w:r w:rsidRPr="00AB0E3A">
        <w:rPr>
          <w:rFonts w:ascii="Arial" w:hAnsi="Arial" w:cs="Arial"/>
          <w:b/>
          <w:bCs/>
          <w:i/>
          <w:color w:val="00B050"/>
          <w:lang w:val="en-GB"/>
        </w:rPr>
        <w:t xml:space="preserve">Applications close Friday </w:t>
      </w:r>
      <w:r w:rsidR="00647B6D">
        <w:rPr>
          <w:rFonts w:ascii="Arial" w:hAnsi="Arial" w:cs="Arial"/>
          <w:b/>
          <w:bCs/>
          <w:i/>
          <w:color w:val="00B050"/>
          <w:lang w:val="en-GB"/>
        </w:rPr>
        <w:t>1</w:t>
      </w:r>
      <w:r w:rsidR="00AB0E3A" w:rsidRPr="00AB0E3A">
        <w:rPr>
          <w:rFonts w:ascii="Arial" w:hAnsi="Arial" w:cs="Arial"/>
          <w:b/>
          <w:bCs/>
          <w:i/>
          <w:color w:val="00B050"/>
          <w:lang w:val="en-GB"/>
        </w:rPr>
        <w:t xml:space="preserve"> May</w:t>
      </w:r>
      <w:r w:rsidRPr="00AB0E3A">
        <w:rPr>
          <w:rFonts w:ascii="Arial" w:hAnsi="Arial" w:cs="Arial"/>
          <w:b/>
          <w:bCs/>
          <w:i/>
          <w:color w:val="00B050"/>
          <w:lang w:val="en-GB"/>
        </w:rPr>
        <w:t>, 2015.</w:t>
      </w:r>
    </w:p>
    <w:p w14:paraId="11581BDB" w14:textId="790F1ED9" w:rsidR="00FA5C1B" w:rsidRPr="00AB0E3A" w:rsidRDefault="00FA5C1B" w:rsidP="00AB0E3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right="-312"/>
        <w:rPr>
          <w:rFonts w:ascii="Arial" w:hAnsi="Arial" w:cs="Arial"/>
          <w:b/>
          <w:bCs/>
          <w:i/>
          <w:color w:val="00B050"/>
          <w:lang w:val="en-GB"/>
        </w:rPr>
      </w:pPr>
      <w:r w:rsidRPr="00AB0E3A">
        <w:rPr>
          <w:rFonts w:ascii="Arial" w:hAnsi="Arial" w:cs="Arial"/>
          <w:b/>
          <w:bCs/>
          <w:i/>
          <w:color w:val="00B050"/>
          <w:lang w:val="en-GB"/>
        </w:rPr>
        <w:t xml:space="preserve">Learn Local Award nomination forms are available at </w:t>
      </w:r>
      <w:hyperlink r:id="rId11" w:history="1">
        <w:r w:rsidR="00AB0E3A" w:rsidRPr="00AB0E3A">
          <w:rPr>
            <w:rStyle w:val="Hyperlink"/>
            <w:rFonts w:ascii="Arial" w:hAnsi="Arial" w:cs="Arial"/>
            <w:b/>
            <w:bCs/>
            <w:i/>
            <w:lang w:val="en-GB"/>
          </w:rPr>
          <w:t>http://e-award.com.au/2015/victraining/newentry/about.ph</w:t>
        </w:r>
      </w:hyperlink>
      <w:r w:rsidR="00AB0E3A" w:rsidRPr="00AB0E3A">
        <w:rPr>
          <w:rFonts w:ascii="Arial" w:hAnsi="Arial" w:cs="Arial"/>
          <w:b/>
          <w:bCs/>
          <w:i/>
          <w:color w:val="00B050"/>
          <w:lang w:val="en-GB"/>
        </w:rPr>
        <w:t xml:space="preserve"> </w:t>
      </w:r>
    </w:p>
    <w:p w14:paraId="1DEA5DD1" w14:textId="77777777" w:rsidR="00FA5C1B" w:rsidRPr="00AB0E3A" w:rsidRDefault="00FA5C1B" w:rsidP="00FA5C1B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667E956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7E75AC78" w14:textId="1044DFF3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ACFE</w:t>
      </w:r>
      <w:r w:rsidRPr="00AB0E3A">
        <w:rPr>
          <w:rFonts w:ascii="Arial" w:hAnsi="Arial" w:cs="Arial"/>
          <w:sz w:val="22"/>
          <w:szCs w:val="22"/>
        </w:rPr>
        <w:t xml:space="preserve"> Board is proud to be sponsoring a new Victorian Training Award</w:t>
      </w:r>
      <w:r>
        <w:rPr>
          <w:rFonts w:ascii="Arial" w:hAnsi="Arial" w:cs="Arial"/>
          <w:sz w:val="22"/>
          <w:szCs w:val="22"/>
        </w:rPr>
        <w:t xml:space="preserve"> category in 2015</w:t>
      </w:r>
      <w:r w:rsidRPr="00AB0E3A">
        <w:rPr>
          <w:rFonts w:ascii="Arial" w:hAnsi="Arial" w:cs="Arial"/>
          <w:sz w:val="22"/>
          <w:szCs w:val="22"/>
        </w:rPr>
        <w:t>, specifically for organisations that were registered with the ACFE Board to deliver to pre-accredited training during 2014.</w:t>
      </w:r>
    </w:p>
    <w:p w14:paraId="0AB8B9C2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2F680791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Nominations are now open for the inaugural </w:t>
      </w:r>
      <w:r w:rsidRPr="00AB0E3A">
        <w:rPr>
          <w:rFonts w:ascii="Arial" w:hAnsi="Arial" w:cs="Arial"/>
          <w:i/>
          <w:iCs/>
          <w:sz w:val="22"/>
          <w:szCs w:val="22"/>
        </w:rPr>
        <w:t>Victorian Community Training Provider of the Year</w:t>
      </w:r>
      <w:r w:rsidRPr="00AB0E3A">
        <w:rPr>
          <w:rFonts w:ascii="Arial" w:hAnsi="Arial" w:cs="Arial"/>
          <w:sz w:val="22"/>
          <w:szCs w:val="22"/>
        </w:rPr>
        <w:t xml:space="preserve"> award, which recognises and celebrates the exceptional work of Learn Local organisations in developing skills and confidence among thos</w:t>
      </w:r>
      <w:r>
        <w:rPr>
          <w:rFonts w:ascii="Arial" w:hAnsi="Arial" w:cs="Arial"/>
          <w:sz w:val="22"/>
          <w:szCs w:val="22"/>
        </w:rPr>
        <w:t>e facing barriers to education.</w:t>
      </w:r>
    </w:p>
    <w:p w14:paraId="5766FDCA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1568B80D" w14:textId="3D502C11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This is a timely opportunity to promote the sector and all Learn Local organisations that are </w:t>
      </w:r>
      <w:proofErr w:type="gramStart"/>
      <w:r w:rsidRPr="00AB0E3A">
        <w:rPr>
          <w:rFonts w:ascii="Arial" w:hAnsi="Arial" w:cs="Arial"/>
          <w:sz w:val="22"/>
          <w:szCs w:val="22"/>
        </w:rPr>
        <w:t>breaking</w:t>
      </w:r>
      <w:proofErr w:type="gramEnd"/>
      <w:r w:rsidRPr="00AB0E3A">
        <w:rPr>
          <w:rFonts w:ascii="Arial" w:hAnsi="Arial" w:cs="Arial"/>
          <w:sz w:val="22"/>
          <w:szCs w:val="22"/>
        </w:rPr>
        <w:t xml:space="preserve"> down barriers for students are encouraged to apply. The winning organisation will receive a $10,000 prize</w:t>
      </w:r>
      <w:r>
        <w:rPr>
          <w:rFonts w:ascii="Arial" w:hAnsi="Arial" w:cs="Arial"/>
          <w:sz w:val="22"/>
          <w:szCs w:val="22"/>
        </w:rPr>
        <w:t>.</w:t>
      </w:r>
    </w:p>
    <w:p w14:paraId="07626AEE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28A92B44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To nominate for the Victorian Community Training Provider of the Year Award, visit </w:t>
      </w:r>
      <w:hyperlink r:id="rId12" w:history="1">
        <w:r w:rsidRPr="00AB0E3A">
          <w:rPr>
            <w:rStyle w:val="Hyperlink"/>
            <w:rFonts w:ascii="Arial" w:hAnsi="Arial" w:cs="Arial"/>
            <w:sz w:val="22"/>
            <w:szCs w:val="22"/>
          </w:rPr>
          <w:t>http://e-award.com.au/2015/victraining/newentry/about.php</w:t>
        </w:r>
      </w:hyperlink>
      <w:r w:rsidRPr="00AB0E3A">
        <w:rPr>
          <w:rFonts w:ascii="Arial" w:hAnsi="Arial" w:cs="Arial"/>
          <w:sz w:val="22"/>
          <w:szCs w:val="22"/>
        </w:rPr>
        <w:t xml:space="preserve"> to read the criteria and submit your nomination online.</w:t>
      </w:r>
    </w:p>
    <w:p w14:paraId="2442A90D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65345205" w14:textId="187EA4D2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t xml:space="preserve">Nominees are encouraged to read the guidelines carefully and allow plenty of time to complete their entries. Nominations for the Victorian Community Training Provider of the Year Award close on </w:t>
      </w:r>
      <w:r>
        <w:rPr>
          <w:rFonts w:ascii="Arial" w:hAnsi="Arial" w:cs="Arial"/>
          <w:sz w:val="22"/>
          <w:szCs w:val="22"/>
        </w:rPr>
        <w:t xml:space="preserve">Friday </w:t>
      </w:r>
      <w:r w:rsidRPr="00AB0E3A">
        <w:rPr>
          <w:rFonts w:ascii="Arial" w:hAnsi="Arial" w:cs="Arial"/>
          <w:sz w:val="22"/>
          <w:szCs w:val="22"/>
        </w:rPr>
        <w:t xml:space="preserve">May </w:t>
      </w:r>
      <w:r w:rsidR="00647B6D">
        <w:rPr>
          <w:rFonts w:ascii="Arial" w:hAnsi="Arial" w:cs="Arial"/>
          <w:sz w:val="22"/>
          <w:szCs w:val="22"/>
        </w:rPr>
        <w:t>1</w:t>
      </w:r>
      <w:r w:rsidRPr="00AB0E3A">
        <w:rPr>
          <w:rFonts w:ascii="Arial" w:hAnsi="Arial" w:cs="Arial"/>
          <w:sz w:val="22"/>
          <w:szCs w:val="22"/>
        </w:rPr>
        <w:t>.</w:t>
      </w:r>
    </w:p>
    <w:p w14:paraId="3CD782C0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40990C96" w14:textId="32BFCCB4" w:rsidR="00FA5C1B" w:rsidRDefault="00AB0E3A" w:rsidP="00AB0E3A">
      <w:pPr>
        <w:ind w:left="-284"/>
        <w:rPr>
          <w:rFonts w:ascii="Arial" w:hAnsi="Arial" w:cs="Arial"/>
          <w:sz w:val="22"/>
          <w:szCs w:val="22"/>
        </w:rPr>
      </w:pPr>
      <w:r w:rsidRPr="00AB0E3A">
        <w:rPr>
          <w:rFonts w:ascii="Arial" w:hAnsi="Arial" w:cs="Arial"/>
          <w:sz w:val="22"/>
          <w:szCs w:val="22"/>
        </w:rPr>
        <w:lastRenderedPageBreak/>
        <w:t>The Victorian Training Awards will be presented at a gala ceremony in Melbourne on Friday, 28 August 2015.</w:t>
      </w:r>
    </w:p>
    <w:p w14:paraId="031CDDC7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</w:p>
    <w:p w14:paraId="42BFF7F5" w14:textId="77777777" w:rsidR="00AB0E3A" w:rsidRDefault="00AB0E3A" w:rsidP="00AB0E3A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forget:</w:t>
      </w:r>
    </w:p>
    <w:p w14:paraId="59984865" w14:textId="77777777" w:rsidR="00AB0E3A" w:rsidRPr="00AB0E3A" w:rsidRDefault="00AB0E3A" w:rsidP="00AB0E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0E3A">
        <w:rPr>
          <w:rFonts w:ascii="Arial" w:hAnsi="Arial" w:cs="Arial"/>
        </w:rPr>
        <w:t xml:space="preserve">Learn Local </w:t>
      </w:r>
      <w:proofErr w:type="spellStart"/>
      <w:r w:rsidRPr="00AB0E3A">
        <w:rPr>
          <w:rFonts w:ascii="Arial" w:hAnsi="Arial" w:cs="Arial"/>
        </w:rPr>
        <w:t>organisations</w:t>
      </w:r>
      <w:proofErr w:type="spellEnd"/>
      <w:r w:rsidRPr="00AB0E3A">
        <w:rPr>
          <w:rFonts w:ascii="Arial" w:hAnsi="Arial" w:cs="Arial"/>
        </w:rPr>
        <w:t xml:space="preserve"> can still nominate for other general Victorian Training Award </w:t>
      </w:r>
      <w:proofErr w:type="spellStart"/>
      <w:r w:rsidRPr="00AB0E3A">
        <w:rPr>
          <w:rFonts w:ascii="Arial" w:hAnsi="Arial" w:cs="Arial"/>
        </w:rPr>
        <w:t>organisational</w:t>
      </w:r>
      <w:proofErr w:type="spellEnd"/>
      <w:r w:rsidRPr="00AB0E3A">
        <w:rPr>
          <w:rFonts w:ascii="Arial" w:hAnsi="Arial" w:cs="Arial"/>
        </w:rPr>
        <w:t xml:space="preserve"> categories and encourage students to nominate for the individual awards. </w:t>
      </w:r>
    </w:p>
    <w:p w14:paraId="421E3517" w14:textId="19AC68FB" w:rsidR="00AB0E3A" w:rsidRPr="00AB0E3A" w:rsidRDefault="00AB0E3A" w:rsidP="00AB0E3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B0E3A">
        <w:rPr>
          <w:rFonts w:ascii="Arial" w:hAnsi="Arial" w:cs="Arial"/>
        </w:rPr>
        <w:t xml:space="preserve">Nominations for the 2015 Learn Local Awards </w:t>
      </w:r>
      <w:r>
        <w:rPr>
          <w:rFonts w:ascii="Arial" w:hAnsi="Arial" w:cs="Arial"/>
        </w:rPr>
        <w:t xml:space="preserve">are open until June 12 – </w:t>
      </w:r>
      <w:r w:rsidRPr="00AB0E3A">
        <w:rPr>
          <w:rFonts w:ascii="Arial" w:hAnsi="Arial" w:cs="Arial"/>
        </w:rPr>
        <w:t xml:space="preserve">prize money </w:t>
      </w:r>
      <w:r>
        <w:rPr>
          <w:rFonts w:ascii="Arial" w:hAnsi="Arial" w:cs="Arial"/>
        </w:rPr>
        <w:t xml:space="preserve">is available </w:t>
      </w:r>
      <w:r w:rsidRPr="00AB0E3A">
        <w:rPr>
          <w:rFonts w:ascii="Arial" w:hAnsi="Arial" w:cs="Arial"/>
        </w:rPr>
        <w:t xml:space="preserve">of up to $10,000 for winners and $1,000 for every finalist. </w:t>
      </w:r>
      <w:r>
        <w:rPr>
          <w:rFonts w:ascii="Arial" w:hAnsi="Arial" w:cs="Arial"/>
        </w:rPr>
        <w:t xml:space="preserve">See, </w:t>
      </w:r>
      <w:hyperlink r:id="rId13" w:history="1">
        <w:r w:rsidRPr="006C0839">
          <w:rPr>
            <w:rStyle w:val="Hyperlink"/>
            <w:rFonts w:ascii="Arial" w:hAnsi="Arial" w:cs="Arial"/>
          </w:rPr>
          <w:t>http://www.education.vic.gov.au/learnlocalawards</w:t>
        </w:r>
      </w:hyperlink>
      <w:r>
        <w:rPr>
          <w:rFonts w:ascii="Arial" w:hAnsi="Arial" w:cs="Arial"/>
        </w:rPr>
        <w:t xml:space="preserve"> </w:t>
      </w:r>
    </w:p>
    <w:p w14:paraId="0E2903D0" w14:textId="77777777" w:rsidR="00FA5C1B" w:rsidRPr="00AB0E3A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ind w:left="-240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683F630" w14:textId="71D01781" w:rsidR="00FA5C1B" w:rsidRPr="00AB0E3A" w:rsidRDefault="00AB0E3A" w:rsidP="00FA5C1B">
      <w:pPr>
        <w:tabs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VERNA KEARNEY</w:t>
      </w:r>
    </w:p>
    <w:p w14:paraId="1F886F0C" w14:textId="5722A02E" w:rsidR="00FA5C1B" w:rsidRPr="00AB0E3A" w:rsidRDefault="00AB0E3A" w:rsidP="00FA5C1B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Acting </w:t>
      </w:r>
      <w:r w:rsidR="00FA5C1B" w:rsidRPr="00AB0E3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Director</w:t>
      </w:r>
    </w:p>
    <w:p w14:paraId="5018F082" w14:textId="77777777" w:rsidR="00FA5C1B" w:rsidRPr="00AB0E3A" w:rsidRDefault="00FA5C1B" w:rsidP="00FA5C1B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AB0E3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Participation Branch</w:t>
      </w:r>
      <w:r w:rsidRPr="00AB0E3A">
        <w:rPr>
          <w:rFonts w:ascii="Arial" w:hAnsi="Arial" w:cs="Arial"/>
          <w:color w:val="000000"/>
          <w:sz w:val="22"/>
          <w:szCs w:val="22"/>
          <w:lang w:val="en-GB" w:eastAsia="en-US"/>
        </w:rPr>
        <w:br/>
      </w:r>
    </w:p>
    <w:p w14:paraId="7F933698" w14:textId="77777777" w:rsidR="008D6BDC" w:rsidRPr="00AB0E3A" w:rsidRDefault="008D6BDC" w:rsidP="00FA5C1B">
      <w:pPr>
        <w:rPr>
          <w:rFonts w:ascii="Arial" w:hAnsi="Arial" w:cs="Arial"/>
          <w:sz w:val="22"/>
          <w:szCs w:val="22"/>
        </w:rPr>
      </w:pPr>
    </w:p>
    <w:sectPr w:rsidR="008D6BDC" w:rsidRPr="00AB0E3A" w:rsidSect="00A84D75">
      <w:headerReference w:type="default" r:id="rId14"/>
      <w:headerReference w:type="first" r:id="rId15"/>
      <w:footerReference w:type="first" r:id="rId16"/>
      <w:pgSz w:w="11906" w:h="16838"/>
      <w:pgMar w:top="2269" w:right="1440" w:bottom="1440" w:left="1440" w:header="426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E13A" w14:textId="77777777" w:rsidR="00AB0E3A" w:rsidRDefault="00AB0E3A" w:rsidP="005472BC">
      <w:r>
        <w:separator/>
      </w:r>
    </w:p>
  </w:endnote>
  <w:endnote w:type="continuationSeparator" w:id="0">
    <w:p w14:paraId="55EFE39F" w14:textId="77777777" w:rsidR="00AB0E3A" w:rsidRDefault="00AB0E3A" w:rsidP="005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8A80" w14:textId="77777777" w:rsidR="00AB0E3A" w:rsidRPr="005472BC" w:rsidRDefault="00AB0E3A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F691701" w14:textId="77777777" w:rsidR="00AB0E3A" w:rsidRPr="005472BC" w:rsidRDefault="00AB0E3A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22"/>
        <w:szCs w:val="22"/>
      </w:rPr>
    </w:pPr>
    <w:r w:rsidRPr="005472BC">
      <w:rPr>
        <w:color w:val="auto"/>
        <w:sz w:val="22"/>
        <w:szCs w:val="22"/>
      </w:rPr>
      <w:t>Adult,</w:t>
    </w:r>
    <w:r w:rsidRPr="00C07DF4">
      <w:rPr>
        <w:color w:val="FFFFFF" w:themeColor="background1"/>
        <w:sz w:val="22"/>
        <w:szCs w:val="22"/>
      </w:rPr>
      <w:t xml:space="preserve"> </w:t>
    </w:r>
    <w:r w:rsidRPr="005472BC">
      <w:rPr>
        <w:color w:val="auto"/>
        <w:sz w:val="22"/>
        <w:szCs w:val="22"/>
      </w:rPr>
      <w:t>Community and Further Education Board</w:t>
    </w:r>
  </w:p>
  <w:p w14:paraId="2DA47EA5" w14:textId="77777777" w:rsidR="00AB0E3A" w:rsidRPr="00E074D4" w:rsidRDefault="00AB0E3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5472BC">
      <w:rPr>
        <w:color w:val="auto"/>
        <w:sz w:val="20"/>
        <w:szCs w:val="20"/>
      </w:rPr>
      <w:t xml:space="preserve">Level 3, 2 Treasury Place, East Melbourne </w:t>
    </w:r>
    <w:r>
      <w:rPr>
        <w:color w:val="auto"/>
        <w:sz w:val="20"/>
        <w:szCs w:val="20"/>
      </w:rPr>
      <w:t xml:space="preserve">VIC </w:t>
    </w:r>
    <w:r w:rsidRPr="005472BC">
      <w:rPr>
        <w:color w:val="auto"/>
        <w:sz w:val="20"/>
        <w:szCs w:val="20"/>
      </w:rPr>
      <w:t xml:space="preserve">3002   I   </w:t>
    </w:r>
    <w:r w:rsidRPr="00E074D4">
      <w:rPr>
        <w:color w:val="auto"/>
        <w:sz w:val="20"/>
        <w:szCs w:val="20"/>
      </w:rPr>
      <w:t>GPO Box 4367, Melbourne VIC 3001</w:t>
    </w:r>
  </w:p>
  <w:p w14:paraId="1A9B4E65" w14:textId="77777777" w:rsidR="00AB0E3A" w:rsidRDefault="00AB0E3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8D6BDC">
      <w:rPr>
        <w:b/>
        <w:color w:val="auto"/>
        <w:sz w:val="20"/>
        <w:szCs w:val="20"/>
      </w:rPr>
      <w:t>T:</w:t>
    </w:r>
    <w:r w:rsidRPr="005472BC">
      <w:rPr>
        <w:color w:val="auto"/>
        <w:sz w:val="20"/>
        <w:szCs w:val="20"/>
      </w:rPr>
      <w:t xml:space="preserve"> (03) 9637 2072    </w:t>
    </w:r>
    <w:r w:rsidRPr="008D6BDC">
      <w:rPr>
        <w:b/>
        <w:color w:val="auto"/>
        <w:sz w:val="20"/>
        <w:szCs w:val="20"/>
      </w:rPr>
      <w:t>F:</w:t>
    </w:r>
    <w:r w:rsidRPr="005472BC">
      <w:rPr>
        <w:color w:val="auto"/>
        <w:sz w:val="20"/>
        <w:szCs w:val="20"/>
      </w:rPr>
      <w:t xml:space="preserve"> (03) 9637 3693    </w:t>
    </w:r>
    <w:r w:rsidRPr="008D6BDC">
      <w:rPr>
        <w:b/>
        <w:color w:val="auto"/>
        <w:sz w:val="20"/>
        <w:szCs w:val="20"/>
      </w:rPr>
      <w:t>E:</w:t>
    </w:r>
    <w:r w:rsidRPr="005472BC">
      <w:rPr>
        <w:color w:val="auto"/>
        <w:sz w:val="20"/>
        <w:szCs w:val="20"/>
      </w:rPr>
      <w:t xml:space="preserve"> acfe@edumail.vic.gov.au    </w:t>
    </w:r>
    <w:r w:rsidRPr="008D6BDC">
      <w:rPr>
        <w:b/>
        <w:color w:val="auto"/>
        <w:sz w:val="20"/>
        <w:szCs w:val="20"/>
      </w:rPr>
      <w:t>W:</w:t>
    </w:r>
    <w:r w:rsidRPr="005472BC">
      <w:rPr>
        <w:color w:val="auto"/>
        <w:sz w:val="20"/>
        <w:szCs w:val="20"/>
      </w:rPr>
      <w:t xml:space="preserve"> </w:t>
    </w:r>
    <w:hyperlink r:id="rId1" w:history="1">
      <w:r w:rsidRPr="005472BC">
        <w:rPr>
          <w:rStyle w:val="Hyperlink"/>
          <w:color w:val="auto"/>
          <w:sz w:val="20"/>
          <w:szCs w:val="20"/>
        </w:rPr>
        <w:t>www.acfe.vic.gov.au</w:t>
      </w:r>
    </w:hyperlink>
  </w:p>
  <w:p w14:paraId="531B32FC" w14:textId="77777777" w:rsidR="00AB0E3A" w:rsidRPr="005472BC" w:rsidRDefault="00AB0E3A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557FD386" w14:textId="77777777" w:rsidR="00AB0E3A" w:rsidRDefault="00AB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9B1FB" w14:textId="77777777" w:rsidR="00AB0E3A" w:rsidRDefault="00AB0E3A" w:rsidP="005472BC">
      <w:r>
        <w:separator/>
      </w:r>
    </w:p>
  </w:footnote>
  <w:footnote w:type="continuationSeparator" w:id="0">
    <w:p w14:paraId="4FE00099" w14:textId="77777777" w:rsidR="00AB0E3A" w:rsidRDefault="00AB0E3A" w:rsidP="0054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231D" w14:textId="77777777" w:rsidR="00AB0E3A" w:rsidRDefault="001C0CA1" w:rsidP="00A84D75">
    <w:pPr>
      <w:pStyle w:val="Head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val="en-US" w:eastAsia="zh-TW"/>
      </w:rPr>
      <w:pict w14:anchorId="665539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5.9pt;margin-top:-31.65pt;width:146.2pt;height:135pt;z-index:-251656192;mso-width-relative:margin;mso-height-relative:margin" strokecolor="white [3212]">
          <v:textbox>
            <w:txbxContent>
              <w:p w14:paraId="54149680" w14:textId="77777777" w:rsidR="00AB0E3A" w:rsidRDefault="00AB0E3A">
                <w:r>
                  <w:rPr>
                    <w:noProof/>
                  </w:rPr>
                  <w:drawing>
                    <wp:inline distT="0" distB="0" distL="0" distR="0" wp14:anchorId="2E955E70" wp14:editId="3354C30F">
                      <wp:extent cx="1660589" cy="1552575"/>
                      <wp:effectExtent l="19050" t="0" r="0" b="0"/>
                      <wp:docPr id="2" name="Picture 1" descr="acfe_logo_bla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cfe_logo_blac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1129" cy="1553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B0E3A">
      <w:rPr>
        <w:rFonts w:ascii="Arial" w:hAnsi="Arial" w:cs="Arial"/>
        <w:b/>
        <w:szCs w:val="24"/>
      </w:rPr>
      <w:tab/>
    </w:r>
  </w:p>
  <w:p w14:paraId="6594F4C3" w14:textId="77777777" w:rsidR="00AB0E3A" w:rsidRDefault="00AB0E3A" w:rsidP="00A84D75">
    <w:pPr>
      <w:pStyle w:val="Header"/>
      <w:rPr>
        <w:rFonts w:ascii="Arial" w:hAnsi="Arial" w:cs="Arial"/>
        <w:b/>
        <w:szCs w:val="24"/>
      </w:rPr>
    </w:pPr>
  </w:p>
  <w:p w14:paraId="1E7EC5E4" w14:textId="77777777" w:rsidR="00AB0E3A" w:rsidRDefault="00AB0E3A" w:rsidP="00A84D75">
    <w:pPr>
      <w:pStyle w:val="Header"/>
      <w:rPr>
        <w:rFonts w:ascii="Arial" w:hAnsi="Arial" w:cs="Arial"/>
        <w:b/>
        <w:szCs w:val="24"/>
      </w:rPr>
    </w:pPr>
  </w:p>
  <w:p w14:paraId="007A88A2" w14:textId="77777777" w:rsidR="00AB0E3A" w:rsidRDefault="00AB0E3A" w:rsidP="00A84D75">
    <w:pPr>
      <w:pStyle w:val="Header"/>
      <w:rPr>
        <w:rFonts w:ascii="Arial" w:hAnsi="Arial" w:cs="Arial"/>
        <w:b/>
        <w:szCs w:val="24"/>
      </w:rPr>
    </w:pPr>
  </w:p>
  <w:p w14:paraId="77D8694B" w14:textId="77777777" w:rsidR="00AB0E3A" w:rsidRDefault="00AB0E3A" w:rsidP="00A84D75">
    <w:pPr>
      <w:pStyle w:val="Header"/>
      <w:pBdr>
        <w:bottom w:val="single" w:sz="2" w:space="1" w:color="auto"/>
      </w:pBdr>
      <w:rPr>
        <w:rFonts w:ascii="Arial" w:hAnsi="Arial" w:cs="Arial"/>
        <w:b/>
        <w:szCs w:val="24"/>
      </w:rPr>
    </w:pPr>
  </w:p>
  <w:p w14:paraId="444C5629" w14:textId="77777777" w:rsidR="00AB0E3A" w:rsidRPr="005472BC" w:rsidRDefault="00AB0E3A" w:rsidP="00A84D75">
    <w:pPr>
      <w:pStyle w:val="Header"/>
      <w:pBdr>
        <w:bottom w:val="single" w:sz="2" w:space="1" w:color="auto"/>
      </w:pBdr>
      <w:rPr>
        <w:rFonts w:ascii="Arial" w:hAnsi="Arial" w:cs="Arial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760D" w14:textId="77777777" w:rsidR="00AB0E3A" w:rsidRDefault="001C0CA1" w:rsidP="008D6BDC">
    <w:pPr>
      <w:pStyle w:val="Header"/>
      <w:jc w:val="right"/>
    </w:pPr>
    <w:r>
      <w:rPr>
        <w:noProof/>
      </w:rPr>
      <w:pict w14:anchorId="6E8735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35.15pt;margin-top:-19.65pt;width:146.2pt;height:135pt;z-index:251661312;mso-width-relative:margin;mso-height-relative:margin" strokecolor="white [3212]">
          <v:textbox>
            <w:txbxContent>
              <w:p w14:paraId="585E8312" w14:textId="77777777" w:rsidR="00AB0E3A" w:rsidRDefault="00AB0E3A" w:rsidP="008D6BDC">
                <w:r>
                  <w:rPr>
                    <w:noProof/>
                  </w:rPr>
                  <w:drawing>
                    <wp:inline distT="0" distB="0" distL="0" distR="0" wp14:anchorId="55CBDE28" wp14:editId="091677DB">
                      <wp:extent cx="1660589" cy="1552575"/>
                      <wp:effectExtent l="19050" t="0" r="0" b="0"/>
                      <wp:docPr id="5" name="Picture 1" descr="acfe_logo_bla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cfe_logo_blac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1129" cy="1553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B96"/>
    <w:multiLevelType w:val="hybridMultilevel"/>
    <w:tmpl w:val="608C591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A78037F"/>
    <w:multiLevelType w:val="hybridMultilevel"/>
    <w:tmpl w:val="A9223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A30DE"/>
    <w:multiLevelType w:val="hybridMultilevel"/>
    <w:tmpl w:val="8BD0573E"/>
    <w:lvl w:ilvl="0" w:tplc="104C9C7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22C2396"/>
    <w:multiLevelType w:val="hybridMultilevel"/>
    <w:tmpl w:val="4A28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BC"/>
    <w:rsid w:val="00001D0D"/>
    <w:rsid w:val="0003070E"/>
    <w:rsid w:val="000661D0"/>
    <w:rsid w:val="00092818"/>
    <w:rsid w:val="000A4123"/>
    <w:rsid w:val="000F23D0"/>
    <w:rsid w:val="00114829"/>
    <w:rsid w:val="001149C8"/>
    <w:rsid w:val="0017258F"/>
    <w:rsid w:val="0018139C"/>
    <w:rsid w:val="001A40C9"/>
    <w:rsid w:val="001A5646"/>
    <w:rsid w:val="001C0CA1"/>
    <w:rsid w:val="001C2691"/>
    <w:rsid w:val="00285DEF"/>
    <w:rsid w:val="00317F11"/>
    <w:rsid w:val="0033546E"/>
    <w:rsid w:val="0036359B"/>
    <w:rsid w:val="003B6249"/>
    <w:rsid w:val="003C16BD"/>
    <w:rsid w:val="00412DBC"/>
    <w:rsid w:val="0044060C"/>
    <w:rsid w:val="00442AD3"/>
    <w:rsid w:val="00483780"/>
    <w:rsid w:val="00543AE2"/>
    <w:rsid w:val="005472BC"/>
    <w:rsid w:val="005501B3"/>
    <w:rsid w:val="005714A4"/>
    <w:rsid w:val="005D6DA5"/>
    <w:rsid w:val="005E53B4"/>
    <w:rsid w:val="0062679C"/>
    <w:rsid w:val="00635B3F"/>
    <w:rsid w:val="006378F3"/>
    <w:rsid w:val="00647B6D"/>
    <w:rsid w:val="00666C4A"/>
    <w:rsid w:val="00724E6D"/>
    <w:rsid w:val="00746681"/>
    <w:rsid w:val="00821C64"/>
    <w:rsid w:val="0085535F"/>
    <w:rsid w:val="0088691E"/>
    <w:rsid w:val="008D6BDC"/>
    <w:rsid w:val="009357F7"/>
    <w:rsid w:val="00944544"/>
    <w:rsid w:val="00964D10"/>
    <w:rsid w:val="009A0FFB"/>
    <w:rsid w:val="009F6FA4"/>
    <w:rsid w:val="00A84D75"/>
    <w:rsid w:val="00AB0E3A"/>
    <w:rsid w:val="00AD52BB"/>
    <w:rsid w:val="00AD6E32"/>
    <w:rsid w:val="00B71D0E"/>
    <w:rsid w:val="00C2355A"/>
    <w:rsid w:val="00C35B2A"/>
    <w:rsid w:val="00C77AF3"/>
    <w:rsid w:val="00CB1FB3"/>
    <w:rsid w:val="00D02F88"/>
    <w:rsid w:val="00D0324E"/>
    <w:rsid w:val="00D91EFB"/>
    <w:rsid w:val="00DD183B"/>
    <w:rsid w:val="00E074D4"/>
    <w:rsid w:val="00E22B7F"/>
    <w:rsid w:val="00EA2D82"/>
    <w:rsid w:val="00EE1018"/>
    <w:rsid w:val="00F941BD"/>
    <w:rsid w:val="00FA5C1B"/>
    <w:rsid w:val="00FD3C3F"/>
    <w:rsid w:val="00FD7A5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DBC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/>
      <w:jc w:val="center"/>
    </w:pPr>
    <w:rPr>
      <w:rFonts w:ascii="Arial" w:hAnsi="Arial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uiPriority w:val="99"/>
    <w:rsid w:val="005472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AD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FA5C1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learnlocalawar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-award.com.au/2015/victraining/newentry/about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-award.com.au/2015/victraining/newentry/about.p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e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49C00-90EE-4225-88CE-EC377F8A1387}"/>
</file>

<file path=customXml/itemProps2.xml><?xml version="1.0" encoding="utf-8"?>
<ds:datastoreItem xmlns:ds="http://schemas.openxmlformats.org/officeDocument/2006/customXml" ds:itemID="{E2C48781-1707-4F73-8E11-95499139F687}"/>
</file>

<file path=customXml/itemProps3.xml><?xml version="1.0" encoding="utf-8"?>
<ds:datastoreItem xmlns:ds="http://schemas.openxmlformats.org/officeDocument/2006/customXml" ds:itemID="{BE9520CC-AB13-4802-9BB4-4FCE7AA43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Kene, Effie E</cp:lastModifiedBy>
  <cp:revision>2</cp:revision>
  <cp:lastPrinted>2015-04-24T01:56:00Z</cp:lastPrinted>
  <dcterms:created xsi:type="dcterms:W3CDTF">2015-04-27T05:28:00Z</dcterms:created>
  <dcterms:modified xsi:type="dcterms:W3CDTF">2015-04-27T05:28:00Z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Order">
    <vt:r8>2313100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DEECD_Audience">
    <vt:lpwstr/>
  </property>
</Properties>
</file>