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A66DA8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CC7B5E" w:rsidP="00A66DA8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076FEE6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:rsidR="00D0414A" w:rsidRPr="00633C39" w:rsidRDefault="00D0414A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:rsidR="00D0414A" w:rsidRPr="006F3F2F" w:rsidRDefault="00D0414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D0414A" w:rsidRPr="006F3F2F" w:rsidRDefault="00D0414A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:rsidR="00D0414A" w:rsidRPr="00633C39" w:rsidRDefault="00D0414A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:rsidR="00D0414A" w:rsidRPr="00633C39" w:rsidRDefault="00D0414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:rsidR="00D0414A" w:rsidRDefault="00D0414A" w:rsidP="009D5D01"/>
                      </w:txbxContent>
                    </v:textbox>
                  </v:shape>
                </v:group>
              </w:pic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CC7B5E">
      <w:pPr>
        <w:tabs>
          <w:tab w:val="left" w:pos="1080"/>
        </w:tabs>
        <w:spacing w:before="120" w:after="12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9F0CA5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14144D">
        <w:rPr>
          <w:rFonts w:ascii="Arial" w:hAnsi="Arial"/>
          <w:i/>
          <w:color w:val="000000"/>
          <w:sz w:val="22"/>
          <w:szCs w:val="24"/>
          <w:lang w:val="en-GB" w:eastAsia="en-US"/>
        </w:rPr>
        <w:t>5 /05/26</w:t>
      </w:r>
    </w:p>
    <w:p w:rsidR="0014144D" w:rsidRPr="00D10560" w:rsidRDefault="009D5D01" w:rsidP="00CC7B5E">
      <w:pPr>
        <w:tabs>
          <w:tab w:val="left" w:pos="1080"/>
        </w:tabs>
        <w:spacing w:before="120" w:after="120"/>
        <w:ind w:left="1080" w:right="16" w:hanging="1364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TO:</w:t>
      </w:r>
      <w:r w:rsidR="0014144D"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</w:t>
      </w:r>
      <w:r w:rsidR="0014144D"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14144D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Learn Local organisations, </w:t>
      </w:r>
      <w:r w:rsidR="0014144D" w:rsidRPr="00D10560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ALL </w:t>
      </w:r>
      <w:r w:rsidR="0014144D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ab/>
        <w:t>Learn Local stakeholders, ACFE Regional Councils, Adult Education Institutions, Participation Branch staff</w:t>
      </w:r>
    </w:p>
    <w:p w:rsidR="009D5D01" w:rsidRPr="00D10560" w:rsidRDefault="009D5D01" w:rsidP="00CC7B5E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D0414A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>Verna Kearney</w:t>
      </w:r>
      <w:r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, </w:t>
      </w:r>
      <w:r w:rsidR="00D0414A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>A/</w:t>
      </w:r>
      <w:r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Director, </w:t>
      </w:r>
      <w:proofErr w:type="gramStart"/>
      <w:r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>Participation</w:t>
      </w:r>
      <w:proofErr w:type="gramEnd"/>
      <w:r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Branch</w:t>
      </w:r>
    </w:p>
    <w:p w:rsidR="009D5D01" w:rsidRPr="00D10560" w:rsidRDefault="009D5D01" w:rsidP="00CC7B5E">
      <w:pPr>
        <w:tabs>
          <w:tab w:val="left" w:pos="1080"/>
        </w:tabs>
        <w:spacing w:before="120" w:after="12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D0414A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>20 May</w:t>
      </w:r>
      <w:r w:rsidR="007548D2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2</w:t>
      </w:r>
      <w:r w:rsidR="009F0CA5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>01</w:t>
      </w:r>
      <w:r w:rsidR="00A66DA8" w:rsidRPr="00D10560">
        <w:rPr>
          <w:rFonts w:ascii="Arial" w:hAnsi="Arial" w:cs="Arial"/>
          <w:color w:val="000000"/>
          <w:sz w:val="22"/>
          <w:szCs w:val="22"/>
          <w:lang w:val="en-GB" w:eastAsia="en-US"/>
        </w:rPr>
        <w:t>5</w:t>
      </w:r>
    </w:p>
    <w:p w:rsidR="009D5D01" w:rsidRPr="00D10560" w:rsidRDefault="009D5D01" w:rsidP="00CC7B5E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-284" w:right="-424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D1056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E6663B" w:rsidRPr="00D10560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Learn Local s</w:t>
      </w:r>
      <w:r w:rsidR="00D72B00" w:rsidRPr="00D10560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taff development opportunities – pre-accredited programs</w:t>
      </w:r>
    </w:p>
    <w:p w:rsidR="009D5D01" w:rsidRPr="00D10560" w:rsidRDefault="009D5D01" w:rsidP="00CC7B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spacing w:before="120" w:after="120"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DATES:</w:t>
      </w:r>
    </w:p>
    <w:p w:rsidR="007F699C" w:rsidRPr="00D10560" w:rsidRDefault="00261F80" w:rsidP="00CC7B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spacing w:before="120" w:after="120"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Interested applicants must register by the dates listed below.</w:t>
      </w:r>
    </w:p>
    <w:p w:rsidR="009D5D01" w:rsidRPr="00D10560" w:rsidRDefault="009D5D01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</w:p>
    <w:p w:rsidR="006F252B" w:rsidRPr="00D10560" w:rsidRDefault="006F252B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1. Employability Skills for Pre-accredited Courses Workshop</w:t>
      </w:r>
    </w:p>
    <w:p w:rsidR="006F252B" w:rsidRPr="00D10560" w:rsidRDefault="006F252B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16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Participants in this workshop will explore employability skills in depth and build on a basic </w:t>
      </w:r>
      <w:r w:rsidR="0014144D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u</w:t>
      </w: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nderstanding of the PQF Quality Framework. </w:t>
      </w:r>
    </w:p>
    <w:p w:rsidR="006F252B" w:rsidRPr="00D10560" w:rsidRDefault="006F252B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what</w:t>
      </w:r>
      <w:proofErr w:type="gramEnd"/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skills?</w:t>
      </w:r>
    </w:p>
    <w:p w:rsidR="006F252B" w:rsidRPr="00D10560" w:rsidRDefault="006F252B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how</w:t>
      </w:r>
      <w:proofErr w:type="gramEnd"/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 embedded in pre accredited courses? </w:t>
      </w:r>
    </w:p>
    <w:p w:rsidR="006F252B" w:rsidRPr="00D10560" w:rsidRDefault="006F252B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proofErr w:type="gramStart"/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how</w:t>
      </w:r>
      <w:proofErr w:type="gramEnd"/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employability skills made meaningful for learners? </w:t>
      </w:r>
    </w:p>
    <w:p w:rsidR="006F252B" w:rsidRPr="00D10560" w:rsidRDefault="006F252B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This is a practical, interactive workshop with plenty of useful tips and resources to take away and use.   </w:t>
      </w:r>
    </w:p>
    <w:p w:rsidR="006F252B" w:rsidRPr="00D10560" w:rsidRDefault="006F252B" w:rsidP="00CC7B5E">
      <w:pPr>
        <w:overflowPunct/>
        <w:autoSpaceDE/>
        <w:autoSpaceDN/>
        <w:adjustRightInd/>
        <w:spacing w:before="120" w:after="120"/>
        <w:ind w:left="-284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Registration and bookings at: </w:t>
      </w:r>
      <w:hyperlink r:id="rId12" w:history="1">
        <w:r w:rsidRPr="00D10560">
          <w:rPr>
            <w:rFonts w:ascii="Arial" w:hAnsi="Arial" w:cs="Arial"/>
            <w:color w:val="0000FF"/>
            <w:sz w:val="22"/>
            <w:szCs w:val="22"/>
            <w:u w:val="single"/>
          </w:rPr>
          <w:t>http://e.mybookingmanager.com/E5420481330949</w:t>
        </w:r>
      </w:hyperlink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6521"/>
      </w:tblGrid>
      <w:tr w:rsidR="006F252B" w:rsidRPr="00D43DB9" w:rsidTr="0014144D">
        <w:trPr>
          <w:trHeight w:val="31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6F252B" w:rsidRPr="00D43DB9" w:rsidRDefault="0014144D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</w:pPr>
            <w:r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 xml:space="preserve">Date </w:t>
            </w:r>
            <w:r w:rsidR="006F252B"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>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6F252B" w:rsidRPr="00D43DB9" w:rsidRDefault="006F252B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</w:pPr>
            <w:r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>Location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6F252B" w:rsidRPr="00D43DB9" w:rsidRDefault="006F252B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</w:pPr>
            <w:r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>Venue</w:t>
            </w:r>
          </w:p>
        </w:tc>
      </w:tr>
      <w:tr w:rsidR="006F252B" w:rsidRPr="00D43DB9" w:rsidTr="0014144D">
        <w:trPr>
          <w:trHeight w:val="591"/>
        </w:trPr>
        <w:tc>
          <w:tcPr>
            <w:tcW w:w="1844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252B" w:rsidRPr="00D43DB9" w:rsidRDefault="006F252B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Friday July 7th </w:t>
            </w:r>
          </w:p>
        </w:tc>
        <w:tc>
          <w:tcPr>
            <w:tcW w:w="1275" w:type="dxa"/>
            <w:tcBorders>
              <w:top w:val="single" w:sz="4" w:space="0" w:color="95B3D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252B" w:rsidRPr="00D43DB9" w:rsidRDefault="006F252B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Dingley </w:t>
            </w:r>
          </w:p>
        </w:tc>
        <w:tc>
          <w:tcPr>
            <w:tcW w:w="6521" w:type="dxa"/>
            <w:tcBorders>
              <w:top w:val="single" w:sz="4" w:space="0" w:color="95B3D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52B" w:rsidRPr="00D43DB9" w:rsidRDefault="006F252B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Dingley Village Neighbourhood Centre</w:t>
            </w:r>
            <w:r w:rsidR="0014144D"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, </w:t>
            </w: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31 B Marcus Rd Dingley</w:t>
            </w:r>
          </w:p>
        </w:tc>
      </w:tr>
    </w:tbl>
    <w:p w:rsidR="00D83221" w:rsidRPr="00D10560" w:rsidRDefault="006F252B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2</w:t>
      </w:r>
      <w:r w:rsidR="00536E60"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. </w:t>
      </w:r>
      <w:r w:rsidR="00D83221"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Pre-accredited Quality Framework workshops available across Victoria</w:t>
      </w:r>
    </w:p>
    <w:p w:rsidR="008C02AC" w:rsidRPr="00D10560" w:rsidRDefault="002F0511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Pre-accredited Q</w:t>
      </w:r>
      <w:r w:rsidR="00BA4DA4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uality Framework workshops will be delivered in every ACFE region </w:t>
      </w:r>
      <w:r w:rsidR="008C02AC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2015.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PQF w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orkshops are 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ideal 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way to supplement the i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nduction 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of staff </w:t>
      </w:r>
      <w:proofErr w:type="gramStart"/>
      <w:r w:rsidR="0059742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who</w:t>
      </w:r>
      <w:proofErr w:type="gramEnd"/>
      <w:r w:rsidR="0059742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new to the pre-accredited environment</w:t>
      </w:r>
      <w:r w:rsidR="0059742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the workshops also offer opportunities for 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managers and teachers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further their understanding of the PQF. </w:t>
      </w:r>
      <w:r w:rsidR="00BA4DA4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6F252B" w:rsidRPr="00D10560" w:rsidRDefault="00BA4DA4" w:rsidP="00CC7B5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workshops will address all aspects of the </w:t>
      </w:r>
      <w:hyperlink r:id="rId13" w:history="1">
        <w:r w:rsidRPr="00D10560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Pre-accredited Quality Framework</w:t>
        </w:r>
      </w:hyperlink>
      <w:r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incl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uding 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pre-accredited curriculum, </w:t>
      </w:r>
      <w:r w:rsidR="008C02AC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overview of </w:t>
      </w:r>
      <w:r w:rsidR="00F13367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employability skills, and 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moderation. Workshop dates</w:t>
      </w:r>
      <w:r w:rsidR="006935C4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E6663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locations </w:t>
      </w:r>
      <w:r w:rsidR="006F252B" w:rsidRPr="00D1056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are below.</w:t>
      </w:r>
    </w:p>
    <w:p w:rsidR="00D0414A" w:rsidRPr="00D10560" w:rsidRDefault="00CC7B5E" w:rsidP="00CC7B5E">
      <w:pPr>
        <w:overflowPunct/>
        <w:autoSpaceDE/>
        <w:autoSpaceDN/>
        <w:adjustRightInd/>
        <w:spacing w:before="120" w:after="120"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br w:type="page"/>
      </w:r>
      <w:bookmarkStart w:id="0" w:name="_GoBack"/>
      <w:bookmarkEnd w:id="0"/>
      <w:r w:rsidR="006F252B" w:rsidRPr="00D1056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Registration and bookings at:</w:t>
      </w:r>
      <w:r w:rsidR="006F252B" w:rsidRPr="00D105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4" w:history="1">
        <w:r w:rsidR="006F252B" w:rsidRPr="00D10560">
          <w:rPr>
            <w:rFonts w:ascii="Arial" w:hAnsi="Arial" w:cs="Arial"/>
            <w:color w:val="0000FF"/>
            <w:sz w:val="22"/>
            <w:szCs w:val="22"/>
            <w:u w:val="single"/>
          </w:rPr>
          <w:t>http://e.mybookingmanager.com/E51422413229868</w:t>
        </w:r>
      </w:hyperlink>
    </w:p>
    <w:tbl>
      <w:tblPr>
        <w:tblW w:w="10100" w:type="dxa"/>
        <w:tblInd w:w="-176" w:type="dxa"/>
        <w:tblLook w:val="04A0" w:firstRow="1" w:lastRow="0" w:firstColumn="1" w:lastColumn="0" w:noHBand="0" w:noVBand="1"/>
      </w:tblPr>
      <w:tblGrid>
        <w:gridCol w:w="2666"/>
        <w:gridCol w:w="1871"/>
        <w:gridCol w:w="5563"/>
      </w:tblGrid>
      <w:tr w:rsidR="007D7D88" w:rsidRPr="00D43DB9" w:rsidTr="0014144D">
        <w:trPr>
          <w:trHeight w:val="397"/>
        </w:trPr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4F81BD"/>
            <w:hideMark/>
          </w:tcPr>
          <w:p w:rsidR="007D7D88" w:rsidRPr="00D43DB9" w:rsidRDefault="0014144D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 xml:space="preserve">Date </w:t>
            </w:r>
            <w:r w:rsidR="007D7D88"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 xml:space="preserve"> 2015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hideMark/>
          </w:tcPr>
          <w:p w:rsidR="007D7D88" w:rsidRPr="00D43DB9" w:rsidRDefault="007D7D88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>Location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hideMark/>
          </w:tcPr>
          <w:p w:rsidR="007D7D88" w:rsidRPr="00D43DB9" w:rsidRDefault="007D7D88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eastAsia="en-GB"/>
              </w:rPr>
              <w:t>Venue</w:t>
            </w:r>
          </w:p>
        </w:tc>
      </w:tr>
      <w:tr w:rsidR="00D0414A" w:rsidRPr="00D43DB9" w:rsidTr="0014144D">
        <w:trPr>
          <w:trHeight w:val="324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Thursday June 4th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Brunswick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Brunswick Business Incubator 420 Victoria St Brunswick </w:t>
            </w:r>
          </w:p>
        </w:tc>
      </w:tr>
      <w:tr w:rsidR="00D0414A" w:rsidRPr="00D43DB9" w:rsidTr="0014144D">
        <w:trPr>
          <w:trHeight w:val="636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lastRenderedPageBreak/>
              <w:t xml:space="preserve">Friday June 12th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Carrum Downs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Lyrebird Community  Centre-203 Lyrebird </w:t>
            </w:r>
            <w:proofErr w:type="spellStart"/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Dve</w:t>
            </w:r>
            <w:proofErr w:type="spellEnd"/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 Carrum Downs</w:t>
            </w:r>
          </w:p>
        </w:tc>
      </w:tr>
      <w:tr w:rsidR="00D0414A" w:rsidRPr="00D43DB9" w:rsidTr="0014144D">
        <w:trPr>
          <w:trHeight w:val="360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Friday July 10th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CBD Melbourne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CAE 253 Flinders Lane Melbourne</w:t>
            </w:r>
          </w:p>
        </w:tc>
      </w:tr>
      <w:tr w:rsidR="00D0414A" w:rsidRPr="00D43DB9" w:rsidTr="0014144D">
        <w:trPr>
          <w:trHeight w:val="636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Wednesday August 5th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Benalla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The Centre Benalla-50 Barkly Street Benalla</w:t>
            </w:r>
          </w:p>
        </w:tc>
      </w:tr>
      <w:tr w:rsidR="00D0414A" w:rsidRPr="00D43DB9" w:rsidTr="0014144D">
        <w:trPr>
          <w:trHeight w:val="636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Wednesday August 12th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Wonthaggi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Bass Coast Adult Education 239 White Rd Wonthaggi</w:t>
            </w:r>
          </w:p>
        </w:tc>
      </w:tr>
      <w:tr w:rsidR="00D0414A" w:rsidRPr="00D43DB9" w:rsidTr="0014144D">
        <w:trPr>
          <w:trHeight w:val="636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  <w:t>Wednesday</w:t>
            </w: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 August 26th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Ballarat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0414A" w:rsidRPr="00D43DB9" w:rsidRDefault="00D0414A" w:rsidP="00CC7B5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color w:val="000000"/>
                <w:sz w:val="18"/>
                <w:szCs w:val="22"/>
                <w:lang w:val="en-GB" w:eastAsia="en-GB"/>
              </w:rPr>
            </w:pPr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Ballarat </w:t>
            </w:r>
            <w:proofErr w:type="spellStart"/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Sth</w:t>
            </w:r>
            <w:proofErr w:type="spellEnd"/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 Community Hub</w:t>
            </w:r>
            <w:r w:rsidR="0014144D"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 </w:t>
            </w:r>
            <w:proofErr w:type="spellStart"/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Tuppen</w:t>
            </w:r>
            <w:proofErr w:type="spellEnd"/>
            <w:r w:rsidRPr="00D43DB9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 Drive, Sebastopol VIC 3356</w:t>
            </w:r>
          </w:p>
        </w:tc>
      </w:tr>
    </w:tbl>
    <w:p w:rsidR="0085458B" w:rsidRDefault="0085458B" w:rsidP="0014144D">
      <w:pPr>
        <w:spacing w:before="120" w:after="120"/>
        <w:rPr>
          <w:szCs w:val="24"/>
        </w:rPr>
      </w:pPr>
    </w:p>
    <w:p w:rsidR="00D10560" w:rsidRDefault="00D10560" w:rsidP="0014144D">
      <w:pPr>
        <w:spacing w:before="120" w:after="120"/>
        <w:rPr>
          <w:szCs w:val="24"/>
        </w:rPr>
      </w:pPr>
    </w:p>
    <w:p w:rsidR="00D10560" w:rsidRPr="00D43DB9" w:rsidRDefault="00D10560" w:rsidP="0014144D">
      <w:pPr>
        <w:spacing w:before="120" w:after="120"/>
        <w:rPr>
          <w:sz w:val="22"/>
          <w:szCs w:val="24"/>
        </w:rPr>
      </w:pPr>
    </w:p>
    <w:p w:rsidR="00D10560" w:rsidRPr="00D43DB9" w:rsidRDefault="00D10560" w:rsidP="0014144D">
      <w:pPr>
        <w:spacing w:before="120" w:after="120"/>
        <w:rPr>
          <w:rFonts w:ascii="Arial" w:hAnsi="Arial" w:cs="Arial"/>
          <w:b/>
          <w:sz w:val="22"/>
          <w:szCs w:val="24"/>
        </w:rPr>
      </w:pPr>
      <w:r w:rsidRPr="00D43DB9">
        <w:rPr>
          <w:rFonts w:ascii="Arial" w:hAnsi="Arial" w:cs="Arial"/>
          <w:b/>
          <w:sz w:val="22"/>
          <w:szCs w:val="24"/>
        </w:rPr>
        <w:t>Verna Kearney</w:t>
      </w:r>
    </w:p>
    <w:p w:rsidR="00D10560" w:rsidRPr="00D43DB9" w:rsidRDefault="00D10560" w:rsidP="0014144D">
      <w:pPr>
        <w:spacing w:before="120" w:after="120"/>
        <w:rPr>
          <w:rFonts w:ascii="Arial" w:hAnsi="Arial" w:cs="Arial"/>
          <w:sz w:val="22"/>
          <w:szCs w:val="24"/>
        </w:rPr>
      </w:pPr>
      <w:r w:rsidRPr="00D43DB9">
        <w:rPr>
          <w:rFonts w:ascii="Arial" w:hAnsi="Arial" w:cs="Arial"/>
          <w:sz w:val="22"/>
          <w:szCs w:val="24"/>
        </w:rPr>
        <w:t>Acting Directory</w:t>
      </w:r>
    </w:p>
    <w:p w:rsidR="00D10560" w:rsidRPr="00D43DB9" w:rsidRDefault="00D10560" w:rsidP="0014144D">
      <w:pPr>
        <w:spacing w:before="120" w:after="120"/>
        <w:rPr>
          <w:rFonts w:ascii="Arial" w:hAnsi="Arial" w:cs="Arial"/>
          <w:sz w:val="22"/>
          <w:szCs w:val="24"/>
        </w:rPr>
      </w:pPr>
      <w:r w:rsidRPr="00D43DB9">
        <w:rPr>
          <w:rFonts w:ascii="Arial" w:hAnsi="Arial" w:cs="Arial"/>
          <w:sz w:val="22"/>
          <w:szCs w:val="24"/>
        </w:rPr>
        <w:t>Participation Branch</w:t>
      </w:r>
    </w:p>
    <w:sectPr w:rsidR="00D10560" w:rsidRPr="00D43DB9" w:rsidSect="00CC7B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99" w:right="992" w:bottom="1258" w:left="1260" w:header="56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36" w:rsidRDefault="00831136" w:rsidP="00846881">
      <w:r>
        <w:separator/>
      </w:r>
    </w:p>
  </w:endnote>
  <w:endnote w:type="continuationSeparator" w:id="0">
    <w:p w:rsidR="00831136" w:rsidRDefault="0083113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5E" w:rsidRDefault="00CC7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5E" w:rsidRDefault="00CC7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4A" w:rsidRPr="009D5D01" w:rsidRDefault="00D0414A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CC7B5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D0414A" w:rsidRDefault="00D0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36" w:rsidRDefault="00831136" w:rsidP="00846881">
      <w:r>
        <w:separator/>
      </w:r>
    </w:p>
  </w:footnote>
  <w:footnote w:type="continuationSeparator" w:id="0">
    <w:p w:rsidR="00831136" w:rsidRDefault="00831136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5E" w:rsidRDefault="00CC7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5E" w:rsidRDefault="00CC7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5E" w:rsidRDefault="00CC7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C1D8A"/>
    <w:multiLevelType w:val="hybridMultilevel"/>
    <w:tmpl w:val="BB96E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63616"/>
    <w:rsid w:val="000701E5"/>
    <w:rsid w:val="0008021C"/>
    <w:rsid w:val="000901F6"/>
    <w:rsid w:val="000A28AF"/>
    <w:rsid w:val="000C3753"/>
    <w:rsid w:val="000C782C"/>
    <w:rsid w:val="000E181D"/>
    <w:rsid w:val="00105130"/>
    <w:rsid w:val="001079BD"/>
    <w:rsid w:val="001214D4"/>
    <w:rsid w:val="00125617"/>
    <w:rsid w:val="001411A4"/>
    <w:rsid w:val="0014144D"/>
    <w:rsid w:val="00161B14"/>
    <w:rsid w:val="00181F47"/>
    <w:rsid w:val="001A206F"/>
    <w:rsid w:val="001C0117"/>
    <w:rsid w:val="001C4930"/>
    <w:rsid w:val="001D2F77"/>
    <w:rsid w:val="00206E94"/>
    <w:rsid w:val="00213CB1"/>
    <w:rsid w:val="00234DCA"/>
    <w:rsid w:val="00241DCD"/>
    <w:rsid w:val="00261F80"/>
    <w:rsid w:val="00264866"/>
    <w:rsid w:val="002831C1"/>
    <w:rsid w:val="00284B19"/>
    <w:rsid w:val="002A24E2"/>
    <w:rsid w:val="002B5E86"/>
    <w:rsid w:val="002D0BFF"/>
    <w:rsid w:val="002D5296"/>
    <w:rsid w:val="002F0511"/>
    <w:rsid w:val="00322BD0"/>
    <w:rsid w:val="00340366"/>
    <w:rsid w:val="00352C50"/>
    <w:rsid w:val="00384947"/>
    <w:rsid w:val="00394AC7"/>
    <w:rsid w:val="003A68DB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2F85"/>
    <w:rsid w:val="00505EC2"/>
    <w:rsid w:val="00506F42"/>
    <w:rsid w:val="00536E60"/>
    <w:rsid w:val="00540C9F"/>
    <w:rsid w:val="005543E8"/>
    <w:rsid w:val="00583630"/>
    <w:rsid w:val="00590B75"/>
    <w:rsid w:val="00597427"/>
    <w:rsid w:val="005B4815"/>
    <w:rsid w:val="005E1085"/>
    <w:rsid w:val="005F153D"/>
    <w:rsid w:val="006254CC"/>
    <w:rsid w:val="00626260"/>
    <w:rsid w:val="006344F3"/>
    <w:rsid w:val="006409D9"/>
    <w:rsid w:val="00651785"/>
    <w:rsid w:val="006855AE"/>
    <w:rsid w:val="00687039"/>
    <w:rsid w:val="006935A8"/>
    <w:rsid w:val="006935C4"/>
    <w:rsid w:val="00696854"/>
    <w:rsid w:val="006A1696"/>
    <w:rsid w:val="006A5387"/>
    <w:rsid w:val="006B1B89"/>
    <w:rsid w:val="006D4561"/>
    <w:rsid w:val="006F252B"/>
    <w:rsid w:val="00717852"/>
    <w:rsid w:val="00722C6E"/>
    <w:rsid w:val="007548D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7D88"/>
    <w:rsid w:val="007E59F5"/>
    <w:rsid w:val="007F699C"/>
    <w:rsid w:val="007F7495"/>
    <w:rsid w:val="00802E41"/>
    <w:rsid w:val="00813145"/>
    <w:rsid w:val="00831136"/>
    <w:rsid w:val="00846881"/>
    <w:rsid w:val="0085458B"/>
    <w:rsid w:val="00867D3A"/>
    <w:rsid w:val="00880ACA"/>
    <w:rsid w:val="0089186A"/>
    <w:rsid w:val="008B57C4"/>
    <w:rsid w:val="008C02AC"/>
    <w:rsid w:val="008D1893"/>
    <w:rsid w:val="008E2680"/>
    <w:rsid w:val="008E2DD6"/>
    <w:rsid w:val="008E53DE"/>
    <w:rsid w:val="008F3646"/>
    <w:rsid w:val="00903B41"/>
    <w:rsid w:val="00933C17"/>
    <w:rsid w:val="00965E53"/>
    <w:rsid w:val="009706F1"/>
    <w:rsid w:val="00976C76"/>
    <w:rsid w:val="009843BA"/>
    <w:rsid w:val="0099526E"/>
    <w:rsid w:val="009C7B4C"/>
    <w:rsid w:val="009D5D01"/>
    <w:rsid w:val="009E3636"/>
    <w:rsid w:val="009F0CA5"/>
    <w:rsid w:val="00A011F2"/>
    <w:rsid w:val="00A04A84"/>
    <w:rsid w:val="00A05E12"/>
    <w:rsid w:val="00A14B2D"/>
    <w:rsid w:val="00A2083F"/>
    <w:rsid w:val="00A24A30"/>
    <w:rsid w:val="00A66DA8"/>
    <w:rsid w:val="00A83FB3"/>
    <w:rsid w:val="00A9135E"/>
    <w:rsid w:val="00AB0D48"/>
    <w:rsid w:val="00AD0AF3"/>
    <w:rsid w:val="00AF0514"/>
    <w:rsid w:val="00B11D3D"/>
    <w:rsid w:val="00B21FF1"/>
    <w:rsid w:val="00B33E4F"/>
    <w:rsid w:val="00B41E45"/>
    <w:rsid w:val="00B435C6"/>
    <w:rsid w:val="00B5136F"/>
    <w:rsid w:val="00B632F5"/>
    <w:rsid w:val="00BA4DA4"/>
    <w:rsid w:val="00BF285C"/>
    <w:rsid w:val="00C151BB"/>
    <w:rsid w:val="00C373FC"/>
    <w:rsid w:val="00C75A39"/>
    <w:rsid w:val="00C83B90"/>
    <w:rsid w:val="00C87B8B"/>
    <w:rsid w:val="00CA0D2E"/>
    <w:rsid w:val="00CB16A1"/>
    <w:rsid w:val="00CC7273"/>
    <w:rsid w:val="00CC7B5E"/>
    <w:rsid w:val="00CD0632"/>
    <w:rsid w:val="00CE41BB"/>
    <w:rsid w:val="00CE682F"/>
    <w:rsid w:val="00CE69B8"/>
    <w:rsid w:val="00CF40A6"/>
    <w:rsid w:val="00CF6891"/>
    <w:rsid w:val="00D0414A"/>
    <w:rsid w:val="00D10560"/>
    <w:rsid w:val="00D22C4A"/>
    <w:rsid w:val="00D33418"/>
    <w:rsid w:val="00D43DB9"/>
    <w:rsid w:val="00D53A53"/>
    <w:rsid w:val="00D72B00"/>
    <w:rsid w:val="00D83221"/>
    <w:rsid w:val="00DB01D8"/>
    <w:rsid w:val="00DD6095"/>
    <w:rsid w:val="00DD6855"/>
    <w:rsid w:val="00E320A4"/>
    <w:rsid w:val="00E37174"/>
    <w:rsid w:val="00E6663B"/>
    <w:rsid w:val="00E91E6B"/>
    <w:rsid w:val="00EE4BD9"/>
    <w:rsid w:val="00EE5E95"/>
    <w:rsid w:val="00F034E1"/>
    <w:rsid w:val="00F11CAC"/>
    <w:rsid w:val="00F13367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ining/providers/learnlocal/Pages/pqf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e.mybookingmanager.com/E542048133094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.mybookingmanager.com/E51422413229868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Learn Local Staff Development Pre-Accredited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C6BF9-67F4-4F90-8A49-C349A6FB804E}"/>
</file>

<file path=customXml/itemProps2.xml><?xml version="1.0" encoding="utf-8"?>
<ds:datastoreItem xmlns:ds="http://schemas.openxmlformats.org/officeDocument/2006/customXml" ds:itemID="{21D34596-53C1-4B4F-8980-143B2CAF6BB6}"/>
</file>

<file path=customXml/itemProps3.xml><?xml version="1.0" encoding="utf-8"?>
<ds:datastoreItem xmlns:ds="http://schemas.openxmlformats.org/officeDocument/2006/customXml" ds:itemID="{36824E25-4FE0-4DBE-B890-F1CB4039085A}"/>
</file>

<file path=customXml/itemProps4.xml><?xml version="1.0" encoding="utf-8"?>
<ds:datastoreItem xmlns:ds="http://schemas.openxmlformats.org/officeDocument/2006/customXml" ds:itemID="{3CC37B16-43FC-48AC-AEB1-E41EE69584A3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27</TotalTime>
  <Pages>2</Pages>
  <Words>308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staff development opportunities - pre-accredited programs</vt:lpstr>
    </vt:vector>
  </TitlesOfParts>
  <Company>Dept. Of Education and Training (DE&amp;T)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staff development opportunities - pre-accredited programs</dc:title>
  <dc:subject/>
  <dc:creator>08306670</dc:creator>
  <cp:keywords/>
  <dc:description/>
  <cp:lastModifiedBy>Kene, Effie E</cp:lastModifiedBy>
  <cp:revision>10</cp:revision>
  <cp:lastPrinted>2015-05-20T03:20:00Z</cp:lastPrinted>
  <dcterms:created xsi:type="dcterms:W3CDTF">2015-05-20T03:10:00Z</dcterms:created>
  <dcterms:modified xsi:type="dcterms:W3CDTF">2015-05-22T03:18:00Z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RoutingRuleDescription">
    <vt:lpwstr/>
  </property>
</Properties>
</file>