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0756EB" w:rsidRPr="008F3646" w14:paraId="66B13B77" w14:textId="77777777" w:rsidTr="00004045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B5D26" w14:textId="77777777" w:rsidR="000756EB" w:rsidRPr="008F3646" w:rsidRDefault="000756EB" w:rsidP="00004045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4E267B7" wp14:editId="0CB1B7FE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4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2806274" w14:textId="77777777" w:rsidR="00A97A9C" w:rsidRPr="00633C39" w:rsidRDefault="00A97A9C" w:rsidP="000756EB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524DC558" w14:textId="77777777" w:rsidR="00A97A9C" w:rsidRPr="006F3F2F" w:rsidRDefault="00A97A9C" w:rsidP="000756EB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0C98AC92" w14:textId="77777777" w:rsidR="00A97A9C" w:rsidRPr="006F3F2F" w:rsidRDefault="00A97A9C" w:rsidP="000756EB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8210A38" w14:textId="77777777" w:rsidR="00A97A9C" w:rsidRPr="00633C39" w:rsidRDefault="00A97A9C" w:rsidP="000756EB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91F47E" w14:textId="77777777" w:rsidR="00A97A9C" w:rsidRPr="00633C39" w:rsidRDefault="00A97A9C" w:rsidP="000756EB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Department of Education and Early Childhood Development</w:t>
                                    </w:r>
                                  </w:p>
                                  <w:p w14:paraId="285D39B3" w14:textId="77777777" w:rsidR="00A97A9C" w:rsidRDefault="00A97A9C" w:rsidP="000756EB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zrr8AA&#10;AADaAAAADwAAAGRycy9kb3ducmV2LnhtbESPQYvCMBSE74L/ITzB25pqcZFqFBEEb2KVhb09mmdT&#10;bF5iE7X77zcLCx6HmfmGWW1624ondaFxrGA6yUAQV043XCu4nPcfCxAhImtsHZOCHwqwWQ8HKyy0&#10;e/GJnmWsRYJwKFCBidEXUobKkMUwcZ44eVfXWYxJdrXUHb4S3LZylmWf0mLDacGgp52h6lY+rILv&#10;/Ouu/bHcVa2Z5j738jTPpFLjUb9dgojUx3f4v33QCubwdyXdALn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zrr8AAAADaAAAADwAAAAAAAAAAAAAAAACYAgAAZHJzL2Rvd25y&#10;ZXYueG1sUEsFBgAAAAAEAAQA9QAAAIUDAAAAAA==&#10;" fillcolor="black">
                        <v:textbox style="mso-fit-shape-to-text:t">
                          <w:txbxContent>
                            <w:p w14:paraId="42806274" w14:textId="77777777" w:rsidR="000756EB" w:rsidRPr="00633C39" w:rsidRDefault="000756EB" w:rsidP="000756EB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524DC558" w14:textId="77777777" w:rsidR="000756EB" w:rsidRPr="006F3F2F" w:rsidRDefault="000756EB" w:rsidP="000756EB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0C98AC92" w14:textId="77777777" w:rsidR="000756EB" w:rsidRPr="006F3F2F" w:rsidRDefault="000756EB" w:rsidP="000756EB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17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5VGr8A&#10;AADaAAAADwAAAGRycy9kb3ducmV2LnhtbESPQYvCMBSE74L/ITzBS9FUBZVqFCmIexPdxfOjebbF&#10;5qU0qa3/3iwIHoeZ+YbZ7ntTiSc1rrSsYDaNQRBnVpecK/j7PU7WIJxH1lhZJgUvcrDfDQdbTLTt&#10;+ELPq89FgLBLUEHhfZ1I6bKCDLqprYmDd7eNQR9kk0vdYBfgppLzOF5KgyWHhQJrSgvKHtfWBEq3&#10;OkWz0+JWPaLWp3iOUulapcaj/rAB4an33/Cn/aMVLOH/SrgBcvc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TlUavwAAANoAAAAPAAAAAAAAAAAAAAAAAJgCAABkcnMvZG93bnJl&#10;di54bWxQSwUGAAAAAAQABAD1AAAAhAMAAAAA&#10;" fillcolor="#bfbfbf">
                        <v:textbox>
                          <w:txbxContent>
                            <w:p w14:paraId="58210A38" w14:textId="77777777" w:rsidR="000756EB" w:rsidRPr="00633C39" w:rsidRDefault="000756EB" w:rsidP="000756EB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18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lxQMQA&#10;AADaAAAADwAAAGRycy9kb3ducmV2LnhtbESPzW7CMBCE70i8g7VIXFBxqBBpUwzqX6DHNuEBVvE2&#10;SROvo9hAeHuMhNTjaGa+0ay3g2nFiXpXW1awmEcgiAuray4VHPL04QmE88gaW8uk4EIOtpvxaI2J&#10;tmf+oVPmSxEg7BJUUHnfJVK6oiKDbm474uD92t6gD7Ivpe7xHOCmlY9RtJIGaw4LFXb0XlHRZEej&#10;oClXy7w9uLe/73hPu8VzM0s/PpWaTobXFxCeBv8fvre/tIIYblfCDZ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5cUDEAAAA2gAAAA8AAAAAAAAAAAAAAAAAmAIAAGRycy9k&#10;b3ducmV2LnhtbFBLBQYAAAAABAAEAPUAAACJAwAAAAA=&#10;" fillcolor="#1f497d">
                        <v:textbox>
                          <w:txbxContent>
                            <w:p w14:paraId="0691F47E" w14:textId="77777777" w:rsidR="000756EB" w:rsidRPr="00633C39" w:rsidRDefault="000756EB" w:rsidP="000756EB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Department of Education and Early Childhood Development</w:t>
                              </w:r>
                            </w:p>
                            <w:p w14:paraId="285D39B3" w14:textId="77777777" w:rsidR="000756EB" w:rsidRDefault="000756EB" w:rsidP="000756EB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38433B11" w14:textId="77777777" w:rsidR="000756EB" w:rsidRDefault="000756EB" w:rsidP="000756EB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63DD82A" w14:textId="77777777" w:rsidR="000756EB" w:rsidRDefault="000756EB" w:rsidP="000756EB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D9A86B2" w14:textId="77777777" w:rsidR="000756EB" w:rsidRDefault="000756EB" w:rsidP="000756EB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C2E206B" w14:textId="77777777" w:rsidR="000756EB" w:rsidRDefault="000756EB" w:rsidP="000756EB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9EAD33" w14:textId="77777777" w:rsidR="000756EB" w:rsidRDefault="000756EB" w:rsidP="000756EB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32672876" w14:textId="540E4E9D" w:rsidR="000756EB" w:rsidRPr="00744E0A" w:rsidRDefault="000756EB" w:rsidP="000756EB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2014 / </w:t>
      </w:r>
      <w:r w:rsidR="00B56F21">
        <w:rPr>
          <w:rFonts w:ascii="Arial" w:hAnsi="Arial"/>
          <w:i/>
          <w:color w:val="000000"/>
          <w:sz w:val="22"/>
          <w:szCs w:val="24"/>
          <w:lang w:val="en-GB" w:eastAsia="en-US"/>
        </w:rPr>
        <w:t>December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</w:t>
      </w:r>
      <w:r w:rsidR="00B56F21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09</w:t>
      </w:r>
    </w:p>
    <w:p w14:paraId="3A8813C7" w14:textId="77777777" w:rsidR="000756EB" w:rsidRDefault="000756EB" w:rsidP="000756EB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0756EB" w:rsidRPr="006F3F2F" w14:paraId="21054399" w14:textId="77777777" w:rsidTr="00004045">
        <w:trPr>
          <w:trHeight w:val="786"/>
        </w:trPr>
        <w:tc>
          <w:tcPr>
            <w:tcW w:w="3119" w:type="dxa"/>
            <w:shd w:val="clear" w:color="auto" w:fill="auto"/>
          </w:tcPr>
          <w:p w14:paraId="116B9C20" w14:textId="77777777" w:rsidR="000756EB" w:rsidRPr="006F3F2F" w:rsidRDefault="000756EB" w:rsidP="00004045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</w:tc>
        <w:tc>
          <w:tcPr>
            <w:tcW w:w="3261" w:type="dxa"/>
            <w:shd w:val="clear" w:color="auto" w:fill="auto"/>
          </w:tcPr>
          <w:p w14:paraId="68514181" w14:textId="77777777" w:rsidR="000756EB" w:rsidRPr="006F3F2F" w:rsidRDefault="000756EB" w:rsidP="00004045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4110" w:type="dxa"/>
            <w:shd w:val="clear" w:color="auto" w:fill="auto"/>
          </w:tcPr>
          <w:p w14:paraId="104ACF74" w14:textId="77777777" w:rsidR="000756EB" w:rsidRPr="005E68F4" w:rsidRDefault="000756EB" w:rsidP="00004045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strike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Participation Branch staff</w:t>
            </w:r>
          </w:p>
        </w:tc>
      </w:tr>
    </w:tbl>
    <w:p w14:paraId="61FF0FBC" w14:textId="77777777" w:rsidR="000756EB" w:rsidRPr="00044F8A" w:rsidRDefault="000756EB" w:rsidP="000756EB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110B8042" w14:textId="77777777" w:rsidR="000756EB" w:rsidRPr="00044F8A" w:rsidRDefault="000756EB" w:rsidP="000756EB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>
        <w:rPr>
          <w:rFonts w:ascii="Arial" w:hAnsi="Arial"/>
          <w:color w:val="000000"/>
          <w:sz w:val="22"/>
          <w:szCs w:val="24"/>
          <w:lang w:val="en-GB" w:eastAsia="en-US"/>
        </w:rPr>
        <w:t>Bronwen Heathfield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0144191B" w14:textId="66B4AEF7" w:rsidR="000756EB" w:rsidRPr="001C4930" w:rsidRDefault="000756EB" w:rsidP="000756EB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B56F21">
        <w:rPr>
          <w:rFonts w:ascii="Arial" w:hAnsi="Arial"/>
          <w:color w:val="000000"/>
          <w:sz w:val="22"/>
          <w:lang w:val="en-GB" w:eastAsia="en-US"/>
        </w:rPr>
        <w:t>9 December 2014</w:t>
      </w:r>
    </w:p>
    <w:p w14:paraId="2C83CBF8" w14:textId="77777777" w:rsidR="000756EB" w:rsidRPr="00044F8A" w:rsidRDefault="000756EB" w:rsidP="000756EB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>
        <w:rPr>
          <w:rFonts w:ascii="Arial" w:hAnsi="Arial"/>
          <w:i/>
          <w:color w:val="000000"/>
          <w:sz w:val="22"/>
          <w:lang w:val="en-GB" w:eastAsia="en-US"/>
        </w:rPr>
        <w:t xml:space="preserve">Advice for end-of </w:t>
      </w:r>
      <w:bookmarkStart w:id="0" w:name="_GoBack"/>
      <w:bookmarkEnd w:id="0"/>
      <w:r>
        <w:rPr>
          <w:rFonts w:ascii="Arial" w:hAnsi="Arial"/>
          <w:i/>
          <w:color w:val="000000"/>
          <w:sz w:val="22"/>
          <w:lang w:val="en-GB" w:eastAsia="en-US"/>
        </w:rPr>
        <w:t xml:space="preserve">year pre-accredited data reporting </w:t>
      </w:r>
    </w:p>
    <w:p w14:paraId="5734B48C" w14:textId="77777777" w:rsidR="000756EB" w:rsidRPr="00044F8A" w:rsidRDefault="000756EB" w:rsidP="000756EB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1BFF40D5" w14:textId="77777777" w:rsidR="000756EB" w:rsidRPr="00044F8A" w:rsidRDefault="000756EB" w:rsidP="0007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</w:t>
      </w:r>
      <w:r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2A66DEB5" w14:textId="77777777" w:rsidR="000756EB" w:rsidRDefault="000756EB" w:rsidP="000756EB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To ensure the timely submission of pre-accredited enrolment data via SVTS, a</w:t>
      </w:r>
      <w:r w:rsidRPr="005E68F4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ll </w:t>
      </w: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Learn Local Organisations registered with the </w:t>
      </w:r>
      <w:r w:rsidRPr="005E68F4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ACFE Board must</w:t>
      </w: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:</w:t>
      </w:r>
    </w:p>
    <w:p w14:paraId="477A897D" w14:textId="77777777" w:rsidR="000756EB" w:rsidRDefault="000756EB" w:rsidP="0007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26"/>
          <w:tab w:val="left" w:pos="672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ab/>
        <w:t xml:space="preserve">i) </w:t>
      </w:r>
      <w:proofErr w:type="gramStart"/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ensure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all pre-accredited students are assigned an appropriate Outcome Identifier code; and </w:t>
      </w:r>
    </w:p>
    <w:p w14:paraId="42F9620B" w14:textId="77777777" w:rsidR="000756EB" w:rsidRDefault="000756EB" w:rsidP="0007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26"/>
          <w:tab w:val="left" w:pos="672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i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ab/>
        <w:t xml:space="preserve">ii) </w:t>
      </w:r>
      <w:proofErr w:type="gramStart"/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provide</w:t>
      </w:r>
      <w:proofErr w:type="gramEnd"/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a final data submission for the 2014 calendar year by close of business, 15 </w:t>
      </w:r>
      <w:r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ab/>
        <w:t>January 2015.</w:t>
      </w:r>
    </w:p>
    <w:p w14:paraId="74330D78" w14:textId="77777777" w:rsidR="000756EB" w:rsidRPr="006E6B6B" w:rsidRDefault="000756EB" w:rsidP="000756E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426"/>
          <w:tab w:val="left" w:pos="672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Cs/>
          <w:i/>
          <w:color w:val="000000"/>
          <w:sz w:val="8"/>
          <w:szCs w:val="8"/>
          <w:lang w:eastAsia="en-US"/>
        </w:rPr>
      </w:pPr>
    </w:p>
    <w:p w14:paraId="6598ADC0" w14:textId="77777777" w:rsidR="000756EB" w:rsidRPr="002D7A7C" w:rsidRDefault="000756EB" w:rsidP="000756E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2D4E9404" w14:textId="77777777" w:rsidR="000756EB" w:rsidRDefault="000756EB" w:rsidP="000756E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</w:p>
    <w:p w14:paraId="4DFDE328" w14:textId="0FFED7B5" w:rsidR="00FB5110" w:rsidRDefault="00004894" w:rsidP="000756E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To support Learn Local providers in finalising their end of year data, this memorandum identifies a reporting issue that presently affects a large number of pre-accredited providers. It concerns the accurate reporting of student outcome codes.  </w:t>
      </w:r>
    </w:p>
    <w:p w14:paraId="75320B9A" w14:textId="77777777" w:rsidR="00004894" w:rsidRPr="00004894" w:rsidRDefault="00004894" w:rsidP="000756E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14"/>
          <w:szCs w:val="14"/>
          <w:lang w:eastAsia="en-US"/>
        </w:rPr>
      </w:pPr>
    </w:p>
    <w:p w14:paraId="14266BF7" w14:textId="4067D14E" w:rsidR="00004045" w:rsidRDefault="00004894" w:rsidP="000756E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A</w:t>
      </w:r>
      <w:r w:rsidR="00004045">
        <w:rPr>
          <w:rFonts w:ascii="Arial" w:hAnsi="Arial" w:cs="Arial"/>
          <w:bCs/>
          <w:color w:val="000000"/>
          <w:sz w:val="22"/>
          <w:szCs w:val="22"/>
          <w:lang w:eastAsia="en-US"/>
        </w:rPr>
        <w:t>ccura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te</w:t>
      </w:r>
      <w:r w:rsidR="0000404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pre-accredited data is important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for </w:t>
      </w:r>
      <w:r w:rsidR="00004045">
        <w:rPr>
          <w:rFonts w:ascii="Arial" w:hAnsi="Arial" w:cs="Arial"/>
          <w:bCs/>
          <w:color w:val="000000"/>
          <w:sz w:val="22"/>
          <w:szCs w:val="22"/>
          <w:lang w:eastAsia="en-US"/>
        </w:rPr>
        <w:t>inform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ing </w:t>
      </w:r>
      <w:r w:rsidR="0000404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 Department’s </w:t>
      </w:r>
      <w:r w:rsidR="00004045" w:rsidRPr="00004045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>Training Market Report</w:t>
      </w:r>
      <w:r w:rsidR="00004045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and also the ACFE Board’s </w:t>
      </w:r>
      <w:r w:rsidR="00272537">
        <w:rPr>
          <w:rFonts w:ascii="Arial" w:hAnsi="Arial" w:cs="Arial"/>
          <w:bCs/>
          <w:color w:val="000000"/>
          <w:sz w:val="22"/>
          <w:szCs w:val="22"/>
          <w:lang w:eastAsia="en-US"/>
        </w:rPr>
        <w:t>a</w:t>
      </w:r>
      <w:r w:rsidR="00004045" w:rsidRPr="00272537">
        <w:rPr>
          <w:rFonts w:ascii="Arial" w:hAnsi="Arial" w:cs="Arial"/>
          <w:bCs/>
          <w:color w:val="000000"/>
          <w:sz w:val="22"/>
          <w:szCs w:val="22"/>
          <w:lang w:eastAsia="en-US"/>
        </w:rPr>
        <w:t>nnual</w:t>
      </w:r>
      <w:r w:rsidR="00004045" w:rsidRPr="00004045">
        <w:rPr>
          <w:rFonts w:ascii="Arial" w:hAnsi="Arial" w:cs="Arial"/>
          <w:bCs/>
          <w:i/>
          <w:color w:val="000000"/>
          <w:sz w:val="22"/>
          <w:szCs w:val="22"/>
          <w:lang w:eastAsia="en-US"/>
        </w:rPr>
        <w:t xml:space="preserve"> Report to Parliament</w:t>
      </w:r>
      <w:r w:rsidR="00004045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  <w:r w:rsidR="00FB5110" w:rsidRPr="00FB511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</w:t>
      </w:r>
      <w:r w:rsidR="00FB5110">
        <w:rPr>
          <w:rFonts w:ascii="Arial" w:hAnsi="Arial" w:cs="Arial"/>
          <w:bCs/>
          <w:color w:val="000000"/>
          <w:sz w:val="22"/>
          <w:szCs w:val="22"/>
          <w:lang w:eastAsia="en-US"/>
        </w:rPr>
        <w:t>For final reporting of pre-accredited activity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for 2014</w:t>
      </w:r>
      <w:r w:rsidR="00FB511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Learn Locals </w:t>
      </w:r>
      <w:r w:rsidR="00FB511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must ensure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they report </w:t>
      </w:r>
      <w:r w:rsidR="00FB511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appropriate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student </w:t>
      </w:r>
      <w:r w:rsidR="00FB5110">
        <w:rPr>
          <w:rFonts w:ascii="Arial" w:hAnsi="Arial" w:cs="Arial"/>
          <w:bCs/>
          <w:color w:val="000000"/>
          <w:sz w:val="22"/>
          <w:szCs w:val="22"/>
          <w:lang w:eastAsia="en-US"/>
        </w:rPr>
        <w:t>outcome code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s</w:t>
      </w:r>
      <w:r w:rsidR="00FB5110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.  </w:t>
      </w:r>
    </w:p>
    <w:p w14:paraId="2108916A" w14:textId="77777777" w:rsidR="00004045" w:rsidRPr="00004894" w:rsidRDefault="00004045" w:rsidP="000756E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14"/>
          <w:szCs w:val="14"/>
          <w:lang w:eastAsia="en-US"/>
        </w:rPr>
      </w:pPr>
    </w:p>
    <w:p w14:paraId="0B10C701" w14:textId="02828811" w:rsidR="000756EB" w:rsidRDefault="00004894" w:rsidP="000756E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D</w:t>
      </w:r>
      <w:r w:rsidR="000756EB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uring December 2014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,</w:t>
      </w:r>
      <w:r w:rsidRPr="00004894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any data reported to the Department</w:t>
      </w:r>
      <w:r w:rsidR="000756EB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with </w:t>
      </w:r>
      <w:r w:rsidR="000756EB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temporary outcome codes will </w:t>
      </w:r>
      <w:r w:rsidR="00272537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now </w:t>
      </w:r>
      <w:r w:rsidR="000756EB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gene</w:t>
      </w:r>
      <w:r w:rsidR="0000404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rate an ‘Error’ status in SVTS. Temporary outcome </w:t>
      </w:r>
      <w:r w:rsidR="00004045" w:rsidRPr="00356732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code</w:t>
      </w:r>
      <w:r w:rsidR="0000404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s are no longer valid for 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students </w:t>
      </w:r>
      <w:r w:rsidR="00A97A9C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that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 w:rsidR="0000404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conclude 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pre-accredited </w:t>
      </w:r>
      <w:r w:rsidR="00A97A9C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training </w:t>
      </w:r>
      <w:r w:rsidR="0000404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in </w:t>
      </w:r>
      <w:r w:rsidR="00004045" w:rsidRPr="00BF00E9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the 2014 calendar year.</w:t>
      </w:r>
      <w:r w:rsidR="0000404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P</w:t>
      </w:r>
      <w:r w:rsidR="00272537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roviders 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affected with these Error reports </w:t>
      </w:r>
      <w:r w:rsidR="00272537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will need to successfully 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correct their SVTS data </w:t>
      </w:r>
      <w:r w:rsidR="00272537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in order to continue preparing a final </w:t>
      </w:r>
      <w:r w:rsidR="0000404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data </w:t>
      </w:r>
      <w:r w:rsidR="00272537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upload </w:t>
      </w:r>
      <w:r w:rsidR="0000404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to 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the Department</w:t>
      </w:r>
      <w:r w:rsidR="0000404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.</w:t>
      </w:r>
    </w:p>
    <w:p w14:paraId="50A6B3E5" w14:textId="77777777" w:rsidR="00272537" w:rsidRPr="00004894" w:rsidRDefault="00272537" w:rsidP="0027253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14"/>
          <w:szCs w:val="14"/>
          <w:lang w:eastAsia="en-US"/>
        </w:rPr>
      </w:pPr>
    </w:p>
    <w:p w14:paraId="4365A961" w14:textId="3786019E" w:rsidR="00004045" w:rsidRDefault="00272537" w:rsidP="000756E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Under the 2014 Common Funding Agreement, Learn Local providers are required to make a final SVTS data submission for their 2014 activity before close of business, 15 January 2015. Providers 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affected by Errors upon close of business, 15 January 2015 will become unable to submit </w:t>
      </w:r>
      <w:r w:rsidR="0000404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a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ny further </w:t>
      </w:r>
      <w:r w:rsidR="005C08C9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2014</w:t>
      </w:r>
      <w:r w:rsidR="00004045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 data to SVTS</w:t>
      </w: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. This may have a direct impact on final funding reconciliation for 2014, potentially resulting in the Department requesting the return of previously allocated funding. </w:t>
      </w:r>
    </w:p>
    <w:p w14:paraId="24C49E17" w14:textId="77777777" w:rsidR="00004045" w:rsidRPr="00004894" w:rsidRDefault="00004045" w:rsidP="000756EB">
      <w:pPr>
        <w:tabs>
          <w:tab w:val="left" w:pos="0"/>
        </w:tabs>
        <w:ind w:right="397"/>
        <w:rPr>
          <w:rFonts w:ascii="Arial" w:hAnsi="Arial" w:cs="Arial"/>
          <w:bCs/>
          <w:color w:val="000000"/>
          <w:sz w:val="14"/>
          <w:szCs w:val="14"/>
          <w:lang w:eastAsia="en-US"/>
        </w:rPr>
      </w:pPr>
    </w:p>
    <w:p w14:paraId="3F66248E" w14:textId="77777777" w:rsidR="000756EB" w:rsidRDefault="000756EB" w:rsidP="000756E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US" w:eastAsia="en-US"/>
        </w:rPr>
      </w:pPr>
      <w:r w:rsidRPr="006E6B6B"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>Pre-accredited students must be assigned either of the following Outcome Identifier codes:</w:t>
      </w:r>
    </w:p>
    <w:p w14:paraId="4C953786" w14:textId="77777777" w:rsidR="000756EB" w:rsidRPr="00A97A9C" w:rsidRDefault="000756EB" w:rsidP="000756E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12"/>
          <w:szCs w:val="12"/>
          <w:lang w:val="en-US" w:eastAsia="en-US"/>
        </w:rPr>
      </w:pPr>
    </w:p>
    <w:p w14:paraId="137FE4A7" w14:textId="77777777" w:rsidR="000756EB" w:rsidRDefault="000756EB" w:rsidP="000756EB">
      <w:pPr>
        <w:pStyle w:val="ListParagraph"/>
        <w:numPr>
          <w:ilvl w:val="0"/>
          <w:numId w:val="13"/>
        </w:numPr>
        <w:tabs>
          <w:tab w:val="left" w:pos="0"/>
        </w:tabs>
        <w:ind w:left="426" w:right="39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’</w:t>
      </w:r>
      <w:r>
        <w:rPr>
          <w:rFonts w:ascii="Arial" w:hAnsi="Arial" w:cs="Arial"/>
          <w:bCs/>
          <w:i/>
          <w:color w:val="000000"/>
        </w:rPr>
        <w:t>81</w:t>
      </w:r>
      <w:r w:rsidRPr="00356732">
        <w:rPr>
          <w:rFonts w:ascii="Arial" w:hAnsi="Arial" w:cs="Arial"/>
          <w:bCs/>
          <w:i/>
          <w:color w:val="000000"/>
        </w:rPr>
        <w:t xml:space="preserve"> – </w:t>
      </w:r>
      <w:r>
        <w:rPr>
          <w:rFonts w:ascii="Arial" w:hAnsi="Arial" w:cs="Arial"/>
          <w:bCs/>
          <w:i/>
          <w:color w:val="000000"/>
        </w:rPr>
        <w:t>Non-assessable enrolment – satisfactorily completed</w:t>
      </w:r>
      <w:r>
        <w:rPr>
          <w:rFonts w:ascii="Arial" w:hAnsi="Arial" w:cs="Arial"/>
          <w:bCs/>
          <w:color w:val="000000"/>
        </w:rPr>
        <w:t>’</w:t>
      </w:r>
    </w:p>
    <w:p w14:paraId="2C738D65" w14:textId="77777777" w:rsidR="000756EB" w:rsidRDefault="000756EB" w:rsidP="000756EB">
      <w:pPr>
        <w:pStyle w:val="ListParagraph"/>
        <w:numPr>
          <w:ilvl w:val="0"/>
          <w:numId w:val="13"/>
        </w:numPr>
        <w:tabs>
          <w:tab w:val="left" w:pos="0"/>
        </w:tabs>
        <w:ind w:left="426" w:right="397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’</w:t>
      </w:r>
      <w:r>
        <w:rPr>
          <w:rFonts w:ascii="Arial" w:hAnsi="Arial" w:cs="Arial"/>
          <w:bCs/>
          <w:i/>
          <w:color w:val="000000"/>
        </w:rPr>
        <w:t>82</w:t>
      </w:r>
      <w:r w:rsidRPr="00356732">
        <w:rPr>
          <w:rFonts w:ascii="Arial" w:hAnsi="Arial" w:cs="Arial"/>
          <w:bCs/>
          <w:i/>
          <w:color w:val="000000"/>
        </w:rPr>
        <w:t xml:space="preserve"> – </w:t>
      </w:r>
      <w:r>
        <w:rPr>
          <w:rFonts w:ascii="Arial" w:hAnsi="Arial" w:cs="Arial"/>
          <w:bCs/>
          <w:i/>
          <w:color w:val="000000"/>
        </w:rPr>
        <w:t>Non-assessable enrolment – Withdrawn or not satisfactorily completed</w:t>
      </w:r>
      <w:r>
        <w:rPr>
          <w:rFonts w:ascii="Arial" w:hAnsi="Arial" w:cs="Arial"/>
          <w:bCs/>
          <w:color w:val="000000"/>
        </w:rPr>
        <w:t>’</w:t>
      </w:r>
    </w:p>
    <w:p w14:paraId="68043468" w14:textId="77777777" w:rsidR="000756EB" w:rsidRDefault="000756EB" w:rsidP="000756E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US"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val="en-US" w:eastAsia="en-US"/>
        </w:rPr>
        <w:t xml:space="preserve">The assignment of these codes will depend on any given pre-accredited student’s enrolment completion status. </w:t>
      </w:r>
    </w:p>
    <w:p w14:paraId="75B3D436" w14:textId="77777777" w:rsidR="000756EB" w:rsidRPr="00004894" w:rsidRDefault="000756EB" w:rsidP="000756EB">
      <w:pPr>
        <w:overflowPunct/>
        <w:autoSpaceDE/>
        <w:autoSpaceDN/>
        <w:adjustRightInd/>
        <w:ind w:right="397"/>
        <w:textAlignment w:val="auto"/>
        <w:rPr>
          <w:rFonts w:ascii="Arial" w:hAnsi="Arial" w:cs="Arial"/>
          <w:bCs/>
          <w:color w:val="000000"/>
          <w:sz w:val="14"/>
          <w:szCs w:val="14"/>
          <w:lang w:eastAsia="en-US"/>
        </w:rPr>
      </w:pPr>
    </w:p>
    <w:p w14:paraId="0EE11C33" w14:textId="77777777" w:rsidR="000756EB" w:rsidRDefault="000756EB" w:rsidP="000756E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Learn Local organisation’s </w:t>
      </w:r>
      <w:r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compliance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processes </w:t>
      </w:r>
      <w:r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>will vary according to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the </w:t>
      </w:r>
      <w:r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>Student Management System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s they use</w:t>
      </w:r>
      <w:r w:rsidRPr="00782354">
        <w:rPr>
          <w:rFonts w:ascii="Arial" w:hAnsi="Arial" w:cs="Arial"/>
          <w:bCs/>
          <w:color w:val="000000"/>
          <w:sz w:val="22"/>
          <w:szCs w:val="22"/>
          <w:lang w:eastAsia="en-US"/>
        </w:rPr>
        <w:t>.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Please contact your SMS vendor for help with meeting these data requirements. </w:t>
      </w:r>
    </w:p>
    <w:p w14:paraId="6D037850" w14:textId="77777777" w:rsidR="000756EB" w:rsidRPr="00A97A9C" w:rsidRDefault="000756EB" w:rsidP="000756EB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14"/>
          <w:szCs w:val="14"/>
          <w:lang w:eastAsia="en-US"/>
        </w:rPr>
      </w:pPr>
    </w:p>
    <w:p w14:paraId="22BE0177" w14:textId="16E9833B" w:rsidR="009834D2" w:rsidRPr="000756EB" w:rsidRDefault="000756EB" w:rsidP="00272537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</w:pPr>
      <w:r w:rsidRPr="00F15DD6">
        <w:rPr>
          <w:rFonts w:ascii="Arial" w:hAnsi="Arial" w:cs="Arial"/>
          <w:bCs/>
          <w:color w:val="000000"/>
          <w:sz w:val="22"/>
          <w:szCs w:val="22"/>
          <w:lang w:eastAsia="en-US"/>
        </w:rPr>
        <w:t>If you have detailed questions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 on these requirements</w:t>
      </w:r>
      <w:r w:rsidRPr="00F15DD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, please </w:t>
      </w:r>
      <w:r>
        <w:rPr>
          <w:rFonts w:ascii="Arial" w:hAnsi="Arial" w:cs="Arial"/>
          <w:bCs/>
          <w:color w:val="000000"/>
          <w:sz w:val="22"/>
          <w:szCs w:val="22"/>
          <w:lang w:eastAsia="en-US"/>
        </w:rPr>
        <w:t>submit an SVTS Provider Enquiry</w:t>
      </w:r>
      <w:r w:rsidRPr="00F15DD6">
        <w:rPr>
          <w:rFonts w:ascii="Arial" w:hAnsi="Arial" w:cs="Arial"/>
          <w:bCs/>
          <w:color w:val="000000"/>
          <w:sz w:val="22"/>
          <w:szCs w:val="22"/>
          <w:lang w:eastAsia="en-US"/>
        </w:rPr>
        <w:t xml:space="preserve">. </w:t>
      </w:r>
    </w:p>
    <w:sectPr w:rsidR="009834D2" w:rsidRPr="000756EB" w:rsidSect="00056293">
      <w:headerReference w:type="first" r:id="rId9"/>
      <w:footerReference w:type="first" r:id="rId10"/>
      <w:pgSz w:w="11907" w:h="16840" w:code="9"/>
      <w:pgMar w:top="899" w:right="992" w:bottom="993" w:left="1276" w:header="567" w:footer="12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2F99E" w14:textId="77777777" w:rsidR="00A97A9C" w:rsidRDefault="00A97A9C" w:rsidP="00846881">
      <w:r>
        <w:separator/>
      </w:r>
    </w:p>
  </w:endnote>
  <w:endnote w:type="continuationSeparator" w:id="0">
    <w:p w14:paraId="5FC87876" w14:textId="77777777" w:rsidR="00A97A9C" w:rsidRDefault="00A97A9C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688D9" w14:textId="77777777" w:rsidR="00A97A9C" w:rsidRPr="00056293" w:rsidRDefault="00A97A9C">
    <w:pPr>
      <w:pStyle w:val="Footer"/>
      <w:jc w:val="right"/>
      <w:rPr>
        <w:rFonts w:ascii="Arial" w:hAnsi="Arial" w:cs="Arial"/>
        <w:sz w:val="20"/>
      </w:rPr>
    </w:pPr>
    <w:r w:rsidRPr="00056293">
      <w:rPr>
        <w:rFonts w:ascii="Arial" w:hAnsi="Arial" w:cs="Arial"/>
        <w:sz w:val="20"/>
      </w:rPr>
      <w:fldChar w:fldCharType="begin"/>
    </w:r>
    <w:r w:rsidRPr="00056293">
      <w:rPr>
        <w:rFonts w:ascii="Arial" w:hAnsi="Arial" w:cs="Arial"/>
        <w:sz w:val="20"/>
      </w:rPr>
      <w:instrText xml:space="preserve"> PAGE   \* MERGEFORMAT </w:instrText>
    </w:r>
    <w:r w:rsidRPr="00056293">
      <w:rPr>
        <w:rFonts w:ascii="Arial" w:hAnsi="Arial" w:cs="Arial"/>
        <w:sz w:val="20"/>
      </w:rPr>
      <w:fldChar w:fldCharType="separate"/>
    </w:r>
    <w:r w:rsidR="00B56F21">
      <w:rPr>
        <w:rFonts w:ascii="Arial" w:hAnsi="Arial" w:cs="Arial"/>
        <w:noProof/>
        <w:sz w:val="20"/>
      </w:rPr>
      <w:t>1</w:t>
    </w:r>
    <w:r w:rsidRPr="00056293">
      <w:rPr>
        <w:rFonts w:ascii="Arial" w:hAnsi="Arial" w:cs="Arial"/>
        <w:noProof/>
        <w:sz w:val="20"/>
      </w:rPr>
      <w:fldChar w:fldCharType="end"/>
    </w:r>
  </w:p>
  <w:p w14:paraId="5A4CDF2C" w14:textId="77777777" w:rsidR="00A97A9C" w:rsidRDefault="00A97A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92290" w14:textId="77777777" w:rsidR="00A97A9C" w:rsidRDefault="00A97A9C" w:rsidP="00846881">
      <w:r>
        <w:separator/>
      </w:r>
    </w:p>
  </w:footnote>
  <w:footnote w:type="continuationSeparator" w:id="0">
    <w:p w14:paraId="5DE58091" w14:textId="77777777" w:rsidR="00A97A9C" w:rsidRDefault="00A97A9C" w:rsidP="00846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3FD4F" w14:textId="77777777" w:rsidR="00A97A9C" w:rsidRDefault="00A97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16"/>
    <w:multiLevelType w:val="hybridMultilevel"/>
    <w:tmpl w:val="88E6566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686150"/>
    <w:multiLevelType w:val="hybridMultilevel"/>
    <w:tmpl w:val="5A6C50F8"/>
    <w:lvl w:ilvl="0" w:tplc="0C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1C2722"/>
    <w:multiLevelType w:val="hybridMultilevel"/>
    <w:tmpl w:val="DDE64938"/>
    <w:lvl w:ilvl="0" w:tplc="3790FF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E780CE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CA8C1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F785A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CA45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B8CEA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E222E9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A25F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49CA3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2C2396"/>
    <w:multiLevelType w:val="hybridMultilevel"/>
    <w:tmpl w:val="85348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2D14F8"/>
    <w:multiLevelType w:val="hybridMultilevel"/>
    <w:tmpl w:val="DAF45094"/>
    <w:lvl w:ilvl="0" w:tplc="B368232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630AC"/>
    <w:multiLevelType w:val="hybridMultilevel"/>
    <w:tmpl w:val="CA804516"/>
    <w:lvl w:ilvl="0" w:tplc="E7847AB4">
      <w:start w:val="1"/>
      <w:numFmt w:val="lowerRoman"/>
      <w:lvlText w:val="%1."/>
      <w:lvlJc w:val="right"/>
      <w:pPr>
        <w:ind w:left="717" w:hanging="360"/>
      </w:pPr>
    </w:lvl>
    <w:lvl w:ilvl="1" w:tplc="0C09001B">
      <w:start w:val="1"/>
      <w:numFmt w:val="lowerRoman"/>
      <w:lvlText w:val="%2."/>
      <w:lvlJc w:val="right"/>
      <w:pPr>
        <w:ind w:left="1579" w:hanging="360"/>
      </w:pPr>
    </w:lvl>
    <w:lvl w:ilvl="2" w:tplc="0C09001B">
      <w:start w:val="1"/>
      <w:numFmt w:val="lowerRoman"/>
      <w:lvlText w:val="%3."/>
      <w:lvlJc w:val="right"/>
      <w:pPr>
        <w:ind w:left="2299" w:hanging="180"/>
      </w:pPr>
    </w:lvl>
    <w:lvl w:ilvl="3" w:tplc="0C09000F">
      <w:start w:val="1"/>
      <w:numFmt w:val="decimal"/>
      <w:lvlText w:val="%4."/>
      <w:lvlJc w:val="left"/>
      <w:pPr>
        <w:ind w:left="3019" w:hanging="360"/>
      </w:pPr>
    </w:lvl>
    <w:lvl w:ilvl="4" w:tplc="0C090019">
      <w:start w:val="1"/>
      <w:numFmt w:val="lowerLetter"/>
      <w:lvlText w:val="%5."/>
      <w:lvlJc w:val="left"/>
      <w:pPr>
        <w:ind w:left="3739" w:hanging="360"/>
      </w:pPr>
    </w:lvl>
    <w:lvl w:ilvl="5" w:tplc="0C09001B">
      <w:start w:val="1"/>
      <w:numFmt w:val="lowerRoman"/>
      <w:lvlText w:val="%6."/>
      <w:lvlJc w:val="right"/>
      <w:pPr>
        <w:ind w:left="4459" w:hanging="180"/>
      </w:pPr>
    </w:lvl>
    <w:lvl w:ilvl="6" w:tplc="0C09000F">
      <w:start w:val="1"/>
      <w:numFmt w:val="decimal"/>
      <w:lvlText w:val="%7."/>
      <w:lvlJc w:val="left"/>
      <w:pPr>
        <w:ind w:left="5179" w:hanging="360"/>
      </w:pPr>
    </w:lvl>
    <w:lvl w:ilvl="7" w:tplc="0C090019">
      <w:start w:val="1"/>
      <w:numFmt w:val="lowerLetter"/>
      <w:lvlText w:val="%8."/>
      <w:lvlJc w:val="left"/>
      <w:pPr>
        <w:ind w:left="5899" w:hanging="360"/>
      </w:pPr>
    </w:lvl>
    <w:lvl w:ilvl="8" w:tplc="0C09001B">
      <w:start w:val="1"/>
      <w:numFmt w:val="lowerRoman"/>
      <w:lvlText w:val="%9."/>
      <w:lvlJc w:val="right"/>
      <w:pPr>
        <w:ind w:left="6619" w:hanging="180"/>
      </w:pPr>
    </w:lvl>
  </w:abstractNum>
  <w:abstractNum w:abstractNumId="17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81328"/>
    <w:multiLevelType w:val="hybridMultilevel"/>
    <w:tmpl w:val="397236E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15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1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8"/>
  </w:num>
  <w:num w:numId="17">
    <w:abstractNumId w:val="7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04045"/>
    <w:rsid w:val="00004894"/>
    <w:rsid w:val="00021555"/>
    <w:rsid w:val="0002288F"/>
    <w:rsid w:val="0002677B"/>
    <w:rsid w:val="00034D02"/>
    <w:rsid w:val="000425DB"/>
    <w:rsid w:val="00056293"/>
    <w:rsid w:val="00060214"/>
    <w:rsid w:val="00060EA4"/>
    <w:rsid w:val="000701E5"/>
    <w:rsid w:val="000756EB"/>
    <w:rsid w:val="0008021C"/>
    <w:rsid w:val="000901F6"/>
    <w:rsid w:val="000A28AF"/>
    <w:rsid w:val="000B411B"/>
    <w:rsid w:val="000C3753"/>
    <w:rsid w:val="000C782C"/>
    <w:rsid w:val="00105033"/>
    <w:rsid w:val="00105130"/>
    <w:rsid w:val="001079BD"/>
    <w:rsid w:val="00117F9A"/>
    <w:rsid w:val="001214D4"/>
    <w:rsid w:val="00125617"/>
    <w:rsid w:val="001402AB"/>
    <w:rsid w:val="001411A4"/>
    <w:rsid w:val="00170447"/>
    <w:rsid w:val="00181F47"/>
    <w:rsid w:val="00183731"/>
    <w:rsid w:val="001A30CF"/>
    <w:rsid w:val="001B0829"/>
    <w:rsid w:val="001B3D21"/>
    <w:rsid w:val="001B541E"/>
    <w:rsid w:val="001C0117"/>
    <w:rsid w:val="001C0C39"/>
    <w:rsid w:val="001C2BBF"/>
    <w:rsid w:val="001C4930"/>
    <w:rsid w:val="001D2F77"/>
    <w:rsid w:val="001F79EB"/>
    <w:rsid w:val="00206E94"/>
    <w:rsid w:val="00213CB1"/>
    <w:rsid w:val="00234DCA"/>
    <w:rsid w:val="00241DCD"/>
    <w:rsid w:val="002431B3"/>
    <w:rsid w:val="00257CA2"/>
    <w:rsid w:val="00264866"/>
    <w:rsid w:val="00272537"/>
    <w:rsid w:val="002831C1"/>
    <w:rsid w:val="00284B19"/>
    <w:rsid w:val="00295142"/>
    <w:rsid w:val="002A24E2"/>
    <w:rsid w:val="002C148B"/>
    <w:rsid w:val="002C76DD"/>
    <w:rsid w:val="003335C4"/>
    <w:rsid w:val="00340192"/>
    <w:rsid w:val="00340366"/>
    <w:rsid w:val="00352C50"/>
    <w:rsid w:val="00353DCA"/>
    <w:rsid w:val="00356732"/>
    <w:rsid w:val="00365F6B"/>
    <w:rsid w:val="003724F5"/>
    <w:rsid w:val="00384947"/>
    <w:rsid w:val="00387261"/>
    <w:rsid w:val="003B7B63"/>
    <w:rsid w:val="003D0243"/>
    <w:rsid w:val="003D454C"/>
    <w:rsid w:val="003E4502"/>
    <w:rsid w:val="003F0B63"/>
    <w:rsid w:val="003F360D"/>
    <w:rsid w:val="003F3D59"/>
    <w:rsid w:val="003F640F"/>
    <w:rsid w:val="004003EC"/>
    <w:rsid w:val="00401A23"/>
    <w:rsid w:val="004304A3"/>
    <w:rsid w:val="00453CAD"/>
    <w:rsid w:val="004604A8"/>
    <w:rsid w:val="0048144F"/>
    <w:rsid w:val="00497E23"/>
    <w:rsid w:val="004A17E4"/>
    <w:rsid w:val="004B182C"/>
    <w:rsid w:val="004B4FFA"/>
    <w:rsid w:val="004C32C0"/>
    <w:rsid w:val="004C7772"/>
    <w:rsid w:val="004E42D2"/>
    <w:rsid w:val="00505EC2"/>
    <w:rsid w:val="00506F42"/>
    <w:rsid w:val="00522E8A"/>
    <w:rsid w:val="00530D50"/>
    <w:rsid w:val="00531AEB"/>
    <w:rsid w:val="00540C9F"/>
    <w:rsid w:val="0054234B"/>
    <w:rsid w:val="00547107"/>
    <w:rsid w:val="005543E8"/>
    <w:rsid w:val="00583630"/>
    <w:rsid w:val="00590B75"/>
    <w:rsid w:val="005B4815"/>
    <w:rsid w:val="005C08C9"/>
    <w:rsid w:val="005E1085"/>
    <w:rsid w:val="005E68F4"/>
    <w:rsid w:val="005F153D"/>
    <w:rsid w:val="0060053B"/>
    <w:rsid w:val="006254CC"/>
    <w:rsid w:val="00626260"/>
    <w:rsid w:val="0063350A"/>
    <w:rsid w:val="006344F3"/>
    <w:rsid w:val="006409D9"/>
    <w:rsid w:val="00642849"/>
    <w:rsid w:val="00651785"/>
    <w:rsid w:val="006655C8"/>
    <w:rsid w:val="00687039"/>
    <w:rsid w:val="006935A8"/>
    <w:rsid w:val="00696854"/>
    <w:rsid w:val="006A1696"/>
    <w:rsid w:val="006A5387"/>
    <w:rsid w:val="006C64F0"/>
    <w:rsid w:val="006D4561"/>
    <w:rsid w:val="006E268C"/>
    <w:rsid w:val="00717852"/>
    <w:rsid w:val="00740595"/>
    <w:rsid w:val="007602BC"/>
    <w:rsid w:val="0076398D"/>
    <w:rsid w:val="00764A0A"/>
    <w:rsid w:val="00770AF9"/>
    <w:rsid w:val="007716FE"/>
    <w:rsid w:val="00772628"/>
    <w:rsid w:val="00782354"/>
    <w:rsid w:val="00790C20"/>
    <w:rsid w:val="007951E1"/>
    <w:rsid w:val="007A3F91"/>
    <w:rsid w:val="007E59F5"/>
    <w:rsid w:val="00812FCB"/>
    <w:rsid w:val="00827E5D"/>
    <w:rsid w:val="00846881"/>
    <w:rsid w:val="00867D3A"/>
    <w:rsid w:val="00873512"/>
    <w:rsid w:val="00880ACA"/>
    <w:rsid w:val="00882BA7"/>
    <w:rsid w:val="00891694"/>
    <w:rsid w:val="0089186A"/>
    <w:rsid w:val="008E2680"/>
    <w:rsid w:val="008E2DD6"/>
    <w:rsid w:val="008E53DE"/>
    <w:rsid w:val="008F3646"/>
    <w:rsid w:val="00903B41"/>
    <w:rsid w:val="00933C17"/>
    <w:rsid w:val="0096127E"/>
    <w:rsid w:val="009623E0"/>
    <w:rsid w:val="00965E53"/>
    <w:rsid w:val="009706F1"/>
    <w:rsid w:val="009834D2"/>
    <w:rsid w:val="009843BA"/>
    <w:rsid w:val="0099526E"/>
    <w:rsid w:val="009A2943"/>
    <w:rsid w:val="009C4772"/>
    <w:rsid w:val="009C7B4C"/>
    <w:rsid w:val="009D1BFE"/>
    <w:rsid w:val="009D33BC"/>
    <w:rsid w:val="009D5D01"/>
    <w:rsid w:val="009E3636"/>
    <w:rsid w:val="00A011F2"/>
    <w:rsid w:val="00A138CA"/>
    <w:rsid w:val="00A14B2D"/>
    <w:rsid w:val="00A2083F"/>
    <w:rsid w:val="00A24A30"/>
    <w:rsid w:val="00A83FB3"/>
    <w:rsid w:val="00A9135E"/>
    <w:rsid w:val="00A97A9C"/>
    <w:rsid w:val="00AA058C"/>
    <w:rsid w:val="00AD0AF3"/>
    <w:rsid w:val="00AF0514"/>
    <w:rsid w:val="00AF6804"/>
    <w:rsid w:val="00B11D3E"/>
    <w:rsid w:val="00B17F82"/>
    <w:rsid w:val="00B33E4F"/>
    <w:rsid w:val="00B41E45"/>
    <w:rsid w:val="00B5136F"/>
    <w:rsid w:val="00B56F21"/>
    <w:rsid w:val="00B62222"/>
    <w:rsid w:val="00B632F5"/>
    <w:rsid w:val="00BE7943"/>
    <w:rsid w:val="00BF00E9"/>
    <w:rsid w:val="00C14943"/>
    <w:rsid w:val="00C151BB"/>
    <w:rsid w:val="00C16244"/>
    <w:rsid w:val="00C373FC"/>
    <w:rsid w:val="00C37480"/>
    <w:rsid w:val="00C41194"/>
    <w:rsid w:val="00C75A39"/>
    <w:rsid w:val="00C81A9C"/>
    <w:rsid w:val="00C83B90"/>
    <w:rsid w:val="00CA0D2E"/>
    <w:rsid w:val="00CA1AE7"/>
    <w:rsid w:val="00CB16A1"/>
    <w:rsid w:val="00CC233D"/>
    <w:rsid w:val="00CC270A"/>
    <w:rsid w:val="00CD0632"/>
    <w:rsid w:val="00CE69B8"/>
    <w:rsid w:val="00CF6891"/>
    <w:rsid w:val="00D30AE0"/>
    <w:rsid w:val="00D33418"/>
    <w:rsid w:val="00D427F1"/>
    <w:rsid w:val="00D501A7"/>
    <w:rsid w:val="00D53A53"/>
    <w:rsid w:val="00D676F5"/>
    <w:rsid w:val="00D70562"/>
    <w:rsid w:val="00DD6095"/>
    <w:rsid w:val="00DD6855"/>
    <w:rsid w:val="00E043EE"/>
    <w:rsid w:val="00E119A5"/>
    <w:rsid w:val="00E23375"/>
    <w:rsid w:val="00E320A4"/>
    <w:rsid w:val="00E46BDF"/>
    <w:rsid w:val="00E53567"/>
    <w:rsid w:val="00E60E6D"/>
    <w:rsid w:val="00E763C2"/>
    <w:rsid w:val="00E76F32"/>
    <w:rsid w:val="00E91E6B"/>
    <w:rsid w:val="00ED22CE"/>
    <w:rsid w:val="00EE4BD9"/>
    <w:rsid w:val="00EE5E95"/>
    <w:rsid w:val="00EE7DA0"/>
    <w:rsid w:val="00EF45F5"/>
    <w:rsid w:val="00F01AA0"/>
    <w:rsid w:val="00F11CAC"/>
    <w:rsid w:val="00F11FA0"/>
    <w:rsid w:val="00F15DD6"/>
    <w:rsid w:val="00F17667"/>
    <w:rsid w:val="00F24B4E"/>
    <w:rsid w:val="00F30F82"/>
    <w:rsid w:val="00F343D3"/>
    <w:rsid w:val="00F4294C"/>
    <w:rsid w:val="00F45EF7"/>
    <w:rsid w:val="00F84BD3"/>
    <w:rsid w:val="00F8781E"/>
    <w:rsid w:val="00FB5110"/>
    <w:rsid w:val="00FC6923"/>
    <w:rsid w:val="00FD6F89"/>
    <w:rsid w:val="00FE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2C30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NormalWeb">
    <w:name w:val="Normal (Web)"/>
    <w:basedOn w:val="Normal"/>
    <w:uiPriority w:val="99"/>
    <w:unhideWhenUsed/>
    <w:rsid w:val="009D33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paragraph" w:styleId="NormalWeb">
    <w:name w:val="Normal (Web)"/>
    <w:basedOn w:val="Normal"/>
    <w:uiPriority w:val="99"/>
    <w:unhideWhenUsed/>
    <w:rsid w:val="009D33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1747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498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81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35A19E-A83B-45FC-A6E2-E86DA8110EF9}"/>
</file>

<file path=customXml/itemProps2.xml><?xml version="1.0" encoding="utf-8"?>
<ds:datastoreItem xmlns:ds="http://schemas.openxmlformats.org/officeDocument/2006/customXml" ds:itemID="{3A06A65A-1144-4B8B-B85F-29FD193FCE11}"/>
</file>

<file path=customXml/itemProps3.xml><?xml version="1.0" encoding="utf-8"?>
<ds:datastoreItem xmlns:ds="http://schemas.openxmlformats.org/officeDocument/2006/customXml" ds:itemID="{8642F506-D0EE-41B7-A99A-B10CF99AF11A}"/>
</file>

<file path=customXml/itemProps4.xml><?xml version="1.0" encoding="utf-8"?>
<ds:datastoreItem xmlns:ds="http://schemas.openxmlformats.org/officeDocument/2006/customXml" ds:itemID="{AF92DBB6-279F-4BFE-AC89-5FCDBE549096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246</TotalTime>
  <Pages>1</Pages>
  <Words>384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Advice for end-of-year pre-accredited data reporting</dc:title>
  <dc:creator>08306670</dc:creator>
  <cp:lastModifiedBy>Morrow, Jackie A</cp:lastModifiedBy>
  <cp:revision>10</cp:revision>
  <cp:lastPrinted>2014-12-08T01:23:00Z</cp:lastPrinted>
  <dcterms:created xsi:type="dcterms:W3CDTF">2014-12-05T02:27:00Z</dcterms:created>
  <dcterms:modified xsi:type="dcterms:W3CDTF">2014-12-08T23:08:00Z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