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5E68F4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4A17E4" w:rsidP="005E68F4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53BEE32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268C" w:rsidRPr="00633C39" w:rsidRDefault="006E268C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E268C" w:rsidRPr="006F3F2F" w:rsidRDefault="006E268C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E268C" w:rsidRPr="006F3F2F" w:rsidRDefault="006E268C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268C" w:rsidRPr="00633C39" w:rsidRDefault="006E268C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268C" w:rsidRPr="00633C39" w:rsidRDefault="006E268C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:rsidR="006E268C" w:rsidRDefault="006E268C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r8AA&#10;AADaAAAADwAAAGRycy9kb3ducmV2LnhtbESPQYvCMBSE74L/ITzB25pqcZFqFBEEb2KVhb09mmdT&#10;bF5iE7X77zcLCx6HmfmGWW1624ondaFxrGA6yUAQV043XCu4nPcfCxAhImtsHZOCHwqwWQ8HKyy0&#10;e/GJnmWsRYJwKFCBidEXUobKkMUwcZ44eVfXWYxJdrXUHb4S3LZylmWf0mLDacGgp52h6lY+rILv&#10;/Ouu/bHcVa2Z5j738jTPpFLjUb9dgojUx3f4v33QCubwdyXd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zrr8AAAADaAAAADwAAAAAAAAAAAAAAAACYAgAAZHJzL2Rvd25y&#10;ZXYueG1sUEsFBgAAAAAEAAQA9QAAAIUDAAAAAA==&#10;" fillcolor="black">
                        <v:textbox style="mso-fit-shape-to-text:t">
                          <w:txbxContent>
                            <w:p w:rsidR="006E268C" w:rsidRPr="00633C39" w:rsidRDefault="006E268C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E268C" w:rsidRPr="006F3F2F" w:rsidRDefault="006E268C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E268C" w:rsidRPr="006F3F2F" w:rsidRDefault="006E268C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VGr8A&#10;AADaAAAADwAAAGRycy9kb3ducmV2LnhtbESPQYvCMBSE74L/ITzBS9FUBZVqFCmIexPdxfOjebbF&#10;5qU0qa3/3iwIHoeZ+YbZ7ntTiSc1rrSsYDaNQRBnVpecK/j7PU7WIJxH1lhZJgUvcrDfDQdbTLTt&#10;+ELPq89FgLBLUEHhfZ1I6bKCDLqprYmDd7eNQR9kk0vdYBfgppLzOF5KgyWHhQJrSgvKHtfWBEq3&#10;OkWz0+JWPaLWp3iOUulapcaj/rAB4an33/Cn/aMVLOH/Srg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lUavwAAANoAAAAPAAAAAAAAAAAAAAAAAJgCAABkcnMvZG93bnJl&#10;di54bWxQSwUGAAAAAAQABAD1AAAAhAMAAAAA&#10;" fillcolor="#bfbfbf">
                        <v:textbox>
                          <w:txbxContent>
                            <w:p w:rsidR="006E268C" w:rsidRPr="00633C39" w:rsidRDefault="006E268C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xQMQA&#10;AADaAAAADwAAAGRycy9kb3ducmV2LnhtbESPzW7CMBCE70i8g7VIXFBxqBBpUwzqX6DHNuEBVvE2&#10;SROvo9hAeHuMhNTjaGa+0ay3g2nFiXpXW1awmEcgiAuray4VHPL04QmE88gaW8uk4EIOtpvxaI2J&#10;tmf+oVPmSxEg7BJUUHnfJVK6oiKDbm474uD92t6gD7Ivpe7xHOCmlY9RtJIGaw4LFXb0XlHRZEej&#10;oClXy7w9uLe/73hPu8VzM0s/PpWaTobXFxCeBv8fvre/tIIYblfC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5cUDEAAAA2gAAAA8AAAAAAAAAAAAAAAAAmAIAAGRycy9k&#10;b3ducmV2LnhtbFBLBQYAAAAABAAEAPUAAACJAwAAAAA=&#10;" fillcolor="#1f497d">
                        <v:textbox>
                          <w:txbxContent>
                            <w:p w:rsidR="006E268C" w:rsidRPr="00633C39" w:rsidRDefault="006E268C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:rsidR="006E268C" w:rsidRDefault="006E268C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667B57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10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667B57">
        <w:rPr>
          <w:rFonts w:ascii="Arial" w:hAnsi="Arial"/>
          <w:i/>
          <w:color w:val="000000"/>
          <w:sz w:val="22"/>
          <w:szCs w:val="24"/>
          <w:lang w:val="en-GB" w:eastAsia="en-US"/>
        </w:rPr>
        <w:t>01</w:t>
      </w:r>
      <w:bookmarkStart w:id="0" w:name="_GoBack"/>
      <w:bookmarkEnd w:id="0"/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5E68F4">
        <w:tc>
          <w:tcPr>
            <w:tcW w:w="3119" w:type="dxa"/>
            <w:shd w:val="clear" w:color="auto" w:fill="auto"/>
          </w:tcPr>
          <w:p w:rsidR="009D5D01" w:rsidRDefault="009D5D01" w:rsidP="005E68F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5E68F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F11FA0" w:rsidP="005E68F4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4110" w:type="dxa"/>
            <w:shd w:val="clear" w:color="auto" w:fill="auto"/>
          </w:tcPr>
          <w:p w:rsidR="00F11FA0" w:rsidRPr="0052344F" w:rsidRDefault="00F11FA0" w:rsidP="00F11FA0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5E68F4" w:rsidRDefault="009D5D01" w:rsidP="005E68F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strike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D5D01" w:rsidRPr="006F3F2F" w:rsidTr="005E68F4">
        <w:tc>
          <w:tcPr>
            <w:tcW w:w="3119" w:type="dxa"/>
            <w:shd w:val="clear" w:color="auto" w:fill="auto"/>
          </w:tcPr>
          <w:p w:rsidR="009D5D01" w:rsidRPr="006F3F2F" w:rsidRDefault="009D5D01" w:rsidP="005E68F4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:rsidR="009D5D01" w:rsidRPr="005E68F4" w:rsidRDefault="009D5D01" w:rsidP="005E68F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strike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5E68F4" w:rsidRDefault="009D5D01" w:rsidP="005E68F4">
            <w:pPr>
              <w:tabs>
                <w:tab w:val="left" w:pos="1080"/>
              </w:tabs>
              <w:spacing w:before="60"/>
              <w:rPr>
                <w:rFonts w:ascii="Arial" w:hAnsi="Arial"/>
                <w:strike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F4294C">
        <w:rPr>
          <w:rFonts w:ascii="Arial" w:hAnsi="Arial"/>
          <w:color w:val="000000"/>
          <w:sz w:val="22"/>
          <w:szCs w:val="24"/>
          <w:lang w:val="en-GB" w:eastAsia="en-US"/>
        </w:rPr>
        <w:t>Verna Kearney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AA058C">
        <w:rPr>
          <w:rFonts w:ascii="Arial" w:hAnsi="Arial"/>
          <w:color w:val="000000"/>
          <w:sz w:val="22"/>
          <w:szCs w:val="24"/>
          <w:lang w:val="en-GB" w:eastAsia="en-US"/>
        </w:rPr>
        <w:t>A/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0D1E37">
        <w:rPr>
          <w:rFonts w:ascii="Arial" w:hAnsi="Arial"/>
          <w:color w:val="000000"/>
          <w:sz w:val="22"/>
          <w:lang w:val="en-GB" w:eastAsia="en-US"/>
        </w:rPr>
        <w:t>1 October 2014</w:t>
      </w:r>
    </w:p>
    <w:p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5E68F4">
        <w:rPr>
          <w:rFonts w:ascii="Arial" w:hAnsi="Arial"/>
          <w:i/>
          <w:color w:val="000000"/>
          <w:sz w:val="22"/>
          <w:lang w:val="en-GB" w:eastAsia="en-US"/>
        </w:rPr>
        <w:t>Improving pre-accredited data quality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6C64F0" w:rsidRDefault="006C64F0" w:rsidP="005E68F4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To support the </w:t>
      </w:r>
      <w:r w:rsidR="00AA05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accurate 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calculation of</w:t>
      </w:r>
      <w:r w:rsidR="0078235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Learn Local </w:t>
      </w:r>
      <w:r w:rsidR="001B3D21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sector 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activity, a</w:t>
      </w:r>
      <w:r w:rsidR="005E68F4" w:rsidRPr="005E68F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ll </w:t>
      </w:r>
      <w:r w:rsid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Learn </w:t>
      </w:r>
      <w:r w:rsidR="001B3D21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L</w:t>
      </w:r>
      <w:r w:rsid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ocal Organisations registered with the </w:t>
      </w:r>
      <w:r w:rsidR="005E68F4" w:rsidRPr="005E68F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ACFE Board must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E23375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improve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their SVTS data by:</w:t>
      </w:r>
    </w:p>
    <w:p w:rsidR="005E68F4" w:rsidRDefault="006C64F0" w:rsidP="005423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672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ab/>
      </w:r>
      <w:proofErr w:type="gramStart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i</w:t>
      </w:r>
      <w:proofErr w:type="gramEnd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) </w:t>
      </w:r>
      <w:r w:rsidR="005E68F4" w:rsidRPr="005E68F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9D33B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I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dentifying only </w:t>
      </w:r>
      <w:r w:rsidR="005E68F4" w:rsidRPr="005E68F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as </w:t>
      </w:r>
      <w:r w:rsid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Training Organisation type ‘61: </w:t>
      </w:r>
      <w:r w:rsidR="0054234B" w:rsidRP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Community-based Adult Education</w:t>
      </w:r>
      <w:r w:rsid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54234B" w:rsidRP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Provider</w:t>
      </w:r>
      <w:r w:rsidR="0054234B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’</w:t>
      </w:r>
      <w:r w:rsidR="005E68F4" w:rsidRPr="005E68F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;</w:t>
      </w:r>
    </w:p>
    <w:p w:rsidR="006C64F0" w:rsidRDefault="006C64F0" w:rsidP="006C64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ab/>
        <w:t xml:space="preserve">ii) </w:t>
      </w:r>
      <w:r w:rsidR="009D33B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R</w:t>
      </w:r>
      <w:r w:rsidRPr="006C64F0">
        <w:rPr>
          <w:rFonts w:ascii="Arial" w:hAnsi="Arial" w:cs="Arial"/>
          <w:i/>
          <w:sz w:val="22"/>
          <w:szCs w:val="22"/>
        </w:rPr>
        <w:t>emov</w:t>
      </w:r>
      <w:r>
        <w:rPr>
          <w:rFonts w:ascii="Arial" w:hAnsi="Arial" w:cs="Arial"/>
          <w:i/>
          <w:sz w:val="22"/>
          <w:szCs w:val="22"/>
        </w:rPr>
        <w:t xml:space="preserve">ing </w:t>
      </w:r>
      <w:r w:rsidRPr="006C64F0">
        <w:rPr>
          <w:rFonts w:ascii="Arial" w:hAnsi="Arial" w:cs="Arial"/>
          <w:i/>
          <w:sz w:val="22"/>
          <w:szCs w:val="22"/>
        </w:rPr>
        <w:t xml:space="preserve">any course-level </w:t>
      </w:r>
      <w:r w:rsidR="0054234B">
        <w:rPr>
          <w:rFonts w:ascii="Arial" w:hAnsi="Arial" w:cs="Arial"/>
          <w:i/>
          <w:sz w:val="22"/>
          <w:szCs w:val="22"/>
        </w:rPr>
        <w:t xml:space="preserve">information </w:t>
      </w:r>
      <w:r w:rsidRPr="006C64F0">
        <w:rPr>
          <w:rFonts w:ascii="Arial" w:hAnsi="Arial" w:cs="Arial"/>
          <w:i/>
          <w:sz w:val="22"/>
          <w:szCs w:val="22"/>
        </w:rPr>
        <w:t>that is attached to pre-accredited modules</w:t>
      </w:r>
      <w:r>
        <w:rPr>
          <w:rFonts w:ascii="Arial" w:hAnsi="Arial" w:cs="Arial"/>
          <w:i/>
          <w:sz w:val="22"/>
          <w:szCs w:val="22"/>
        </w:rPr>
        <w:t>; and</w:t>
      </w:r>
    </w:p>
    <w:p w:rsidR="006C64F0" w:rsidRDefault="006C64F0" w:rsidP="006C64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ab/>
        <w:t>iii) A</w:t>
      </w:r>
      <w:r>
        <w:rPr>
          <w:rFonts w:ascii="Arial" w:hAnsi="Arial" w:cs="Arial"/>
          <w:i/>
          <w:sz w:val="22"/>
          <w:szCs w:val="22"/>
        </w:rPr>
        <w:t>pply</w:t>
      </w:r>
      <w:r w:rsidR="009D33BC">
        <w:rPr>
          <w:rFonts w:ascii="Arial" w:hAnsi="Arial" w:cs="Arial"/>
          <w:i/>
          <w:sz w:val="22"/>
          <w:szCs w:val="22"/>
        </w:rPr>
        <w:t>ing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E68F4">
        <w:rPr>
          <w:rFonts w:ascii="Arial" w:hAnsi="Arial" w:cs="Arial"/>
          <w:i/>
          <w:sz w:val="22"/>
          <w:szCs w:val="22"/>
        </w:rPr>
        <w:t xml:space="preserve">new module codes </w:t>
      </w:r>
      <w:r w:rsidR="00782354">
        <w:rPr>
          <w:rFonts w:ascii="Arial" w:hAnsi="Arial" w:cs="Arial"/>
          <w:i/>
          <w:sz w:val="22"/>
          <w:szCs w:val="22"/>
        </w:rPr>
        <w:t>when a new year commences</w:t>
      </w:r>
      <w:r w:rsidR="009D33BC">
        <w:rPr>
          <w:rFonts w:ascii="Arial" w:hAnsi="Arial" w:cs="Arial"/>
          <w:i/>
          <w:sz w:val="22"/>
          <w:szCs w:val="22"/>
        </w:rPr>
        <w:t>.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F45F5" w:rsidRPr="00EF45F5" w:rsidRDefault="00B11D3E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/>
          <w:b/>
          <w:i/>
          <w:color w:val="000000"/>
          <w:sz w:val="22"/>
          <w:lang w:val="en-GB" w:eastAsia="en-US"/>
        </w:rPr>
      </w:pPr>
      <w:r>
        <w:rPr>
          <w:rFonts w:ascii="Arial" w:hAnsi="Arial"/>
          <w:b/>
          <w:i/>
          <w:color w:val="000000"/>
          <w:sz w:val="22"/>
          <w:lang w:val="en-GB" w:eastAsia="en-US"/>
        </w:rPr>
        <w:t xml:space="preserve">The importance of </w:t>
      </w:r>
      <w:r w:rsidR="00EF45F5" w:rsidRPr="00EF45F5">
        <w:rPr>
          <w:rFonts w:ascii="Arial" w:hAnsi="Arial"/>
          <w:b/>
          <w:i/>
          <w:color w:val="000000"/>
          <w:sz w:val="22"/>
          <w:lang w:val="en-GB" w:eastAsia="en-US"/>
        </w:rPr>
        <w:t>pre-accredited data quality</w:t>
      </w:r>
    </w:p>
    <w:p w:rsidR="00EF45F5" w:rsidRPr="00056293" w:rsidRDefault="00EF45F5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9D33BC" w:rsidRPr="009D33BC" w:rsidRDefault="009D33BC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Promotion of the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>Learn Local sector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’s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achievements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relies on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accurate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training activity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>data.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1B3D2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That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data informs the </w:t>
      </w:r>
      <w:r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Department’s </w:t>
      </w:r>
      <w:r w:rsidRPr="009D33BC"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  <w:t>Training Market Reports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Pr="009D33BC"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  <w:t>Regional Reports</w:t>
      </w:r>
      <w:r w:rsidRPr="009D33BC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</w:t>
      </w:r>
      <w:r w:rsidRPr="009D33BC"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  <w:t>Industry Reports</w:t>
      </w:r>
      <w:r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. </w:t>
      </w:r>
      <w:r w:rsidR="00EF45F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data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>is used in briefing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to Government Ministers, the ACFE Board, Regional Councils and the </w:t>
      </w:r>
      <w:r w:rsidR="00E23375">
        <w:rPr>
          <w:rFonts w:ascii="Arial" w:hAnsi="Arial" w:cs="Arial"/>
          <w:bCs/>
          <w:color w:val="000000"/>
          <w:sz w:val="22"/>
          <w:szCs w:val="22"/>
          <w:lang w:eastAsia="en-US"/>
        </w:rPr>
        <w:t>Commonwealth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Government.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ACFE Board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also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uses Learn Local data in its </w:t>
      </w:r>
      <w:r w:rsidRPr="009D33BC"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  <w:t>Annual Report</w:t>
      </w:r>
      <w:r w:rsidRPr="009D33BC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 </w:t>
      </w:r>
      <w:r w:rsidRPr="009D33BC">
        <w:rPr>
          <w:rFonts w:ascii="Arial" w:hAnsi="Arial" w:cs="Arial"/>
          <w:bCs/>
          <w:color w:val="000000"/>
          <w:sz w:val="22"/>
          <w:szCs w:val="22"/>
          <w:lang w:eastAsia="en-US"/>
        </w:rPr>
        <w:t>to the Victorian Parliament.</w:t>
      </w:r>
    </w:p>
    <w:p w:rsidR="00EF45F5" w:rsidRPr="00056293" w:rsidRDefault="00EF45F5" w:rsidP="00056293">
      <w:pPr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056293" w:rsidRDefault="0054234B" w:rsidP="002C76D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The Department has found it cannot accurately represent all Learn Local achievement due to three data quality issues.</w:t>
      </w:r>
    </w:p>
    <w:p w:rsidR="00056293" w:rsidRPr="00056293" w:rsidRDefault="00056293" w:rsidP="002C76D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056293" w:rsidRPr="00782354" w:rsidRDefault="00056293" w:rsidP="0005629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resolve these sector-wide issues, the following reporting improvements now 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>appl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y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to all Learn Local Organisations that are registered with the ACFE Board (LLOs)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</w:p>
    <w:p w:rsidR="0054234B" w:rsidRPr="00056293" w:rsidRDefault="001B3D21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18"/>
          <w:szCs w:val="18"/>
          <w:u w:val="single"/>
          <w:lang w:eastAsia="en-US"/>
        </w:rPr>
      </w:pPr>
      <w:r w:rsidRPr="00056293">
        <w:rPr>
          <w:rFonts w:ascii="Arial" w:hAnsi="Arial" w:cs="Arial"/>
          <w:bCs/>
          <w:color w:val="000000"/>
          <w:sz w:val="18"/>
          <w:szCs w:val="18"/>
          <w:lang w:eastAsia="en-US"/>
        </w:rPr>
        <w:t xml:space="preserve"> </w:t>
      </w:r>
    </w:p>
    <w:p w:rsidR="009D33BC" w:rsidRPr="00CC270A" w:rsidRDefault="009D33BC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</w:pPr>
      <w:r w:rsidRPr="00CC270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1</w:t>
      </w:r>
      <w:r w:rsidR="002C76DD" w:rsidRPr="00CC270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.</w:t>
      </w:r>
      <w:r w:rsidRPr="00CC270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 Undercounting the </w:t>
      </w:r>
      <w:r w:rsidRPr="00F4294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Learn Local provider</w:t>
      </w:r>
      <w:r w:rsidRPr="00CC270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 population</w:t>
      </w:r>
    </w:p>
    <w:p w:rsidR="009D33BC" w:rsidRPr="00056293" w:rsidRDefault="009D33BC" w:rsidP="009D33B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2C76DD" w:rsidRDefault="009D33BC" w:rsidP="002C76D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Some Learn Local RTOs identify as ‘Private RTOs’ in their data reporting. This can lead 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Department 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undercount</w:t>
      </w:r>
      <w:r w:rsidR="001B3D2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i) 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total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 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population, and </w:t>
      </w:r>
      <w:r w:rsid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ii) </w:t>
      </w:r>
      <w:r w:rsid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respective 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pre-accredited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accredited training activity </w:t>
      </w:r>
      <w:r w:rsidR="00B11D3E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of Learn Local RTOs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when </w:t>
      </w:r>
      <w:r w:rsidR="001B3D2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reporting the Learn Local </w:t>
      </w:r>
      <w:r w:rsidR="001B3D21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sector</w:t>
      </w:r>
      <w:r w:rsidR="001B3D21">
        <w:rPr>
          <w:rFonts w:ascii="Arial" w:hAnsi="Arial" w:cs="Arial"/>
          <w:bCs/>
          <w:color w:val="000000"/>
          <w:sz w:val="22"/>
          <w:szCs w:val="22"/>
          <w:lang w:eastAsia="en-US"/>
        </w:rPr>
        <w:t>’s</w:t>
      </w:r>
      <w:r w:rsidR="001B3D21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achievement</w:t>
      </w:r>
      <w:r w:rsidR="001B3D2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 to its </w:t>
      </w:r>
      <w:r w:rsidR="00782354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stakeholders</w:t>
      </w:r>
      <w:r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D501A7" w:rsidRDefault="004A17E4" w:rsidP="00D501A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1C657" wp14:editId="62A19D13">
                <wp:simplePos x="0" y="0"/>
                <wp:positionH relativeFrom="column">
                  <wp:posOffset>-236855</wp:posOffset>
                </wp:positionH>
                <wp:positionV relativeFrom="paragraph">
                  <wp:posOffset>120650</wp:posOffset>
                </wp:positionV>
                <wp:extent cx="6210300" cy="1339850"/>
                <wp:effectExtent l="11430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8C" w:rsidRDefault="006E2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8.65pt;margin-top:9.5pt;width:489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" filled="f">
                <v:textbox>
                  <w:txbxContent>
                    <w:p w:rsidR="006E268C" w:rsidRDefault="006E268C"/>
                  </w:txbxContent>
                </v:textbox>
              </v:shape>
            </w:pict>
          </mc:Fallback>
        </mc:AlternateContent>
      </w:r>
    </w:p>
    <w:p w:rsidR="009D33BC" w:rsidRPr="00D501A7" w:rsidRDefault="00C14943" w:rsidP="00D501A7">
      <w:pPr>
        <w:numPr>
          <w:ilvl w:val="0"/>
          <w:numId w:val="19"/>
        </w:num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Action</w:t>
      </w:r>
    </w:p>
    <w:p w:rsidR="001B0829" w:rsidRPr="006E268C" w:rsidRDefault="00497E23" w:rsidP="00522E8A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</w:t>
      </w:r>
      <w:r w:rsidR="006E268C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are required to </w:t>
      </w:r>
      <w:r w:rsidR="001B0829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report</w:t>
      </w:r>
      <w:r w:rsidR="00C37480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AF6804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Training Organisation Type Identifier </w:t>
      </w:r>
      <w:r w:rsidR="001B0829" w:rsidRPr="006E26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C</w:t>
      </w:r>
      <w:r w:rsidR="00642849" w:rsidRPr="006E26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ode </w:t>
      </w:r>
      <w:r w:rsidR="00D70562" w:rsidRPr="006E26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61</w:t>
      </w:r>
      <w:r w:rsidR="00401A23" w:rsidRPr="006E26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–</w:t>
      </w:r>
      <w:r w:rsidR="00D70562" w:rsidRPr="006E268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Community-based Adult Education Provider</w:t>
      </w:r>
      <w:r w:rsidR="00C14943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as their </w:t>
      </w:r>
      <w:r w:rsidR="00CC270A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Training Organisation T</w:t>
      </w:r>
      <w:r w:rsidR="00BE7943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ype </w:t>
      </w:r>
      <w:r w:rsidR="00AF6804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Identifier</w:t>
      </w:r>
      <w:r w:rsidR="00CC270A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6E268C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This </w:t>
      </w:r>
      <w:r w:rsidR="001B0829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will not impact any </w:t>
      </w:r>
      <w:r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LLO’s </w:t>
      </w:r>
      <w:r w:rsidR="001B0829" w:rsidRP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reporting of accredited delivery for the Victorian Training Guarantee.</w:t>
      </w:r>
    </w:p>
    <w:p w:rsidR="001B0829" w:rsidRDefault="00C37480" w:rsidP="00522E8A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Consistent </w:t>
      </w:r>
      <w:r w:rsidR="001B08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identification with </w:t>
      </w:r>
      <w:r w:rsidR="00CC270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Training Organisation </w:t>
      </w:r>
      <w:r w:rsidR="001B08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Type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Identifier </w:t>
      </w:r>
      <w:r w:rsidR="00AF6804" w:rsidRPr="0096127E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C</w:t>
      </w:r>
      <w:r w:rsidR="001B0829" w:rsidRPr="0096127E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ode 61</w:t>
      </w:r>
      <w:r w:rsidR="001B08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will enable the accurate reporting of the Learn Local sector’s pre-accredited and accredited activity.</w:t>
      </w:r>
    </w:p>
    <w:p w:rsidR="00C14943" w:rsidRDefault="00C14943" w:rsidP="00C14943">
      <w:pPr>
        <w:overflowPunct/>
        <w:autoSpaceDE/>
        <w:autoSpaceDN/>
        <w:adjustRightInd/>
        <w:spacing w:before="120"/>
        <w:ind w:left="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C14943" w:rsidRDefault="00C14943" w:rsidP="00C14943">
      <w:pPr>
        <w:overflowPunct/>
        <w:autoSpaceDE/>
        <w:autoSpaceDN/>
        <w:adjustRightInd/>
        <w:spacing w:before="120"/>
        <w:ind w:left="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6E268C" w:rsidRDefault="006E268C" w:rsidP="00C14943">
      <w:pPr>
        <w:overflowPunct/>
        <w:autoSpaceDE/>
        <w:autoSpaceDN/>
        <w:adjustRightInd/>
        <w:spacing w:before="120"/>
        <w:ind w:left="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B411B" w:rsidRPr="00117F9A" w:rsidRDefault="000B411B" w:rsidP="000B411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</w:pPr>
      <w:r w:rsidRPr="00117F9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lastRenderedPageBreak/>
        <w:t xml:space="preserve">2. Undercounting </w:t>
      </w:r>
      <w:r w:rsidRPr="00C14943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pre-accredited</w:t>
      </w:r>
      <w:r w:rsidRPr="00117F9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 </w:t>
      </w:r>
      <w:r w:rsidRPr="006E268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module enrolments</w:t>
      </w:r>
    </w:p>
    <w:p w:rsidR="000B411B" w:rsidRPr="00782354" w:rsidRDefault="000B411B" w:rsidP="000B411B">
      <w:pPr>
        <w:tabs>
          <w:tab w:val="left" w:pos="0"/>
          <w:tab w:val="left" w:pos="1080"/>
        </w:tabs>
        <w:ind w:left="-284" w:right="397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</w:p>
    <w:p w:rsidR="000B411B" w:rsidRPr="00782354" w:rsidRDefault="00E60E6D" w:rsidP="000B411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Many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include </w:t>
      </w:r>
      <w:r w:rsidR="00882BA7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course-level information </w:t>
      </w:r>
      <w:r w:rsidR="00882BA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their </w:t>
      </w:r>
      <w:r w:rsidR="00882BA7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pre-accredited </w:t>
      </w:r>
      <w:r w:rsidR="00882BA7">
        <w:rPr>
          <w:rFonts w:ascii="Arial" w:hAnsi="Arial" w:cs="Arial"/>
          <w:bCs/>
          <w:color w:val="000000"/>
          <w:sz w:val="22"/>
          <w:szCs w:val="22"/>
          <w:lang w:eastAsia="en-US"/>
        </w:rPr>
        <w:t>data</w:t>
      </w:r>
      <w:r w:rsidR="00882BA7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882BA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Modules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, not courses,</w:t>
      </w:r>
      <w:r w:rsidR="00882BA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are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however </w:t>
      </w:r>
      <w:r w:rsidR="00882BA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unit of activity in pre-accredited delivery. 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inclusion of </w:t>
      </w:r>
      <w:r w:rsidR="0018373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course-level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information in pre-accredited data </w:t>
      </w:r>
      <w:r w:rsidR="0005629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can result in 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0B411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Department </w:t>
      </w:r>
      <w:r w:rsidR="002C148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undercount</w:t>
      </w:r>
      <w:r w:rsidR="0005629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ing </w:t>
      </w:r>
      <w:r w:rsidR="002C148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 enrolments</w:t>
      </w:r>
      <w:r w:rsidR="00AF680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when reporting Learn Local sector achievement</w:t>
      </w:r>
      <w:r w:rsidR="000B411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</w:p>
    <w:p w:rsidR="00D501A7" w:rsidRDefault="004A17E4" w:rsidP="00D501A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1C657" wp14:editId="404E6BD8">
                <wp:simplePos x="0" y="0"/>
                <wp:positionH relativeFrom="column">
                  <wp:posOffset>-247650</wp:posOffset>
                </wp:positionH>
                <wp:positionV relativeFrom="paragraph">
                  <wp:posOffset>99060</wp:posOffset>
                </wp:positionV>
                <wp:extent cx="6210300" cy="2187575"/>
                <wp:effectExtent l="10160" t="5080" r="8890" b="762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8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8C" w:rsidRDefault="006E2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-19.5pt;margin-top:7.8pt;width:489pt;height:1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" filled="f">
                <v:textbox>
                  <w:txbxContent>
                    <w:p w:rsidR="006E268C" w:rsidRDefault="006E268C"/>
                  </w:txbxContent>
                </v:textbox>
              </v:shape>
            </w:pict>
          </mc:Fallback>
        </mc:AlternateContent>
      </w:r>
    </w:p>
    <w:p w:rsidR="000B411B" w:rsidRPr="00D501A7" w:rsidRDefault="00D501A7" w:rsidP="00D501A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2. </w:t>
      </w:r>
      <w:r w:rsidR="00B62222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Action</w:t>
      </w:r>
    </w:p>
    <w:p w:rsidR="00740595" w:rsidRDefault="00365F6B" w:rsidP="00740595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preparation for 2015 reporting,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>LLO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are </w:t>
      </w:r>
      <w:r w:rsidR="00E60E6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required to review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E60E6D">
        <w:rPr>
          <w:rFonts w:ascii="Arial" w:hAnsi="Arial" w:cs="Arial"/>
          <w:bCs/>
          <w:color w:val="000000"/>
          <w:sz w:val="22"/>
          <w:szCs w:val="22"/>
          <w:lang w:eastAsia="en-US"/>
        </w:rPr>
        <w:t>NAT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30</w:t>
      </w:r>
      <w:r w:rsidR="00E60E6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Program (Course) F</w:t>
      </w:r>
      <w:r w:rsidR="00E60E6D">
        <w:rPr>
          <w:rFonts w:ascii="Arial" w:hAnsi="Arial" w:cs="Arial"/>
          <w:bCs/>
          <w:color w:val="000000"/>
          <w:sz w:val="22"/>
          <w:szCs w:val="22"/>
          <w:lang w:eastAsia="en-US"/>
        </w:rPr>
        <w:t>ile contents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of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their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Student Management System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E60E6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 reporting to SVTS should not include NAT30 File information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, because it pertains only to accredited courses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. NAT30 File information should be deleted from pre-accredited program reporting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to SVTS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740595" w:rsidRDefault="00497E23" w:rsidP="00740595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should </w:t>
      </w:r>
      <w:r w:rsidR="00365F6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then </w:t>
      </w:r>
      <w:r w:rsidR="006E268C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also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review the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corresponding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NAT120 Enrolment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F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ile contents of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their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Student Management System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365F6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After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deletion of NAT30 File contents, </w:t>
      </w:r>
      <w:r w:rsidR="00C41194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NAT120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F</w:t>
      </w:r>
      <w:r w:rsidR="00C41194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iles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for pre-accredited enrolments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should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contain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no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course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code and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course </w:t>
      </w:r>
      <w:r w:rsidR="00740595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name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(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>“</w:t>
      </w:r>
      <w:r w:rsidR="00E60E6D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Program (Qualification/Course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>)”)</w:t>
      </w:r>
      <w:r w:rsidR="00E60E6D" w:rsidRP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information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Course-level information pertains only to accredited courses and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should 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not 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be report</w:t>
      </w:r>
      <w:r w:rsidR="00C41194">
        <w:rPr>
          <w:rFonts w:ascii="Arial" w:hAnsi="Arial" w:cs="Arial"/>
          <w:bCs/>
          <w:color w:val="000000"/>
          <w:sz w:val="22"/>
          <w:szCs w:val="22"/>
          <w:lang w:eastAsia="en-US"/>
        </w:rPr>
        <w:t>ed in pre-accredited enrolment NAT120 Files</w:t>
      </w:r>
      <w:r w:rsidR="00740595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0B411B" w:rsidRDefault="001C2BBF" w:rsidP="00387261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No </w:t>
      </w:r>
      <w:r w:rsidR="00E763C2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other </w:t>
      </w:r>
      <w:r w:rsidR="00170447" w:rsidRP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>NAT120</w:t>
      </w:r>
      <w:r w:rsidR="003F360D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E763C2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fields are 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required to </w:t>
      </w:r>
      <w:r w:rsidR="00E763C2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>change</w:t>
      </w:r>
      <w:r w:rsidR="0060053B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 relation to this issue</w:t>
      </w:r>
      <w:r w:rsidR="003F360D"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9D1BFE" w:rsidRDefault="009D1BFE" w:rsidP="009D1BFE">
      <w:pPr>
        <w:overflowPunct/>
        <w:autoSpaceDE/>
        <w:autoSpaceDN/>
        <w:adjustRightInd/>
        <w:spacing w:before="120"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2C76DD" w:rsidRPr="00C81A9C" w:rsidRDefault="002C76DD" w:rsidP="002C76D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</w:pPr>
      <w:r w:rsidRPr="00C81A9C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3. Imprecise counting of </w:t>
      </w:r>
      <w:r w:rsidRPr="00F4294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pre-accredited</w:t>
      </w:r>
      <w:r w:rsidRPr="00C81A9C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 </w:t>
      </w:r>
      <w:r w:rsidRPr="006E268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delivery hours</w:t>
      </w:r>
    </w:p>
    <w:p w:rsidR="002C76DD" w:rsidRPr="00782354" w:rsidRDefault="002C76DD" w:rsidP="002C76DD">
      <w:pPr>
        <w:tabs>
          <w:tab w:val="left" w:pos="0"/>
          <w:tab w:val="left" w:pos="1080"/>
        </w:tabs>
        <w:ind w:left="-284" w:right="397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</w:p>
    <w:p w:rsidR="004A17E4" w:rsidRDefault="00365F6B" w:rsidP="00C81A9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When updating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or re-using (annually as a result of change)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 programs, m</w:t>
      </w:r>
      <w:r w:rsidR="00D30AE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any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do </w:t>
      </w:r>
      <w:r w:rsidR="00D30AE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not </w:t>
      </w:r>
      <w:r w:rsidR="00D501A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create new, unique </w:t>
      </w:r>
      <w:r w:rsidR="00D30AE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pre-accredited </w:t>
      </w:r>
      <w:r w:rsidR="00D501A7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module code</w:t>
      </w:r>
      <w:r w:rsidR="00D501A7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C81A9C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D30AE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Instead,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report new program content against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existing original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module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>code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C81A9C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Department’s data tools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always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retain only the original program content of an original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module 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code, and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do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not recognise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any new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program content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data that is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reported against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old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module </w:t>
      </w:r>
      <w:r w:rsidR="00C81A9C">
        <w:rPr>
          <w:rFonts w:ascii="Arial" w:hAnsi="Arial" w:cs="Arial"/>
          <w:bCs/>
          <w:color w:val="000000"/>
          <w:sz w:val="22"/>
          <w:szCs w:val="22"/>
          <w:lang w:eastAsia="en-US"/>
        </w:rPr>
        <w:t>codes.</w:t>
      </w:r>
    </w:p>
    <w:p w:rsidR="00B62222" w:rsidRDefault="00B62222" w:rsidP="00C81A9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F4294C" w:rsidRDefault="004A17E4" w:rsidP="00C81A9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For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example, 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might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continue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use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original module code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after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A-Frame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moderation increase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>d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module’s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nominal hours.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Moderation changed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program duration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>from the original 30 nominal hours to 50 nominal hours.  W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hen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LLO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then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reported </w:t>
      </w:r>
      <w:r w:rsidR="006E268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new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>enrolments in the changed module, th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>e Department’s data tools kept referencing the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original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module </w:t>
      </w:r>
      <w:r w:rsidR="00B62222">
        <w:rPr>
          <w:rFonts w:ascii="Arial" w:hAnsi="Arial" w:cs="Arial"/>
          <w:bCs/>
          <w:color w:val="000000"/>
          <w:sz w:val="22"/>
          <w:szCs w:val="22"/>
          <w:lang w:eastAsia="en-US"/>
        </w:rPr>
        <w:t>nominal hours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because the provider kept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using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original module code. 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This would result in some of the </w:t>
      </w:r>
      <w:r w:rsidR="00F4294C">
        <w:rPr>
          <w:rFonts w:ascii="Arial" w:hAnsi="Arial" w:cs="Arial"/>
          <w:bCs/>
          <w:color w:val="000000"/>
          <w:sz w:val="22"/>
          <w:szCs w:val="22"/>
          <w:lang w:eastAsia="en-US"/>
        </w:rPr>
        <w:t>Department’s data reports under-calculat</w:t>
      </w:r>
      <w:r w:rsidR="003E45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ing the reported </w:t>
      </w:r>
      <w:r w:rsidR="00F4294C">
        <w:rPr>
          <w:rFonts w:ascii="Arial" w:hAnsi="Arial" w:cs="Arial"/>
          <w:bCs/>
          <w:color w:val="000000"/>
          <w:sz w:val="22"/>
          <w:szCs w:val="22"/>
          <w:lang w:eastAsia="en-US"/>
        </w:rPr>
        <w:t>delivery by 20 hours per enrolment.</w:t>
      </w:r>
    </w:p>
    <w:p w:rsidR="00D501A7" w:rsidRDefault="004A17E4" w:rsidP="00D501A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1C657" wp14:editId="42F79F79">
                <wp:simplePos x="0" y="0"/>
                <wp:positionH relativeFrom="column">
                  <wp:posOffset>-240917</wp:posOffset>
                </wp:positionH>
                <wp:positionV relativeFrom="paragraph">
                  <wp:posOffset>117943</wp:posOffset>
                </wp:positionV>
                <wp:extent cx="6210300" cy="2156604"/>
                <wp:effectExtent l="0" t="0" r="19050" b="152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56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8C" w:rsidRDefault="006E2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18.95pt;margin-top:9.3pt;width:489pt;height:1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" filled="f">
                <v:textbox>
                  <w:txbxContent>
                    <w:p w:rsidR="006E268C" w:rsidRDefault="006E268C"/>
                  </w:txbxContent>
                </v:textbox>
              </v:shape>
            </w:pict>
          </mc:Fallback>
        </mc:AlternateContent>
      </w:r>
    </w:p>
    <w:p w:rsidR="002C76DD" w:rsidRPr="00D501A7" w:rsidRDefault="00D501A7" w:rsidP="00D501A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3. </w:t>
      </w:r>
      <w:r w:rsidR="00B62222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Action</w:t>
      </w:r>
    </w:p>
    <w:p w:rsidR="003D0243" w:rsidRDefault="00365F6B" w:rsidP="003D024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In preparation for 2015 reporting, e</w:t>
      </w:r>
      <w:r w:rsidR="00497E2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very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 </w:t>
      </w:r>
      <w:r w:rsidR="00E119A5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must 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apply new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pre-accredited </w:t>
      </w:r>
      <w:r w:rsidR="00CA1AE7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>module codes</w:t>
      </w:r>
      <w:r w:rsidR="00C149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for that and subsequent years</w:t>
      </w:r>
      <w:r w:rsidR="00CA1AE7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F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or each </w:t>
      </w:r>
      <w:r w:rsidR="0096127E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module intended for inclusion in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2015 </w:t>
      </w:r>
      <w:r w:rsidR="0096127E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>Delivery Plan</w:t>
      </w:r>
      <w:r w:rsidR="00E119A5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 </w:t>
      </w:r>
      <w:r w:rsidR="001C2BBF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>new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and</w:t>
      </w:r>
      <w:r w:rsidR="00E119A5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unique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‘Subject (Module/Unit of Competency) Identifier’ code </w:t>
      </w:r>
      <w:r w:rsidR="003D0243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must be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created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the </w:t>
      </w:r>
      <w:r w:rsidR="003D0243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NAT60 Subject (Module) </w:t>
      </w:r>
      <w:r w:rsid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>File</w:t>
      </w:r>
      <w:r w:rsidR="00056293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of the Student Management System</w:t>
      </w:r>
      <w:r w:rsidR="003D0243" w:rsidRPr="00E119A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</w:p>
    <w:p w:rsidR="0096127E" w:rsidRDefault="003D0243" w:rsidP="00ED22CE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 </w:t>
      </w:r>
      <w:r w:rsidR="0005629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will also need to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review the corresponding </w:t>
      </w:r>
      <w:r w:rsidRP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NAT120 Enrolment File contents of their Student Management Systems.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newly created </w:t>
      </w:r>
      <w:r w:rsidR="0096127E" w:rsidRP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NAT60 </w:t>
      </w:r>
      <w:r w:rsidR="00365F6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code </w:t>
      </w:r>
      <w:r w:rsidR="0096127E" w:rsidRP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>identifiers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should also appear in relevant NAT120 File fields.</w:t>
      </w:r>
      <w:r w:rsidR="0096127E" w:rsidRPr="003D024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:rsidR="00034D02" w:rsidRPr="00034D02" w:rsidRDefault="00034D02" w:rsidP="00ED22CE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right="397" w:hanging="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034D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This change only applies to module nominal hour values (NAT60 Files). It does not impact enrolment scheduled hours (NAT120 Files). Other module-level NAT120 File contents, such as module name, are not required to change. </w:t>
      </w:r>
    </w:p>
    <w:p w:rsidR="00E53567" w:rsidRPr="00782354" w:rsidRDefault="00E53567" w:rsidP="00522E8A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</w:p>
    <w:p w:rsidR="0096127E" w:rsidRDefault="0096127E" w:rsidP="00C162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4234B" w:rsidRDefault="00056293" w:rsidP="00C162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LLOs’ </w:t>
      </w:r>
      <w:r w:rsidR="0054234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compliance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processes </w:t>
      </w:r>
      <w:r w:rsidR="0054234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will vary according to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 </w:t>
      </w:r>
      <w:r w:rsidR="0096127E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Student Management System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they </w:t>
      </w:r>
      <w:r w:rsidR="0054234B">
        <w:rPr>
          <w:rFonts w:ascii="Arial" w:hAnsi="Arial" w:cs="Arial"/>
          <w:bCs/>
          <w:color w:val="000000"/>
          <w:sz w:val="22"/>
          <w:szCs w:val="22"/>
          <w:lang w:eastAsia="en-US"/>
        </w:rPr>
        <w:t>use</w:t>
      </w:r>
      <w:r w:rsidR="0054234B" w:rsidRPr="00782354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5423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Please contact your SMS vendor for </w:t>
      </w:r>
      <w:r w:rsidR="0096127E">
        <w:rPr>
          <w:rFonts w:ascii="Arial" w:hAnsi="Arial" w:cs="Arial"/>
          <w:bCs/>
          <w:color w:val="000000"/>
          <w:sz w:val="22"/>
          <w:szCs w:val="22"/>
          <w:lang w:eastAsia="en-US"/>
        </w:rPr>
        <w:t>help</w:t>
      </w:r>
      <w:r w:rsidR="005423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with </w:t>
      </w:r>
      <w:r w:rsidR="00034D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meeting </w:t>
      </w:r>
      <w:r w:rsidR="005423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these </w:t>
      </w:r>
      <w:r w:rsidR="00034D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three data quality </w:t>
      </w:r>
      <w:r w:rsidR="0054234B">
        <w:rPr>
          <w:rFonts w:ascii="Arial" w:hAnsi="Arial" w:cs="Arial"/>
          <w:bCs/>
          <w:color w:val="000000"/>
          <w:sz w:val="22"/>
          <w:szCs w:val="22"/>
          <w:lang w:eastAsia="en-US"/>
        </w:rPr>
        <w:t>requirements.</w:t>
      </w:r>
    </w:p>
    <w:p w:rsidR="0054234B" w:rsidRPr="00782354" w:rsidRDefault="0054234B" w:rsidP="00C162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</w:p>
    <w:p w:rsidR="009834D2" w:rsidRPr="00782354" w:rsidRDefault="00F15DD6" w:rsidP="004B4FFA">
      <w:pPr>
        <w:tabs>
          <w:tab w:val="left" w:pos="0"/>
          <w:tab w:val="left" w:pos="1080"/>
        </w:tabs>
        <w:ind w:left="-284" w:right="397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>If you have detailed questions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on these requirements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please send them to </w:t>
      </w:r>
      <w:hyperlink r:id="rId9" w:history="1">
        <w:r w:rsidRPr="002C24FF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training.participation@edumail.vic.gov.au</w:t>
        </w:r>
      </w:hyperlink>
      <w:r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 xml:space="preserve"> 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and use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“D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ata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Q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uality” in the subject line, so </w:t>
      </w:r>
      <w:r w:rsidR="00F11FA0">
        <w:rPr>
          <w:rFonts w:ascii="Arial" w:hAnsi="Arial" w:cs="Arial"/>
          <w:bCs/>
          <w:color w:val="000000"/>
          <w:sz w:val="22"/>
          <w:szCs w:val="22"/>
          <w:lang w:eastAsia="en-US"/>
        </w:rPr>
        <w:t>the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enquiry </w:t>
      </w:r>
      <w:r w:rsidR="00F11FA0">
        <w:rPr>
          <w:rFonts w:ascii="Arial" w:hAnsi="Arial" w:cs="Arial"/>
          <w:bCs/>
          <w:color w:val="000000"/>
          <w:sz w:val="22"/>
          <w:szCs w:val="22"/>
          <w:lang w:eastAsia="en-US"/>
        </w:rPr>
        <w:t>will</w:t>
      </w:r>
      <w:r w:rsidRPr="00F15D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reach the relevant Officer. </w:t>
      </w:r>
    </w:p>
    <w:sectPr w:rsidR="009834D2" w:rsidRPr="00782354" w:rsidSect="00056293">
      <w:headerReference w:type="first" r:id="rId10"/>
      <w:footerReference w:type="first" r:id="rId11"/>
      <w:pgSz w:w="11907" w:h="16840" w:code="9"/>
      <w:pgMar w:top="899" w:right="992" w:bottom="993" w:left="1276" w:header="567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72" w:rsidRDefault="009C4772" w:rsidP="00846881">
      <w:r>
        <w:separator/>
      </w:r>
    </w:p>
  </w:endnote>
  <w:endnote w:type="continuationSeparator" w:id="0">
    <w:p w:rsidR="009C4772" w:rsidRDefault="009C4772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8C" w:rsidRPr="00056293" w:rsidRDefault="006E268C">
    <w:pPr>
      <w:pStyle w:val="Footer"/>
      <w:jc w:val="right"/>
      <w:rPr>
        <w:rFonts w:ascii="Arial" w:hAnsi="Arial" w:cs="Arial"/>
        <w:sz w:val="20"/>
      </w:rPr>
    </w:pPr>
    <w:r w:rsidRPr="00056293">
      <w:rPr>
        <w:rFonts w:ascii="Arial" w:hAnsi="Arial" w:cs="Arial"/>
        <w:sz w:val="20"/>
      </w:rPr>
      <w:fldChar w:fldCharType="begin"/>
    </w:r>
    <w:r w:rsidRPr="00056293">
      <w:rPr>
        <w:rFonts w:ascii="Arial" w:hAnsi="Arial" w:cs="Arial"/>
        <w:sz w:val="20"/>
      </w:rPr>
      <w:instrText xml:space="preserve"> PAGE   \* MERGEFORMAT </w:instrText>
    </w:r>
    <w:r w:rsidRPr="00056293">
      <w:rPr>
        <w:rFonts w:ascii="Arial" w:hAnsi="Arial" w:cs="Arial"/>
        <w:sz w:val="20"/>
      </w:rPr>
      <w:fldChar w:fldCharType="separate"/>
    </w:r>
    <w:r w:rsidR="00667B57">
      <w:rPr>
        <w:rFonts w:ascii="Arial" w:hAnsi="Arial" w:cs="Arial"/>
        <w:noProof/>
        <w:sz w:val="20"/>
      </w:rPr>
      <w:t>1</w:t>
    </w:r>
    <w:r w:rsidRPr="00056293">
      <w:rPr>
        <w:rFonts w:ascii="Arial" w:hAnsi="Arial" w:cs="Arial"/>
        <w:noProof/>
        <w:sz w:val="20"/>
      </w:rPr>
      <w:fldChar w:fldCharType="end"/>
    </w:r>
  </w:p>
  <w:p w:rsidR="006E268C" w:rsidRDefault="006E2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72" w:rsidRDefault="009C4772" w:rsidP="00846881">
      <w:r>
        <w:separator/>
      </w:r>
    </w:p>
  </w:footnote>
  <w:footnote w:type="continuationSeparator" w:id="0">
    <w:p w:rsidR="009C4772" w:rsidRDefault="009C4772" w:rsidP="0084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8C" w:rsidRDefault="006E2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D16"/>
    <w:multiLevelType w:val="hybridMultilevel"/>
    <w:tmpl w:val="88E6566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86150"/>
    <w:multiLevelType w:val="hybridMultilevel"/>
    <w:tmpl w:val="5A6C50F8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C2722"/>
    <w:multiLevelType w:val="hybridMultilevel"/>
    <w:tmpl w:val="DDE64938"/>
    <w:lvl w:ilvl="0" w:tplc="3790FF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780C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A8C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785A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CA45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B8CE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222E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A25F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9CA3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A87A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14F8"/>
    <w:multiLevelType w:val="hybridMultilevel"/>
    <w:tmpl w:val="DAF45094"/>
    <w:lvl w:ilvl="0" w:tplc="B3682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630AC"/>
    <w:multiLevelType w:val="hybridMultilevel"/>
    <w:tmpl w:val="CA804516"/>
    <w:lvl w:ilvl="0" w:tplc="E7847AB4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579" w:hanging="360"/>
      </w:pPr>
    </w:lvl>
    <w:lvl w:ilvl="2" w:tplc="0C09001B">
      <w:start w:val="1"/>
      <w:numFmt w:val="lowerRoman"/>
      <w:lvlText w:val="%3."/>
      <w:lvlJc w:val="right"/>
      <w:pPr>
        <w:ind w:left="2299" w:hanging="180"/>
      </w:pPr>
    </w:lvl>
    <w:lvl w:ilvl="3" w:tplc="0C09000F">
      <w:start w:val="1"/>
      <w:numFmt w:val="decimal"/>
      <w:lvlText w:val="%4."/>
      <w:lvlJc w:val="left"/>
      <w:pPr>
        <w:ind w:left="3019" w:hanging="360"/>
      </w:pPr>
    </w:lvl>
    <w:lvl w:ilvl="4" w:tplc="0C090019">
      <w:start w:val="1"/>
      <w:numFmt w:val="lowerLetter"/>
      <w:lvlText w:val="%5."/>
      <w:lvlJc w:val="left"/>
      <w:pPr>
        <w:ind w:left="3739" w:hanging="360"/>
      </w:pPr>
    </w:lvl>
    <w:lvl w:ilvl="5" w:tplc="0C09001B">
      <w:start w:val="1"/>
      <w:numFmt w:val="lowerRoman"/>
      <w:lvlText w:val="%6."/>
      <w:lvlJc w:val="right"/>
      <w:pPr>
        <w:ind w:left="4459" w:hanging="180"/>
      </w:pPr>
    </w:lvl>
    <w:lvl w:ilvl="6" w:tplc="0C09000F">
      <w:start w:val="1"/>
      <w:numFmt w:val="decimal"/>
      <w:lvlText w:val="%7."/>
      <w:lvlJc w:val="left"/>
      <w:pPr>
        <w:ind w:left="5179" w:hanging="360"/>
      </w:pPr>
    </w:lvl>
    <w:lvl w:ilvl="7" w:tplc="0C090019">
      <w:start w:val="1"/>
      <w:numFmt w:val="lowerLetter"/>
      <w:lvlText w:val="%8."/>
      <w:lvlJc w:val="left"/>
      <w:pPr>
        <w:ind w:left="5899" w:hanging="360"/>
      </w:pPr>
    </w:lvl>
    <w:lvl w:ilvl="8" w:tplc="0C09001B">
      <w:start w:val="1"/>
      <w:numFmt w:val="lowerRoman"/>
      <w:lvlText w:val="%9."/>
      <w:lvlJc w:val="right"/>
      <w:pPr>
        <w:ind w:left="6619" w:hanging="180"/>
      </w:pPr>
    </w:lvl>
  </w:abstractNum>
  <w:abstractNum w:abstractNumId="17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81328"/>
    <w:multiLevelType w:val="hybridMultilevel"/>
    <w:tmpl w:val="397236E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34D02"/>
    <w:rsid w:val="000425DB"/>
    <w:rsid w:val="00056293"/>
    <w:rsid w:val="00060214"/>
    <w:rsid w:val="00060EA4"/>
    <w:rsid w:val="000701E5"/>
    <w:rsid w:val="0008021C"/>
    <w:rsid w:val="000901F6"/>
    <w:rsid w:val="000A28AF"/>
    <w:rsid w:val="000B411B"/>
    <w:rsid w:val="000C3753"/>
    <w:rsid w:val="000C782C"/>
    <w:rsid w:val="000D1E37"/>
    <w:rsid w:val="00105033"/>
    <w:rsid w:val="00105130"/>
    <w:rsid w:val="001079BD"/>
    <w:rsid w:val="00117F9A"/>
    <w:rsid w:val="001214D4"/>
    <w:rsid w:val="00125617"/>
    <w:rsid w:val="001402AB"/>
    <w:rsid w:val="001411A4"/>
    <w:rsid w:val="00170447"/>
    <w:rsid w:val="00181F47"/>
    <w:rsid w:val="00183731"/>
    <w:rsid w:val="001A30CF"/>
    <w:rsid w:val="001B0829"/>
    <w:rsid w:val="001B3D21"/>
    <w:rsid w:val="001B541E"/>
    <w:rsid w:val="001C0117"/>
    <w:rsid w:val="001C0C39"/>
    <w:rsid w:val="001C2BBF"/>
    <w:rsid w:val="001C4930"/>
    <w:rsid w:val="001D2F77"/>
    <w:rsid w:val="001F79EB"/>
    <w:rsid w:val="00206E94"/>
    <w:rsid w:val="00213CB1"/>
    <w:rsid w:val="00234DCA"/>
    <w:rsid w:val="00241DCD"/>
    <w:rsid w:val="00257CA2"/>
    <w:rsid w:val="00264866"/>
    <w:rsid w:val="002831C1"/>
    <w:rsid w:val="00284B19"/>
    <w:rsid w:val="00295142"/>
    <w:rsid w:val="002A24E2"/>
    <w:rsid w:val="002C148B"/>
    <w:rsid w:val="002C76DD"/>
    <w:rsid w:val="003335C4"/>
    <w:rsid w:val="00340192"/>
    <w:rsid w:val="00340366"/>
    <w:rsid w:val="00352C50"/>
    <w:rsid w:val="00353DCA"/>
    <w:rsid w:val="00365F6B"/>
    <w:rsid w:val="00384947"/>
    <w:rsid w:val="00387261"/>
    <w:rsid w:val="003B7B63"/>
    <w:rsid w:val="003D0243"/>
    <w:rsid w:val="003D454C"/>
    <w:rsid w:val="003E4502"/>
    <w:rsid w:val="003F0B63"/>
    <w:rsid w:val="003F360D"/>
    <w:rsid w:val="003F3D59"/>
    <w:rsid w:val="003F640F"/>
    <w:rsid w:val="004003EC"/>
    <w:rsid w:val="00401A23"/>
    <w:rsid w:val="004304A3"/>
    <w:rsid w:val="00453CAD"/>
    <w:rsid w:val="004604A8"/>
    <w:rsid w:val="0048144F"/>
    <w:rsid w:val="00497E23"/>
    <w:rsid w:val="004A17E4"/>
    <w:rsid w:val="004B182C"/>
    <w:rsid w:val="004B4FFA"/>
    <w:rsid w:val="004C32C0"/>
    <w:rsid w:val="004C7772"/>
    <w:rsid w:val="004E42D2"/>
    <w:rsid w:val="00505EC2"/>
    <w:rsid w:val="00506F42"/>
    <w:rsid w:val="00522E8A"/>
    <w:rsid w:val="00530D50"/>
    <w:rsid w:val="00531AEB"/>
    <w:rsid w:val="00540C9F"/>
    <w:rsid w:val="0054234B"/>
    <w:rsid w:val="00547107"/>
    <w:rsid w:val="005543E8"/>
    <w:rsid w:val="00583630"/>
    <w:rsid w:val="00590B75"/>
    <w:rsid w:val="005B4815"/>
    <w:rsid w:val="005E1085"/>
    <w:rsid w:val="005E68F4"/>
    <w:rsid w:val="005F153D"/>
    <w:rsid w:val="0060053B"/>
    <w:rsid w:val="006254CC"/>
    <w:rsid w:val="00626260"/>
    <w:rsid w:val="0063350A"/>
    <w:rsid w:val="006344F3"/>
    <w:rsid w:val="006409D9"/>
    <w:rsid w:val="00642849"/>
    <w:rsid w:val="00651785"/>
    <w:rsid w:val="006655C8"/>
    <w:rsid w:val="00667B57"/>
    <w:rsid w:val="00687039"/>
    <w:rsid w:val="006935A8"/>
    <w:rsid w:val="00696854"/>
    <w:rsid w:val="006A1696"/>
    <w:rsid w:val="006A5387"/>
    <w:rsid w:val="006C64F0"/>
    <w:rsid w:val="006D4561"/>
    <w:rsid w:val="006E268C"/>
    <w:rsid w:val="00717852"/>
    <w:rsid w:val="00740595"/>
    <w:rsid w:val="007602BC"/>
    <w:rsid w:val="0076398D"/>
    <w:rsid w:val="00764A0A"/>
    <w:rsid w:val="00770AF9"/>
    <w:rsid w:val="007716FE"/>
    <w:rsid w:val="00772628"/>
    <w:rsid w:val="00782354"/>
    <w:rsid w:val="00790C20"/>
    <w:rsid w:val="007951E1"/>
    <w:rsid w:val="007A3F91"/>
    <w:rsid w:val="007E59F5"/>
    <w:rsid w:val="00812FCB"/>
    <w:rsid w:val="00846881"/>
    <w:rsid w:val="00867D3A"/>
    <w:rsid w:val="00873512"/>
    <w:rsid w:val="00880ACA"/>
    <w:rsid w:val="00882BA7"/>
    <w:rsid w:val="00891694"/>
    <w:rsid w:val="0089186A"/>
    <w:rsid w:val="008E2680"/>
    <w:rsid w:val="008E2DD6"/>
    <w:rsid w:val="008E53DE"/>
    <w:rsid w:val="008F3646"/>
    <w:rsid w:val="00903B41"/>
    <w:rsid w:val="00933C17"/>
    <w:rsid w:val="0096127E"/>
    <w:rsid w:val="009623E0"/>
    <w:rsid w:val="00965E53"/>
    <w:rsid w:val="009706F1"/>
    <w:rsid w:val="009834D2"/>
    <w:rsid w:val="009843BA"/>
    <w:rsid w:val="0099526E"/>
    <w:rsid w:val="009A2943"/>
    <w:rsid w:val="009C4772"/>
    <w:rsid w:val="009C7B4C"/>
    <w:rsid w:val="009D1BFE"/>
    <w:rsid w:val="009D33BC"/>
    <w:rsid w:val="009D5D01"/>
    <w:rsid w:val="009E3636"/>
    <w:rsid w:val="00A011F2"/>
    <w:rsid w:val="00A138CA"/>
    <w:rsid w:val="00A14B2D"/>
    <w:rsid w:val="00A2083F"/>
    <w:rsid w:val="00A24A30"/>
    <w:rsid w:val="00A83FB3"/>
    <w:rsid w:val="00A9135E"/>
    <w:rsid w:val="00AA058C"/>
    <w:rsid w:val="00AD0AF3"/>
    <w:rsid w:val="00AF0514"/>
    <w:rsid w:val="00AF6804"/>
    <w:rsid w:val="00B11D3E"/>
    <w:rsid w:val="00B17F82"/>
    <w:rsid w:val="00B33E4F"/>
    <w:rsid w:val="00B41E45"/>
    <w:rsid w:val="00B5136F"/>
    <w:rsid w:val="00B62222"/>
    <w:rsid w:val="00B632F5"/>
    <w:rsid w:val="00BE7943"/>
    <w:rsid w:val="00C14943"/>
    <w:rsid w:val="00C151BB"/>
    <w:rsid w:val="00C16244"/>
    <w:rsid w:val="00C373FC"/>
    <w:rsid w:val="00C37480"/>
    <w:rsid w:val="00C41194"/>
    <w:rsid w:val="00C75A39"/>
    <w:rsid w:val="00C81A9C"/>
    <w:rsid w:val="00C83B90"/>
    <w:rsid w:val="00CA0D2E"/>
    <w:rsid w:val="00CA1AE7"/>
    <w:rsid w:val="00CB16A1"/>
    <w:rsid w:val="00CC233D"/>
    <w:rsid w:val="00CC270A"/>
    <w:rsid w:val="00CD0632"/>
    <w:rsid w:val="00CE69B8"/>
    <w:rsid w:val="00CF6891"/>
    <w:rsid w:val="00D30AE0"/>
    <w:rsid w:val="00D33418"/>
    <w:rsid w:val="00D501A7"/>
    <w:rsid w:val="00D53A53"/>
    <w:rsid w:val="00D676F5"/>
    <w:rsid w:val="00D70562"/>
    <w:rsid w:val="00DD6095"/>
    <w:rsid w:val="00DD6855"/>
    <w:rsid w:val="00E043EE"/>
    <w:rsid w:val="00E119A5"/>
    <w:rsid w:val="00E23375"/>
    <w:rsid w:val="00E320A4"/>
    <w:rsid w:val="00E53567"/>
    <w:rsid w:val="00E60E6D"/>
    <w:rsid w:val="00E763C2"/>
    <w:rsid w:val="00E76F32"/>
    <w:rsid w:val="00E91E6B"/>
    <w:rsid w:val="00ED22CE"/>
    <w:rsid w:val="00EE4BD9"/>
    <w:rsid w:val="00EE5E95"/>
    <w:rsid w:val="00EE7DA0"/>
    <w:rsid w:val="00EF45F5"/>
    <w:rsid w:val="00F11CAC"/>
    <w:rsid w:val="00F11FA0"/>
    <w:rsid w:val="00F15DD6"/>
    <w:rsid w:val="00F17667"/>
    <w:rsid w:val="00F24B4E"/>
    <w:rsid w:val="00F30F82"/>
    <w:rsid w:val="00F343D3"/>
    <w:rsid w:val="00F4294C"/>
    <w:rsid w:val="00F45EF7"/>
    <w:rsid w:val="00F84BD3"/>
    <w:rsid w:val="00F8781E"/>
    <w:rsid w:val="00FC6923"/>
    <w:rsid w:val="00FD6F89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unhideWhenUsed/>
    <w:rsid w:val="009D33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unhideWhenUsed/>
    <w:rsid w:val="009D33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747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49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81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ining.participation@edumail.vic.gov.au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ADDF193-0FA2-4A91-B857-4A86142D6058}"/>
</file>

<file path=customXml/itemProps2.xml><?xml version="1.0" encoding="utf-8"?>
<ds:datastoreItem xmlns:ds="http://schemas.openxmlformats.org/officeDocument/2006/customXml" ds:itemID="{57890E5C-6664-45C3-B028-63E8707AE9E5}"/>
</file>

<file path=customXml/itemProps3.xml><?xml version="1.0" encoding="utf-8"?>
<ds:datastoreItem xmlns:ds="http://schemas.openxmlformats.org/officeDocument/2006/customXml" ds:itemID="{EE7FA01E-D9D3-4AF4-9DD4-A0DB0528A9E0}"/>
</file>

<file path=customXml/itemProps4.xml><?xml version="1.0" encoding="utf-8"?>
<ds:datastoreItem xmlns:ds="http://schemas.openxmlformats.org/officeDocument/2006/customXml" ds:itemID="{218C1E64-7496-450E-A213-1EB31EE4FED3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824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pre-accredited data quality</dc:title>
  <dc:creator>08306670</dc:creator>
  <cp:lastModifiedBy>Morrow, Jackie A</cp:lastModifiedBy>
  <cp:revision>3</cp:revision>
  <cp:lastPrinted>2014-09-15T01:52:00Z</cp:lastPrinted>
  <dcterms:created xsi:type="dcterms:W3CDTF">2014-10-06T00:34:00Z</dcterms:created>
  <dcterms:modified xsi:type="dcterms:W3CDTF">2014-10-06T00:36:00Z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