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32A2E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E411D9" w:rsidP="00D32A2E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0263ACA0" w14:textId="77777777" w:rsidR="009D5D01" w:rsidRPr="00633C39" w:rsidRDefault="009D5D01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9D5D01" w:rsidRPr="006F3F2F" w:rsidRDefault="009D5D0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77777777" w:rsidR="009D5D01" w:rsidRPr="006F3F2F" w:rsidRDefault="009D5D01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9D5D01" w:rsidRPr="00633C39" w:rsidRDefault="009D5D01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77777777" w:rsidR="009D5D01" w:rsidRPr="00633C39" w:rsidRDefault="009D5D0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Department of Education and Early Childhood Development</w:t>
                          </w:r>
                        </w:p>
                        <w:p w14:paraId="17F4BCFB" w14:textId="77777777" w:rsidR="009D5D01" w:rsidRDefault="009D5D01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5E240E9D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916039">
        <w:rPr>
          <w:rFonts w:ascii="Arial" w:hAnsi="Arial"/>
          <w:i/>
          <w:color w:val="000000"/>
          <w:sz w:val="22"/>
          <w:szCs w:val="24"/>
          <w:lang w:val="en-GB" w:eastAsia="en-US"/>
        </w:rPr>
        <w:t>August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6F31F2">
        <w:rPr>
          <w:rFonts w:ascii="Arial" w:hAnsi="Arial"/>
          <w:i/>
          <w:color w:val="000000"/>
          <w:sz w:val="22"/>
          <w:szCs w:val="24"/>
          <w:lang w:val="en-GB" w:eastAsia="en-US"/>
        </w:rPr>
        <w:t>26</w:t>
      </w:r>
      <w:bookmarkStart w:id="0" w:name="_GoBack"/>
      <w:bookmarkEnd w:id="0"/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D32A2E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41D34D38" w:rsidR="009D5D01" w:rsidRPr="006F3F2F" w:rsidRDefault="009D5D01" w:rsidP="0091603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916039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1CFFFB9F" w14:textId="3A8C1A13" w:rsidR="009D5D01" w:rsidRPr="006F3F2F" w:rsidRDefault="00916039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2364BB1C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AEB6C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17F031B9" w14:textId="77777777" w:rsidTr="00D32A2E">
        <w:tc>
          <w:tcPr>
            <w:tcW w:w="3119" w:type="dxa"/>
            <w:shd w:val="clear" w:color="auto" w:fill="auto"/>
          </w:tcPr>
          <w:p w14:paraId="1C2BCFF9" w14:textId="77777777" w:rsidR="009D5D01" w:rsidRPr="001336DE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7D6507B" w14:textId="77777777" w:rsidR="009D5D01" w:rsidRPr="0052344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53DA7465" w14:textId="77777777" w:rsidR="009D5D01" w:rsidRPr="0052344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7EADB69" w14:textId="110863DF" w:rsidR="009D5D01" w:rsidRPr="006F3F2F" w:rsidRDefault="00916039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</w:tr>
      <w:tr w:rsidR="009D5D01" w:rsidRPr="006F3F2F" w14:paraId="6E95C908" w14:textId="77777777" w:rsidTr="00D32A2E">
        <w:tc>
          <w:tcPr>
            <w:tcW w:w="3119" w:type="dxa"/>
            <w:shd w:val="clear" w:color="auto" w:fill="auto"/>
          </w:tcPr>
          <w:p w14:paraId="74B0533B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14:paraId="2B75F426" w14:textId="6C200CA5" w:rsidR="009D5D01" w:rsidRPr="006F3F2F" w:rsidRDefault="00916039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67241711" w14:textId="42A4DB33" w:rsidR="009D5D01" w:rsidRPr="006F3F2F" w:rsidRDefault="00916039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23FAADD0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6F31F2">
        <w:rPr>
          <w:rFonts w:ascii="Arial" w:hAnsi="Arial"/>
          <w:color w:val="000000"/>
          <w:sz w:val="22"/>
          <w:lang w:val="en-GB" w:eastAsia="en-US"/>
        </w:rPr>
        <w:t>26</w:t>
      </w:r>
      <w:r w:rsidR="00916039">
        <w:rPr>
          <w:rFonts w:ascii="Arial" w:hAnsi="Arial"/>
          <w:color w:val="000000"/>
          <w:sz w:val="22"/>
          <w:lang w:val="en-GB" w:eastAsia="en-US"/>
        </w:rPr>
        <w:t>/08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916039">
        <w:rPr>
          <w:rFonts w:ascii="Arial" w:hAnsi="Arial"/>
          <w:color w:val="000000"/>
          <w:sz w:val="22"/>
          <w:lang w:val="en-GB" w:eastAsia="en-US"/>
        </w:rPr>
        <w:t>2014</w:t>
      </w:r>
    </w:p>
    <w:p w14:paraId="5F400457" w14:textId="7A657BBD" w:rsidR="009D5D01" w:rsidRPr="00451F9C" w:rsidRDefault="009D5D01" w:rsidP="00451F9C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b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6F31F2">
        <w:rPr>
          <w:rFonts w:ascii="Arial" w:hAnsi="Arial"/>
          <w:b/>
          <w:color w:val="000000"/>
          <w:sz w:val="22"/>
          <w:lang w:val="en-GB" w:eastAsia="en-US"/>
        </w:rPr>
        <w:t xml:space="preserve">2014 Learn Local Business </w:t>
      </w:r>
      <w:proofErr w:type="gramStart"/>
      <w:r w:rsidR="006F31F2">
        <w:rPr>
          <w:rFonts w:ascii="Arial" w:hAnsi="Arial"/>
          <w:b/>
          <w:color w:val="000000"/>
          <w:sz w:val="22"/>
          <w:lang w:val="en-GB" w:eastAsia="en-US"/>
        </w:rPr>
        <w:t>Survey</w:t>
      </w:r>
      <w:r w:rsidR="00916039" w:rsidRPr="00916039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916039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6F31F2">
        <w:rPr>
          <w:rFonts w:ascii="Arial" w:hAnsi="Arial"/>
          <w:b/>
          <w:color w:val="000000"/>
          <w:sz w:val="22"/>
          <w:lang w:val="en-GB" w:eastAsia="en-US"/>
        </w:rPr>
        <w:t>(</w:t>
      </w:r>
      <w:proofErr w:type="gramEnd"/>
      <w:r w:rsidR="006F31F2">
        <w:rPr>
          <w:rFonts w:ascii="Arial" w:hAnsi="Arial"/>
          <w:b/>
          <w:color w:val="000000"/>
          <w:sz w:val="22"/>
          <w:lang w:val="en-GB" w:eastAsia="en-US"/>
        </w:rPr>
        <w:t xml:space="preserve">formerly </w:t>
      </w:r>
      <w:r w:rsidR="00EB2696">
        <w:rPr>
          <w:rFonts w:ascii="Arial" w:hAnsi="Arial"/>
          <w:b/>
          <w:color w:val="000000"/>
          <w:sz w:val="22"/>
          <w:lang w:val="en-GB" w:eastAsia="en-US"/>
        </w:rPr>
        <w:t>‘</w:t>
      </w:r>
      <w:r w:rsidR="006F31F2">
        <w:rPr>
          <w:rFonts w:ascii="Arial" w:hAnsi="Arial"/>
          <w:b/>
          <w:color w:val="000000"/>
          <w:sz w:val="22"/>
          <w:lang w:val="en-GB" w:eastAsia="en-US"/>
        </w:rPr>
        <w:t>ACE Business Survey</w:t>
      </w:r>
      <w:r w:rsidR="00EB2696">
        <w:rPr>
          <w:rFonts w:ascii="Arial" w:hAnsi="Arial"/>
          <w:b/>
          <w:color w:val="000000"/>
          <w:sz w:val="22"/>
          <w:lang w:val="en-GB" w:eastAsia="en-US"/>
        </w:rPr>
        <w:t>’</w:t>
      </w:r>
      <w:r w:rsidR="006F31F2">
        <w:rPr>
          <w:rFonts w:ascii="Arial" w:hAnsi="Arial"/>
          <w:b/>
          <w:color w:val="000000"/>
          <w:sz w:val="22"/>
          <w:lang w:val="en-GB" w:eastAsia="en-US"/>
        </w:rPr>
        <w:t>)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Default="009D5D01" w:rsidP="006F3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13DE2ECF" w14:textId="77777777" w:rsidR="006F31F2" w:rsidRPr="00044F8A" w:rsidRDefault="006F31F2" w:rsidP="006F3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E6FCF25" w14:textId="72389FA3" w:rsidR="006F31F2" w:rsidRDefault="006F31F2" w:rsidP="006F31F2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The 2014 Learn Local Business Survey will open on 1 September.</w:t>
      </w:r>
    </w:p>
    <w:p w14:paraId="380B56D3" w14:textId="35C1BC9C" w:rsidR="006F31F2" w:rsidRDefault="006F31F2" w:rsidP="006F31F2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Each Learn Local organisation (LLO) will shortly receive a letter containing instructions on how to complete the 2014 Learn Local Business Survey online.</w:t>
      </w:r>
    </w:p>
    <w:p w14:paraId="0177F649" w14:textId="02726A52" w:rsidR="006F31F2" w:rsidRPr="00451F9C" w:rsidRDefault="00451F9C" w:rsidP="00451F9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 w:rsidRPr="00451F9C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The survey will close on 19 September so LLOs will need to ensure they comple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te the survey before this date</w:t>
      </w:r>
    </w:p>
    <w:p w14:paraId="249453B3" w14:textId="1934CE6C" w:rsidR="009D5D01" w:rsidRDefault="009D5D01" w:rsidP="00EB26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41877E77" w14:textId="77777777" w:rsidR="00EB2696" w:rsidRDefault="00EB2696" w:rsidP="00EB2696">
      <w:pPr>
        <w:tabs>
          <w:tab w:val="num" w:pos="1440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35864EBB" w14:textId="6B4351CC" w:rsidR="002C7C5B" w:rsidRPr="002C7C5B" w:rsidRDefault="002C7C5B" w:rsidP="00EB2696">
      <w:pPr>
        <w:tabs>
          <w:tab w:val="num" w:pos="1440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7C5B">
        <w:rPr>
          <w:rFonts w:ascii="Arial" w:eastAsia="Calibri" w:hAnsi="Arial" w:cs="Arial"/>
          <w:b/>
          <w:sz w:val="22"/>
          <w:szCs w:val="22"/>
          <w:lang w:eastAsia="en-US"/>
        </w:rPr>
        <w:t>Background</w:t>
      </w:r>
    </w:p>
    <w:p w14:paraId="7C873D30" w14:textId="77777777" w:rsidR="002C7C5B" w:rsidRDefault="002C7C5B" w:rsidP="00EB2696">
      <w:pPr>
        <w:tabs>
          <w:tab w:val="num" w:pos="1440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14D1F7F3" w14:textId="3CD01734" w:rsidR="00295869" w:rsidRDefault="00EB2696" w:rsidP="00EB2696">
      <w:pPr>
        <w:tabs>
          <w:tab w:val="num" w:pos="1440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Building on previous surveys of the Learn Local sector, the ACFE Board</w:t>
      </w:r>
      <w:r w:rsidRPr="00EB2696">
        <w:rPr>
          <w:rFonts w:ascii="Arial" w:eastAsia="Calibri" w:hAnsi="Arial" w:cs="Arial"/>
          <w:sz w:val="22"/>
          <w:szCs w:val="22"/>
          <w:lang w:eastAsia="en-US"/>
        </w:rPr>
        <w:t xml:space="preserve"> will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once again</w:t>
      </w:r>
      <w:r w:rsidRPr="00EB2696">
        <w:rPr>
          <w:rFonts w:ascii="Arial" w:eastAsia="Calibri" w:hAnsi="Arial" w:cs="Arial"/>
          <w:sz w:val="22"/>
          <w:szCs w:val="22"/>
          <w:lang w:eastAsia="en-US"/>
        </w:rPr>
        <w:t xml:space="preserve"> be undertaking </w:t>
      </w:r>
      <w:r>
        <w:rPr>
          <w:rFonts w:ascii="Arial" w:eastAsia="Calibri" w:hAnsi="Arial" w:cs="Arial"/>
          <w:sz w:val="22"/>
          <w:szCs w:val="22"/>
          <w:lang w:eastAsia="en-US"/>
        </w:rPr>
        <w:t>a Learn Local</w:t>
      </w:r>
      <w:r w:rsidRPr="00EB2696">
        <w:rPr>
          <w:rFonts w:ascii="Arial" w:eastAsia="Calibri" w:hAnsi="Arial" w:cs="Arial"/>
          <w:sz w:val="22"/>
          <w:szCs w:val="22"/>
          <w:lang w:eastAsia="en-US"/>
        </w:rPr>
        <w:t xml:space="preserve"> Business Survey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2014. The survey is an important resource for the Board in </w:t>
      </w:r>
      <w:r w:rsidR="00295869">
        <w:rPr>
          <w:rFonts w:ascii="Arial" w:eastAsia="Calibri" w:hAnsi="Arial" w:cs="Arial"/>
          <w:sz w:val="22"/>
          <w:szCs w:val="22"/>
          <w:lang w:eastAsia="en-US"/>
        </w:rPr>
        <w:t>monitoring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the size and diversity of the </w:t>
      </w:r>
      <w:r w:rsidR="00295869">
        <w:rPr>
          <w:rFonts w:ascii="Arial" w:eastAsia="Calibri" w:hAnsi="Arial" w:cs="Arial"/>
          <w:sz w:val="22"/>
          <w:szCs w:val="22"/>
          <w:lang w:eastAsia="en-US"/>
        </w:rPr>
        <w:t xml:space="preserve">sector and </w:t>
      </w:r>
      <w:r w:rsidR="002C7C5B">
        <w:rPr>
          <w:rFonts w:ascii="Arial" w:eastAsia="Calibri" w:hAnsi="Arial" w:cs="Arial"/>
          <w:sz w:val="22"/>
          <w:szCs w:val="22"/>
          <w:lang w:eastAsia="en-US"/>
        </w:rPr>
        <w:t>in</w:t>
      </w:r>
      <w:r w:rsidR="00295869">
        <w:rPr>
          <w:rFonts w:ascii="Arial" w:eastAsia="Calibri" w:hAnsi="Arial" w:cs="Arial"/>
          <w:sz w:val="22"/>
          <w:szCs w:val="22"/>
          <w:lang w:eastAsia="en-US"/>
        </w:rPr>
        <w:t xml:space="preserve"> identify</w:t>
      </w:r>
      <w:r w:rsidR="002C7C5B">
        <w:rPr>
          <w:rFonts w:ascii="Arial" w:eastAsia="Calibri" w:hAnsi="Arial" w:cs="Arial"/>
          <w:sz w:val="22"/>
          <w:szCs w:val="22"/>
          <w:lang w:eastAsia="en-US"/>
        </w:rPr>
        <w:t>ing</w:t>
      </w:r>
      <w:r w:rsidR="00295869">
        <w:rPr>
          <w:rFonts w:ascii="Arial" w:eastAsia="Calibri" w:hAnsi="Arial" w:cs="Arial"/>
          <w:sz w:val="22"/>
          <w:szCs w:val="22"/>
          <w:lang w:eastAsia="en-US"/>
        </w:rPr>
        <w:t xml:space="preserve"> opportunities to better respond to learners needs. </w:t>
      </w:r>
    </w:p>
    <w:p w14:paraId="6ADB9D6A" w14:textId="77777777" w:rsidR="00295869" w:rsidRDefault="00295869" w:rsidP="00EB2696">
      <w:pPr>
        <w:tabs>
          <w:tab w:val="num" w:pos="1440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24A8A669" w14:textId="09EEF419" w:rsidR="00EB2696" w:rsidRDefault="00295869" w:rsidP="00EB2696">
      <w:pPr>
        <w:tabs>
          <w:tab w:val="num" w:pos="1440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It is hoped that as many LLOs as possible will choose to participate in this year’s survey in order to fully capture the contribution you make in providing l</w:t>
      </w:r>
      <w:r w:rsidR="002C7C5B">
        <w:rPr>
          <w:rFonts w:ascii="Arial" w:eastAsia="Calibri" w:hAnsi="Arial" w:cs="Arial"/>
          <w:sz w:val="22"/>
          <w:szCs w:val="22"/>
          <w:lang w:eastAsia="en-US"/>
        </w:rPr>
        <w:t xml:space="preserve">ocal learning opportunities and delivering services to your communities.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7C5B">
        <w:rPr>
          <w:rFonts w:ascii="Arial" w:eastAsia="Calibri" w:hAnsi="Arial" w:cs="Arial"/>
          <w:sz w:val="22"/>
          <w:szCs w:val="22"/>
          <w:lang w:eastAsia="en-US"/>
        </w:rPr>
        <w:t>All LLOs will receive the 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esults of the survey </w:t>
      </w:r>
      <w:r w:rsidR="002C7C5B">
        <w:rPr>
          <w:rFonts w:ascii="Arial" w:eastAsia="Calibri" w:hAnsi="Arial" w:cs="Arial"/>
          <w:sz w:val="22"/>
          <w:szCs w:val="22"/>
          <w:lang w:eastAsia="en-US"/>
        </w:rPr>
        <w:t xml:space="preserve">when they become available. </w:t>
      </w:r>
    </w:p>
    <w:p w14:paraId="77A39C07" w14:textId="09D73D77" w:rsidR="00EB2696" w:rsidRPr="00EB2696" w:rsidRDefault="00EB2696" w:rsidP="00EB2696">
      <w:pPr>
        <w:tabs>
          <w:tab w:val="num" w:pos="1440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5AA5BA64" w14:textId="39B6AA50" w:rsidR="00EB2696" w:rsidRPr="002C7C5B" w:rsidRDefault="002C7C5B" w:rsidP="00EB2696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How to participate in the</w:t>
      </w:r>
      <w:r w:rsidRPr="002C7C5B">
        <w:rPr>
          <w:rFonts w:ascii="Arial" w:eastAsia="Calibri" w:hAnsi="Arial" w:cs="Arial"/>
          <w:b/>
          <w:sz w:val="22"/>
          <w:szCs w:val="22"/>
          <w:lang w:eastAsia="en-US"/>
        </w:rPr>
        <w:t xml:space="preserve"> Survey</w:t>
      </w:r>
    </w:p>
    <w:p w14:paraId="478BDC7D" w14:textId="77777777" w:rsidR="002C7C5B" w:rsidRDefault="002C7C5B" w:rsidP="00EB2696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2FB086FF" w14:textId="77777777" w:rsidR="002C7C5B" w:rsidRDefault="002C7C5B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EB2696">
        <w:rPr>
          <w:rFonts w:ascii="Arial" w:hAnsi="Arial" w:cs="Arial"/>
          <w:sz w:val="22"/>
          <w:szCs w:val="22"/>
          <w:lang w:eastAsia="en-US"/>
        </w:rPr>
        <w:t xml:space="preserve">The survey is available for completion online through CWCC and will take approximately 40-50 minutes to complete. </w:t>
      </w:r>
    </w:p>
    <w:p w14:paraId="4BFB4960" w14:textId="77777777" w:rsidR="002C7C5B" w:rsidRDefault="002C7C5B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35075259" w14:textId="70313343" w:rsidR="002C7C5B" w:rsidRPr="00EB2696" w:rsidRDefault="002C7C5B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EB2696">
        <w:rPr>
          <w:rFonts w:ascii="Arial" w:hAnsi="Arial" w:cs="Arial"/>
          <w:sz w:val="22"/>
          <w:szCs w:val="22"/>
          <w:lang w:eastAsia="en-US"/>
        </w:rPr>
        <w:t xml:space="preserve">It would be appreciated if you could complete the survey by Friday </w:t>
      </w:r>
      <w:r>
        <w:rPr>
          <w:rFonts w:ascii="Arial" w:hAnsi="Arial" w:cs="Arial"/>
          <w:sz w:val="22"/>
          <w:szCs w:val="22"/>
          <w:lang w:eastAsia="en-US"/>
        </w:rPr>
        <w:t>19</w:t>
      </w:r>
      <w:r w:rsidRPr="00EB2696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September 2014</w:t>
      </w:r>
      <w:r w:rsidRPr="00EB2696">
        <w:rPr>
          <w:rFonts w:ascii="Arial" w:hAnsi="Arial" w:cs="Arial"/>
          <w:sz w:val="22"/>
          <w:szCs w:val="22"/>
          <w:lang w:eastAsia="en-US"/>
        </w:rPr>
        <w:t>.</w:t>
      </w:r>
    </w:p>
    <w:p w14:paraId="74EEE304" w14:textId="77777777" w:rsidR="002C7C5B" w:rsidRPr="00EB2696" w:rsidRDefault="002C7C5B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0B88039F" w14:textId="77777777" w:rsidR="002C7C5B" w:rsidRDefault="002C7C5B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EB2696">
        <w:rPr>
          <w:rFonts w:ascii="Arial" w:hAnsi="Arial" w:cs="Arial"/>
          <w:sz w:val="22"/>
          <w:szCs w:val="22"/>
          <w:lang w:eastAsia="en-US"/>
        </w:rPr>
        <w:t>You will need to have the following information at hand to complete parts of the survey:</w:t>
      </w:r>
    </w:p>
    <w:p w14:paraId="4FA6E852" w14:textId="77777777" w:rsidR="002C7C5B" w:rsidRPr="00EB2696" w:rsidRDefault="002C7C5B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7BFFA547" w14:textId="77777777" w:rsidR="002C7C5B" w:rsidRPr="00EB2696" w:rsidRDefault="002C7C5B" w:rsidP="002C7C5B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EB2696">
        <w:rPr>
          <w:rFonts w:ascii="Arial" w:hAnsi="Arial" w:cs="Arial"/>
          <w:sz w:val="22"/>
          <w:szCs w:val="22"/>
          <w:lang w:eastAsia="en-US"/>
        </w:rPr>
        <w:t>Numbers of staff employed by your organisations (full-time, part-time, casual, sessional)</w:t>
      </w:r>
    </w:p>
    <w:p w14:paraId="19748FAE" w14:textId="2A8872C0" w:rsidR="002C7C5B" w:rsidRPr="00EB2696" w:rsidRDefault="002C7C5B" w:rsidP="002C7C5B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EB2696">
        <w:rPr>
          <w:rFonts w:ascii="Arial" w:hAnsi="Arial" w:cs="Arial"/>
          <w:sz w:val="22"/>
          <w:szCs w:val="22"/>
          <w:lang w:eastAsia="en-US"/>
        </w:rPr>
        <w:t>Number of volunteers in your organisation</w:t>
      </w:r>
      <w:r>
        <w:rPr>
          <w:rFonts w:ascii="Arial" w:hAnsi="Arial" w:cs="Arial"/>
          <w:sz w:val="22"/>
          <w:szCs w:val="22"/>
          <w:lang w:eastAsia="en-US"/>
        </w:rPr>
        <w:t xml:space="preserve">   </w:t>
      </w:r>
    </w:p>
    <w:p w14:paraId="27B8B57E" w14:textId="77777777" w:rsidR="002C7C5B" w:rsidRPr="00EB2696" w:rsidRDefault="002C7C5B" w:rsidP="002C7C5B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EB2696">
        <w:rPr>
          <w:rFonts w:ascii="Arial" w:hAnsi="Arial" w:cs="Arial"/>
          <w:sz w:val="22"/>
          <w:szCs w:val="22"/>
          <w:lang w:eastAsia="en-US"/>
        </w:rPr>
        <w:lastRenderedPageBreak/>
        <w:t>Your organisation’s total annual financial turnover (as per your last annual report)</w:t>
      </w:r>
    </w:p>
    <w:p w14:paraId="0138D0C3" w14:textId="77777777" w:rsidR="002C7C5B" w:rsidRPr="00EB2696" w:rsidRDefault="002C7C5B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7BAD7A97" w14:textId="77777777" w:rsidR="002C7C5B" w:rsidRPr="00EB2696" w:rsidRDefault="002C7C5B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EB2696">
        <w:rPr>
          <w:rFonts w:ascii="Arial" w:hAnsi="Arial" w:cs="Arial"/>
          <w:sz w:val="22"/>
          <w:szCs w:val="22"/>
          <w:lang w:eastAsia="en-US"/>
        </w:rPr>
        <w:t>When completing the survey you may need to seek advice from other members of your organisation, particularly for the financial section.</w:t>
      </w:r>
    </w:p>
    <w:p w14:paraId="4944E413" w14:textId="77777777" w:rsidR="002C7C5B" w:rsidRPr="00EB2696" w:rsidRDefault="002C7C5B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5BEC7A0C" w14:textId="6B2B60B3" w:rsidR="002C7C5B" w:rsidRDefault="002C7C5B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EB2696">
        <w:rPr>
          <w:rFonts w:ascii="Arial" w:hAnsi="Arial" w:cs="Arial"/>
          <w:sz w:val="22"/>
          <w:szCs w:val="22"/>
          <w:lang w:eastAsia="en-US"/>
        </w:rPr>
        <w:t xml:space="preserve">The CWCC survey system works with user IDs.  </w:t>
      </w:r>
      <w:r>
        <w:rPr>
          <w:rFonts w:ascii="Arial" w:hAnsi="Arial" w:cs="Arial"/>
          <w:sz w:val="22"/>
          <w:szCs w:val="22"/>
          <w:lang w:eastAsia="en-US"/>
        </w:rPr>
        <w:t>The</w:t>
      </w:r>
      <w:r w:rsidRPr="00EB2696">
        <w:rPr>
          <w:rFonts w:ascii="Arial" w:hAnsi="Arial" w:cs="Arial"/>
          <w:sz w:val="22"/>
          <w:szCs w:val="22"/>
          <w:lang w:eastAsia="en-US"/>
        </w:rPr>
        <w:t xml:space="preserve"> information sheet </w:t>
      </w:r>
      <w:r>
        <w:rPr>
          <w:rFonts w:ascii="Arial" w:hAnsi="Arial" w:cs="Arial"/>
          <w:sz w:val="22"/>
          <w:szCs w:val="22"/>
          <w:lang w:eastAsia="en-US"/>
        </w:rPr>
        <w:t xml:space="preserve">that </w:t>
      </w:r>
      <w:r w:rsidRPr="00EB2696">
        <w:rPr>
          <w:rFonts w:ascii="Arial" w:hAnsi="Arial" w:cs="Arial"/>
          <w:sz w:val="22"/>
          <w:szCs w:val="22"/>
          <w:lang w:eastAsia="en-US"/>
        </w:rPr>
        <w:t xml:space="preserve">has been mailed to all </w:t>
      </w:r>
      <w:r>
        <w:rPr>
          <w:rFonts w:ascii="Arial" w:hAnsi="Arial" w:cs="Arial"/>
          <w:sz w:val="22"/>
          <w:szCs w:val="22"/>
          <w:lang w:eastAsia="en-US"/>
        </w:rPr>
        <w:t>LLOs</w:t>
      </w:r>
      <w:r w:rsidRPr="00EB2696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includes</w:t>
      </w:r>
      <w:r w:rsidRPr="00EB2696">
        <w:rPr>
          <w:rFonts w:ascii="Arial" w:hAnsi="Arial" w:cs="Arial"/>
          <w:sz w:val="22"/>
          <w:szCs w:val="22"/>
          <w:lang w:eastAsia="en-US"/>
        </w:rPr>
        <w:t xml:space="preserve"> instructions on how to access the survey and an ID for you to use. </w:t>
      </w:r>
    </w:p>
    <w:p w14:paraId="658645A9" w14:textId="77777777" w:rsidR="002C7C5B" w:rsidRDefault="002C7C5B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3D183660" w14:textId="6A6322B6" w:rsidR="002C7C5B" w:rsidRDefault="002C7C5B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EB2696">
        <w:rPr>
          <w:rFonts w:ascii="Arial" w:hAnsi="Arial" w:cs="Arial"/>
          <w:sz w:val="22"/>
          <w:szCs w:val="22"/>
          <w:lang w:eastAsia="en-US"/>
        </w:rPr>
        <w:t>Please note that the survey is confidential and CWCC and ACFE do not have information that links your ID number to your Learn Local name.</w:t>
      </w:r>
    </w:p>
    <w:p w14:paraId="24BE9C9C" w14:textId="77777777" w:rsidR="00451F9C" w:rsidRDefault="00451F9C" w:rsidP="002C7C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64EADCA9" w14:textId="4ABD8F2C" w:rsidR="002C7C5B" w:rsidRPr="00EB2696" w:rsidRDefault="00451F9C" w:rsidP="00451F9C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451F9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If you have any technical issues accessing the survey, you can contact CWCC by email: </w:t>
      </w:r>
      <w:hyperlink r:id="rId8" w:history="1">
        <w:proofErr w:type="gramStart"/>
        <w:r w:rsidRPr="00451F9C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cwcc@cwcc.com.au</w:t>
        </w:r>
      </w:hyperlink>
      <w:r w:rsidRPr="00451F9C">
        <w:rPr>
          <w:rFonts w:ascii="Arial" w:hAnsi="Arial" w:cs="Arial"/>
          <w:bCs/>
          <w:color w:val="000000"/>
          <w:sz w:val="22"/>
          <w:szCs w:val="22"/>
          <w:lang w:eastAsia="en-US"/>
        </w:rPr>
        <w:t>,</w:t>
      </w:r>
      <w:proofErr w:type="gramEnd"/>
      <w:r w:rsidRPr="00451F9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or phone: 03 8656 1600’</w:t>
      </w:r>
    </w:p>
    <w:p w14:paraId="785BF981" w14:textId="3C76C87F" w:rsidR="002C7C5B" w:rsidRPr="00451F9C" w:rsidRDefault="00451F9C" w:rsidP="00451F9C">
      <w:pPr>
        <w:tabs>
          <w:tab w:val="left" w:pos="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2C7C5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14:paraId="22EC864A" w14:textId="6CA09B28" w:rsidR="00EB2696" w:rsidRPr="00EB2696" w:rsidRDefault="00EB2696" w:rsidP="00EB2696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B2696">
        <w:rPr>
          <w:rFonts w:ascii="Arial" w:eastAsia="Calibri" w:hAnsi="Arial" w:cs="Arial"/>
          <w:sz w:val="22"/>
          <w:szCs w:val="22"/>
          <w:lang w:eastAsia="en-US"/>
        </w:rPr>
        <w:t>On behalf of the Board, I would like to thank all Learn Local organisations for their valuable participation in the previous surveys and invite organisations to participate in the 201</w:t>
      </w:r>
      <w:r w:rsidR="002C7C5B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EB26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C7C5B">
        <w:rPr>
          <w:rFonts w:ascii="Arial" w:eastAsia="Calibri" w:hAnsi="Arial" w:cs="Arial"/>
          <w:sz w:val="22"/>
          <w:szCs w:val="22"/>
          <w:lang w:eastAsia="en-US"/>
        </w:rPr>
        <w:t>Learn Local</w:t>
      </w:r>
      <w:r w:rsidRPr="00EB2696">
        <w:rPr>
          <w:rFonts w:ascii="Arial" w:eastAsia="Calibri" w:hAnsi="Arial" w:cs="Arial"/>
          <w:sz w:val="22"/>
          <w:szCs w:val="22"/>
          <w:lang w:eastAsia="en-US"/>
        </w:rPr>
        <w:t xml:space="preserve"> Business Survey.</w:t>
      </w:r>
    </w:p>
    <w:p w14:paraId="0E9215F4" w14:textId="6A9D745F" w:rsidR="00EB2696" w:rsidRPr="00EB2696" w:rsidRDefault="00EB2696" w:rsidP="00EB2696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B26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ED8736E" w14:textId="133AB774" w:rsidR="00451F9C" w:rsidRDefault="00451F9C" w:rsidP="00451F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0D11F59" w14:textId="77777777" w:rsidR="00451F9C" w:rsidRDefault="00451F9C" w:rsidP="00451F9C">
      <w:pPr>
        <w:rPr>
          <w:rFonts w:ascii="Arial" w:hAnsi="Arial" w:cs="Arial"/>
          <w:sz w:val="20"/>
        </w:rPr>
      </w:pPr>
    </w:p>
    <w:p w14:paraId="51AC71BF" w14:textId="77777777" w:rsidR="00451F9C" w:rsidRDefault="00451F9C" w:rsidP="00451F9C">
      <w:pPr>
        <w:rPr>
          <w:rFonts w:ascii="Arial" w:hAnsi="Arial" w:cs="Arial"/>
          <w:sz w:val="20"/>
        </w:rPr>
      </w:pPr>
    </w:p>
    <w:p w14:paraId="1A9D8963" w14:textId="08C65EB3" w:rsidR="009706F1" w:rsidRPr="002C7C5B" w:rsidRDefault="009706F1" w:rsidP="002C7C5B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9706F1" w:rsidRPr="002C7C5B" w:rsidSect="00A2083F">
      <w:footerReference w:type="first" r:id="rId9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340366" w:rsidRDefault="00340366" w:rsidP="00846881">
      <w:r>
        <w:separator/>
      </w:r>
    </w:p>
  </w:endnote>
  <w:endnote w:type="continuationSeparator" w:id="0">
    <w:p w14:paraId="2DA5BA6C" w14:textId="77777777" w:rsidR="00340366" w:rsidRDefault="0034036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846881" w:rsidRPr="009D5D01" w:rsidRDefault="0084688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411D9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846881" w:rsidRDefault="00846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340366" w:rsidRDefault="00340366" w:rsidP="00846881">
      <w:r>
        <w:separator/>
      </w:r>
    </w:p>
  </w:footnote>
  <w:footnote w:type="continuationSeparator" w:id="0">
    <w:p w14:paraId="04EA4623" w14:textId="77777777" w:rsidR="00340366" w:rsidRDefault="0034036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02120"/>
    <w:multiLevelType w:val="hybridMultilevel"/>
    <w:tmpl w:val="27147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F058A"/>
    <w:multiLevelType w:val="hybridMultilevel"/>
    <w:tmpl w:val="4DF88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61903"/>
    <w:multiLevelType w:val="hybridMultilevel"/>
    <w:tmpl w:val="88F0F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B3369"/>
    <w:multiLevelType w:val="hybridMultilevel"/>
    <w:tmpl w:val="DD8E0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127EB"/>
    <w:multiLevelType w:val="hybridMultilevel"/>
    <w:tmpl w:val="15804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16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268BD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87590"/>
    <w:rsid w:val="00295869"/>
    <w:rsid w:val="002A24E2"/>
    <w:rsid w:val="002C7C5B"/>
    <w:rsid w:val="002E1491"/>
    <w:rsid w:val="00317B23"/>
    <w:rsid w:val="00340366"/>
    <w:rsid w:val="00352C50"/>
    <w:rsid w:val="00384947"/>
    <w:rsid w:val="003B7B63"/>
    <w:rsid w:val="003D454C"/>
    <w:rsid w:val="003F0B63"/>
    <w:rsid w:val="003F3D59"/>
    <w:rsid w:val="003F640F"/>
    <w:rsid w:val="004304A3"/>
    <w:rsid w:val="00451F9C"/>
    <w:rsid w:val="00453CAD"/>
    <w:rsid w:val="004604A8"/>
    <w:rsid w:val="0048144F"/>
    <w:rsid w:val="004B182C"/>
    <w:rsid w:val="004C32C0"/>
    <w:rsid w:val="004C7772"/>
    <w:rsid w:val="004E42D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7039"/>
    <w:rsid w:val="006935A8"/>
    <w:rsid w:val="00696854"/>
    <w:rsid w:val="006A1696"/>
    <w:rsid w:val="006A5387"/>
    <w:rsid w:val="006D4561"/>
    <w:rsid w:val="006F31F2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46881"/>
    <w:rsid w:val="00867D3A"/>
    <w:rsid w:val="00880ACA"/>
    <w:rsid w:val="0089186A"/>
    <w:rsid w:val="008E2680"/>
    <w:rsid w:val="008E2DD6"/>
    <w:rsid w:val="008E53DE"/>
    <w:rsid w:val="008F3646"/>
    <w:rsid w:val="008F4F37"/>
    <w:rsid w:val="00903B41"/>
    <w:rsid w:val="00916039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E6F15"/>
    <w:rsid w:val="00AF0514"/>
    <w:rsid w:val="00B33E4F"/>
    <w:rsid w:val="00B41E45"/>
    <w:rsid w:val="00B5136F"/>
    <w:rsid w:val="00B632F5"/>
    <w:rsid w:val="00C151BB"/>
    <w:rsid w:val="00C37280"/>
    <w:rsid w:val="00C373FC"/>
    <w:rsid w:val="00C75A39"/>
    <w:rsid w:val="00C83B90"/>
    <w:rsid w:val="00CA0D2E"/>
    <w:rsid w:val="00CB16A1"/>
    <w:rsid w:val="00CD0632"/>
    <w:rsid w:val="00CE69B8"/>
    <w:rsid w:val="00CF6891"/>
    <w:rsid w:val="00D33418"/>
    <w:rsid w:val="00D36E70"/>
    <w:rsid w:val="00D53A53"/>
    <w:rsid w:val="00DB2B1A"/>
    <w:rsid w:val="00DD6095"/>
    <w:rsid w:val="00DD6855"/>
    <w:rsid w:val="00E320A4"/>
    <w:rsid w:val="00E411D9"/>
    <w:rsid w:val="00E91E6B"/>
    <w:rsid w:val="00EB2696"/>
    <w:rsid w:val="00EE4BD9"/>
    <w:rsid w:val="00EE5E95"/>
    <w:rsid w:val="00EF42F2"/>
    <w:rsid w:val="00F11CAC"/>
    <w:rsid w:val="00F17667"/>
    <w:rsid w:val="00F24B4E"/>
    <w:rsid w:val="00F30F82"/>
    <w:rsid w:val="00F343D3"/>
    <w:rsid w:val="00F8781E"/>
    <w:rsid w:val="00FC6923"/>
    <w:rsid w:val="00FD6F89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BodyText2">
    <w:name w:val="Body Text 2"/>
    <w:basedOn w:val="Normal"/>
    <w:link w:val="BodyText2Char"/>
    <w:rsid w:val="00451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1F9C"/>
    <w:rPr>
      <w:sz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cc@cwcc.com.a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371FF-C7F3-44E3-A23F-227C0C4B43B8}"/>
</file>

<file path=customXml/itemProps2.xml><?xml version="1.0" encoding="utf-8"?>
<ds:datastoreItem xmlns:ds="http://schemas.openxmlformats.org/officeDocument/2006/customXml" ds:itemID="{578E1E8D-E87A-4F68-BAC3-4C8CDDAAF8E1}"/>
</file>

<file path=customXml/itemProps3.xml><?xml version="1.0" encoding="utf-8"?>
<ds:datastoreItem xmlns:ds="http://schemas.openxmlformats.org/officeDocument/2006/customXml" ds:itemID="{953DFD30-9BBA-4483-9DFF-DBC94CBC5298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0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Learn Local Business Survey</dc:title>
  <dc:subject/>
  <dc:creator>08306670</dc:creator>
  <cp:keywords/>
  <dc:description/>
  <cp:lastModifiedBy>Morrow, Jackie A</cp:lastModifiedBy>
  <cp:revision>2</cp:revision>
  <cp:lastPrinted>2014-08-24T23:28:00Z</cp:lastPrinted>
  <dcterms:created xsi:type="dcterms:W3CDTF">2014-08-25T05:54:00Z</dcterms:created>
  <dcterms:modified xsi:type="dcterms:W3CDTF">2014-08-25T05:54:00Z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