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A8CB9" w14:textId="77777777" w:rsidR="00A9135E" w:rsidRDefault="00006A56" w:rsidP="00A9135E">
      <w:pPr>
        <w:rPr>
          <w:noProof/>
        </w:rPr>
      </w:pPr>
      <w:r>
        <w:rPr>
          <w:rFonts w:ascii="Arial Narrow" w:hAnsi="Arial Narrow"/>
          <w:noProof/>
        </w:rPr>
        <w:pict w14:anchorId="28AC4DB1">
          <v:shapetype id="_x0000_t202" coordsize="21600,21600" o:spt="202" path="m,l,21600r21600,l21600,xe">
            <v:stroke joinstyle="miter"/>
            <v:path gradientshapeok="t" o:connecttype="rect"/>
          </v:shapetype>
          <v:shape id="_x0000_s1037" type="#_x0000_t202" style="position:absolute;margin-left:-36.15pt;margin-top:12.75pt;width:513.3pt;height:21pt;z-index:251658240;v-text-anchor:middle" o:userdrawn="t" fillcolor="#226189" stroked="f" strokecolor="white">
            <v:fill color2="fill darken(210)" rotate="t" angle="-90" method="linear sigma" focus="100%" type="gradient"/>
            <v:textbox style="mso-next-textbox:#_x0000_s1037" inset="0,0,0,0">
              <w:txbxContent>
                <w:p w14:paraId="772474E7" w14:textId="77777777" w:rsidR="00042AB0" w:rsidRPr="00C75A39" w:rsidRDefault="00042AB0" w:rsidP="00A9135E">
                  <w:pPr>
                    <w:rPr>
                      <w:rFonts w:ascii="Arial Narrow" w:hAnsi="Arial Narrow" w:cs="Arial"/>
                      <w:b/>
                      <w:bCs/>
                      <w:color w:val="FFFFFF"/>
                      <w:sz w:val="28"/>
                      <w:szCs w:val="28"/>
                      <w:lang w:val="en-US"/>
                    </w:rPr>
                  </w:pPr>
                  <w:r w:rsidRPr="007E3BE0">
                    <w:rPr>
                      <w:rFonts w:ascii="Arial" w:hAnsi="Arial" w:cs="Arial"/>
                      <w:b/>
                      <w:bCs/>
                      <w:color w:val="FFFFFF"/>
                      <w:sz w:val="32"/>
                      <w:szCs w:val="26"/>
                      <w:lang w:val="en-US"/>
                    </w:rPr>
                    <w:t xml:space="preserve">     </w:t>
                  </w:r>
                  <w:r>
                    <w:rPr>
                      <w:rFonts w:ascii="Arial Narrow" w:hAnsi="Arial Narrow" w:cs="Arial"/>
                      <w:b/>
                      <w:bCs/>
                      <w:color w:val="FFFFFF"/>
                      <w:sz w:val="28"/>
                      <w:szCs w:val="28"/>
                      <w:lang w:val="en-US"/>
                    </w:rPr>
                    <w:t>Higher Education and Skills Group</w:t>
                  </w:r>
                </w:p>
              </w:txbxContent>
            </v:textbox>
          </v:shape>
        </w:pic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8100"/>
      </w:tblGrid>
      <w:tr w:rsidR="00A9135E" w:rsidRPr="008F3646" w14:paraId="46114B0B" w14:textId="77777777" w:rsidTr="008F3646">
        <w:trPr>
          <w:trHeight w:val="510"/>
        </w:trPr>
        <w:tc>
          <w:tcPr>
            <w:tcW w:w="10260" w:type="dxa"/>
            <w:gridSpan w:val="2"/>
            <w:tcBorders>
              <w:bottom w:val="single" w:sz="4" w:space="0" w:color="auto"/>
            </w:tcBorders>
            <w:shd w:val="clear" w:color="auto" w:fill="000000"/>
          </w:tcPr>
          <w:p w14:paraId="05E53AE6" w14:textId="77777777" w:rsidR="00A9135E" w:rsidRPr="008F3646" w:rsidRDefault="00006A56" w:rsidP="00A9135E">
            <w:pPr>
              <w:rPr>
                <w:rFonts w:ascii="Arial Narrow" w:hAnsi="Arial Narrow"/>
              </w:rPr>
            </w:pPr>
            <w:r>
              <w:rPr>
                <w:rFonts w:ascii="Arial Narrow" w:hAnsi="Arial Narrow"/>
                <w:noProof/>
              </w:rPr>
              <w:pict w14:anchorId="752D5803">
                <v:shape id="_x0000_s1036" type="#_x0000_t202" style="position:absolute;margin-left:-4.65pt;margin-top:19.05pt;width:513.15pt;height:16.65pt;z-index:251657216" o:userdrawn="t" fillcolor="black" stroked="f" strokecolor="white">
                  <v:fill color2="#226189" o:opacity2="24904f" rotate="t" angle="-90" focus="100%" type="gradient"/>
                  <v:shadow color="#e6c01f"/>
                  <v:textbox style="mso-next-textbox:#_x0000_s1036" inset=".3mm,0,.3mm,0">
                    <w:txbxContent>
                      <w:p w14:paraId="0DB33569" w14:textId="77777777" w:rsidR="00042AB0" w:rsidRPr="00C75A39" w:rsidRDefault="00042AB0" w:rsidP="00A9135E">
                        <w:pPr>
                          <w:rPr>
                            <w:rFonts w:ascii="Arial Narrow" w:hAnsi="Arial Narrow" w:cs="Arial"/>
                            <w:bCs/>
                            <w:color w:val="DDDDDD"/>
                            <w:sz w:val="20"/>
                          </w:rPr>
                        </w:pPr>
                        <w:r w:rsidRPr="00C75A39">
                          <w:rPr>
                            <w:rFonts w:ascii="Arial Narrow" w:hAnsi="Arial Narrow" w:cs="Arial"/>
                            <w:bCs/>
                            <w:color w:val="DDDDDD"/>
                            <w:sz w:val="20"/>
                          </w:rPr>
                          <w:t xml:space="preserve">        </w:t>
                        </w:r>
                        <w:r>
                          <w:rPr>
                            <w:rFonts w:ascii="Arial Narrow" w:hAnsi="Arial Narrow" w:cs="Arial"/>
                            <w:bCs/>
                            <w:color w:val="DDDDDD"/>
                            <w:sz w:val="20"/>
                          </w:rPr>
                          <w:t xml:space="preserve"> Department of Education and Early Childhood Development</w:t>
                        </w:r>
                      </w:p>
                      <w:p w14:paraId="2F14A9CE" w14:textId="77777777" w:rsidR="00042AB0" w:rsidRDefault="00042AB0"/>
                    </w:txbxContent>
                  </v:textbox>
                </v:shape>
              </w:pict>
            </w:r>
          </w:p>
        </w:tc>
      </w:tr>
      <w:tr w:rsidR="00A9135E" w:rsidRPr="008F3646" w14:paraId="0072AC3C" w14:textId="77777777" w:rsidTr="008F3646">
        <w:tc>
          <w:tcPr>
            <w:tcW w:w="10260" w:type="dxa"/>
            <w:gridSpan w:val="2"/>
            <w:tcBorders>
              <w:bottom w:val="nil"/>
            </w:tcBorders>
            <w:shd w:val="clear" w:color="auto" w:fill="000000"/>
          </w:tcPr>
          <w:p w14:paraId="2078B565" w14:textId="77777777" w:rsidR="00A9135E" w:rsidRPr="008F3646" w:rsidRDefault="00A9135E" w:rsidP="00A9135E">
            <w:pPr>
              <w:rPr>
                <w:rFonts w:ascii="Arial Narrow" w:hAnsi="Arial Narrow"/>
              </w:rPr>
            </w:pPr>
          </w:p>
          <w:p w14:paraId="51D3B9B5" w14:textId="77777777" w:rsidR="00A9135E" w:rsidRPr="00583630" w:rsidRDefault="00A2083F" w:rsidP="008F3646">
            <w:pPr>
              <w:ind w:left="432"/>
              <w:rPr>
                <w:rFonts w:ascii="Arial Narrow" w:hAnsi="Arial Narrow"/>
                <w:b/>
                <w:color w:val="FFFFFF"/>
                <w:sz w:val="56"/>
                <w:szCs w:val="56"/>
              </w:rPr>
            </w:pPr>
            <w:r w:rsidRPr="00583630">
              <w:rPr>
                <w:rFonts w:ascii="Arial Narrow" w:hAnsi="Arial Narrow"/>
                <w:b/>
                <w:color w:val="FFFFFF"/>
                <w:sz w:val="56"/>
                <w:szCs w:val="56"/>
              </w:rPr>
              <w:t>Participation Branch</w:t>
            </w:r>
            <w:r w:rsidR="00583630" w:rsidRPr="00583630">
              <w:rPr>
                <w:rFonts w:ascii="Arial Narrow" w:hAnsi="Arial Narrow"/>
                <w:b/>
                <w:color w:val="FFFFFF"/>
                <w:sz w:val="56"/>
                <w:szCs w:val="56"/>
              </w:rPr>
              <w:t xml:space="preserve"> Memorandum</w:t>
            </w:r>
          </w:p>
          <w:p w14:paraId="428842AD" w14:textId="77777777" w:rsidR="00A9135E" w:rsidRPr="008F3646" w:rsidRDefault="00A9135E" w:rsidP="008F3646">
            <w:pPr>
              <w:ind w:left="432"/>
              <w:rPr>
                <w:rFonts w:ascii="Arial Narrow" w:hAnsi="Arial Narrow"/>
              </w:rPr>
            </w:pPr>
          </w:p>
        </w:tc>
      </w:tr>
      <w:tr w:rsidR="00A9135E" w:rsidRPr="008F3646" w14:paraId="0BA30326" w14:textId="77777777" w:rsidTr="008F3646">
        <w:tc>
          <w:tcPr>
            <w:tcW w:w="2160" w:type="dxa"/>
            <w:tcBorders>
              <w:top w:val="nil"/>
              <w:left w:val="nil"/>
              <w:bottom w:val="nil"/>
              <w:right w:val="nil"/>
            </w:tcBorders>
            <w:shd w:val="clear" w:color="auto" w:fill="C0C0C0"/>
          </w:tcPr>
          <w:p w14:paraId="4A4634EA" w14:textId="77777777" w:rsidR="00A9135E" w:rsidRPr="008F3646" w:rsidRDefault="00A9135E" w:rsidP="008F3646">
            <w:pPr>
              <w:ind w:left="432"/>
              <w:rPr>
                <w:rFonts w:ascii="Arial Narrow" w:hAnsi="Arial Narrow" w:cs="Arial"/>
                <w:b/>
                <w:color w:val="FF0000"/>
              </w:rPr>
            </w:pPr>
          </w:p>
        </w:tc>
        <w:tc>
          <w:tcPr>
            <w:tcW w:w="8100" w:type="dxa"/>
            <w:tcBorders>
              <w:top w:val="nil"/>
              <w:left w:val="nil"/>
              <w:bottom w:val="nil"/>
              <w:right w:val="nil"/>
            </w:tcBorders>
            <w:shd w:val="clear" w:color="auto" w:fill="C0C0C0"/>
          </w:tcPr>
          <w:p w14:paraId="0268DAEA" w14:textId="77777777" w:rsidR="00A9135E" w:rsidRPr="008F3646" w:rsidRDefault="00A9135E" w:rsidP="008F3646">
            <w:pPr>
              <w:ind w:left="432"/>
              <w:rPr>
                <w:rFonts w:ascii="Arial Narrow" w:hAnsi="Arial Narrow" w:cs="Arial"/>
                <w:b/>
                <w:color w:val="FF0000"/>
              </w:rPr>
            </w:pPr>
          </w:p>
        </w:tc>
      </w:tr>
      <w:tr w:rsidR="00A9135E" w:rsidRPr="008F3646" w14:paraId="67C19EBF" w14:textId="77777777" w:rsidTr="008F3646">
        <w:tc>
          <w:tcPr>
            <w:tcW w:w="10260" w:type="dxa"/>
            <w:gridSpan w:val="2"/>
            <w:tcBorders>
              <w:top w:val="nil"/>
              <w:left w:val="nil"/>
              <w:bottom w:val="nil"/>
              <w:right w:val="nil"/>
            </w:tcBorders>
            <w:shd w:val="clear" w:color="auto" w:fill="auto"/>
          </w:tcPr>
          <w:p w14:paraId="07BC8EDE" w14:textId="77777777" w:rsidR="00A9135E" w:rsidRPr="008F3646" w:rsidRDefault="00A9135E" w:rsidP="008F3646">
            <w:pPr>
              <w:ind w:left="432"/>
              <w:rPr>
                <w:rFonts w:ascii="Arial" w:hAnsi="Arial" w:cs="Arial"/>
              </w:rPr>
            </w:pPr>
          </w:p>
        </w:tc>
      </w:tr>
    </w:tbl>
    <w:p w14:paraId="09F3FA9B" w14:textId="77777777" w:rsidR="00A9135E" w:rsidRDefault="00A9135E" w:rsidP="00A9135E">
      <w:pPr>
        <w:pStyle w:val="MessageHeaderFirst"/>
        <w:tabs>
          <w:tab w:val="left" w:pos="180"/>
        </w:tabs>
        <w:spacing w:before="0" w:after="0"/>
        <w:ind w:left="-181" w:firstLine="0"/>
        <w:rPr>
          <w:rStyle w:val="MessageHeaderLabel"/>
          <w:rFonts w:ascii="Times New Roman" w:hAnsi="Times New Roman"/>
          <w:b/>
          <w:spacing w:val="0"/>
          <w:sz w:val="24"/>
          <w:szCs w:val="24"/>
        </w:rPr>
      </w:pPr>
    </w:p>
    <w:p w14:paraId="6FE1CA7F" w14:textId="77777777" w:rsidR="00A2083F" w:rsidRDefault="00A9135E" w:rsidP="00A2083F">
      <w:pPr>
        <w:tabs>
          <w:tab w:val="left" w:pos="1080"/>
        </w:tabs>
        <w:rPr>
          <w:rFonts w:ascii="Arial" w:hAnsi="Arial"/>
          <w:b/>
          <w:color w:val="000000"/>
          <w:sz w:val="22"/>
          <w:szCs w:val="24"/>
          <w:lang w:val="en-GB" w:eastAsia="en-US"/>
        </w:rPr>
      </w:pPr>
      <w:r w:rsidRPr="001B1322">
        <w:rPr>
          <w:rStyle w:val="MessageHeaderLabel"/>
          <w:rFonts w:ascii="Times New Roman" w:hAnsi="Times New Roman"/>
          <w:b/>
          <w:spacing w:val="0"/>
          <w:sz w:val="24"/>
          <w:szCs w:val="24"/>
        </w:rPr>
        <w:t>To:</w:t>
      </w:r>
      <w:r w:rsidRPr="001B1322">
        <w:rPr>
          <w:szCs w:val="24"/>
        </w:rPr>
        <w:tab/>
      </w:r>
      <w:r w:rsidR="00A2083F" w:rsidRPr="00A2083F">
        <w:rPr>
          <w:rFonts w:ascii="Arial" w:hAnsi="Arial"/>
          <w:b/>
          <w:color w:val="000000"/>
          <w:sz w:val="22"/>
          <w:szCs w:val="24"/>
          <w:lang w:val="en-GB" w:eastAsia="en-US"/>
        </w:rPr>
        <w:t>ACFE Regional Council Chairs</w:t>
      </w:r>
    </w:p>
    <w:p w14:paraId="30EBF62B" w14:textId="732847F0" w:rsidR="00B56876" w:rsidRPr="00A2083F" w:rsidRDefault="00B56876" w:rsidP="00A2083F">
      <w:pPr>
        <w:tabs>
          <w:tab w:val="left" w:pos="1080"/>
        </w:tabs>
        <w:rPr>
          <w:rFonts w:ascii="Arial" w:hAnsi="Arial"/>
          <w:b/>
          <w:color w:val="000000"/>
          <w:sz w:val="22"/>
          <w:szCs w:val="24"/>
          <w:lang w:val="en-GB" w:eastAsia="en-US"/>
        </w:rPr>
      </w:pPr>
      <w:r>
        <w:rPr>
          <w:rFonts w:ascii="Arial" w:hAnsi="Arial"/>
          <w:b/>
          <w:color w:val="000000"/>
          <w:sz w:val="22"/>
          <w:szCs w:val="24"/>
          <w:lang w:val="en-GB" w:eastAsia="en-US"/>
        </w:rPr>
        <w:tab/>
        <w:t>ACFE Board</w:t>
      </w:r>
    </w:p>
    <w:p w14:paraId="44226133" w14:textId="77777777" w:rsidR="00A2083F" w:rsidRPr="00A2083F" w:rsidRDefault="00A2083F" w:rsidP="00A2083F">
      <w:pPr>
        <w:tabs>
          <w:tab w:val="left" w:pos="1080"/>
        </w:tabs>
        <w:overflowPunct/>
        <w:autoSpaceDE/>
        <w:autoSpaceDN/>
        <w:adjustRightInd/>
        <w:textAlignment w:val="auto"/>
        <w:rPr>
          <w:rFonts w:ascii="Arial" w:hAnsi="Arial"/>
          <w:b/>
          <w:color w:val="000000"/>
          <w:sz w:val="22"/>
          <w:szCs w:val="24"/>
          <w:lang w:val="en-GB" w:eastAsia="en-US"/>
        </w:rPr>
      </w:pPr>
      <w:r w:rsidRPr="00A2083F">
        <w:rPr>
          <w:rFonts w:ascii="Arial" w:hAnsi="Arial"/>
          <w:b/>
          <w:color w:val="000000"/>
          <w:sz w:val="22"/>
          <w:szCs w:val="24"/>
          <w:lang w:val="en-GB" w:eastAsia="en-US"/>
        </w:rPr>
        <w:tab/>
        <w:t>Adult</w:t>
      </w:r>
      <w:bookmarkStart w:id="0" w:name="_GoBack"/>
      <w:bookmarkEnd w:id="0"/>
      <w:r w:rsidRPr="00A2083F">
        <w:rPr>
          <w:rFonts w:ascii="Arial" w:hAnsi="Arial"/>
          <w:b/>
          <w:color w:val="000000"/>
          <w:sz w:val="22"/>
          <w:szCs w:val="24"/>
          <w:lang w:val="en-GB" w:eastAsia="en-US"/>
        </w:rPr>
        <w:t xml:space="preserve"> Education Institutions</w:t>
      </w:r>
    </w:p>
    <w:p w14:paraId="39B9AF65" w14:textId="1B15DDD5" w:rsidR="00A2083F" w:rsidRPr="00A2083F" w:rsidRDefault="00A2083F" w:rsidP="00A2083F">
      <w:pPr>
        <w:tabs>
          <w:tab w:val="left" w:pos="1080"/>
        </w:tabs>
        <w:overflowPunct/>
        <w:autoSpaceDE/>
        <w:autoSpaceDN/>
        <w:adjustRightInd/>
        <w:textAlignment w:val="auto"/>
        <w:rPr>
          <w:rFonts w:ascii="Arial" w:hAnsi="Arial"/>
          <w:b/>
          <w:color w:val="000000"/>
          <w:sz w:val="22"/>
          <w:szCs w:val="24"/>
          <w:lang w:val="en-GB" w:eastAsia="en-US"/>
        </w:rPr>
      </w:pPr>
      <w:r w:rsidRPr="00A2083F">
        <w:rPr>
          <w:rFonts w:ascii="Arial" w:hAnsi="Arial"/>
          <w:b/>
          <w:color w:val="000000"/>
          <w:sz w:val="22"/>
          <w:szCs w:val="24"/>
          <w:lang w:val="en-GB" w:eastAsia="en-US"/>
        </w:rPr>
        <w:tab/>
        <w:t>Learn Local Organisations</w:t>
      </w:r>
    </w:p>
    <w:p w14:paraId="238A7874" w14:textId="77777777" w:rsidR="00A2083F" w:rsidRDefault="00A2083F" w:rsidP="00A2083F">
      <w:pPr>
        <w:tabs>
          <w:tab w:val="left" w:pos="1080"/>
        </w:tabs>
        <w:overflowPunct/>
        <w:autoSpaceDE/>
        <w:autoSpaceDN/>
        <w:adjustRightInd/>
        <w:textAlignment w:val="auto"/>
        <w:rPr>
          <w:rFonts w:ascii="Arial" w:hAnsi="Arial"/>
          <w:b/>
          <w:color w:val="000000"/>
          <w:sz w:val="22"/>
          <w:szCs w:val="24"/>
          <w:lang w:val="en-GB" w:eastAsia="en-US"/>
        </w:rPr>
      </w:pPr>
      <w:r w:rsidRPr="00A2083F">
        <w:rPr>
          <w:rFonts w:ascii="Arial" w:hAnsi="Arial"/>
          <w:b/>
          <w:color w:val="000000"/>
          <w:sz w:val="22"/>
          <w:szCs w:val="24"/>
          <w:lang w:val="en-GB" w:eastAsia="en-US"/>
        </w:rPr>
        <w:tab/>
        <w:t>Participation Branch Staff</w:t>
      </w:r>
    </w:p>
    <w:p w14:paraId="123BCDEA" w14:textId="77777777" w:rsidR="00A2083F" w:rsidRPr="001312A5" w:rsidRDefault="00A2083F" w:rsidP="00A2083F">
      <w:pPr>
        <w:tabs>
          <w:tab w:val="left" w:pos="1080"/>
        </w:tabs>
        <w:overflowPunct/>
        <w:autoSpaceDE/>
        <w:autoSpaceDN/>
        <w:adjustRightInd/>
        <w:textAlignment w:val="auto"/>
        <w:rPr>
          <w:rFonts w:ascii="Arial" w:hAnsi="Arial" w:cs="Arial"/>
          <w:b/>
          <w:color w:val="000000"/>
          <w:sz w:val="22"/>
          <w:szCs w:val="22"/>
          <w:lang w:val="en-GB" w:eastAsia="en-US"/>
        </w:rPr>
      </w:pPr>
    </w:p>
    <w:p w14:paraId="1B574055" w14:textId="4B870E35" w:rsidR="00A2083F" w:rsidRPr="001312A5" w:rsidRDefault="00A9135E" w:rsidP="00A2083F">
      <w:pPr>
        <w:tabs>
          <w:tab w:val="left" w:pos="1080"/>
        </w:tabs>
        <w:rPr>
          <w:rFonts w:ascii="Arial" w:hAnsi="Arial" w:cs="Arial"/>
          <w:color w:val="000000"/>
          <w:sz w:val="22"/>
          <w:szCs w:val="22"/>
          <w:lang w:val="en-GB" w:eastAsia="en-US"/>
        </w:rPr>
      </w:pPr>
      <w:r w:rsidRPr="001312A5">
        <w:rPr>
          <w:rStyle w:val="MessageHeaderLabel"/>
          <w:rFonts w:ascii="Arial" w:hAnsi="Arial" w:cs="Arial"/>
          <w:b/>
          <w:spacing w:val="0"/>
          <w:sz w:val="22"/>
          <w:szCs w:val="22"/>
        </w:rPr>
        <w:t>From:</w:t>
      </w:r>
      <w:r w:rsidRPr="001312A5">
        <w:rPr>
          <w:rStyle w:val="MessageHeaderLabel"/>
          <w:rFonts w:ascii="Arial" w:hAnsi="Arial" w:cs="Arial"/>
          <w:b/>
          <w:spacing w:val="0"/>
          <w:sz w:val="22"/>
          <w:szCs w:val="22"/>
        </w:rPr>
        <w:tab/>
      </w:r>
      <w:r w:rsidR="001312A5" w:rsidRPr="001312A5">
        <w:rPr>
          <w:rStyle w:val="MessageHeaderLabel"/>
          <w:rFonts w:ascii="Arial" w:hAnsi="Arial" w:cs="Arial"/>
          <w:b/>
          <w:spacing w:val="0"/>
          <w:sz w:val="22"/>
          <w:szCs w:val="22"/>
        </w:rPr>
        <w:t xml:space="preserve">Bronwen Heathfield, Director, </w:t>
      </w:r>
      <w:proofErr w:type="gramStart"/>
      <w:r w:rsidR="001312A5" w:rsidRPr="001312A5">
        <w:rPr>
          <w:rStyle w:val="MessageHeaderLabel"/>
          <w:rFonts w:ascii="Arial" w:hAnsi="Arial" w:cs="Arial"/>
          <w:b/>
          <w:spacing w:val="0"/>
          <w:sz w:val="22"/>
          <w:szCs w:val="22"/>
        </w:rPr>
        <w:t>Participation</w:t>
      </w:r>
      <w:proofErr w:type="gramEnd"/>
      <w:r w:rsidR="001312A5" w:rsidRPr="001312A5">
        <w:rPr>
          <w:rStyle w:val="MessageHeaderLabel"/>
          <w:rFonts w:ascii="Arial" w:hAnsi="Arial" w:cs="Arial"/>
          <w:b/>
          <w:spacing w:val="0"/>
          <w:sz w:val="22"/>
          <w:szCs w:val="22"/>
        </w:rPr>
        <w:t xml:space="preserve"> Branch</w:t>
      </w:r>
    </w:p>
    <w:p w14:paraId="7D4BCACD" w14:textId="77777777" w:rsidR="00A9135E" w:rsidRPr="001312A5" w:rsidRDefault="00A9135E" w:rsidP="00903B41">
      <w:pPr>
        <w:pStyle w:val="MessageHeaderFirst"/>
        <w:tabs>
          <w:tab w:val="left" w:pos="180"/>
        </w:tabs>
        <w:spacing w:before="0" w:after="0"/>
        <w:ind w:left="0" w:firstLine="0"/>
        <w:rPr>
          <w:rStyle w:val="MessageHeaderLabel"/>
          <w:rFonts w:ascii="Arial" w:hAnsi="Arial" w:cs="Arial"/>
          <w:b/>
          <w:spacing w:val="0"/>
          <w:sz w:val="22"/>
          <w:szCs w:val="22"/>
        </w:rPr>
      </w:pPr>
    </w:p>
    <w:p w14:paraId="5FB01714" w14:textId="77941E1C" w:rsidR="00A9135E" w:rsidRPr="001C4930" w:rsidRDefault="00A9135E" w:rsidP="00A2083F">
      <w:pPr>
        <w:tabs>
          <w:tab w:val="left" w:pos="1080"/>
        </w:tabs>
        <w:rPr>
          <w:rFonts w:ascii="Arial" w:hAnsi="Arial"/>
          <w:b/>
          <w:color w:val="000000"/>
          <w:sz w:val="22"/>
          <w:szCs w:val="24"/>
          <w:lang w:val="en-GB" w:eastAsia="en-US"/>
        </w:rPr>
      </w:pPr>
      <w:r w:rsidRPr="001C4930">
        <w:rPr>
          <w:rFonts w:ascii="Arial" w:hAnsi="Arial"/>
          <w:b/>
          <w:color w:val="000000"/>
          <w:sz w:val="22"/>
          <w:lang w:val="en-GB" w:eastAsia="en-US"/>
        </w:rPr>
        <w:t>Date:</w:t>
      </w:r>
      <w:r w:rsidRPr="001C4930">
        <w:rPr>
          <w:rFonts w:ascii="Arial" w:hAnsi="Arial"/>
          <w:b/>
          <w:color w:val="000000"/>
          <w:sz w:val="22"/>
          <w:lang w:val="en-GB" w:eastAsia="en-US"/>
        </w:rPr>
        <w:tab/>
      </w:r>
      <w:r w:rsidR="001312A5">
        <w:rPr>
          <w:rFonts w:ascii="Arial" w:hAnsi="Arial"/>
          <w:b/>
          <w:color w:val="000000"/>
          <w:sz w:val="22"/>
          <w:lang w:val="en-GB" w:eastAsia="en-US"/>
        </w:rPr>
        <w:t>16 June</w:t>
      </w:r>
      <w:r w:rsidR="00006A56">
        <w:rPr>
          <w:rFonts w:ascii="Arial" w:hAnsi="Arial"/>
          <w:b/>
          <w:color w:val="000000"/>
          <w:sz w:val="22"/>
          <w:lang w:val="en-GB" w:eastAsia="en-US"/>
        </w:rPr>
        <w:t xml:space="preserve"> 2014</w:t>
      </w:r>
    </w:p>
    <w:p w14:paraId="017236CE" w14:textId="77777777" w:rsidR="00A9135E" w:rsidRPr="001C4930" w:rsidRDefault="00A9135E" w:rsidP="001C4930">
      <w:pPr>
        <w:tabs>
          <w:tab w:val="left" w:pos="1080"/>
        </w:tabs>
        <w:rPr>
          <w:rFonts w:ascii="Arial" w:hAnsi="Arial"/>
          <w:b/>
          <w:color w:val="000000"/>
          <w:sz w:val="22"/>
          <w:szCs w:val="24"/>
          <w:lang w:val="en-GB" w:eastAsia="en-US"/>
        </w:rPr>
      </w:pPr>
    </w:p>
    <w:p w14:paraId="15AD3CD4" w14:textId="13E1B79E" w:rsidR="00A9135E" w:rsidRPr="001C4930" w:rsidRDefault="00A9135E" w:rsidP="001C4930">
      <w:pPr>
        <w:tabs>
          <w:tab w:val="left" w:pos="1080"/>
        </w:tabs>
        <w:ind w:left="1080" w:hanging="1080"/>
        <w:rPr>
          <w:rFonts w:ascii="Arial" w:hAnsi="Arial"/>
          <w:b/>
          <w:color w:val="000000"/>
          <w:sz w:val="22"/>
          <w:szCs w:val="24"/>
          <w:lang w:val="en-GB" w:eastAsia="en-US"/>
        </w:rPr>
      </w:pPr>
      <w:r w:rsidRPr="001C4930">
        <w:rPr>
          <w:rFonts w:ascii="Arial" w:hAnsi="Arial"/>
          <w:b/>
          <w:color w:val="000000"/>
          <w:sz w:val="22"/>
          <w:lang w:val="en-GB" w:eastAsia="en-US"/>
        </w:rPr>
        <w:t>Subject:</w:t>
      </w:r>
      <w:r w:rsidR="00A2083F" w:rsidRPr="001C4930">
        <w:rPr>
          <w:rFonts w:ascii="Arial" w:hAnsi="Arial"/>
          <w:b/>
          <w:color w:val="000000"/>
          <w:sz w:val="22"/>
          <w:lang w:val="en-GB" w:eastAsia="en-US"/>
        </w:rPr>
        <w:tab/>
      </w:r>
      <w:r w:rsidR="001312A5">
        <w:rPr>
          <w:rFonts w:ascii="Arial" w:hAnsi="Arial"/>
          <w:b/>
          <w:color w:val="000000"/>
          <w:sz w:val="22"/>
          <w:szCs w:val="24"/>
          <w:lang w:val="en-GB" w:eastAsia="en-US"/>
        </w:rPr>
        <w:t>Training System Changes – 1 July 2014</w:t>
      </w:r>
    </w:p>
    <w:p w14:paraId="32034924" w14:textId="3ACF27D9" w:rsidR="00A9135E" w:rsidRDefault="00A2083F" w:rsidP="00846881">
      <w:pPr>
        <w:ind w:left="1134" w:right="360" w:hanging="1134"/>
        <w:rPr>
          <w:b/>
          <w:szCs w:val="24"/>
        </w:rPr>
      </w:pPr>
      <w:r>
        <w:rPr>
          <w:b/>
          <w:szCs w:val="24"/>
        </w:rPr>
        <w:t>_____________________________________________________________________________</w:t>
      </w:r>
    </w:p>
    <w:p w14:paraId="56D02CFC" w14:textId="77777777" w:rsidR="00A2083F" w:rsidRDefault="00A2083F" w:rsidP="00A2083F">
      <w:pPr>
        <w:overflowPunct/>
        <w:autoSpaceDE/>
        <w:autoSpaceDN/>
        <w:adjustRightInd/>
        <w:textAlignment w:val="auto"/>
        <w:rPr>
          <w:rFonts w:ascii="Arial" w:hAnsi="Arial" w:cs="Arial"/>
          <w:color w:val="000000"/>
          <w:sz w:val="22"/>
          <w:szCs w:val="22"/>
          <w:lang w:val="en-GB" w:eastAsia="en-US"/>
        </w:rPr>
      </w:pPr>
    </w:p>
    <w:p w14:paraId="18AF7378" w14:textId="77777777" w:rsidR="001312A5" w:rsidRDefault="001312A5" w:rsidP="00A2083F">
      <w:pPr>
        <w:overflowPunct/>
        <w:autoSpaceDE/>
        <w:autoSpaceDN/>
        <w:adjustRightInd/>
        <w:textAlignment w:val="auto"/>
        <w:rPr>
          <w:rFonts w:ascii="Arial" w:hAnsi="Arial" w:cs="Arial"/>
          <w:color w:val="000000"/>
          <w:sz w:val="22"/>
          <w:szCs w:val="22"/>
          <w:lang w:val="en-GB" w:eastAsia="en-US"/>
        </w:rPr>
      </w:pPr>
    </w:p>
    <w:p w14:paraId="0AA21F2C" w14:textId="489B57A4" w:rsidR="001312A5" w:rsidRPr="001312A5" w:rsidRDefault="001312A5" w:rsidP="001312A5">
      <w:pPr>
        <w:overflowPunct/>
        <w:autoSpaceDE/>
        <w:autoSpaceDN/>
        <w:adjustRightInd/>
        <w:spacing w:before="120" w:after="200" w:line="276" w:lineRule="auto"/>
        <w:jc w:val="both"/>
        <w:textAlignment w:val="auto"/>
        <w:rPr>
          <w:rFonts w:ascii="Arial" w:eastAsia="Calibri" w:hAnsi="Arial" w:cs="Arial"/>
          <w:sz w:val="22"/>
          <w:szCs w:val="22"/>
          <w:lang w:eastAsia="en-US"/>
        </w:rPr>
      </w:pPr>
      <w:r>
        <w:rPr>
          <w:rFonts w:ascii="Arial" w:eastAsia="Calibri" w:hAnsi="Arial" w:cs="Arial"/>
          <w:sz w:val="22"/>
          <w:szCs w:val="22"/>
          <w:lang w:eastAsia="en-US"/>
        </w:rPr>
        <w:t>T</w:t>
      </w:r>
      <w:r w:rsidRPr="001312A5">
        <w:rPr>
          <w:rFonts w:ascii="Arial" w:eastAsia="Calibri" w:hAnsi="Arial" w:cs="Arial"/>
          <w:sz w:val="22"/>
          <w:szCs w:val="22"/>
          <w:lang w:eastAsia="en-US"/>
        </w:rPr>
        <w:t>he Victorian Government is increasing its investment in skills training to support productivity growth, participation and future economic development.  In this year’s budget, the Government has affirmed its commitment to the training sector, by continuing to commit $1.2 billion per year for this year and the next four years.</w:t>
      </w:r>
    </w:p>
    <w:p w14:paraId="0892938F" w14:textId="77777777" w:rsidR="001312A5" w:rsidRPr="001312A5" w:rsidRDefault="001312A5" w:rsidP="001312A5">
      <w:pPr>
        <w:overflowPunct/>
        <w:autoSpaceDE/>
        <w:autoSpaceDN/>
        <w:adjustRightInd/>
        <w:spacing w:before="120" w:after="200" w:line="276" w:lineRule="auto"/>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The training system will continue to be carefully managed for effectiveness and efficiency. The Government will monitor training activity, skills needs and student fees on an ongoing basis, and make necessary adjustments to settings so that taxpayer dollars are spent where they will deliver the greatest public benefit.</w:t>
      </w:r>
    </w:p>
    <w:p w14:paraId="7A338DBE" w14:textId="77777777" w:rsidR="001312A5" w:rsidRPr="001312A5" w:rsidRDefault="001312A5" w:rsidP="001312A5">
      <w:pPr>
        <w:overflowPunct/>
        <w:autoSpaceDE/>
        <w:autoSpaceDN/>
        <w:adjustRightInd/>
        <w:spacing w:before="120" w:after="200" w:line="276" w:lineRule="auto"/>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 xml:space="preserve">As of 1 July 2014: </w:t>
      </w:r>
    </w:p>
    <w:p w14:paraId="26D1A617" w14:textId="77777777" w:rsidR="001312A5" w:rsidRPr="001312A5" w:rsidRDefault="001312A5" w:rsidP="001312A5">
      <w:pPr>
        <w:numPr>
          <w:ilvl w:val="0"/>
          <w:numId w:val="13"/>
        </w:numPr>
        <w:overflowPunct/>
        <w:autoSpaceDE/>
        <w:autoSpaceDN/>
        <w:adjustRightInd/>
        <w:spacing w:before="120" w:after="200" w:line="276" w:lineRule="auto"/>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some training subsidies will be adjusted where there is evidence that students are paying no or very low fees;</w:t>
      </w:r>
    </w:p>
    <w:p w14:paraId="53DD81C4" w14:textId="77777777" w:rsidR="001312A5" w:rsidRPr="001312A5" w:rsidRDefault="001312A5" w:rsidP="001312A5">
      <w:pPr>
        <w:numPr>
          <w:ilvl w:val="0"/>
          <w:numId w:val="13"/>
        </w:numPr>
        <w:overflowPunct/>
        <w:autoSpaceDE/>
        <w:autoSpaceDN/>
        <w:adjustRightInd/>
        <w:spacing w:before="120" w:after="200" w:line="276" w:lineRule="auto"/>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 xml:space="preserve">subsidies for recognition of prior learning will be simplified, with a single RPL base rate allocated for each subsidy band; and </w:t>
      </w:r>
    </w:p>
    <w:p w14:paraId="73C82BFE" w14:textId="77777777" w:rsidR="001312A5" w:rsidRPr="001312A5" w:rsidRDefault="001312A5" w:rsidP="001312A5">
      <w:pPr>
        <w:numPr>
          <w:ilvl w:val="0"/>
          <w:numId w:val="13"/>
        </w:numPr>
        <w:overflowPunct/>
        <w:autoSpaceDE/>
        <w:autoSpaceDN/>
        <w:adjustRightInd/>
        <w:spacing w:before="120" w:after="200" w:line="276" w:lineRule="auto"/>
        <w:jc w:val="both"/>
        <w:textAlignment w:val="auto"/>
        <w:rPr>
          <w:rFonts w:ascii="Arial" w:eastAsia="Calibri" w:hAnsi="Arial" w:cs="Arial"/>
          <w:b/>
          <w:sz w:val="22"/>
          <w:szCs w:val="22"/>
          <w:u w:val="single"/>
          <w:lang w:eastAsia="en-US"/>
        </w:rPr>
      </w:pPr>
      <w:proofErr w:type="gramStart"/>
      <w:r w:rsidRPr="001312A5">
        <w:rPr>
          <w:rFonts w:ascii="Arial" w:eastAsia="Calibri" w:hAnsi="Arial" w:cs="Arial"/>
          <w:sz w:val="22"/>
          <w:szCs w:val="22"/>
          <w:lang w:eastAsia="en-US"/>
        </w:rPr>
        <w:t>in</w:t>
      </w:r>
      <w:proofErr w:type="gramEnd"/>
      <w:r w:rsidRPr="001312A5">
        <w:rPr>
          <w:rFonts w:ascii="Arial" w:eastAsia="Calibri" w:hAnsi="Arial" w:cs="Arial"/>
          <w:sz w:val="22"/>
          <w:szCs w:val="22"/>
          <w:lang w:eastAsia="en-US"/>
        </w:rPr>
        <w:t xml:space="preserve"> additional to existing eligibility requirements, students will now only be able to begin a maximum of two subsidised courses at each qualification level, to encourage individuals to progressively gain higher skills.</w:t>
      </w:r>
    </w:p>
    <w:p w14:paraId="614CAFC6" w14:textId="77777777" w:rsidR="001312A5" w:rsidRPr="001312A5" w:rsidRDefault="001312A5" w:rsidP="001312A5">
      <w:pPr>
        <w:overflowPunct/>
        <w:autoSpaceDE/>
        <w:autoSpaceDN/>
        <w:adjustRightInd/>
        <w:spacing w:before="120" w:after="120" w:line="276" w:lineRule="auto"/>
        <w:jc w:val="both"/>
        <w:textAlignment w:val="auto"/>
        <w:rPr>
          <w:rFonts w:ascii="Arial" w:eastAsia="Calibri" w:hAnsi="Arial" w:cs="Arial"/>
          <w:b/>
          <w:caps/>
          <w:sz w:val="22"/>
          <w:szCs w:val="22"/>
          <w:u w:val="single"/>
          <w:lang w:eastAsia="en-US"/>
        </w:rPr>
      </w:pPr>
    </w:p>
    <w:p w14:paraId="249954FB" w14:textId="77777777" w:rsidR="001312A5" w:rsidRPr="001312A5" w:rsidRDefault="001312A5" w:rsidP="001312A5">
      <w:pPr>
        <w:overflowPunct/>
        <w:autoSpaceDE/>
        <w:autoSpaceDN/>
        <w:adjustRightInd/>
        <w:spacing w:before="120" w:after="120" w:line="276" w:lineRule="auto"/>
        <w:jc w:val="both"/>
        <w:textAlignment w:val="auto"/>
        <w:rPr>
          <w:rFonts w:ascii="Arial" w:eastAsia="Calibri" w:hAnsi="Arial" w:cs="Arial"/>
          <w:b/>
          <w:sz w:val="22"/>
          <w:szCs w:val="22"/>
          <w:lang w:eastAsia="en-US"/>
        </w:rPr>
      </w:pPr>
      <w:r w:rsidRPr="001312A5">
        <w:rPr>
          <w:rFonts w:ascii="Arial" w:eastAsia="Calibri" w:hAnsi="Arial" w:cs="Arial"/>
          <w:b/>
          <w:sz w:val="22"/>
          <w:szCs w:val="22"/>
          <w:lang w:eastAsia="en-US"/>
        </w:rPr>
        <w:t>Course subsidies</w:t>
      </w:r>
    </w:p>
    <w:p w14:paraId="295DE3F2" w14:textId="77777777" w:rsidR="001312A5" w:rsidRPr="001312A5" w:rsidRDefault="001312A5" w:rsidP="001312A5">
      <w:pPr>
        <w:numPr>
          <w:ilvl w:val="0"/>
          <w:numId w:val="14"/>
        </w:numPr>
        <w:overflowPunct/>
        <w:autoSpaceDE/>
        <w:autoSpaceDN/>
        <w:adjustRightInd/>
        <w:spacing w:before="120" w:after="120" w:line="276" w:lineRule="auto"/>
        <w:ind w:left="714" w:hanging="357"/>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Where students are paying no or very low fees in non-apprenticeship courses, the Government is making adjustments to subsidies to ensure that students are making a fair contribution to the cost of their training.</w:t>
      </w:r>
    </w:p>
    <w:p w14:paraId="11FE8EB0" w14:textId="77777777" w:rsidR="001312A5" w:rsidRPr="001312A5" w:rsidRDefault="001312A5" w:rsidP="001312A5">
      <w:pPr>
        <w:keepNext/>
        <w:overflowPunct/>
        <w:autoSpaceDE/>
        <w:autoSpaceDN/>
        <w:adjustRightInd/>
        <w:spacing w:before="120" w:after="120" w:line="276" w:lineRule="auto"/>
        <w:jc w:val="both"/>
        <w:textAlignment w:val="auto"/>
        <w:rPr>
          <w:rFonts w:ascii="Arial" w:eastAsia="Calibri" w:hAnsi="Arial" w:cs="Arial"/>
          <w:b/>
          <w:sz w:val="22"/>
          <w:szCs w:val="22"/>
          <w:lang w:eastAsia="en-US"/>
        </w:rPr>
      </w:pPr>
      <w:r w:rsidRPr="001312A5">
        <w:rPr>
          <w:rFonts w:ascii="Arial" w:eastAsia="Calibri" w:hAnsi="Arial" w:cs="Arial"/>
          <w:b/>
          <w:sz w:val="22"/>
          <w:szCs w:val="22"/>
          <w:lang w:eastAsia="en-US"/>
        </w:rPr>
        <w:lastRenderedPageBreak/>
        <w:t>Changes to Recognition of Prior Learning (RPL)</w:t>
      </w:r>
    </w:p>
    <w:p w14:paraId="6DB4AC42" w14:textId="77777777" w:rsidR="001312A5" w:rsidRPr="001312A5" w:rsidRDefault="001312A5" w:rsidP="001312A5">
      <w:pPr>
        <w:keepNext/>
        <w:numPr>
          <w:ilvl w:val="0"/>
          <w:numId w:val="14"/>
        </w:numPr>
        <w:overflowPunct/>
        <w:autoSpaceDE/>
        <w:autoSpaceDN/>
        <w:adjustRightInd/>
        <w:spacing w:before="120" w:after="120" w:line="276" w:lineRule="auto"/>
        <w:ind w:left="714" w:hanging="357"/>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The Government will simplify subsidies for recognition of prior learning, with a single RPL base rate allocated for each subsidy band.</w:t>
      </w:r>
    </w:p>
    <w:p w14:paraId="47415444" w14:textId="77777777" w:rsidR="001312A5" w:rsidRPr="001312A5" w:rsidRDefault="001312A5" w:rsidP="001312A5">
      <w:pPr>
        <w:overflowPunct/>
        <w:autoSpaceDE/>
        <w:autoSpaceDN/>
        <w:adjustRightInd/>
        <w:spacing w:before="120" w:after="120" w:line="276" w:lineRule="auto"/>
        <w:jc w:val="both"/>
        <w:textAlignment w:val="auto"/>
        <w:rPr>
          <w:rFonts w:ascii="Arial" w:eastAsia="Calibri" w:hAnsi="Arial" w:cs="Arial"/>
          <w:b/>
          <w:sz w:val="22"/>
          <w:szCs w:val="22"/>
          <w:lang w:eastAsia="en-US"/>
        </w:rPr>
      </w:pPr>
      <w:r w:rsidRPr="001312A5">
        <w:rPr>
          <w:rFonts w:ascii="Arial" w:eastAsia="Calibri" w:hAnsi="Arial" w:cs="Arial"/>
          <w:b/>
          <w:sz w:val="22"/>
          <w:szCs w:val="22"/>
          <w:lang w:eastAsia="en-US"/>
        </w:rPr>
        <w:t>Enrolments allowed under the Victorian Training Guarantee</w:t>
      </w:r>
    </w:p>
    <w:p w14:paraId="304A8AF2" w14:textId="77777777" w:rsidR="001312A5" w:rsidRPr="001312A5" w:rsidRDefault="001312A5" w:rsidP="001312A5">
      <w:pPr>
        <w:numPr>
          <w:ilvl w:val="0"/>
          <w:numId w:val="14"/>
        </w:numPr>
        <w:overflowPunct/>
        <w:autoSpaceDE/>
        <w:autoSpaceDN/>
        <w:adjustRightInd/>
        <w:spacing w:before="120" w:after="200" w:line="276" w:lineRule="auto"/>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In additional to existing eligibility requirements, including the ‘</w:t>
      </w:r>
      <w:proofErr w:type="spellStart"/>
      <w:r w:rsidRPr="001312A5">
        <w:rPr>
          <w:rFonts w:ascii="Arial" w:eastAsia="Calibri" w:hAnsi="Arial" w:cs="Arial"/>
          <w:sz w:val="22"/>
          <w:szCs w:val="22"/>
          <w:lang w:eastAsia="en-US"/>
        </w:rPr>
        <w:t>upskilling</w:t>
      </w:r>
      <w:proofErr w:type="spellEnd"/>
      <w:r w:rsidRPr="001312A5">
        <w:rPr>
          <w:rFonts w:ascii="Arial" w:eastAsia="Calibri" w:hAnsi="Arial" w:cs="Arial"/>
          <w:sz w:val="22"/>
          <w:szCs w:val="22"/>
          <w:lang w:eastAsia="en-US"/>
        </w:rPr>
        <w:t>’ requirement, students will be limited to beginning a maximum of two courses at each qualification level in their lifetime, to encourage individuals to progressively gain higher skills.</w:t>
      </w:r>
    </w:p>
    <w:p w14:paraId="36C14260" w14:textId="77777777" w:rsidR="001312A5" w:rsidRPr="001312A5" w:rsidRDefault="001312A5" w:rsidP="001312A5">
      <w:pPr>
        <w:numPr>
          <w:ilvl w:val="0"/>
          <w:numId w:val="14"/>
        </w:numPr>
        <w:overflowPunct/>
        <w:autoSpaceDE/>
        <w:autoSpaceDN/>
        <w:adjustRightInd/>
        <w:spacing w:before="120" w:after="200" w:line="276" w:lineRule="auto"/>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Courses available on the Foundation Skills List will be exempt from this restriction, to ensure eligible students can continue to access numeracy and literacy training which is essential for most jobs</w:t>
      </w:r>
    </w:p>
    <w:p w14:paraId="2F1C3C43" w14:textId="77777777" w:rsidR="001312A5" w:rsidRPr="001312A5" w:rsidRDefault="001312A5" w:rsidP="001312A5">
      <w:pPr>
        <w:numPr>
          <w:ilvl w:val="0"/>
          <w:numId w:val="14"/>
        </w:numPr>
        <w:overflowPunct/>
        <w:autoSpaceDE/>
        <w:autoSpaceDN/>
        <w:adjustRightInd/>
        <w:spacing w:before="120" w:after="200" w:line="276" w:lineRule="auto"/>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An exemption can be sought through the Department of Education and Early Childhood Development to ensure fair consideration for particular students who may be unfairly disadvantaged by this limit.</w:t>
      </w:r>
    </w:p>
    <w:p w14:paraId="6D443977" w14:textId="5E16650B" w:rsidR="001312A5" w:rsidRPr="001312A5" w:rsidRDefault="00B56876" w:rsidP="00B56876">
      <w:pPr>
        <w:overflowPunct/>
        <w:autoSpaceDE/>
        <w:autoSpaceDN/>
        <w:adjustRightInd/>
        <w:spacing w:before="120" w:after="120" w:line="276" w:lineRule="auto"/>
        <w:jc w:val="both"/>
        <w:textAlignment w:val="auto"/>
        <w:rPr>
          <w:rFonts w:ascii="Arial" w:eastAsia="Calibri" w:hAnsi="Arial" w:cs="Arial"/>
          <w:sz w:val="22"/>
          <w:szCs w:val="22"/>
          <w:lang w:eastAsia="en-US"/>
        </w:rPr>
      </w:pPr>
      <w:r>
        <w:rPr>
          <w:rFonts w:ascii="Arial" w:eastAsia="Calibri" w:hAnsi="Arial" w:cs="Arial"/>
          <w:sz w:val="22"/>
          <w:szCs w:val="22"/>
          <w:lang w:eastAsia="en-US"/>
        </w:rPr>
        <w:t>In addition, t</w:t>
      </w:r>
      <w:r w:rsidR="001312A5" w:rsidRPr="001312A5">
        <w:rPr>
          <w:rFonts w:ascii="Arial" w:eastAsia="Calibri" w:hAnsi="Arial" w:cs="Arial"/>
          <w:sz w:val="22"/>
          <w:szCs w:val="22"/>
          <w:lang w:eastAsia="en-US"/>
        </w:rPr>
        <w:t xml:space="preserve">he current contract allows providers to report training activity within 120 days of the training taking place. This will be reduced to 90 days. </w:t>
      </w:r>
    </w:p>
    <w:p w14:paraId="6D5D742D" w14:textId="77777777" w:rsidR="001312A5" w:rsidRPr="001312A5" w:rsidRDefault="001312A5" w:rsidP="001312A5">
      <w:pPr>
        <w:overflowPunct/>
        <w:autoSpaceDE/>
        <w:autoSpaceDN/>
        <w:adjustRightInd/>
        <w:spacing w:before="120" w:after="120" w:line="276" w:lineRule="auto"/>
        <w:jc w:val="both"/>
        <w:textAlignment w:val="auto"/>
        <w:rPr>
          <w:rFonts w:ascii="Arial" w:eastAsia="Calibri" w:hAnsi="Arial" w:cs="Arial"/>
          <w:b/>
          <w:sz w:val="22"/>
          <w:szCs w:val="22"/>
          <w:u w:val="single"/>
          <w:lang w:eastAsia="en-US"/>
        </w:rPr>
      </w:pPr>
    </w:p>
    <w:p w14:paraId="353EDC68" w14:textId="77777777" w:rsidR="001312A5" w:rsidRPr="00B56876" w:rsidRDefault="001312A5" w:rsidP="001312A5">
      <w:pPr>
        <w:overflowPunct/>
        <w:autoSpaceDE/>
        <w:autoSpaceDN/>
        <w:adjustRightInd/>
        <w:spacing w:before="120" w:after="120" w:line="276" w:lineRule="auto"/>
        <w:jc w:val="both"/>
        <w:textAlignment w:val="auto"/>
        <w:rPr>
          <w:rFonts w:ascii="Arial" w:eastAsia="Calibri" w:hAnsi="Arial" w:cs="Arial"/>
          <w:b/>
          <w:sz w:val="22"/>
          <w:szCs w:val="22"/>
          <w:lang w:eastAsia="en-US"/>
        </w:rPr>
      </w:pPr>
      <w:r w:rsidRPr="00B56876">
        <w:rPr>
          <w:rFonts w:ascii="Arial" w:eastAsia="Calibri" w:hAnsi="Arial" w:cs="Arial"/>
          <w:b/>
          <w:sz w:val="22"/>
          <w:szCs w:val="22"/>
          <w:lang w:eastAsia="en-US"/>
        </w:rPr>
        <w:t>When will these changes take effect?</w:t>
      </w:r>
    </w:p>
    <w:p w14:paraId="479A5793" w14:textId="77777777" w:rsidR="001312A5" w:rsidRPr="001312A5" w:rsidRDefault="001312A5" w:rsidP="001312A5">
      <w:pPr>
        <w:overflowPunct/>
        <w:autoSpaceDE/>
        <w:autoSpaceDN/>
        <w:adjustRightInd/>
        <w:spacing w:before="120" w:after="120" w:line="276" w:lineRule="auto"/>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The changes to:</w:t>
      </w:r>
    </w:p>
    <w:p w14:paraId="071E7B6C" w14:textId="77777777" w:rsidR="001312A5" w:rsidRPr="001312A5" w:rsidRDefault="001312A5" w:rsidP="001312A5">
      <w:pPr>
        <w:numPr>
          <w:ilvl w:val="0"/>
          <w:numId w:val="14"/>
        </w:numPr>
        <w:overflowPunct/>
        <w:autoSpaceDE/>
        <w:autoSpaceDN/>
        <w:adjustRightInd/>
        <w:spacing w:before="120" w:after="120" w:line="276" w:lineRule="auto"/>
        <w:contextualSpacing/>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Course subsidies and the RPL rate will apply from 1 July 2014</w:t>
      </w:r>
    </w:p>
    <w:p w14:paraId="3771899E" w14:textId="77777777" w:rsidR="001312A5" w:rsidRPr="001312A5" w:rsidRDefault="001312A5" w:rsidP="001312A5">
      <w:pPr>
        <w:numPr>
          <w:ilvl w:val="0"/>
          <w:numId w:val="14"/>
        </w:numPr>
        <w:overflowPunct/>
        <w:autoSpaceDE/>
        <w:autoSpaceDN/>
        <w:adjustRightInd/>
        <w:spacing w:before="120" w:after="120" w:line="276" w:lineRule="auto"/>
        <w:contextualSpacing/>
        <w:jc w:val="both"/>
        <w:textAlignment w:val="auto"/>
        <w:rPr>
          <w:rFonts w:ascii="Arial" w:eastAsia="Calibri" w:hAnsi="Arial" w:cs="Arial"/>
          <w:sz w:val="22"/>
          <w:szCs w:val="22"/>
          <w:lang w:eastAsia="en-US"/>
        </w:rPr>
      </w:pPr>
      <w:r w:rsidRPr="001312A5">
        <w:rPr>
          <w:rFonts w:ascii="Arial" w:eastAsia="Calibri" w:hAnsi="Arial" w:cs="Arial"/>
          <w:sz w:val="22"/>
          <w:szCs w:val="22"/>
          <w:lang w:eastAsia="en-US"/>
        </w:rPr>
        <w:t>Student eligibility changes commence from 16 June 2014.</w:t>
      </w:r>
    </w:p>
    <w:p w14:paraId="1DED8150" w14:textId="77777777" w:rsidR="001312A5" w:rsidRPr="001312A5" w:rsidRDefault="001312A5" w:rsidP="00A2083F">
      <w:pPr>
        <w:overflowPunct/>
        <w:autoSpaceDE/>
        <w:autoSpaceDN/>
        <w:adjustRightInd/>
        <w:textAlignment w:val="auto"/>
        <w:rPr>
          <w:rFonts w:ascii="Arial" w:hAnsi="Arial" w:cs="Arial"/>
          <w:color w:val="000000"/>
          <w:sz w:val="22"/>
          <w:szCs w:val="22"/>
          <w:lang w:val="en-GB" w:eastAsia="en-US"/>
        </w:rPr>
      </w:pPr>
    </w:p>
    <w:p w14:paraId="0B5AB4D0" w14:textId="77777777" w:rsidR="00A9135E" w:rsidRPr="00B56876" w:rsidRDefault="00A9135E" w:rsidP="00A9135E">
      <w:pPr>
        <w:ind w:left="-180" w:right="360"/>
        <w:rPr>
          <w:rFonts w:ascii="Arial" w:hAnsi="Arial" w:cs="Arial"/>
          <w:sz w:val="22"/>
          <w:szCs w:val="22"/>
        </w:rPr>
      </w:pPr>
    </w:p>
    <w:p w14:paraId="45BA2EF1" w14:textId="4D24F76B" w:rsidR="00717852" w:rsidRPr="00B56876" w:rsidRDefault="00B56876" w:rsidP="00A9135E">
      <w:pPr>
        <w:ind w:left="-180" w:right="360"/>
        <w:rPr>
          <w:rFonts w:ascii="Arial" w:hAnsi="Arial" w:cs="Arial"/>
          <w:sz w:val="22"/>
          <w:szCs w:val="22"/>
        </w:rPr>
      </w:pPr>
      <w:r w:rsidRPr="00B56876">
        <w:rPr>
          <w:rFonts w:ascii="Arial" w:hAnsi="Arial" w:cs="Arial"/>
          <w:sz w:val="22"/>
          <w:szCs w:val="22"/>
        </w:rPr>
        <w:t xml:space="preserve">Providers with VET </w:t>
      </w:r>
      <w:proofErr w:type="gramStart"/>
      <w:r w:rsidRPr="00B56876">
        <w:rPr>
          <w:rFonts w:ascii="Arial" w:hAnsi="Arial" w:cs="Arial"/>
          <w:sz w:val="22"/>
          <w:szCs w:val="22"/>
        </w:rPr>
        <w:t>Funding</w:t>
      </w:r>
      <w:proofErr w:type="gramEnd"/>
      <w:r w:rsidRPr="00B56876">
        <w:rPr>
          <w:rFonts w:ascii="Arial" w:hAnsi="Arial" w:cs="Arial"/>
          <w:sz w:val="22"/>
          <w:szCs w:val="22"/>
        </w:rPr>
        <w:t xml:space="preserve"> contracts have been notified </w:t>
      </w:r>
      <w:r>
        <w:rPr>
          <w:rFonts w:ascii="Arial" w:hAnsi="Arial" w:cs="Arial"/>
          <w:sz w:val="22"/>
          <w:szCs w:val="22"/>
        </w:rPr>
        <w:t xml:space="preserve">through a contract notification.  All enquiries </w:t>
      </w:r>
      <w:r w:rsidRPr="00B56876">
        <w:rPr>
          <w:rFonts w:ascii="Arial" w:hAnsi="Arial" w:cs="Arial"/>
          <w:sz w:val="22"/>
          <w:szCs w:val="22"/>
        </w:rPr>
        <w:t xml:space="preserve">concerning the </w:t>
      </w:r>
      <w:r>
        <w:rPr>
          <w:rFonts w:ascii="Arial" w:hAnsi="Arial" w:cs="Arial"/>
          <w:sz w:val="22"/>
          <w:szCs w:val="22"/>
        </w:rPr>
        <w:t xml:space="preserve">contract variation should </w:t>
      </w:r>
      <w:r w:rsidR="006A0A6A">
        <w:rPr>
          <w:rFonts w:ascii="Arial" w:hAnsi="Arial" w:cs="Arial"/>
          <w:sz w:val="22"/>
          <w:szCs w:val="22"/>
        </w:rPr>
        <w:t>be lodged on SVTS under the cate</w:t>
      </w:r>
      <w:r>
        <w:rPr>
          <w:rFonts w:ascii="Arial" w:hAnsi="Arial" w:cs="Arial"/>
          <w:sz w:val="22"/>
          <w:szCs w:val="22"/>
        </w:rPr>
        <w:t>g</w:t>
      </w:r>
      <w:r w:rsidRPr="00B56876">
        <w:rPr>
          <w:rFonts w:ascii="Arial" w:hAnsi="Arial" w:cs="Arial"/>
          <w:sz w:val="22"/>
          <w:szCs w:val="22"/>
        </w:rPr>
        <w:t>ory IV</w:t>
      </w:r>
      <w:r>
        <w:rPr>
          <w:rFonts w:ascii="Arial" w:hAnsi="Arial" w:cs="Arial"/>
          <w:sz w:val="22"/>
          <w:szCs w:val="22"/>
        </w:rPr>
        <w:t>ET funding contract</w:t>
      </w:r>
      <w:r w:rsidRPr="00B56876">
        <w:rPr>
          <w:rFonts w:ascii="Arial" w:hAnsi="Arial" w:cs="Arial"/>
          <w:sz w:val="22"/>
          <w:szCs w:val="22"/>
        </w:rPr>
        <w:t xml:space="preserve">s – July </w:t>
      </w:r>
      <w:r>
        <w:rPr>
          <w:rFonts w:ascii="Arial" w:hAnsi="Arial" w:cs="Arial"/>
          <w:sz w:val="22"/>
          <w:szCs w:val="22"/>
        </w:rPr>
        <w:t>2014 variations.</w:t>
      </w:r>
    </w:p>
    <w:p w14:paraId="144CAFE6" w14:textId="77777777" w:rsidR="00B56876" w:rsidRPr="00B56876" w:rsidRDefault="00B56876" w:rsidP="00A9135E">
      <w:pPr>
        <w:ind w:left="-180" w:right="360"/>
        <w:rPr>
          <w:rFonts w:ascii="Arial" w:hAnsi="Arial" w:cs="Arial"/>
          <w:sz w:val="22"/>
          <w:szCs w:val="22"/>
        </w:rPr>
      </w:pPr>
    </w:p>
    <w:p w14:paraId="1A3A47BC" w14:textId="3A5BED41" w:rsidR="00B56876" w:rsidRPr="00B56876" w:rsidRDefault="00B56876" w:rsidP="00A9135E">
      <w:pPr>
        <w:ind w:left="-180" w:right="360"/>
        <w:rPr>
          <w:rFonts w:ascii="Arial" w:hAnsi="Arial" w:cs="Arial"/>
          <w:sz w:val="22"/>
          <w:szCs w:val="22"/>
        </w:rPr>
      </w:pPr>
      <w:r w:rsidRPr="00B56876">
        <w:rPr>
          <w:rFonts w:ascii="Arial" w:hAnsi="Arial" w:cs="Arial"/>
          <w:sz w:val="22"/>
          <w:szCs w:val="22"/>
        </w:rPr>
        <w:t xml:space="preserve">If you have general enquiries please contact Teresa Durka on 9947 1847 or </w:t>
      </w:r>
      <w:hyperlink r:id="rId12" w:history="1">
        <w:r w:rsidRPr="00B56876">
          <w:rPr>
            <w:rStyle w:val="Hyperlink"/>
            <w:rFonts w:ascii="Arial" w:hAnsi="Arial" w:cs="Arial"/>
            <w:sz w:val="22"/>
            <w:szCs w:val="22"/>
          </w:rPr>
          <w:t>durka.teresa.t@edumail.vic.gov.au</w:t>
        </w:r>
      </w:hyperlink>
      <w:r w:rsidRPr="00B56876">
        <w:rPr>
          <w:rFonts w:ascii="Arial" w:hAnsi="Arial" w:cs="Arial"/>
          <w:sz w:val="22"/>
          <w:szCs w:val="22"/>
        </w:rPr>
        <w:t xml:space="preserve"> </w:t>
      </w:r>
      <w:r>
        <w:rPr>
          <w:rFonts w:ascii="Arial" w:hAnsi="Arial" w:cs="Arial"/>
          <w:sz w:val="22"/>
          <w:szCs w:val="22"/>
        </w:rPr>
        <w:t>or your relevant Training Participation Support Unit Regional Manager.</w:t>
      </w:r>
    </w:p>
    <w:p w14:paraId="1C2F39D4" w14:textId="77777777" w:rsidR="00B56876" w:rsidRPr="00B56876" w:rsidRDefault="00B56876" w:rsidP="00A9135E">
      <w:pPr>
        <w:ind w:left="-180" w:right="360"/>
        <w:rPr>
          <w:rFonts w:ascii="Arial" w:hAnsi="Arial" w:cs="Arial"/>
          <w:sz w:val="22"/>
          <w:szCs w:val="22"/>
        </w:rPr>
      </w:pPr>
    </w:p>
    <w:p w14:paraId="5ACA43E5" w14:textId="77777777" w:rsidR="00B56876" w:rsidRPr="00B56876" w:rsidRDefault="00B56876" w:rsidP="00A9135E">
      <w:pPr>
        <w:ind w:left="-180" w:right="360"/>
        <w:rPr>
          <w:rFonts w:ascii="Arial" w:hAnsi="Arial" w:cs="Arial"/>
          <w:sz w:val="22"/>
          <w:szCs w:val="22"/>
        </w:rPr>
      </w:pPr>
    </w:p>
    <w:p w14:paraId="12A7BBB4" w14:textId="77777777" w:rsidR="00717852" w:rsidRPr="004304A3" w:rsidRDefault="00717852" w:rsidP="00A9135E">
      <w:pPr>
        <w:ind w:left="-180" w:right="360"/>
        <w:rPr>
          <w:b/>
          <w:szCs w:val="24"/>
        </w:rPr>
      </w:pPr>
    </w:p>
    <w:p w14:paraId="31D74D4E" w14:textId="77777777" w:rsidR="00A9135E" w:rsidRPr="001B1322" w:rsidRDefault="00A9135E" w:rsidP="00A9135E">
      <w:pPr>
        <w:ind w:left="-180" w:right="360"/>
        <w:rPr>
          <w:szCs w:val="24"/>
        </w:rPr>
      </w:pPr>
    </w:p>
    <w:p w14:paraId="2BBD7697" w14:textId="66FAC3C9" w:rsidR="00A2083F" w:rsidRDefault="001312A5" w:rsidP="00A2083F">
      <w:pPr>
        <w:tabs>
          <w:tab w:val="left" w:pos="0"/>
          <w:tab w:val="left" w:pos="1080"/>
        </w:tabs>
        <w:overflowPunct/>
        <w:autoSpaceDE/>
        <w:autoSpaceDN/>
        <w:adjustRightInd/>
        <w:textAlignment w:val="auto"/>
        <w:rPr>
          <w:rFonts w:ascii="Arial" w:hAnsi="Arial" w:cs="Arial"/>
          <w:b/>
          <w:bCs/>
          <w:color w:val="000000"/>
          <w:sz w:val="22"/>
          <w:szCs w:val="24"/>
          <w:lang w:val="en-GB" w:eastAsia="en-US"/>
        </w:rPr>
      </w:pPr>
      <w:r>
        <w:rPr>
          <w:rFonts w:ascii="Arial" w:hAnsi="Arial" w:cs="Arial"/>
          <w:b/>
          <w:bCs/>
          <w:color w:val="000000"/>
          <w:sz w:val="22"/>
          <w:szCs w:val="24"/>
          <w:lang w:val="en-GB" w:eastAsia="en-US"/>
        </w:rPr>
        <w:t>Bronwen Heathfield</w:t>
      </w:r>
    </w:p>
    <w:p w14:paraId="78D64692" w14:textId="15ADD16E" w:rsidR="00A2083F" w:rsidRPr="00A2083F" w:rsidRDefault="001312A5" w:rsidP="00A2083F">
      <w:pPr>
        <w:tabs>
          <w:tab w:val="left" w:pos="0"/>
          <w:tab w:val="left" w:pos="1080"/>
        </w:tabs>
        <w:overflowPunct/>
        <w:autoSpaceDE/>
        <w:autoSpaceDN/>
        <w:adjustRightInd/>
        <w:textAlignment w:val="auto"/>
        <w:rPr>
          <w:rFonts w:ascii="Arial" w:hAnsi="Arial" w:cs="Arial"/>
          <w:bCs/>
          <w:color w:val="000000"/>
          <w:sz w:val="22"/>
          <w:szCs w:val="24"/>
          <w:lang w:val="en-GB" w:eastAsia="en-US"/>
        </w:rPr>
      </w:pPr>
      <w:r>
        <w:rPr>
          <w:rFonts w:ascii="Arial" w:hAnsi="Arial" w:cs="Arial"/>
          <w:bCs/>
          <w:color w:val="000000"/>
          <w:sz w:val="22"/>
          <w:szCs w:val="24"/>
          <w:lang w:val="en-GB" w:eastAsia="en-US"/>
        </w:rPr>
        <w:t xml:space="preserve">Director, </w:t>
      </w:r>
      <w:r w:rsidR="00A2083F" w:rsidRPr="00A2083F">
        <w:rPr>
          <w:rFonts w:ascii="Arial" w:hAnsi="Arial" w:cs="Arial"/>
          <w:bCs/>
          <w:color w:val="000000"/>
          <w:sz w:val="22"/>
          <w:szCs w:val="24"/>
          <w:lang w:val="en-GB" w:eastAsia="en-US"/>
        </w:rPr>
        <w:t>Participation Branch</w:t>
      </w:r>
    </w:p>
    <w:p w14:paraId="4F5E516A" w14:textId="1717E920" w:rsidR="00A2083F" w:rsidRPr="00A2083F" w:rsidRDefault="00006A56" w:rsidP="00A2083F">
      <w:pPr>
        <w:overflowPunct/>
        <w:autoSpaceDE/>
        <w:autoSpaceDN/>
        <w:adjustRightInd/>
        <w:textAlignment w:val="auto"/>
        <w:rPr>
          <w:rFonts w:ascii="Arial" w:hAnsi="Arial" w:cs="Arial"/>
          <w:color w:val="000000"/>
          <w:sz w:val="22"/>
          <w:szCs w:val="22"/>
          <w:lang w:val="en-GB" w:eastAsia="en-US"/>
        </w:rPr>
      </w:pPr>
      <w:r>
        <w:rPr>
          <w:rFonts w:ascii="Arial" w:hAnsi="Arial" w:cs="Arial"/>
          <w:bCs/>
          <w:color w:val="000000"/>
          <w:sz w:val="22"/>
          <w:szCs w:val="24"/>
          <w:lang w:val="en-GB" w:eastAsia="en-US"/>
        </w:rPr>
        <w:t>Training Participation &amp; Facilitation Division</w:t>
      </w:r>
    </w:p>
    <w:p w14:paraId="70662B71" w14:textId="77777777" w:rsidR="00A9135E" w:rsidRDefault="00A9135E" w:rsidP="00A9135E">
      <w:pPr>
        <w:tabs>
          <w:tab w:val="num" w:pos="180"/>
        </w:tabs>
        <w:ind w:left="-180"/>
        <w:rPr>
          <w:szCs w:val="24"/>
        </w:rPr>
      </w:pPr>
    </w:p>
    <w:p w14:paraId="1A9D8963" w14:textId="77777777" w:rsidR="009706F1" w:rsidRPr="00A9135E" w:rsidRDefault="009706F1" w:rsidP="00A9135E">
      <w:pPr>
        <w:rPr>
          <w:szCs w:val="24"/>
        </w:rPr>
      </w:pPr>
    </w:p>
    <w:sectPr w:rsidR="009706F1" w:rsidRPr="00A9135E" w:rsidSect="00A2083F">
      <w:footerReference w:type="first" r:id="rId13"/>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44FF1" w14:textId="77777777" w:rsidR="00042AB0" w:rsidRDefault="00042AB0" w:rsidP="00846881">
      <w:r>
        <w:separator/>
      </w:r>
    </w:p>
  </w:endnote>
  <w:endnote w:type="continuationSeparator" w:id="0">
    <w:p w14:paraId="2DA5BA6C" w14:textId="77777777" w:rsidR="00042AB0" w:rsidRDefault="00042AB0"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042AB0" w:rsidRDefault="00042AB0" w:rsidP="00846881">
    <w:pPr>
      <w:pStyle w:val="Footer"/>
      <w:pBdr>
        <w:top w:val="single" w:sz="4" w:space="1" w:color="D9D9D9"/>
      </w:pBdr>
      <w:jc w:val="right"/>
    </w:pPr>
    <w:r>
      <w:fldChar w:fldCharType="begin"/>
    </w:r>
    <w:r>
      <w:instrText xml:space="preserve"> PAGE   \* MERGEFORMAT </w:instrText>
    </w:r>
    <w:r>
      <w:fldChar w:fldCharType="separate"/>
    </w:r>
    <w:r w:rsidR="00006A56">
      <w:rPr>
        <w:noProof/>
      </w:rPr>
      <w:t>1</w:t>
    </w:r>
    <w:r>
      <w:rPr>
        <w:noProof/>
      </w:rPr>
      <w:fldChar w:fldCharType="end"/>
    </w:r>
    <w:r>
      <w:t xml:space="preserve"> | </w:t>
    </w:r>
    <w:r w:rsidRPr="00846881">
      <w:rPr>
        <w:color w:val="808080"/>
        <w:spacing w:val="60"/>
      </w:rPr>
      <w:t>Page</w:t>
    </w:r>
  </w:p>
  <w:p w14:paraId="6D94B54E" w14:textId="77777777" w:rsidR="00042AB0" w:rsidRDefault="00042A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6DB0" w14:textId="77777777" w:rsidR="00042AB0" w:rsidRDefault="00042AB0" w:rsidP="00846881">
      <w:r>
        <w:separator/>
      </w:r>
    </w:p>
  </w:footnote>
  <w:footnote w:type="continuationSeparator" w:id="0">
    <w:p w14:paraId="04EA4623" w14:textId="77777777" w:rsidR="00042AB0" w:rsidRDefault="00042AB0"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AC148C"/>
    <w:multiLevelType w:val="hybridMultilevel"/>
    <w:tmpl w:val="6EB82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9">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7A0612C8"/>
    <w:multiLevelType w:val="hybridMultilevel"/>
    <w:tmpl w:val="618234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2"/>
  </w:num>
  <w:num w:numId="2">
    <w:abstractNumId w:val="2"/>
  </w:num>
  <w:num w:numId="3">
    <w:abstractNumId w:val="0"/>
  </w:num>
  <w:num w:numId="4">
    <w:abstractNumId w:val="10"/>
  </w:num>
  <w:num w:numId="5">
    <w:abstractNumId w:val="1"/>
  </w:num>
  <w:num w:numId="6">
    <w:abstractNumId w:val="9"/>
  </w:num>
  <w:num w:numId="7">
    <w:abstractNumId w:val="5"/>
  </w:num>
  <w:num w:numId="8">
    <w:abstractNumId w:val="11"/>
  </w:num>
  <w:num w:numId="9">
    <w:abstractNumId w:val="8"/>
  </w:num>
  <w:num w:numId="10">
    <w:abstractNumId w:val="7"/>
  </w:num>
  <w:num w:numId="11">
    <w:abstractNumId w:val="6"/>
  </w:num>
  <w:num w:numId="12">
    <w:abstractNumId w:val="3"/>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4"/>
    <w:rsid w:val="00006A56"/>
    <w:rsid w:val="00021555"/>
    <w:rsid w:val="0002288F"/>
    <w:rsid w:val="0002677B"/>
    <w:rsid w:val="000425DB"/>
    <w:rsid w:val="00042AB0"/>
    <w:rsid w:val="00060214"/>
    <w:rsid w:val="00060EA4"/>
    <w:rsid w:val="000701E5"/>
    <w:rsid w:val="000722AB"/>
    <w:rsid w:val="0008021C"/>
    <w:rsid w:val="000901F6"/>
    <w:rsid w:val="000A28AF"/>
    <w:rsid w:val="000B4394"/>
    <w:rsid w:val="000C3753"/>
    <w:rsid w:val="000C782C"/>
    <w:rsid w:val="00105130"/>
    <w:rsid w:val="001079BD"/>
    <w:rsid w:val="001214D4"/>
    <w:rsid w:val="00125617"/>
    <w:rsid w:val="001312A5"/>
    <w:rsid w:val="001411A4"/>
    <w:rsid w:val="00181F47"/>
    <w:rsid w:val="001C0117"/>
    <w:rsid w:val="001C4930"/>
    <w:rsid w:val="001D2F77"/>
    <w:rsid w:val="00206E94"/>
    <w:rsid w:val="00213CB1"/>
    <w:rsid w:val="00234DCA"/>
    <w:rsid w:val="00241DCD"/>
    <w:rsid w:val="00264866"/>
    <w:rsid w:val="002831C1"/>
    <w:rsid w:val="00284B19"/>
    <w:rsid w:val="002A24E2"/>
    <w:rsid w:val="00340366"/>
    <w:rsid w:val="00352C50"/>
    <w:rsid w:val="00384947"/>
    <w:rsid w:val="003B7B63"/>
    <w:rsid w:val="003D454C"/>
    <w:rsid w:val="003F0B63"/>
    <w:rsid w:val="003F3D59"/>
    <w:rsid w:val="003F640F"/>
    <w:rsid w:val="004304A3"/>
    <w:rsid w:val="00453CAD"/>
    <w:rsid w:val="004604A8"/>
    <w:rsid w:val="0048144F"/>
    <w:rsid w:val="004B182C"/>
    <w:rsid w:val="004C32C0"/>
    <w:rsid w:val="004C7772"/>
    <w:rsid w:val="004E42D2"/>
    <w:rsid w:val="00505EC2"/>
    <w:rsid w:val="00506F42"/>
    <w:rsid w:val="00540C9F"/>
    <w:rsid w:val="005543E8"/>
    <w:rsid w:val="00583630"/>
    <w:rsid w:val="00590B75"/>
    <w:rsid w:val="005B4815"/>
    <w:rsid w:val="005E1085"/>
    <w:rsid w:val="005F153D"/>
    <w:rsid w:val="006254CC"/>
    <w:rsid w:val="00626260"/>
    <w:rsid w:val="006344F3"/>
    <w:rsid w:val="006409D9"/>
    <w:rsid w:val="00651785"/>
    <w:rsid w:val="00687039"/>
    <w:rsid w:val="006935A8"/>
    <w:rsid w:val="00696854"/>
    <w:rsid w:val="006A0A6A"/>
    <w:rsid w:val="006A1696"/>
    <w:rsid w:val="006A5387"/>
    <w:rsid w:val="006D4561"/>
    <w:rsid w:val="00717852"/>
    <w:rsid w:val="007602BC"/>
    <w:rsid w:val="0076398D"/>
    <w:rsid w:val="00764A0A"/>
    <w:rsid w:val="00770AF9"/>
    <w:rsid w:val="007716FE"/>
    <w:rsid w:val="00772628"/>
    <w:rsid w:val="00790C20"/>
    <w:rsid w:val="007951E1"/>
    <w:rsid w:val="007A3F91"/>
    <w:rsid w:val="007E59F5"/>
    <w:rsid w:val="00846881"/>
    <w:rsid w:val="00867D3A"/>
    <w:rsid w:val="00880ACA"/>
    <w:rsid w:val="0089186A"/>
    <w:rsid w:val="008E2680"/>
    <w:rsid w:val="008E2DD6"/>
    <w:rsid w:val="008E53DE"/>
    <w:rsid w:val="008F3646"/>
    <w:rsid w:val="00903B41"/>
    <w:rsid w:val="00933C17"/>
    <w:rsid w:val="00965E53"/>
    <w:rsid w:val="009706F1"/>
    <w:rsid w:val="009843BA"/>
    <w:rsid w:val="0099526E"/>
    <w:rsid w:val="009C7B4C"/>
    <w:rsid w:val="009E3636"/>
    <w:rsid w:val="00A011F2"/>
    <w:rsid w:val="00A14B2D"/>
    <w:rsid w:val="00A2083F"/>
    <w:rsid w:val="00A24A30"/>
    <w:rsid w:val="00A83FB3"/>
    <w:rsid w:val="00A9135E"/>
    <w:rsid w:val="00AD0AF3"/>
    <w:rsid w:val="00B33E4F"/>
    <w:rsid w:val="00B41E45"/>
    <w:rsid w:val="00B5136F"/>
    <w:rsid w:val="00B56876"/>
    <w:rsid w:val="00B632F5"/>
    <w:rsid w:val="00BF275B"/>
    <w:rsid w:val="00C151BB"/>
    <w:rsid w:val="00C373FC"/>
    <w:rsid w:val="00C75A39"/>
    <w:rsid w:val="00C83B90"/>
    <w:rsid w:val="00CA0D2E"/>
    <w:rsid w:val="00CB16A1"/>
    <w:rsid w:val="00CD0632"/>
    <w:rsid w:val="00CE69B8"/>
    <w:rsid w:val="00CF6891"/>
    <w:rsid w:val="00D33418"/>
    <w:rsid w:val="00D53A53"/>
    <w:rsid w:val="00DD6095"/>
    <w:rsid w:val="00DD6855"/>
    <w:rsid w:val="00E320A4"/>
    <w:rsid w:val="00E91E6B"/>
    <w:rsid w:val="00EE4BD9"/>
    <w:rsid w:val="00EE5E95"/>
    <w:rsid w:val="00F17667"/>
    <w:rsid w:val="00F24B4E"/>
    <w:rsid w:val="00F30F82"/>
    <w:rsid w:val="00F343D3"/>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urka.teresa.t@edumail.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6F5352-6A51-4B32-B4D8-7D71E9BEAAE7}"/>
</file>

<file path=customXml/itemProps2.xml><?xml version="1.0" encoding="utf-8"?>
<ds:datastoreItem xmlns:ds="http://schemas.openxmlformats.org/officeDocument/2006/customXml" ds:itemID="{679930F3-BCB2-40A6-89DD-6D5BDABD4DE2}"/>
</file>

<file path=customXml/itemProps3.xml><?xml version="1.0" encoding="utf-8"?>
<ds:datastoreItem xmlns:ds="http://schemas.openxmlformats.org/officeDocument/2006/customXml" ds:itemID="{D1EAB457-E5E2-4D36-B4CD-4B771C80EDCF}"/>
</file>

<file path=customXml/itemProps4.xml><?xml version="1.0" encoding="utf-8"?>
<ds:datastoreItem xmlns:ds="http://schemas.openxmlformats.org/officeDocument/2006/customXml" ds:itemID="{9C6B0719-B68C-4967-9974-4905EC0DB8D1}"/>
</file>

<file path=docProps/app.xml><?xml version="1.0" encoding="utf-8"?>
<Properties xmlns="http://schemas.openxmlformats.org/officeDocument/2006/extended-properties" xmlns:vt="http://schemas.openxmlformats.org/officeDocument/2006/docPropsVTypes">
  <Template>Memo - HESG Memorandum</Template>
  <TotalTime>1</TotalTime>
  <Pages>2</Pages>
  <Words>498</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08306670</dc:creator>
  <cp:keywords/>
  <dc:description/>
  <cp:lastModifiedBy>Morrow, Jackie A</cp:lastModifiedBy>
  <cp:revision>3</cp:revision>
  <cp:lastPrinted>2014-06-16T01:04:00Z</cp:lastPrinted>
  <dcterms:created xsi:type="dcterms:W3CDTF">2014-06-16T05:49:00Z</dcterms:created>
  <dcterms:modified xsi:type="dcterms:W3CDTF">2014-06-16T06:05:00Z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