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8"/>
      </w:tblGrid>
      <w:tr w:rsidR="002619F7" w:rsidRPr="008F3646" w:rsidTr="002619F7">
        <w:trPr>
          <w:trHeight w:val="456"/>
        </w:trPr>
        <w:tc>
          <w:tcPr>
            <w:tcW w:w="10318" w:type="dxa"/>
            <w:tcBorders>
              <w:bottom w:val="single" w:sz="4" w:space="0" w:color="auto"/>
            </w:tcBorders>
            <w:shd w:val="clear" w:color="auto" w:fill="000000"/>
          </w:tcPr>
          <w:p w:rsidR="00751F7F" w:rsidRPr="008F3646" w:rsidRDefault="00751F7F" w:rsidP="00B55B99">
            <w:pPr>
              <w:rPr>
                <w:rFonts w:ascii="Arial Narrow" w:hAnsi="Arial Narrow"/>
              </w:rPr>
            </w:pPr>
            <w:bookmarkStart w:id="0" w:name="_GoBack"/>
            <w:bookmarkEnd w:id="0"/>
            <w:r>
              <w:pict>
                <v:shapetype id="_x0000_t202" coordsize="21600,21600" o:spt="202" path="m,l,21600r21600,l21600,xe">
                  <v:stroke joinstyle="miter"/>
                  <v:path gradientshapeok="t" o:connecttype="rect"/>
                </v:shapetype>
                <v:shape id="Text Box 13" o:spid="_x0000_s1029" type="#_x0000_t202" style="position:absolute;margin-left:-4.8pt;margin-top:-1.95pt;width:515.9pt;height:2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6vV1QIAAL8FAAAOAAAAZHJzL2Uyb0RvYy54bWysVNuO2yAQfa/Uf0C8Z33ZJBtb66z20lSV&#10;thdpt+ozwThGxeACibOt+u8dhjibtqpUVfUDHmAY5pw5zOXVvlNkJ6yTRlc0O0spEZqbWupNRT8+&#10;riYLSpxnumbKaFHRJ+Ho1fLli8uhL0VuWqNqYQkE0a4c+oq23vdlkjjeio65M9MLDZuNsR3zMLWb&#10;pLZsgOidSvI0nSeDsXVvDRfOwepd3KRLjN80gvv3TeOEJ6qikJvH0eK4DmOyvGTlxrK+lfyQBvuH&#10;LDomNVx6DHXHPCNbK38L1UlujTONP+OmS0zTSC4QA6DJ0l/QPLSsF4gFyHH9kSb3/8Lyd7sPlsi6&#10;ojklmnVQokex9+TG7El2HugZeleC10MPfn4P61BmhOr6e8M/O6LNbcv0Rlxba4ZWsBrSy8LJ5ORo&#10;jONCkPXw1tRwD9t6g4H2je0Cd8AGgehQpqdjaUIuHBbns2xRZLDFYS+fzy9SrF3CyvF0b51/LUxH&#10;glFRC6XH6Gx373zIhpWjy6FQ9UoqRazxn6RvkesR2sbBGfRypDeAJ42I7WZ9qyzZMVBTns8hJcQJ&#10;ZXen3lkavj8eQVfWdQzF51pWixhykZ/PkHNWSr17fXCBxF28GEGEq2DpmKKSmgD9yJvjTAmoZaQf&#10;1Yggw41Kh1GbADrSEVeA4QPYwDVq9luR5dP0Ji8mq/niYjJdTWeT4iJdTNKsuCnm6bSY3q2+B3zZ&#10;tGxlXQt9L7UY3082/Tt9Hl5yVD6+IDJUtJjls0idUfKY/YGByNMKvwP17tStkx7aiZJdRRexCMhx&#10;UOUrXaPtmVTRTn5OH2kFDsY/soIaDrKNAvb79R6iBGGvTf0Eagb5IPXQA8Fojf1KyQD9pKLuy5ZZ&#10;QYl6o1FBxI+GHY31aDDN4WhFubcUqhkmtz62qW1v5aaF2PHVaXMN76aRKOnnPCDpMIEuEdURO1po&#10;Q6dz9Hruu8sfAAAA//8DAFBLAwQUAAYACAAAACEAnnOCjuEAAAAJAQAADwAAAGRycy9kb3ducmV2&#10;LnhtbEyPwU7DMAyG70i8Q2QkbltKoRsrdadqCDaJE2MS4pa1pqlokqpJ1+7t8U5wtP3p9/dn68m0&#10;4kS9b5xFuJtHIMiWrmpsjXD4eJk9gvBB2Uq1zhLCmTys8+urTKWVG+07nfahFhxifaoQdAhdKqUv&#10;NRnl564jy7dv1xsVeOxrWfVq5HDTyjiKFtKoxvIHrTraaCp/9oNBGHavxWYsDs+rrXRn/bb79OPX&#10;FvH2ZiqeQASawh8MF31Wh5ydjm6wlRctwmwZ3zOKECcJCAZWyQMvjgiLZQIyz+T/BvkvAAAA//8D&#10;AFBLAQItABQABgAIAAAAIQC2gziS/gAAAOEBAAATAAAAAAAAAAAAAAAAAAAAAABbQ29udGVudF9U&#10;eXBlc10ueG1sUEsBAi0AFAAGAAgAAAAhADj9If/WAAAAlAEAAAsAAAAAAAAAAAAAAAAALwEAAF9y&#10;ZWxzLy5yZWxzUEsBAi0AFAAGAAgAAAAhAPdXq9XVAgAAvwUAAA4AAAAAAAAAAAAAAAAALgIAAGRy&#10;cy9lMm9Eb2MueG1sUEsBAi0AFAAGAAgAAAAhAJ5zgo7hAAAACQEAAA8AAAAAAAAAAAAAAAAALwUA&#10;AGRycy9kb3ducmV2LnhtbFBLBQYAAAAABAAEAPMAAAA9BgAAAAA=&#10;" fillcolor="#226189" stroked="f" strokecolor="white">
                  <v:fill color2="#1c5071" rotate="t" angle="90" focus="100%" type="gradient"/>
                  <v:textbox style="mso-next-textbox:#Text Box 13" inset="0,0,0,0">
                    <w:txbxContent>
                      <w:p w:rsidR="005C458A" w:rsidRPr="00C75A39" w:rsidRDefault="005C458A" w:rsidP="00751F7F">
                        <w:pPr>
                          <w:rPr>
                            <w:rFonts w:ascii="Arial Narrow" w:hAnsi="Arial Narrow" w:cs="Arial"/>
                            <w:b/>
                            <w:bCs/>
                            <w:color w:val="FFFFFF"/>
                            <w:sz w:val="28"/>
                            <w:szCs w:val="28"/>
                            <w:lang w:val="en-US"/>
                          </w:rPr>
                        </w:pPr>
                        <w:r w:rsidRPr="007E3BE0">
                          <w:rPr>
                            <w:rFonts w:cs="Arial"/>
                            <w:b/>
                            <w:bCs/>
                            <w:color w:val="FFFFFF"/>
                            <w:sz w:val="32"/>
                            <w:szCs w:val="26"/>
                            <w:lang w:val="en-US"/>
                          </w:rPr>
                          <w:t xml:space="preserve">     </w:t>
                        </w:r>
                        <w:r>
                          <w:rPr>
                            <w:rFonts w:ascii="Arial Narrow" w:hAnsi="Arial Narrow" w:cs="Arial"/>
                            <w:b/>
                            <w:bCs/>
                            <w:color w:val="FFFFFF"/>
                            <w:sz w:val="28"/>
                            <w:szCs w:val="28"/>
                            <w:lang w:val="en-US"/>
                          </w:rPr>
                          <w:t>Higher Education and Skills Group</w:t>
                        </w:r>
                      </w:p>
                    </w:txbxContent>
                  </v:textbox>
                </v:shape>
              </w:pict>
            </w:r>
            <w:r>
              <w:pict>
                <v:shape id="Text Box 12" o:spid="_x0000_s1028" type="#_x0000_t202" style="position:absolute;margin-left:-4.65pt;margin-top:19.05pt;width:515.9pt;height:16.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4mEQwMAAO4GAAAOAAAAZHJzL2Uyb0RvYy54bWysVVtv2zYUfh/Q/0DwXdHFkm0JUYrYsYoB&#10;WTcgGfpMS5RElCJVko6cFvvvPSTlS7o+DNv0QPBy+PF837no9v1x4OiFKs2kKHF8E2FERS0bJroS&#10;//lcBWuMtCGiIVwKWuJXqvH7u3e/3E5jQRPZS95QhQBE6GIaS9wbMxZhqOueDkTfyJEKOGylGoiB&#10;perCRpEJ0AceJlG0DCepmlHJmmoNuw/+EN85/Laltfm9bTU1iJcYfDNuVG7c2zG8uyVFp8jYs3p2&#10;g/wLLwbCBDx6hnoghqCDYn+DGlitpJatuanlEMq2ZTV1HIBNHP3A5qknI3VcQBw9nmXS/x9s/fHl&#10;D4VYA7HDSJABQvRMjwZt5BHFiZVnGnUBVk8j2Jkj7FtTS1WPj7L+rJGQ256Ijt4rJaeekgbci+3N&#10;8Oqqx9EWZD/9Jht4hxyMdEDHVg0WENRAgA5hej2HxvpSw+Yyi1dRlGFUw1kSx2mWuSdIcbo9Km0+&#10;UDkgOymxgtA7dPLyqI31hhQnkzlQTcU4R0qaT8z0TusTtU7DHWel0SiBT+QZq26/5Qq9EJtN7pud&#10;6PS1deyP7Ja+vpIky3ide6/42BMPtFiD+YwzmztvLSY4ffaFM4FAZ+sM0jXh1AXNM4MMdmzsk1zY&#10;UUjLzp/6HerKwYtBChB25mgldqn6LY+TNNokeVAt16sgrdIsyFfROojifJMvozRPH6q/rPtxWvSs&#10;aah4ZIKeyiZO/1lazgXsE94VDppKnGdJ5kWWnJ25vJGvct9JqWuzgRnoIpwNJbZiejlJYZNxJxoQ&#10;gRSGMO7n4Vv3nciggTW6SHFfZdEqXayD1SpbBOliFwWbdbUN7rfxcrnabbabXfxWip2TV/93NZwj&#10;p1jZhTwAu6e+mVDDbGovsjyBam0Y9LEEqsLyRYR30IBro/APGf2T1N0tt1FczUKe0b0Ql4evdJq5&#10;XaSCvDwlkKtyW9i+xM1xf5z7CehuO8BeNq9Q9lBnLnXhZwGTXqqvGE3QeEusvxyIohjxX4VtHRGE&#10;EDq1W8BEXe/uT7tE1ABRYgPM3XRrfFc/jIp1Pbzgm5SQ99BmWuY6wMUbYGIX0FQdp/kHYLv29dpZ&#10;XX5Td98BAAD//wMAUEsDBBQABgAIAAAAIQDYh/X53wAAAAkBAAAPAAAAZHJzL2Rvd25yZXYueG1s&#10;TI/BTsMwEETvSPyDtUhcUOuEVDSEbCpA4sShSluJqxMvSYS9jmK3DXw97gmOoxnNvCk3szXiRJMf&#10;HCOkywQEcev0wB3CYf+2yEH4oFgr45gQvsnDprq+KlWh3ZlrOu1CJ2IJ+0Ih9CGMhZS+7ckqv3Qj&#10;cfQ+3WRViHLqpJ7UOZZbI++T5EFaNXBc6NVIrz21X7ujRTDbcNi+67zZN1zXL/lPtrqbPxBvb+bn&#10;JxCB5vAXhgt+RIcqMjXuyNoLg7B4zGISIctTEBc/SdfxXIOwTlcgq1L+f1D9AgAA//8DAFBLAQIt&#10;ABQABgAIAAAAIQC2gziS/gAAAOEBAAATAAAAAAAAAAAAAAAAAAAAAABbQ29udGVudF9UeXBlc10u&#10;eG1sUEsBAi0AFAAGAAgAAAAhADj9If/WAAAAlAEAAAsAAAAAAAAAAAAAAAAALwEAAF9yZWxzLy5y&#10;ZWxzUEsBAi0AFAAGAAgAAAAhAHQfiYRDAwAA7gYAAA4AAAAAAAAAAAAAAAAALgIAAGRycy9lMm9E&#10;b2MueG1sUEsBAi0AFAAGAAgAAAAhANiH9fnfAAAACQEAAA8AAAAAAAAAAAAAAAAAnQUAAGRycy9k&#10;b3ducmV2LnhtbFBLBQYAAAAABAAEAPMAAACpBgAAAAA=&#10;" fillcolor="black" stroked="f" strokecolor="white">
                  <v:fill color2="#226189" o:opacity2="24904f" rotate="t" angle="90" focus="100%" type="gradient"/>
                  <v:shadow color="#e6c01f"/>
                  <v:textbox style="mso-next-textbox:#Text Box 12" inset=".3mm,0,.3mm,0">
                    <w:txbxContent>
                      <w:p w:rsidR="005C458A" w:rsidRPr="00C75A39" w:rsidRDefault="005C458A" w:rsidP="00751F7F">
                        <w:pPr>
                          <w:rPr>
                            <w:rFonts w:ascii="Arial Narrow" w:hAnsi="Arial Narrow" w:cs="Arial"/>
                            <w:bCs/>
                            <w:color w:val="DDDDDD"/>
                            <w:sz w:val="20"/>
                          </w:rPr>
                        </w:pPr>
                        <w:r w:rsidRPr="00C75A39">
                          <w:rPr>
                            <w:rFonts w:ascii="Arial Narrow" w:hAnsi="Arial Narrow" w:cs="Arial"/>
                            <w:bCs/>
                            <w:color w:val="DDDDDD"/>
                            <w:sz w:val="20"/>
                          </w:rPr>
                          <w:t xml:space="preserve">        </w:t>
                        </w:r>
                        <w:r>
                          <w:rPr>
                            <w:rFonts w:ascii="Arial Narrow" w:hAnsi="Arial Narrow" w:cs="Arial"/>
                            <w:bCs/>
                            <w:color w:val="DDDDDD"/>
                            <w:sz w:val="20"/>
                          </w:rPr>
                          <w:t xml:space="preserve"> Department of Education and Early Childhood Development</w:t>
                        </w:r>
                      </w:p>
                      <w:p w:rsidR="005C458A" w:rsidRDefault="005C458A" w:rsidP="00751F7F"/>
                    </w:txbxContent>
                  </v:textbox>
                </v:shape>
              </w:pict>
            </w:r>
          </w:p>
        </w:tc>
      </w:tr>
      <w:tr w:rsidR="002619F7" w:rsidRPr="008F3646" w:rsidTr="002619F7">
        <w:trPr>
          <w:trHeight w:val="1073"/>
        </w:trPr>
        <w:tc>
          <w:tcPr>
            <w:tcW w:w="10318" w:type="dxa"/>
            <w:tcBorders>
              <w:bottom w:val="nil"/>
            </w:tcBorders>
            <w:shd w:val="clear" w:color="auto" w:fill="000000"/>
          </w:tcPr>
          <w:p w:rsidR="00751F7F" w:rsidRPr="008F3646" w:rsidRDefault="00751F7F" w:rsidP="00B55B99">
            <w:pPr>
              <w:rPr>
                <w:rFonts w:ascii="Arial Narrow" w:hAnsi="Arial Narrow"/>
              </w:rPr>
            </w:pPr>
          </w:p>
          <w:p w:rsidR="00751F7F" w:rsidRPr="00583630" w:rsidRDefault="00751F7F" w:rsidP="00B55B99">
            <w:pPr>
              <w:ind w:left="432"/>
              <w:rPr>
                <w:rFonts w:ascii="Arial Narrow" w:hAnsi="Arial Narrow"/>
                <w:b/>
                <w:color w:val="FFFFFF"/>
                <w:sz w:val="56"/>
                <w:szCs w:val="56"/>
              </w:rPr>
            </w:pPr>
            <w:r w:rsidRPr="00583630">
              <w:rPr>
                <w:rFonts w:ascii="Arial Narrow" w:hAnsi="Arial Narrow"/>
                <w:b/>
                <w:color w:val="FFFFFF"/>
                <w:sz w:val="56"/>
                <w:szCs w:val="56"/>
              </w:rPr>
              <w:t>Participation Branch Memorandum</w:t>
            </w:r>
          </w:p>
          <w:p w:rsidR="00751F7F" w:rsidRPr="008F3646" w:rsidRDefault="00751F7F" w:rsidP="00B55B99">
            <w:pPr>
              <w:ind w:left="432"/>
              <w:rPr>
                <w:rFonts w:ascii="Arial Narrow" w:hAnsi="Arial Narrow"/>
              </w:rPr>
            </w:pPr>
          </w:p>
        </w:tc>
      </w:tr>
      <w:tr w:rsidR="002619F7" w:rsidRPr="008F3646" w:rsidTr="002619F7">
        <w:trPr>
          <w:trHeight w:val="80"/>
        </w:trPr>
        <w:tc>
          <w:tcPr>
            <w:tcW w:w="10318" w:type="dxa"/>
            <w:tcBorders>
              <w:top w:val="nil"/>
              <w:left w:val="nil"/>
              <w:bottom w:val="nil"/>
              <w:right w:val="nil"/>
            </w:tcBorders>
            <w:shd w:val="clear" w:color="auto" w:fill="C0C0C0"/>
          </w:tcPr>
          <w:p w:rsidR="00751F7F" w:rsidRPr="008F3646" w:rsidRDefault="00751F7F" w:rsidP="00B55B99">
            <w:pPr>
              <w:ind w:left="432"/>
              <w:rPr>
                <w:rFonts w:ascii="Arial Narrow" w:hAnsi="Arial Narrow" w:cs="Arial"/>
                <w:b/>
                <w:color w:val="FF0000"/>
              </w:rPr>
            </w:pPr>
          </w:p>
        </w:tc>
      </w:tr>
      <w:tr w:rsidR="002619F7" w:rsidRPr="008F3646" w:rsidTr="002619F7">
        <w:trPr>
          <w:trHeight w:val="80"/>
        </w:trPr>
        <w:tc>
          <w:tcPr>
            <w:tcW w:w="10318" w:type="dxa"/>
            <w:tcBorders>
              <w:top w:val="nil"/>
              <w:left w:val="nil"/>
              <w:bottom w:val="nil"/>
              <w:right w:val="nil"/>
            </w:tcBorders>
            <w:shd w:val="clear" w:color="auto" w:fill="auto"/>
          </w:tcPr>
          <w:p w:rsidR="00751F7F" w:rsidRPr="008F3646" w:rsidRDefault="00751F7F" w:rsidP="00B55B99">
            <w:pPr>
              <w:ind w:left="432"/>
              <w:rPr>
                <w:rFonts w:cs="Arial"/>
              </w:rPr>
            </w:pPr>
          </w:p>
        </w:tc>
      </w:tr>
    </w:tbl>
    <w:p w:rsidR="00B533A8" w:rsidRPr="00D261A2" w:rsidRDefault="00B533A8" w:rsidP="00B533A8">
      <w:pPr>
        <w:tabs>
          <w:tab w:val="left" w:pos="1080"/>
        </w:tabs>
        <w:rPr>
          <w:rFonts w:cs="Arial"/>
          <w:b/>
          <w:szCs w:val="22"/>
        </w:rPr>
      </w:pPr>
      <w:r w:rsidRPr="00D261A2">
        <w:rPr>
          <w:rFonts w:cs="Arial"/>
          <w:b/>
          <w:szCs w:val="22"/>
        </w:rPr>
        <w:t>To:</w:t>
      </w:r>
      <w:r w:rsidRPr="00D261A2">
        <w:rPr>
          <w:rFonts w:cs="Arial"/>
          <w:b/>
          <w:szCs w:val="22"/>
        </w:rPr>
        <w:tab/>
      </w:r>
      <w:r>
        <w:rPr>
          <w:rFonts w:cs="Arial"/>
          <w:b/>
          <w:szCs w:val="22"/>
        </w:rPr>
        <w:tab/>
        <w:t>Workplace Learning Coordinators</w:t>
      </w:r>
    </w:p>
    <w:p w:rsidR="00B533A8" w:rsidRPr="00D261A2" w:rsidRDefault="00B533A8" w:rsidP="00B533A8">
      <w:pPr>
        <w:tabs>
          <w:tab w:val="left" w:pos="1080"/>
        </w:tabs>
        <w:rPr>
          <w:rFonts w:cs="Arial"/>
          <w:b/>
          <w:szCs w:val="22"/>
        </w:rPr>
      </w:pPr>
      <w:r w:rsidRPr="00D261A2">
        <w:rPr>
          <w:rFonts w:cs="Arial"/>
          <w:b/>
          <w:szCs w:val="22"/>
        </w:rPr>
        <w:tab/>
      </w:r>
      <w:r>
        <w:rPr>
          <w:rFonts w:cs="Arial"/>
          <w:b/>
          <w:szCs w:val="22"/>
        </w:rPr>
        <w:tab/>
        <w:t>Local Learning and Employment Networks (LLENs)</w:t>
      </w:r>
      <w:r w:rsidRPr="00D261A2">
        <w:rPr>
          <w:rFonts w:cs="Arial"/>
          <w:b/>
          <w:szCs w:val="22"/>
        </w:rPr>
        <w:t xml:space="preserve">  </w:t>
      </w:r>
    </w:p>
    <w:p w:rsidR="00B533A8" w:rsidRPr="00D261A2" w:rsidRDefault="00B533A8" w:rsidP="00B533A8">
      <w:pPr>
        <w:tabs>
          <w:tab w:val="left" w:pos="1080"/>
        </w:tabs>
        <w:rPr>
          <w:rFonts w:cs="Arial"/>
          <w:b/>
          <w:szCs w:val="22"/>
        </w:rPr>
      </w:pPr>
    </w:p>
    <w:p w:rsidR="00B533A8" w:rsidRPr="00D261A2" w:rsidRDefault="00B533A8" w:rsidP="00B533A8">
      <w:pPr>
        <w:tabs>
          <w:tab w:val="left" w:pos="1080"/>
        </w:tabs>
        <w:spacing w:before="60"/>
        <w:rPr>
          <w:rFonts w:cs="Arial"/>
          <w:b/>
          <w:szCs w:val="22"/>
        </w:rPr>
      </w:pPr>
      <w:r w:rsidRPr="00D261A2">
        <w:rPr>
          <w:rFonts w:cs="Arial"/>
          <w:b/>
          <w:szCs w:val="22"/>
        </w:rPr>
        <w:t>From:</w:t>
      </w:r>
      <w:r w:rsidRPr="00D261A2">
        <w:rPr>
          <w:rFonts w:cs="Arial"/>
          <w:b/>
          <w:szCs w:val="22"/>
        </w:rPr>
        <w:tab/>
      </w:r>
      <w:r>
        <w:rPr>
          <w:rFonts w:cs="Arial"/>
          <w:b/>
          <w:szCs w:val="22"/>
        </w:rPr>
        <w:tab/>
      </w:r>
      <w:r w:rsidR="00E101B7">
        <w:rPr>
          <w:rFonts w:cs="Arial"/>
          <w:b/>
          <w:szCs w:val="22"/>
        </w:rPr>
        <w:t>Bronwen Heathfield, Director,</w:t>
      </w:r>
      <w:r w:rsidR="00E101B7">
        <w:rPr>
          <w:rFonts w:cs="Arial"/>
          <w:b/>
          <w:bCs/>
          <w:noProof/>
          <w:szCs w:val="22"/>
        </w:rPr>
        <w:t xml:space="preserve"> Participation Branch</w:t>
      </w:r>
    </w:p>
    <w:p w:rsidR="00B533A8" w:rsidRPr="00D261A2" w:rsidRDefault="00B533A8" w:rsidP="00B533A8">
      <w:pPr>
        <w:pStyle w:val="SubjectHeading"/>
        <w:spacing w:before="240" w:after="0"/>
        <w:ind w:left="1418" w:hanging="1418"/>
        <w:jc w:val="left"/>
        <w:rPr>
          <w:color w:val="auto"/>
          <w:sz w:val="22"/>
          <w:szCs w:val="22"/>
        </w:rPr>
      </w:pPr>
      <w:r w:rsidRPr="00D261A2">
        <w:rPr>
          <w:color w:val="000000"/>
          <w:sz w:val="22"/>
          <w:szCs w:val="22"/>
          <w:lang w:val="en-GB" w:eastAsia="en-US"/>
        </w:rPr>
        <w:t>Subject:</w:t>
      </w:r>
      <w:r w:rsidRPr="00D261A2">
        <w:rPr>
          <w:color w:val="000000"/>
          <w:sz w:val="22"/>
          <w:szCs w:val="22"/>
          <w:lang w:val="en-GB" w:eastAsia="en-US"/>
        </w:rPr>
        <w:tab/>
      </w:r>
      <w:r>
        <w:rPr>
          <w:color w:val="000000"/>
          <w:sz w:val="22"/>
          <w:szCs w:val="22"/>
          <w:lang w:val="en-GB" w:eastAsia="en-US"/>
        </w:rPr>
        <w:t>Release of the impact evaluation for the Workplace Learning Coordinators Program</w:t>
      </w:r>
      <w:r w:rsidRPr="00D261A2">
        <w:rPr>
          <w:color w:val="000000"/>
          <w:sz w:val="22"/>
          <w:szCs w:val="22"/>
          <w:lang w:val="en-GB" w:eastAsia="en-US"/>
        </w:rPr>
        <w:t xml:space="preserve"> </w:t>
      </w:r>
    </w:p>
    <w:p w:rsidR="00B533A8" w:rsidRPr="00D261A2" w:rsidRDefault="00B533A8" w:rsidP="00B533A8">
      <w:pPr>
        <w:pStyle w:val="SubjectHeading"/>
        <w:spacing w:before="240" w:after="0"/>
        <w:jc w:val="left"/>
        <w:rPr>
          <w:color w:val="auto"/>
          <w:sz w:val="22"/>
          <w:szCs w:val="22"/>
        </w:rPr>
      </w:pPr>
      <w:r w:rsidRPr="00D261A2">
        <w:rPr>
          <w:color w:val="000000"/>
          <w:sz w:val="22"/>
          <w:szCs w:val="22"/>
          <w:lang w:val="en-GB" w:eastAsia="en-US"/>
        </w:rPr>
        <w:t>Date:</w:t>
      </w:r>
      <w:r w:rsidRPr="00D261A2">
        <w:rPr>
          <w:color w:val="auto"/>
          <w:sz w:val="22"/>
          <w:szCs w:val="22"/>
        </w:rPr>
        <w:tab/>
      </w:r>
      <w:r>
        <w:rPr>
          <w:color w:val="auto"/>
          <w:sz w:val="22"/>
          <w:szCs w:val="22"/>
        </w:rPr>
        <w:tab/>
      </w:r>
      <w:r w:rsidR="00885011">
        <w:rPr>
          <w:color w:val="auto"/>
          <w:sz w:val="22"/>
          <w:szCs w:val="22"/>
        </w:rPr>
        <w:t>11</w:t>
      </w:r>
      <w:r>
        <w:rPr>
          <w:color w:val="auto"/>
          <w:sz w:val="22"/>
          <w:szCs w:val="22"/>
        </w:rPr>
        <w:t xml:space="preserve"> March</w:t>
      </w:r>
      <w:r w:rsidRPr="00D261A2">
        <w:rPr>
          <w:color w:val="auto"/>
          <w:sz w:val="22"/>
          <w:szCs w:val="22"/>
        </w:rPr>
        <w:t xml:space="preserve"> 2014</w:t>
      </w:r>
    </w:p>
    <w:p w:rsidR="00B533A8" w:rsidRPr="00D261A2" w:rsidRDefault="00B533A8" w:rsidP="00B533A8">
      <w:pPr>
        <w:pBdr>
          <w:bottom w:val="single" w:sz="12" w:space="1" w:color="auto"/>
        </w:pBdr>
        <w:shd w:val="clear" w:color="auto" w:fill="FFFFFF"/>
        <w:spacing w:before="60"/>
        <w:rPr>
          <w:rFonts w:cs="Arial"/>
          <w:b/>
          <w:szCs w:val="22"/>
        </w:rPr>
      </w:pPr>
    </w:p>
    <w:p w:rsidR="00B533A8" w:rsidRPr="00D261A2" w:rsidRDefault="00B533A8" w:rsidP="00B533A8">
      <w:pPr>
        <w:tabs>
          <w:tab w:val="left" w:pos="1080"/>
        </w:tabs>
        <w:jc w:val="both"/>
        <w:rPr>
          <w:rFonts w:cs="Arial"/>
          <w:szCs w:val="22"/>
        </w:rPr>
      </w:pPr>
    </w:p>
    <w:p w:rsidR="00B533A8" w:rsidRDefault="00B533A8" w:rsidP="00B533A8">
      <w:pPr>
        <w:tabs>
          <w:tab w:val="left" w:pos="0"/>
          <w:tab w:val="left" w:pos="1080"/>
        </w:tabs>
        <w:spacing w:after="120"/>
        <w:rPr>
          <w:rFonts w:cs="Arial"/>
          <w:bCs/>
          <w:szCs w:val="22"/>
        </w:rPr>
      </w:pPr>
      <w:r w:rsidRPr="00B533A8">
        <w:rPr>
          <w:rFonts w:cs="Arial"/>
          <w:bCs/>
          <w:szCs w:val="22"/>
        </w:rPr>
        <w:t xml:space="preserve">In 2013, Synergistiq Pty Ltd was engaged by the Department of Education and Early Childhood Development to undertake an impact evaluation of the </w:t>
      </w:r>
      <w:r w:rsidR="005C458A">
        <w:rPr>
          <w:rFonts w:cs="Arial"/>
          <w:bCs/>
          <w:szCs w:val="22"/>
        </w:rPr>
        <w:t>Workplace Learning Coordinators (WLC)</w:t>
      </w:r>
      <w:r w:rsidRPr="00B533A8">
        <w:rPr>
          <w:rFonts w:cs="Arial"/>
          <w:bCs/>
          <w:szCs w:val="22"/>
        </w:rPr>
        <w:t xml:space="preserve"> Program. </w:t>
      </w:r>
    </w:p>
    <w:p w:rsidR="00E101B7" w:rsidRPr="00E101B7" w:rsidRDefault="00E101B7" w:rsidP="00E101B7">
      <w:pPr>
        <w:tabs>
          <w:tab w:val="left" w:pos="0"/>
          <w:tab w:val="left" w:pos="1080"/>
        </w:tabs>
        <w:spacing w:after="120"/>
        <w:rPr>
          <w:rFonts w:cs="Arial"/>
          <w:bCs/>
          <w:szCs w:val="22"/>
        </w:rPr>
      </w:pPr>
      <w:r w:rsidRPr="00E101B7">
        <w:rPr>
          <w:rFonts w:cs="Arial"/>
          <w:bCs/>
          <w:szCs w:val="22"/>
        </w:rPr>
        <w:t xml:space="preserve">The WLC program was implemented in mid-2010 under the National Partnership on Youth Attainment and Transitions (NPYAT). The NPYAT is a joint initiative of the Commonwealth and state and territory governments to increase participation of young people in education and training, increase attainment levels and improve successful transitions from school.  </w:t>
      </w:r>
    </w:p>
    <w:p w:rsidR="00E101B7" w:rsidRPr="00E101B7" w:rsidRDefault="00E101B7" w:rsidP="00E101B7">
      <w:pPr>
        <w:tabs>
          <w:tab w:val="left" w:pos="0"/>
          <w:tab w:val="left" w:pos="1080"/>
        </w:tabs>
        <w:spacing w:after="120"/>
        <w:rPr>
          <w:rFonts w:cs="Arial"/>
          <w:bCs/>
          <w:szCs w:val="22"/>
        </w:rPr>
      </w:pPr>
      <w:r w:rsidRPr="00E101B7">
        <w:rPr>
          <w:rFonts w:cs="Arial"/>
          <w:bCs/>
          <w:szCs w:val="22"/>
        </w:rPr>
        <w:t xml:space="preserve">Under Victoria’s implementation plan, nearly $20 million was invested in the WLC program to the end of 2013. WLCs are located across Victorian Local Learning and Employment Network (LLEN) areas to facilitate workplace learning experiences for students enrolled at a range of education and training providers. </w:t>
      </w:r>
    </w:p>
    <w:p w:rsidR="00E101B7" w:rsidRPr="00E101B7" w:rsidRDefault="00E101B7" w:rsidP="00E101B7">
      <w:pPr>
        <w:tabs>
          <w:tab w:val="left" w:pos="0"/>
          <w:tab w:val="left" w:pos="1080"/>
        </w:tabs>
        <w:spacing w:after="120"/>
        <w:rPr>
          <w:rFonts w:cs="Arial"/>
          <w:bCs/>
          <w:szCs w:val="22"/>
        </w:rPr>
      </w:pPr>
      <w:r w:rsidRPr="00E101B7">
        <w:rPr>
          <w:rFonts w:cs="Arial"/>
          <w:bCs/>
          <w:szCs w:val="22"/>
        </w:rPr>
        <w:t>Synergistiq submitted a final report outlining their findings and making the following recommendations:</w:t>
      </w:r>
    </w:p>
    <w:p w:rsidR="00E101B7" w:rsidRPr="00E101B7" w:rsidRDefault="00E101B7" w:rsidP="00E101B7">
      <w:pPr>
        <w:numPr>
          <w:ilvl w:val="0"/>
          <w:numId w:val="15"/>
        </w:numPr>
        <w:tabs>
          <w:tab w:val="left" w:pos="709"/>
        </w:tabs>
        <w:spacing w:after="120"/>
        <w:ind w:left="709" w:hanging="633"/>
        <w:rPr>
          <w:rFonts w:cs="Arial"/>
          <w:bCs/>
          <w:szCs w:val="22"/>
        </w:rPr>
      </w:pPr>
      <w:r w:rsidRPr="00E101B7">
        <w:rPr>
          <w:rFonts w:cs="Arial"/>
          <w:bCs/>
          <w:szCs w:val="22"/>
        </w:rPr>
        <w:t>That the functions performed through the WLC program be continued beyond the current funding round.</w:t>
      </w:r>
    </w:p>
    <w:p w:rsidR="00E101B7" w:rsidRPr="00E101B7" w:rsidRDefault="00E101B7" w:rsidP="00E101B7">
      <w:pPr>
        <w:numPr>
          <w:ilvl w:val="0"/>
          <w:numId w:val="15"/>
        </w:numPr>
        <w:tabs>
          <w:tab w:val="left" w:pos="709"/>
        </w:tabs>
        <w:spacing w:after="120"/>
        <w:ind w:left="709" w:hanging="633"/>
        <w:rPr>
          <w:rFonts w:cs="Arial"/>
          <w:bCs/>
          <w:szCs w:val="22"/>
        </w:rPr>
      </w:pPr>
      <w:r w:rsidRPr="00E101B7">
        <w:rPr>
          <w:rFonts w:cs="Arial"/>
          <w:bCs/>
          <w:szCs w:val="22"/>
        </w:rPr>
        <w:t>That a review of the WLC program structure and funding model be undertaken in early 2014 with a view to incorporating strategies to build on the success of the program.</w:t>
      </w:r>
    </w:p>
    <w:p w:rsidR="00E101B7" w:rsidRPr="00E101B7" w:rsidRDefault="00E101B7" w:rsidP="00E101B7">
      <w:pPr>
        <w:tabs>
          <w:tab w:val="left" w:pos="0"/>
          <w:tab w:val="left" w:pos="1080"/>
        </w:tabs>
        <w:spacing w:after="120"/>
        <w:rPr>
          <w:rFonts w:cs="Arial"/>
          <w:bCs/>
          <w:szCs w:val="22"/>
        </w:rPr>
      </w:pPr>
      <w:r w:rsidRPr="00E101B7">
        <w:rPr>
          <w:rFonts w:cs="Arial"/>
          <w:bCs/>
          <w:szCs w:val="22"/>
        </w:rPr>
        <w:t xml:space="preserve">Funding under the NPYAT expired at the end of 2013 and the Commonwealth budget did not make further provision for this initiative. On 27 August 2013, the Victorian government announced that it would provide funding of $5.1 million for continuation of the WLC program to allow their continued operation in 2014.  </w:t>
      </w:r>
    </w:p>
    <w:p w:rsidR="00E101B7" w:rsidRPr="00E101B7" w:rsidRDefault="00E101B7" w:rsidP="00E101B7">
      <w:pPr>
        <w:tabs>
          <w:tab w:val="left" w:pos="0"/>
          <w:tab w:val="left" w:pos="1080"/>
        </w:tabs>
        <w:spacing w:after="120"/>
        <w:rPr>
          <w:rFonts w:cs="Arial"/>
          <w:bCs/>
          <w:szCs w:val="22"/>
        </w:rPr>
      </w:pPr>
      <w:r w:rsidRPr="00E101B7">
        <w:rPr>
          <w:rFonts w:cs="Arial"/>
          <w:bCs/>
          <w:szCs w:val="22"/>
        </w:rPr>
        <w:t xml:space="preserve">The Victorian government will work with the Commonwealth government to negotiate arrangements beyond 2014. The findings and recommendations of the evaluation present an opportunity to inform any future directions in relation to support for workplace learning. In particular, building on the legacy of networks established and the strategies to increase capacity and quality have positioned Victoria for better ways to leverage workplace learning.  </w:t>
      </w:r>
    </w:p>
    <w:p w:rsidR="00E101B7" w:rsidRDefault="00E101B7" w:rsidP="00E101B7">
      <w:pPr>
        <w:tabs>
          <w:tab w:val="left" w:pos="0"/>
          <w:tab w:val="left" w:pos="1080"/>
        </w:tabs>
        <w:spacing w:after="120"/>
        <w:rPr>
          <w:rFonts w:cs="Arial"/>
          <w:bCs/>
          <w:szCs w:val="22"/>
        </w:rPr>
      </w:pPr>
      <w:r>
        <w:rPr>
          <w:rFonts w:cs="Arial"/>
          <w:bCs/>
          <w:szCs w:val="22"/>
        </w:rPr>
        <w:t xml:space="preserve">Synergistiq’s </w:t>
      </w:r>
      <w:r w:rsidRPr="00B533A8">
        <w:rPr>
          <w:rFonts w:cs="Arial"/>
          <w:bCs/>
          <w:szCs w:val="22"/>
        </w:rPr>
        <w:t>final</w:t>
      </w:r>
      <w:r>
        <w:rPr>
          <w:rFonts w:cs="Arial"/>
          <w:bCs/>
          <w:szCs w:val="22"/>
        </w:rPr>
        <w:t xml:space="preserve"> report is available to download from the WLC webpage</w:t>
      </w:r>
      <w:r w:rsidRPr="00B533A8">
        <w:rPr>
          <w:rFonts w:cs="Arial"/>
          <w:bCs/>
          <w:szCs w:val="22"/>
        </w:rPr>
        <w:t xml:space="preserve">: </w:t>
      </w:r>
      <w:hyperlink r:id="rId11" w:history="1">
        <w:r w:rsidRPr="006F5BF2">
          <w:rPr>
            <w:rStyle w:val="Hyperlink"/>
            <w:rFonts w:cs="Arial"/>
            <w:bCs/>
            <w:szCs w:val="22"/>
          </w:rPr>
          <w:t>http://www.education.vic.gov.au/about/program</w:t>
        </w:r>
        <w:r w:rsidRPr="006F5BF2">
          <w:rPr>
            <w:rStyle w:val="Hyperlink"/>
            <w:rFonts w:cs="Arial"/>
            <w:bCs/>
            <w:szCs w:val="22"/>
          </w:rPr>
          <w:t>s</w:t>
        </w:r>
        <w:r w:rsidRPr="006F5BF2">
          <w:rPr>
            <w:rStyle w:val="Hyperlink"/>
            <w:rFonts w:cs="Arial"/>
            <w:bCs/>
            <w:szCs w:val="22"/>
          </w:rPr>
          <w:t>/pathways/Pages/coordinators.aspx</w:t>
        </w:r>
      </w:hyperlink>
    </w:p>
    <w:p w:rsidR="00B533A8" w:rsidRPr="00B533A8" w:rsidRDefault="00B533A8" w:rsidP="00B533A8">
      <w:pPr>
        <w:tabs>
          <w:tab w:val="left" w:pos="0"/>
          <w:tab w:val="left" w:pos="1080"/>
        </w:tabs>
        <w:spacing w:after="120"/>
        <w:rPr>
          <w:rFonts w:cs="Arial"/>
          <w:bCs/>
          <w:szCs w:val="22"/>
        </w:rPr>
      </w:pPr>
    </w:p>
    <w:p w:rsidR="00B533A8" w:rsidRPr="00B533A8" w:rsidRDefault="00E101B7" w:rsidP="00B533A8">
      <w:pPr>
        <w:tabs>
          <w:tab w:val="left" w:pos="0"/>
          <w:tab w:val="left" w:pos="1080"/>
        </w:tabs>
        <w:rPr>
          <w:rFonts w:cs="Arial"/>
          <w:b/>
          <w:bCs/>
          <w:szCs w:val="22"/>
        </w:rPr>
      </w:pPr>
      <w:r>
        <w:rPr>
          <w:rFonts w:cs="Arial"/>
          <w:b/>
          <w:bCs/>
          <w:szCs w:val="22"/>
        </w:rPr>
        <w:t>Bronwen Heathfield</w:t>
      </w:r>
    </w:p>
    <w:p w:rsidR="00B533A8" w:rsidRDefault="00E101B7" w:rsidP="00B533A8">
      <w:pPr>
        <w:jc w:val="both"/>
        <w:rPr>
          <w:rFonts w:cs="Arial"/>
          <w:szCs w:val="22"/>
        </w:rPr>
      </w:pPr>
      <w:r>
        <w:rPr>
          <w:rFonts w:cs="Arial"/>
          <w:szCs w:val="22"/>
        </w:rPr>
        <w:t>Director</w:t>
      </w:r>
    </w:p>
    <w:p w:rsidR="00B15A7F" w:rsidRDefault="00E101B7" w:rsidP="00E101B7">
      <w:pPr>
        <w:jc w:val="both"/>
        <w:rPr>
          <w:b/>
          <w:bCs/>
        </w:rPr>
      </w:pPr>
      <w:r>
        <w:rPr>
          <w:rFonts w:cs="Arial"/>
          <w:szCs w:val="22"/>
        </w:rPr>
        <w:t>Participation Branch</w:t>
      </w:r>
    </w:p>
    <w:sectPr w:rsidR="00B15A7F" w:rsidSect="00E101B7">
      <w:headerReference w:type="first" r:id="rId12"/>
      <w:footerReference w:type="first" r:id="rId13"/>
      <w:pgSz w:w="11907" w:h="16840" w:code="9"/>
      <w:pgMar w:top="1134" w:right="1134" w:bottom="851" w:left="1134" w:header="284" w:footer="113" w:gutter="0"/>
      <w:paperSrc w:firs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7D0" w:rsidRDefault="000F27D0">
      <w:r>
        <w:separator/>
      </w:r>
    </w:p>
  </w:endnote>
  <w:endnote w:type="continuationSeparator" w:id="0">
    <w:p w:rsidR="000F27D0" w:rsidRDefault="000F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60" w:type="dxa"/>
      <w:tblInd w:w="-612" w:type="dxa"/>
      <w:tblLook w:val="01E0" w:firstRow="1" w:lastRow="1" w:firstColumn="1" w:lastColumn="1" w:noHBand="0" w:noVBand="0"/>
    </w:tblPr>
    <w:tblGrid>
      <w:gridCol w:w="11160"/>
    </w:tblGrid>
    <w:tr w:rsidR="005C458A" w:rsidTr="0034479B">
      <w:tc>
        <w:tcPr>
          <w:tcW w:w="11160" w:type="dxa"/>
        </w:tcPr>
        <w:p w:rsidR="005C458A" w:rsidRDefault="005C458A" w:rsidP="00561FAB">
          <w:pPr>
            <w:pStyle w:val="AddressStandard"/>
          </w:pPr>
        </w:p>
      </w:tc>
    </w:tr>
  </w:tbl>
  <w:p w:rsidR="005C458A" w:rsidRPr="00082C63" w:rsidRDefault="005C458A" w:rsidP="00964883">
    <w:pPr>
      <w:pStyle w:val="AddressBold"/>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7D0" w:rsidRDefault="000F27D0">
      <w:r>
        <w:separator/>
      </w:r>
    </w:p>
  </w:footnote>
  <w:footnote w:type="continuationSeparator" w:id="0">
    <w:p w:rsidR="000F27D0" w:rsidRDefault="000F2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8A" w:rsidRDefault="005C458A">
    <w:pPr>
      <w:pStyle w:val="Header"/>
      <w:rPr>
        <w:color w:val="auto"/>
      </w:rPr>
    </w:pPr>
  </w:p>
  <w:tbl>
    <w:tblPr>
      <w:tblW w:w="216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6"/>
    </w:tblGrid>
    <w:tr w:rsidR="005C458A" w:rsidRPr="008F3646" w:rsidTr="00751F7F">
      <w:trPr>
        <w:trHeight w:val="80"/>
      </w:trPr>
      <w:tc>
        <w:tcPr>
          <w:tcW w:w="2166" w:type="dxa"/>
          <w:tcBorders>
            <w:top w:val="nil"/>
            <w:left w:val="nil"/>
            <w:bottom w:val="nil"/>
            <w:right w:val="nil"/>
          </w:tcBorders>
          <w:shd w:val="clear" w:color="auto" w:fill="C0C0C0"/>
        </w:tcPr>
        <w:p w:rsidR="005C458A" w:rsidRPr="008F3646" w:rsidRDefault="005C458A" w:rsidP="00B55B99">
          <w:pPr>
            <w:ind w:left="432"/>
            <w:rPr>
              <w:rFonts w:ascii="Arial Narrow" w:hAnsi="Arial Narrow" w:cs="Arial"/>
              <w:b/>
              <w:color w:val="FF0000"/>
            </w:rPr>
          </w:pPr>
        </w:p>
      </w:tc>
    </w:tr>
  </w:tbl>
  <w:p w:rsidR="005C458A" w:rsidRDefault="005C458A" w:rsidP="00751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9B7"/>
    <w:multiLevelType w:val="hybridMultilevel"/>
    <w:tmpl w:val="159C6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61435F"/>
    <w:multiLevelType w:val="hybridMultilevel"/>
    <w:tmpl w:val="1592CDF4"/>
    <w:lvl w:ilvl="0" w:tplc="B946239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B83A9A"/>
    <w:multiLevelType w:val="hybridMultilevel"/>
    <w:tmpl w:val="D0D2A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AF5914"/>
    <w:multiLevelType w:val="hybridMultilevel"/>
    <w:tmpl w:val="486A7B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DF3601A"/>
    <w:multiLevelType w:val="hybridMultilevel"/>
    <w:tmpl w:val="609EFFCE"/>
    <w:lvl w:ilvl="0" w:tplc="5448C5E4">
      <w:start w:val="3"/>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75443F"/>
    <w:multiLevelType w:val="hybridMultilevel"/>
    <w:tmpl w:val="D644A7AC"/>
    <w:lvl w:ilvl="0" w:tplc="5448C5E4">
      <w:start w:val="3"/>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56D56FE9"/>
    <w:multiLevelType w:val="hybridMultilevel"/>
    <w:tmpl w:val="2FD20B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D182C1E"/>
    <w:multiLevelType w:val="multilevel"/>
    <w:tmpl w:val="630A0E7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87F2827"/>
    <w:multiLevelType w:val="hybridMultilevel"/>
    <w:tmpl w:val="56405C1C"/>
    <w:lvl w:ilvl="0" w:tplc="12B2A400">
      <w:start w:val="1"/>
      <w:numFmt w:val="decimal"/>
      <w:pStyle w:val="ContentsNumbered"/>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816E1D"/>
    <w:multiLevelType w:val="hybridMultilevel"/>
    <w:tmpl w:val="4C4685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9327042"/>
    <w:multiLevelType w:val="hybridMultilevel"/>
    <w:tmpl w:val="E8D25774"/>
    <w:lvl w:ilvl="0" w:tplc="B9462392">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69E119B7"/>
    <w:multiLevelType w:val="multilevel"/>
    <w:tmpl w:val="1E620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B9A4AAE"/>
    <w:multiLevelType w:val="hybridMultilevel"/>
    <w:tmpl w:val="94D4FB46"/>
    <w:lvl w:ilvl="0" w:tplc="5448C5E4">
      <w:start w:val="3"/>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FD34938"/>
    <w:multiLevelType w:val="hybridMultilevel"/>
    <w:tmpl w:val="24BED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3182F00"/>
    <w:multiLevelType w:val="hybridMultilevel"/>
    <w:tmpl w:val="EBACC8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2"/>
  </w:num>
  <w:num w:numId="5">
    <w:abstractNumId w:val="13"/>
  </w:num>
  <w:num w:numId="6">
    <w:abstractNumId w:val="14"/>
  </w:num>
  <w:num w:numId="7">
    <w:abstractNumId w:val="9"/>
  </w:num>
  <w:num w:numId="8">
    <w:abstractNumId w:val="1"/>
  </w:num>
  <w:num w:numId="9">
    <w:abstractNumId w:val="10"/>
  </w:num>
  <w:num w:numId="10">
    <w:abstractNumId w:val="0"/>
  </w:num>
  <w:num w:numId="11">
    <w:abstractNumId w:val="4"/>
  </w:num>
  <w:num w:numId="12">
    <w:abstractNumId w:val="5"/>
  </w:num>
  <w:num w:numId="13">
    <w:abstractNumId w:val="1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3074">
      <o:colormru v:ext="edit" colors="#a19745"/>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63D"/>
    <w:rsid w:val="0000490F"/>
    <w:rsid w:val="0003023C"/>
    <w:rsid w:val="0003474F"/>
    <w:rsid w:val="000441D5"/>
    <w:rsid w:val="00052C83"/>
    <w:rsid w:val="00056771"/>
    <w:rsid w:val="0006065D"/>
    <w:rsid w:val="00081420"/>
    <w:rsid w:val="000825CE"/>
    <w:rsid w:val="00082C63"/>
    <w:rsid w:val="000A26A8"/>
    <w:rsid w:val="000C1208"/>
    <w:rsid w:val="000D13B2"/>
    <w:rsid w:val="000E281D"/>
    <w:rsid w:val="000F27D0"/>
    <w:rsid w:val="000F3EA3"/>
    <w:rsid w:val="000F43F3"/>
    <w:rsid w:val="001010EB"/>
    <w:rsid w:val="00101621"/>
    <w:rsid w:val="0010674A"/>
    <w:rsid w:val="001114D9"/>
    <w:rsid w:val="00111CC2"/>
    <w:rsid w:val="0011798F"/>
    <w:rsid w:val="00121E15"/>
    <w:rsid w:val="00134390"/>
    <w:rsid w:val="00166D76"/>
    <w:rsid w:val="0017023F"/>
    <w:rsid w:val="00170538"/>
    <w:rsid w:val="00174EA1"/>
    <w:rsid w:val="001755D7"/>
    <w:rsid w:val="00191DD1"/>
    <w:rsid w:val="001A1427"/>
    <w:rsid w:val="001B696D"/>
    <w:rsid w:val="001C494F"/>
    <w:rsid w:val="001E2C6B"/>
    <w:rsid w:val="002040BB"/>
    <w:rsid w:val="00206CF3"/>
    <w:rsid w:val="00213438"/>
    <w:rsid w:val="00220AEE"/>
    <w:rsid w:val="00220EA1"/>
    <w:rsid w:val="00232F45"/>
    <w:rsid w:val="002433ED"/>
    <w:rsid w:val="002600E7"/>
    <w:rsid w:val="002619F7"/>
    <w:rsid w:val="00261AB4"/>
    <w:rsid w:val="002626D4"/>
    <w:rsid w:val="00280E11"/>
    <w:rsid w:val="00286A92"/>
    <w:rsid w:val="002A137F"/>
    <w:rsid w:val="002C1479"/>
    <w:rsid w:val="002C5189"/>
    <w:rsid w:val="002E5E99"/>
    <w:rsid w:val="002F425C"/>
    <w:rsid w:val="00300B69"/>
    <w:rsid w:val="00302055"/>
    <w:rsid w:val="00305BBE"/>
    <w:rsid w:val="00317728"/>
    <w:rsid w:val="0032674F"/>
    <w:rsid w:val="00337B31"/>
    <w:rsid w:val="00343429"/>
    <w:rsid w:val="0034479B"/>
    <w:rsid w:val="00345204"/>
    <w:rsid w:val="00350BC9"/>
    <w:rsid w:val="00371F1B"/>
    <w:rsid w:val="00384C3F"/>
    <w:rsid w:val="0038758A"/>
    <w:rsid w:val="003A0554"/>
    <w:rsid w:val="003A06E3"/>
    <w:rsid w:val="003B5EA0"/>
    <w:rsid w:val="003B6334"/>
    <w:rsid w:val="003C0720"/>
    <w:rsid w:val="003D696B"/>
    <w:rsid w:val="003E1D46"/>
    <w:rsid w:val="003F1ECF"/>
    <w:rsid w:val="00412356"/>
    <w:rsid w:val="00413746"/>
    <w:rsid w:val="00432EC0"/>
    <w:rsid w:val="00433902"/>
    <w:rsid w:val="00440A01"/>
    <w:rsid w:val="004453ED"/>
    <w:rsid w:val="00446967"/>
    <w:rsid w:val="0047134A"/>
    <w:rsid w:val="004A33D0"/>
    <w:rsid w:val="004B7679"/>
    <w:rsid w:val="004C1762"/>
    <w:rsid w:val="004C7259"/>
    <w:rsid w:val="004D547D"/>
    <w:rsid w:val="004E7570"/>
    <w:rsid w:val="004F2066"/>
    <w:rsid w:val="004F7247"/>
    <w:rsid w:val="004F77CF"/>
    <w:rsid w:val="00503CE5"/>
    <w:rsid w:val="00523CC2"/>
    <w:rsid w:val="00530830"/>
    <w:rsid w:val="00532FFE"/>
    <w:rsid w:val="00553161"/>
    <w:rsid w:val="005546C3"/>
    <w:rsid w:val="00561FAB"/>
    <w:rsid w:val="00562D23"/>
    <w:rsid w:val="00567690"/>
    <w:rsid w:val="00567F16"/>
    <w:rsid w:val="00575DE3"/>
    <w:rsid w:val="00585D61"/>
    <w:rsid w:val="00586CB5"/>
    <w:rsid w:val="00586D08"/>
    <w:rsid w:val="005A0A3F"/>
    <w:rsid w:val="005A33A8"/>
    <w:rsid w:val="005C458A"/>
    <w:rsid w:val="005C7C31"/>
    <w:rsid w:val="005D0913"/>
    <w:rsid w:val="005D7774"/>
    <w:rsid w:val="005E5239"/>
    <w:rsid w:val="005E65A7"/>
    <w:rsid w:val="005F410A"/>
    <w:rsid w:val="00600ECB"/>
    <w:rsid w:val="006073AC"/>
    <w:rsid w:val="00607F70"/>
    <w:rsid w:val="00624E94"/>
    <w:rsid w:val="0063588C"/>
    <w:rsid w:val="00666118"/>
    <w:rsid w:val="00691CA2"/>
    <w:rsid w:val="006B062B"/>
    <w:rsid w:val="006B4ACB"/>
    <w:rsid w:val="006B5AFA"/>
    <w:rsid w:val="006C3039"/>
    <w:rsid w:val="006D3BA7"/>
    <w:rsid w:val="006E51C0"/>
    <w:rsid w:val="006F6EC5"/>
    <w:rsid w:val="00700CD0"/>
    <w:rsid w:val="0070111B"/>
    <w:rsid w:val="0071306F"/>
    <w:rsid w:val="00730977"/>
    <w:rsid w:val="007374CC"/>
    <w:rsid w:val="00744D61"/>
    <w:rsid w:val="00751F7F"/>
    <w:rsid w:val="007530EE"/>
    <w:rsid w:val="00754862"/>
    <w:rsid w:val="00754B9E"/>
    <w:rsid w:val="00767A6A"/>
    <w:rsid w:val="0077310F"/>
    <w:rsid w:val="00777607"/>
    <w:rsid w:val="00792DE4"/>
    <w:rsid w:val="007A2166"/>
    <w:rsid w:val="007B08DC"/>
    <w:rsid w:val="007C3FAA"/>
    <w:rsid w:val="007C5549"/>
    <w:rsid w:val="007D04AD"/>
    <w:rsid w:val="007D1A68"/>
    <w:rsid w:val="007D4054"/>
    <w:rsid w:val="007F4E54"/>
    <w:rsid w:val="00834844"/>
    <w:rsid w:val="00851DB8"/>
    <w:rsid w:val="008544A2"/>
    <w:rsid w:val="0085481B"/>
    <w:rsid w:val="00855CE7"/>
    <w:rsid w:val="008772BE"/>
    <w:rsid w:val="00883561"/>
    <w:rsid w:val="00885011"/>
    <w:rsid w:val="0088575C"/>
    <w:rsid w:val="0089422B"/>
    <w:rsid w:val="008A0A8E"/>
    <w:rsid w:val="008A0C62"/>
    <w:rsid w:val="008A53F9"/>
    <w:rsid w:val="008A6470"/>
    <w:rsid w:val="008D0C84"/>
    <w:rsid w:val="008D6EB1"/>
    <w:rsid w:val="008E2F02"/>
    <w:rsid w:val="008F29A8"/>
    <w:rsid w:val="009070F6"/>
    <w:rsid w:val="00907E9C"/>
    <w:rsid w:val="009317ED"/>
    <w:rsid w:val="009628B7"/>
    <w:rsid w:val="00964883"/>
    <w:rsid w:val="00987035"/>
    <w:rsid w:val="00992C9B"/>
    <w:rsid w:val="009A0A2D"/>
    <w:rsid w:val="009A34FD"/>
    <w:rsid w:val="009A5FE0"/>
    <w:rsid w:val="009C0009"/>
    <w:rsid w:val="009D2A22"/>
    <w:rsid w:val="009E7F36"/>
    <w:rsid w:val="009F4A65"/>
    <w:rsid w:val="00A02BB6"/>
    <w:rsid w:val="00A03488"/>
    <w:rsid w:val="00A07A92"/>
    <w:rsid w:val="00A109E9"/>
    <w:rsid w:val="00A21ECF"/>
    <w:rsid w:val="00A337F3"/>
    <w:rsid w:val="00A375BC"/>
    <w:rsid w:val="00A422CD"/>
    <w:rsid w:val="00A427A8"/>
    <w:rsid w:val="00A511F0"/>
    <w:rsid w:val="00A66D58"/>
    <w:rsid w:val="00A83E91"/>
    <w:rsid w:val="00A84855"/>
    <w:rsid w:val="00A900C7"/>
    <w:rsid w:val="00AB35EA"/>
    <w:rsid w:val="00AC0358"/>
    <w:rsid w:val="00AC04F4"/>
    <w:rsid w:val="00AC18C2"/>
    <w:rsid w:val="00AC6556"/>
    <w:rsid w:val="00AD59A0"/>
    <w:rsid w:val="00AE1520"/>
    <w:rsid w:val="00AF03BC"/>
    <w:rsid w:val="00B068FF"/>
    <w:rsid w:val="00B11E91"/>
    <w:rsid w:val="00B15A7F"/>
    <w:rsid w:val="00B340E4"/>
    <w:rsid w:val="00B401BE"/>
    <w:rsid w:val="00B533A8"/>
    <w:rsid w:val="00B55B99"/>
    <w:rsid w:val="00B56D6A"/>
    <w:rsid w:val="00B579BD"/>
    <w:rsid w:val="00B67BDC"/>
    <w:rsid w:val="00B7149C"/>
    <w:rsid w:val="00B73AAE"/>
    <w:rsid w:val="00B77B65"/>
    <w:rsid w:val="00B8189F"/>
    <w:rsid w:val="00BD113D"/>
    <w:rsid w:val="00BD30F8"/>
    <w:rsid w:val="00BE1E42"/>
    <w:rsid w:val="00BF14C6"/>
    <w:rsid w:val="00BF208E"/>
    <w:rsid w:val="00C00D7E"/>
    <w:rsid w:val="00C114C6"/>
    <w:rsid w:val="00C240A3"/>
    <w:rsid w:val="00C31A30"/>
    <w:rsid w:val="00C34E79"/>
    <w:rsid w:val="00C46B2A"/>
    <w:rsid w:val="00C53B12"/>
    <w:rsid w:val="00C63FFD"/>
    <w:rsid w:val="00C84B6B"/>
    <w:rsid w:val="00C84C0D"/>
    <w:rsid w:val="00C902CC"/>
    <w:rsid w:val="00CC2913"/>
    <w:rsid w:val="00CD2C4E"/>
    <w:rsid w:val="00CD51AE"/>
    <w:rsid w:val="00CD619A"/>
    <w:rsid w:val="00CF52B5"/>
    <w:rsid w:val="00D00973"/>
    <w:rsid w:val="00D04D80"/>
    <w:rsid w:val="00D20B46"/>
    <w:rsid w:val="00D315E4"/>
    <w:rsid w:val="00D4730B"/>
    <w:rsid w:val="00D54ED5"/>
    <w:rsid w:val="00D842E8"/>
    <w:rsid w:val="00D9233E"/>
    <w:rsid w:val="00DA1354"/>
    <w:rsid w:val="00DB663D"/>
    <w:rsid w:val="00DD122C"/>
    <w:rsid w:val="00DD2A5A"/>
    <w:rsid w:val="00DD3E4B"/>
    <w:rsid w:val="00DD5215"/>
    <w:rsid w:val="00DE5596"/>
    <w:rsid w:val="00DF1C51"/>
    <w:rsid w:val="00E06B6E"/>
    <w:rsid w:val="00E101B7"/>
    <w:rsid w:val="00E111C8"/>
    <w:rsid w:val="00E259E5"/>
    <w:rsid w:val="00E529FF"/>
    <w:rsid w:val="00E53330"/>
    <w:rsid w:val="00E6490A"/>
    <w:rsid w:val="00E70E31"/>
    <w:rsid w:val="00E72F4F"/>
    <w:rsid w:val="00E762CB"/>
    <w:rsid w:val="00E8597B"/>
    <w:rsid w:val="00E85BDC"/>
    <w:rsid w:val="00E86FCB"/>
    <w:rsid w:val="00E91526"/>
    <w:rsid w:val="00E94F22"/>
    <w:rsid w:val="00EA2FD6"/>
    <w:rsid w:val="00EA61FE"/>
    <w:rsid w:val="00EC33C1"/>
    <w:rsid w:val="00EC3CF8"/>
    <w:rsid w:val="00EC4029"/>
    <w:rsid w:val="00ED413E"/>
    <w:rsid w:val="00EE58A6"/>
    <w:rsid w:val="00EF05BC"/>
    <w:rsid w:val="00EF0E74"/>
    <w:rsid w:val="00F064FF"/>
    <w:rsid w:val="00F15EF6"/>
    <w:rsid w:val="00F37588"/>
    <w:rsid w:val="00F54AFA"/>
    <w:rsid w:val="00F54FC5"/>
    <w:rsid w:val="00F56441"/>
    <w:rsid w:val="00F6494F"/>
    <w:rsid w:val="00F71B3B"/>
    <w:rsid w:val="00F75A89"/>
    <w:rsid w:val="00FA7FA9"/>
    <w:rsid w:val="00FD22E9"/>
    <w:rsid w:val="00FD759D"/>
    <w:rsid w:val="00FF4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a1974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81D"/>
    <w:rPr>
      <w:rFonts w:ascii="Arial" w:hAnsi="Arial"/>
      <w:color w:val="000000"/>
      <w:sz w:val="22"/>
      <w:szCs w:val="24"/>
      <w:lang w:val="en-GB" w:eastAsia="en-US"/>
    </w:rPr>
  </w:style>
  <w:style w:type="paragraph" w:styleId="Heading1">
    <w:name w:val="heading 1"/>
    <w:basedOn w:val="Inthisedition"/>
    <w:next w:val="Normal"/>
    <w:qFormat/>
    <w:rsid w:val="006B062B"/>
    <w:pPr>
      <w:pBdr>
        <w:top w:val="single" w:sz="4" w:space="1" w:color="7A7000"/>
        <w:bottom w:val="single" w:sz="4" w:space="1" w:color="7A7000"/>
      </w:pBdr>
      <w:spacing w:after="0"/>
      <w:outlineLvl w:val="0"/>
    </w:pPr>
    <w:rPr>
      <w:color w:val="7A7000"/>
      <w:sz w:val="26"/>
    </w:rPr>
  </w:style>
  <w:style w:type="paragraph" w:styleId="Heading2">
    <w:name w:val="heading 2"/>
    <w:basedOn w:val="Heading1"/>
    <w:next w:val="Normal"/>
    <w:qFormat/>
    <w:rsid w:val="006B062B"/>
    <w:pPr>
      <w:keepNext/>
      <w:outlineLvl w:val="1"/>
    </w:pPr>
    <w:rPr>
      <w:rFonts w:cs="Arial"/>
      <w:bCs/>
      <w:iCs/>
      <w:sz w:val="22"/>
      <w:szCs w:val="28"/>
    </w:rPr>
  </w:style>
  <w:style w:type="paragraph" w:styleId="Heading3">
    <w:name w:val="heading 3"/>
    <w:basedOn w:val="Normal"/>
    <w:next w:val="Normal"/>
    <w:qFormat/>
    <w:rsid w:val="000D13B2"/>
    <w:pPr>
      <w:keepNext/>
      <w:outlineLvl w:val="2"/>
    </w:pPr>
    <w:rPr>
      <w:rFonts w:cs="Arial"/>
      <w:b/>
      <w:bCs/>
      <w:szCs w:val="26"/>
    </w:rPr>
  </w:style>
  <w:style w:type="paragraph" w:styleId="Heading4">
    <w:name w:val="heading 4"/>
    <w:basedOn w:val="Heading3"/>
    <w:next w:val="Normal"/>
    <w:qFormat/>
    <w:rsid w:val="008D0C84"/>
    <w:pPr>
      <w:outlineLvl w:val="3"/>
    </w:pPr>
    <w:rPr>
      <w:bCs w:val="0"/>
      <w:i/>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DB663D"/>
    <w:pPr>
      <w:tabs>
        <w:tab w:val="center" w:pos="4320"/>
        <w:tab w:val="right" w:pos="8640"/>
      </w:tabs>
    </w:pPr>
  </w:style>
  <w:style w:type="paragraph" w:styleId="Footer">
    <w:name w:val="footer"/>
    <w:basedOn w:val="Normal"/>
    <w:rsid w:val="00DB663D"/>
    <w:pPr>
      <w:tabs>
        <w:tab w:val="center" w:pos="4320"/>
        <w:tab w:val="right" w:pos="8640"/>
      </w:tabs>
    </w:pPr>
  </w:style>
  <w:style w:type="table" w:styleId="TableGrid">
    <w:name w:val="Table Grid"/>
    <w:basedOn w:val="TableNormal"/>
    <w:rsid w:val="00964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Bold">
    <w:name w:val="Address Bold"/>
    <w:basedOn w:val="Normal"/>
    <w:rsid w:val="00EC33C1"/>
    <w:pPr>
      <w:spacing w:after="40"/>
      <w:jc w:val="center"/>
    </w:pPr>
    <w:rPr>
      <w:b/>
      <w:color w:val="7A7000"/>
      <w:sz w:val="19"/>
      <w:lang w:val="en-US"/>
    </w:rPr>
  </w:style>
  <w:style w:type="paragraph" w:customStyle="1" w:styleId="AddressStandard">
    <w:name w:val="Address Standard"/>
    <w:basedOn w:val="AddressBold"/>
    <w:rsid w:val="00082C63"/>
    <w:rPr>
      <w:b w:val="0"/>
      <w:sz w:val="17"/>
    </w:rPr>
  </w:style>
  <w:style w:type="paragraph" w:customStyle="1" w:styleId="Startpage2">
    <w:name w:val="Start page 2"/>
    <w:basedOn w:val="Heading1"/>
    <w:rsid w:val="008D0C84"/>
    <w:pPr>
      <w:spacing w:after="1200"/>
    </w:pPr>
  </w:style>
  <w:style w:type="paragraph" w:customStyle="1" w:styleId="Issue">
    <w:name w:val="Issue"/>
    <w:basedOn w:val="ACFENewsletter"/>
    <w:rsid w:val="006F6EC5"/>
    <w:pPr>
      <w:spacing w:after="1560"/>
    </w:pPr>
    <w:rPr>
      <w:b w:val="0"/>
      <w:sz w:val="24"/>
    </w:rPr>
  </w:style>
  <w:style w:type="paragraph" w:customStyle="1" w:styleId="ContentsNumbered">
    <w:name w:val="Contents Numbered"/>
    <w:basedOn w:val="Contents"/>
    <w:rsid w:val="003E1D46"/>
    <w:pPr>
      <w:numPr>
        <w:numId w:val="1"/>
      </w:numPr>
    </w:pPr>
  </w:style>
  <w:style w:type="paragraph" w:customStyle="1" w:styleId="Contents">
    <w:name w:val="Contents"/>
    <w:basedOn w:val="Normal"/>
    <w:rsid w:val="00F56441"/>
    <w:pPr>
      <w:spacing w:after="240"/>
    </w:pPr>
    <w:rPr>
      <w:b/>
      <w:color w:val="FFFFFF"/>
      <w:lang w:val="en-US"/>
    </w:rPr>
  </w:style>
  <w:style w:type="paragraph" w:customStyle="1" w:styleId="ACFENewsletter">
    <w:name w:val="ACFE Newsletter"/>
    <w:basedOn w:val="Normal"/>
    <w:rsid w:val="00E86FCB"/>
    <w:pPr>
      <w:spacing w:after="40"/>
    </w:pPr>
    <w:rPr>
      <w:b/>
      <w:color w:val="FFFFFF"/>
      <w:sz w:val="32"/>
      <w:lang w:val="en-US"/>
    </w:rPr>
  </w:style>
  <w:style w:type="paragraph" w:customStyle="1" w:styleId="Region">
    <w:name w:val="Region"/>
    <w:basedOn w:val="ACFENewsletter"/>
    <w:rsid w:val="00E86FCB"/>
    <w:rPr>
      <w:sz w:val="28"/>
    </w:rPr>
  </w:style>
  <w:style w:type="paragraph" w:customStyle="1" w:styleId="Inthisedition">
    <w:name w:val="In this edition"/>
    <w:basedOn w:val="ACFENewsletter"/>
    <w:rsid w:val="00F56441"/>
    <w:pPr>
      <w:pBdr>
        <w:bottom w:val="single" w:sz="4" w:space="1" w:color="FFFFFF"/>
      </w:pBdr>
    </w:pPr>
  </w:style>
  <w:style w:type="paragraph" w:customStyle="1" w:styleId="ForwardNote">
    <w:name w:val="ForwardNote"/>
    <w:basedOn w:val="Normal"/>
    <w:rsid w:val="000E281D"/>
    <w:pPr>
      <w:tabs>
        <w:tab w:val="left" w:pos="1080"/>
      </w:tabs>
    </w:pPr>
    <w:rPr>
      <w:i/>
      <w:sz w:val="20"/>
    </w:rPr>
  </w:style>
  <w:style w:type="paragraph" w:customStyle="1" w:styleId="PageNum">
    <w:name w:val="PageNum"/>
    <w:basedOn w:val="Normal"/>
    <w:rsid w:val="000A26A8"/>
    <w:pPr>
      <w:spacing w:before="120"/>
      <w:jc w:val="right"/>
    </w:pPr>
    <w:rPr>
      <w:color w:val="7A7000"/>
      <w:sz w:val="16"/>
    </w:rPr>
  </w:style>
  <w:style w:type="character" w:styleId="Hyperlink">
    <w:name w:val="Hyperlink"/>
    <w:rsid w:val="006B4ACB"/>
    <w:rPr>
      <w:color w:val="0000FF"/>
      <w:u w:val="single"/>
    </w:rPr>
  </w:style>
  <w:style w:type="character" w:styleId="FollowedHyperlink">
    <w:name w:val="FollowedHyperlink"/>
    <w:rsid w:val="00C31A30"/>
    <w:rPr>
      <w:color w:val="800080"/>
      <w:u w:val="single"/>
    </w:rPr>
  </w:style>
  <w:style w:type="paragraph" w:styleId="BalloonText">
    <w:name w:val="Balloon Text"/>
    <w:basedOn w:val="Normal"/>
    <w:link w:val="BalloonTextChar"/>
    <w:rsid w:val="00744D61"/>
    <w:rPr>
      <w:rFonts w:ascii="Tahoma" w:hAnsi="Tahoma" w:cs="Tahoma"/>
      <w:sz w:val="16"/>
      <w:szCs w:val="16"/>
    </w:rPr>
  </w:style>
  <w:style w:type="character" w:customStyle="1" w:styleId="BalloonTextChar">
    <w:name w:val="Balloon Text Char"/>
    <w:link w:val="BalloonText"/>
    <w:rsid w:val="00744D61"/>
    <w:rPr>
      <w:rFonts w:ascii="Tahoma" w:hAnsi="Tahoma" w:cs="Tahoma"/>
      <w:color w:val="000000"/>
      <w:sz w:val="16"/>
      <w:szCs w:val="16"/>
      <w:lang w:val="en-GB" w:eastAsia="en-US"/>
    </w:rPr>
  </w:style>
  <w:style w:type="character" w:styleId="CommentReference">
    <w:name w:val="annotation reference"/>
    <w:rsid w:val="00350BC9"/>
    <w:rPr>
      <w:sz w:val="16"/>
      <w:szCs w:val="16"/>
    </w:rPr>
  </w:style>
  <w:style w:type="paragraph" w:styleId="CommentText">
    <w:name w:val="annotation text"/>
    <w:basedOn w:val="Normal"/>
    <w:link w:val="CommentTextChar"/>
    <w:rsid w:val="00350BC9"/>
    <w:rPr>
      <w:sz w:val="20"/>
      <w:szCs w:val="20"/>
    </w:rPr>
  </w:style>
  <w:style w:type="character" w:customStyle="1" w:styleId="CommentTextChar">
    <w:name w:val="Comment Text Char"/>
    <w:link w:val="CommentText"/>
    <w:rsid w:val="00350BC9"/>
    <w:rPr>
      <w:rFonts w:ascii="Arial" w:hAnsi="Arial"/>
      <w:color w:val="000000"/>
      <w:lang w:val="en-GB" w:eastAsia="en-US"/>
    </w:rPr>
  </w:style>
  <w:style w:type="paragraph" w:styleId="CommentSubject">
    <w:name w:val="annotation subject"/>
    <w:basedOn w:val="CommentText"/>
    <w:next w:val="CommentText"/>
    <w:link w:val="CommentSubjectChar"/>
    <w:rsid w:val="00350BC9"/>
    <w:rPr>
      <w:b/>
      <w:bCs/>
    </w:rPr>
  </w:style>
  <w:style w:type="character" w:customStyle="1" w:styleId="CommentSubjectChar">
    <w:name w:val="Comment Subject Char"/>
    <w:link w:val="CommentSubject"/>
    <w:rsid w:val="00350BC9"/>
    <w:rPr>
      <w:rFonts w:ascii="Arial" w:hAnsi="Arial"/>
      <w:b/>
      <w:bCs/>
      <w:color w:val="000000"/>
      <w:lang w:val="en-GB" w:eastAsia="en-US"/>
    </w:rPr>
  </w:style>
  <w:style w:type="paragraph" w:customStyle="1" w:styleId="SubHeadings">
    <w:name w:val="Sub Headings"/>
    <w:basedOn w:val="Normal"/>
    <w:rsid w:val="00C34E79"/>
    <w:pPr>
      <w:keepNext/>
      <w:spacing w:before="300" w:after="60"/>
    </w:pPr>
    <w:rPr>
      <w:rFonts w:eastAsia="Calibri" w:cs="Arial"/>
      <w:b/>
      <w:bCs/>
      <w:color w:val="0000FF"/>
      <w:sz w:val="24"/>
      <w:lang w:val="en-AU" w:eastAsia="en-AU"/>
    </w:rPr>
  </w:style>
  <w:style w:type="paragraph" w:customStyle="1" w:styleId="Default">
    <w:name w:val="Default"/>
    <w:rsid w:val="00EA61FE"/>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EA61FE"/>
    <w:rPr>
      <w:rFonts w:ascii="Arial" w:hAnsi="Arial"/>
      <w:color w:val="000000"/>
      <w:sz w:val="22"/>
      <w:szCs w:val="24"/>
      <w:lang w:val="en-GB" w:eastAsia="en-US"/>
    </w:rPr>
  </w:style>
  <w:style w:type="paragraph" w:customStyle="1" w:styleId="SubjectHeading">
    <w:name w:val="Subject Heading"/>
    <w:basedOn w:val="Heading1"/>
    <w:rsid w:val="00B533A8"/>
    <w:pPr>
      <w:keepNext/>
      <w:pBdr>
        <w:top w:val="none" w:sz="0" w:space="0" w:color="auto"/>
        <w:bottom w:val="none" w:sz="0" w:space="0" w:color="auto"/>
      </w:pBdr>
      <w:spacing w:before="480" w:after="300"/>
      <w:jc w:val="center"/>
    </w:pPr>
    <w:rPr>
      <w:rFonts w:cs="Arial"/>
      <w:bCs/>
      <w:color w:val="0000FF"/>
      <w:kern w:val="32"/>
      <w:sz w:val="28"/>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369006">
      <w:bodyDiv w:val="1"/>
      <w:marLeft w:val="0"/>
      <w:marRight w:val="0"/>
      <w:marTop w:val="0"/>
      <w:marBottom w:val="0"/>
      <w:divBdr>
        <w:top w:val="none" w:sz="0" w:space="0" w:color="auto"/>
        <w:left w:val="none" w:sz="0" w:space="0" w:color="auto"/>
        <w:bottom w:val="none" w:sz="0" w:space="0" w:color="auto"/>
        <w:right w:val="none" w:sz="0" w:space="0" w:color="auto"/>
      </w:divBdr>
    </w:div>
    <w:div w:id="1195194322">
      <w:bodyDiv w:val="1"/>
      <w:marLeft w:val="0"/>
      <w:marRight w:val="0"/>
      <w:marTop w:val="0"/>
      <w:marBottom w:val="0"/>
      <w:divBdr>
        <w:top w:val="none" w:sz="0" w:space="0" w:color="auto"/>
        <w:left w:val="none" w:sz="0" w:space="0" w:color="auto"/>
        <w:bottom w:val="none" w:sz="0" w:space="0" w:color="auto"/>
        <w:right w:val="none" w:sz="0" w:space="0" w:color="auto"/>
      </w:divBdr>
    </w:div>
    <w:div w:id="1708213433">
      <w:bodyDiv w:val="1"/>
      <w:marLeft w:val="0"/>
      <w:marRight w:val="0"/>
      <w:marTop w:val="0"/>
      <w:marBottom w:val="0"/>
      <w:divBdr>
        <w:top w:val="none" w:sz="0" w:space="0" w:color="auto"/>
        <w:left w:val="none" w:sz="0" w:space="0" w:color="auto"/>
        <w:bottom w:val="none" w:sz="0" w:space="0" w:color="auto"/>
        <w:right w:val="none" w:sz="0" w:space="0" w:color="auto"/>
      </w:divBdr>
    </w:div>
    <w:div w:id="18681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about/programs/pathways/Pages/coordinator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Publisher xmlns="http://schemas.microsoft.com/sharepoint/v3">Department of Education and Early Childhood Development</DEECD_Publisher>
    <TaxCatchAll xmlns="cb9114c1-daad-44dd-acad-30f4246641f2">
      <Value>101</Value>
      <Value>94</Value>
      <Value>57</Value>
      <Value>100</Value>
    </TaxCatchAll>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TermName>
          <TermId xmlns="http://schemas.microsoft.com/office/infopath/2007/PartnerControls">b8b54425-3934-477e-bd9b-fefa7d51c75d</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8622079-4903-4E04-A22F-48CD715DFB3F}"/>
</file>

<file path=customXml/itemProps2.xml><?xml version="1.0" encoding="utf-8"?>
<ds:datastoreItem xmlns:ds="http://schemas.openxmlformats.org/officeDocument/2006/customXml" ds:itemID="{96FB491E-89FD-4B0C-BA21-F7E874D87749}"/>
</file>

<file path=customXml/itemProps3.xml><?xml version="1.0" encoding="utf-8"?>
<ds:datastoreItem xmlns:ds="http://schemas.openxmlformats.org/officeDocument/2006/customXml" ds:itemID="{6BE93CD2-81EB-48FC-B326-DCB317881039}"/>
</file>

<file path=customXml/itemProps4.xml><?xml version="1.0" encoding="utf-8"?>
<ds:datastoreItem xmlns:ds="http://schemas.openxmlformats.org/officeDocument/2006/customXml" ds:itemID="{3AF596E9-B2AD-468E-9CB8-48BC1FC0C688}"/>
</file>

<file path=customXml/itemProps5.xml><?xml version="1.0" encoding="utf-8"?>
<ds:datastoreItem xmlns:ds="http://schemas.openxmlformats.org/officeDocument/2006/customXml" ds:itemID="{8D879FD4-87CA-4C91-9C80-FF42A628544B}"/>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2246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ACFE Council Newsletter</vt:lpstr>
    </vt:vector>
  </TitlesOfParts>
  <Company> Show &amp; Tell Creative Pty Ltd</Company>
  <LinksUpToDate>false</LinksUpToDate>
  <CharactersWithSpaces>2591</CharactersWithSpaces>
  <SharedDoc>false</SharedDoc>
  <HLinks>
    <vt:vector size="6" baseType="variant">
      <vt:variant>
        <vt:i4>4063334</vt:i4>
      </vt:variant>
      <vt:variant>
        <vt:i4>0</vt:i4>
      </vt:variant>
      <vt:variant>
        <vt:i4>0</vt:i4>
      </vt:variant>
      <vt:variant>
        <vt:i4>5</vt:i4>
      </vt:variant>
      <vt:variant>
        <vt:lpwstr>http://www.education.vic.gov.au/about/programs/pathways/Pages/coordinators.aspx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Branch Memo Release of the impact evaluation for the WLC Program</dc:title>
  <dc:subject/>
  <dc:creator>falzarj</dc:creator>
  <cp:keywords/>
  <dc:description/>
  <cp:lastModifiedBy>Morrow, Jackie A</cp:lastModifiedBy>
  <cp:revision>2</cp:revision>
  <cp:lastPrinted>2013-10-04T01:28:00Z</cp:lastPrinted>
  <dcterms:created xsi:type="dcterms:W3CDTF">2014-03-11T04:21:00Z</dcterms:created>
  <dcterms:modified xsi:type="dcterms:W3CDTF">2014-03-11T04:21:00Z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PageLanguage">
    <vt:lpwstr>1;#en-AU|09a79c66-a57f-4b52-ac52-4c16941cab37</vt:lpwstr>
  </property>
  <property fmtid="{D5CDD505-2E9C-101B-9397-08002B2CF9AE}" pid="4" name="DEECD_SubjectCategory">
    <vt:lpwstr>57;#Administration|c730c9c3-9aac-4250-81b6-4c4e6e105907</vt:lpwstr>
  </property>
  <property fmtid="{D5CDD505-2E9C-101B-9397-08002B2CF9AE}" pid="5" name="DEECD_Audience">
    <vt:lpwstr>100;#Student|b8b54425-3934-477e-bd9b-fefa7d51c75d</vt:lpwstr>
  </property>
  <property fmtid="{D5CDD505-2E9C-101B-9397-08002B2CF9AE}" pid="6" name="TaxCatchAll">
    <vt:lpwstr>5;#Student|8ead2c22-cdcf-4fee-8738-8d548a90c889;#4;#Education|04f092db-7b9b-477e-8cd2-91878913f378;#3;#Page|57750488-b37c-40e4-8f3d-4f369596271a;#2;#Administration|c730c9c3-9aac-4250-81b6-4c4e6e105907;#1;#en-AU|09a79c66-a57f-4b52-ac52-4c16941cab37</vt:lpwstr>
  </property>
  <property fmtid="{D5CDD505-2E9C-101B-9397-08002B2CF9AE}" pid="7" name="DEECD_ItemType">
    <vt:lpwstr>101;#Page|eb523acf-a821-456c-a76b-7607578309d7</vt:lpwstr>
  </property>
  <property fmtid="{D5CDD505-2E9C-101B-9397-08002B2CF9AE}" pid="8" name="Category 5">
    <vt:lpwstr/>
  </property>
  <property fmtid="{D5CDD505-2E9C-101B-9397-08002B2CF9AE}" pid="9" name="ofbb8b9a280a423a91cf717fb81349cd">
    <vt:lpwstr>Education|04f092db-7b9b-477e-8cd2-91878913f378</vt:lpwstr>
  </property>
  <property fmtid="{D5CDD505-2E9C-101B-9397-08002B2CF9AE}" pid="10" name="fa53eb61f2644c788be8c1492067a754">
    <vt:lpwstr>en-AU|09a79c66-a57f-4b52-ac52-4c16941cab37</vt:lpwstr>
  </property>
  <property fmtid="{D5CDD505-2E9C-101B-9397-08002B2CF9AE}" pid="11" name="display_urn:schemas-microsoft-com:office:office#Editor">
    <vt:lpwstr>System Account</vt:lpwstr>
  </property>
  <property fmtid="{D5CDD505-2E9C-101B-9397-08002B2CF9AE}" pid="12" name="pfad5814e62747ed9f131defefc62dac">
    <vt:lpwstr>Administration|c730c9c3-9aac-4250-81b6-4c4e6e105907</vt:lpwstr>
  </property>
  <property fmtid="{D5CDD505-2E9C-101B-9397-08002B2CF9AE}" pid="13" name="Order">
    <vt:lpwstr>1160800.00000000</vt:lpwstr>
  </property>
  <property fmtid="{D5CDD505-2E9C-101B-9397-08002B2CF9AE}" pid="14" name="TemplateUrl">
    <vt:lpwstr/>
  </property>
  <property fmtid="{D5CDD505-2E9C-101B-9397-08002B2CF9AE}" pid="15" name="Category 4">
    <vt:lpwstr/>
  </property>
  <property fmtid="{D5CDD505-2E9C-101B-9397-08002B2CF9AE}" pid="16" name="Category 6">
    <vt:lpwstr/>
  </property>
  <property fmtid="{D5CDD505-2E9C-101B-9397-08002B2CF9AE}" pid="17" name="DEECD_Publisher">
    <vt:lpwstr>Department of Education and Early Childhood Development</vt:lpwstr>
  </property>
  <property fmtid="{D5CDD505-2E9C-101B-9397-08002B2CF9AE}" pid="18" name="a319977fc8504e09982f090ae1d7c602">
    <vt:lpwstr>Page|57750488-b37c-40e4-8f3d-4f369596271a</vt:lpwstr>
  </property>
  <property fmtid="{D5CDD505-2E9C-101B-9397-08002B2CF9AE}" pid="19" name="RoutingRuleDescription">
    <vt:lpwstr/>
  </property>
  <property fmtid="{D5CDD505-2E9C-101B-9397-08002B2CF9AE}" pid="20" name="Category 3">
    <vt:lpwstr/>
  </property>
  <property fmtid="{D5CDD505-2E9C-101B-9397-08002B2CF9AE}" pid="21" name="b1688cb4a3a940449dc8286705012a42">
    <vt:lpwstr>Student|8ead2c22-cdcf-4fee-8738-8d548a90c889</vt:lpwstr>
  </property>
  <property fmtid="{D5CDD505-2E9C-101B-9397-08002B2CF9AE}" pid="22" name="Category 1">
    <vt:lpwstr/>
  </property>
  <property fmtid="{D5CDD505-2E9C-101B-9397-08002B2CF9AE}" pid="23" name="xd_Signature">
    <vt:lpwstr/>
  </property>
  <property fmtid="{D5CDD505-2E9C-101B-9397-08002B2CF9AE}" pid="24" name="xd_ProgID">
    <vt:lpwstr/>
  </property>
  <property fmtid="{D5CDD505-2E9C-101B-9397-08002B2CF9AE}" pid="25" name="Category 2">
    <vt:lpwstr/>
  </property>
  <property fmtid="{D5CDD505-2E9C-101B-9397-08002B2CF9AE}" pid="26" name="PublishingStartDate">
    <vt:lpwstr/>
  </property>
  <property fmtid="{D5CDD505-2E9C-101B-9397-08002B2CF9AE}" pid="27" name="PublishingExpirationDate">
    <vt:lpwstr/>
  </property>
  <property fmtid="{D5CDD505-2E9C-101B-9397-08002B2CF9AE}" pid="28" name="display_urn:schemas-microsoft-com:office:office#Author">
    <vt:lpwstr>System Account</vt:lpwstr>
  </property>
  <property fmtid="{D5CDD505-2E9C-101B-9397-08002B2CF9AE}" pid="29" name="_SourceUrl">
    <vt:lpwstr/>
  </property>
  <property fmtid="{D5CDD505-2E9C-101B-9397-08002B2CF9AE}" pid="30" name="_SharedFileIndex">
    <vt:lpwstr/>
  </property>
  <property fmtid="{D5CDD505-2E9C-101B-9397-08002B2CF9AE}" pid="31" name="ContentTypeId">
    <vt:lpwstr>0x0101008840106FE30D4F50BC61A726A7CA6E3800A01D47DD30CBB54F95863B7DC80A2CEC</vt:lpwstr>
  </property>
</Properties>
</file>