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:rsidTr="00D32A2E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D01" w:rsidRPr="008F3646" w:rsidRDefault="009F0CA5" w:rsidP="00D32A2E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38E69EB7">
                <v:group id="_x0000_s1039" style="position:absolute;left:0;text-align:left;margin-left:11.45pt;margin-top:-4.65pt;width:530pt;height:94.8pt;z-index:251659264" coordorigin="1031,474" coordsize="9514,189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0" type="#_x0000_t202" style="position:absolute;left:1031;top:930;width:9514;height:1217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black">
                    <v:textbox style="mso-fit-shape-to-text:t">
                      <w:txbxContent>
                        <w:p w:rsidR="009D5D01" w:rsidRPr="00633C39" w:rsidRDefault="009D5D01" w:rsidP="009D5D01">
                          <w:pPr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szCs w:val="24"/>
                            </w:rPr>
                            <w:t>Higher Education and Skills Group</w:t>
                          </w:r>
                        </w:p>
                        <w:p w:rsidR="009D5D01" w:rsidRPr="006F3F2F" w:rsidRDefault="009D5D01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:rsidR="009D5D01" w:rsidRPr="006F3F2F" w:rsidRDefault="009D5D01" w:rsidP="009D5D01">
                          <w:pPr>
                            <w:ind w:left="-14" w:firstLine="14"/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</w:pPr>
                          <w:r w:rsidRPr="006F3F2F"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  <w:t>Participation Branch Memo</w:t>
                          </w:r>
                        </w:p>
                      </w:txbxContent>
                    </v:textbox>
                  </v:shape>
                  <v:shape id="Text Box 2" o:spid="_x0000_s1041" type="#_x0000_t202" style="position:absolute;left:1031;top:2124;width:9514;height:24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bfbfbf">
                    <v:textbox>
                      <w:txbxContent>
                        <w:p w:rsidR="009D5D01" w:rsidRPr="00633C39" w:rsidRDefault="009D5D01" w:rsidP="009D5D0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2" o:spid="_x0000_s1042" type="#_x0000_t202" style="position:absolute;left:1031;top:474;width:9514;height: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1f497d">
                    <v:textbox>
                      <w:txbxContent>
                        <w:p w:rsidR="009D5D01" w:rsidRPr="00633C39" w:rsidRDefault="009D5D01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Department of Education and Early Childhood Development</w:t>
                          </w:r>
                        </w:p>
                        <w:p w:rsidR="009D5D01" w:rsidRDefault="009D5D01" w:rsidP="009D5D01"/>
                      </w:txbxContent>
                    </v:textbox>
                  </v:shape>
                </v:group>
              </w:pict>
            </w:r>
          </w:p>
        </w:tc>
      </w:tr>
    </w:tbl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 w:rsidR="009F0CA5">
        <w:rPr>
          <w:rFonts w:ascii="Arial" w:hAnsi="Arial"/>
          <w:i/>
          <w:color w:val="000000"/>
          <w:sz w:val="22"/>
          <w:szCs w:val="24"/>
          <w:lang w:val="en-GB" w:eastAsia="en-US"/>
        </w:rPr>
        <w:t>2014 / 8 / 18</w:t>
      </w:r>
    </w:p>
    <w:p w:rsidR="009D5D0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6F3F2F" w:rsidTr="00D32A2E">
        <w:tc>
          <w:tcPr>
            <w:tcW w:w="3119" w:type="dxa"/>
            <w:shd w:val="clear" w:color="auto" w:fill="auto"/>
          </w:tcPr>
          <w:p w:rsidR="009D5D01" w:rsidRDefault="009D5D01" w:rsidP="00D32A2E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:rsidR="009D5D01" w:rsidRPr="006F3F2F" w:rsidRDefault="009D5D01" w:rsidP="00D72B00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ALL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2D0BFF" w:rsidRPr="0052344F" w:rsidRDefault="002D0BFF" w:rsidP="002D0BFF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  <w:p w:rsidR="009D5D01" w:rsidRPr="006F3F2F" w:rsidRDefault="009D5D01" w:rsidP="00802E41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9D5D01" w:rsidRPr="006F3F2F" w:rsidRDefault="009D5D01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Regional Councils</w:t>
            </w:r>
          </w:p>
        </w:tc>
      </w:tr>
      <w:tr w:rsidR="009D5D01" w:rsidRPr="006F3F2F" w:rsidTr="00D32A2E">
        <w:tc>
          <w:tcPr>
            <w:tcW w:w="3119" w:type="dxa"/>
            <w:shd w:val="clear" w:color="auto" w:fill="auto"/>
          </w:tcPr>
          <w:p w:rsidR="009D5D01" w:rsidRPr="001336DE" w:rsidRDefault="009D5D01" w:rsidP="00D32A2E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:rsidR="009D5D01" w:rsidRPr="0052344F" w:rsidRDefault="009D5D01" w:rsidP="002D0BFF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9D5D01" w:rsidRPr="006F3F2F" w:rsidRDefault="002D0BFF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Participation Branch staff</w:t>
            </w:r>
          </w:p>
        </w:tc>
      </w:tr>
      <w:tr w:rsidR="009D5D01" w:rsidRPr="006F3F2F" w:rsidTr="00D32A2E">
        <w:tc>
          <w:tcPr>
            <w:tcW w:w="3119" w:type="dxa"/>
            <w:shd w:val="clear" w:color="auto" w:fill="auto"/>
          </w:tcPr>
          <w:p w:rsidR="009D5D01" w:rsidRPr="006F3F2F" w:rsidRDefault="009D5D01" w:rsidP="00D32A2E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9D5D01" w:rsidRPr="006F3F2F" w:rsidRDefault="009D5D01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9D5D01" w:rsidRPr="006F3F2F" w:rsidRDefault="009D5D01" w:rsidP="00D32A2E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</w:tbl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Bronwen Heathfield, Director, </w:t>
      </w:r>
      <w:proofErr w:type="gramStart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9F0CA5">
        <w:rPr>
          <w:rFonts w:ascii="Arial" w:hAnsi="Arial"/>
          <w:color w:val="000000"/>
          <w:sz w:val="22"/>
          <w:lang w:val="en-GB" w:eastAsia="en-US"/>
        </w:rPr>
        <w:t>18 August 2014</w:t>
      </w:r>
    </w:p>
    <w:p w:rsidR="009D5D01" w:rsidRPr="00044F8A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E6663B" w:rsidRPr="00E6663B">
        <w:rPr>
          <w:rFonts w:ascii="Arial" w:hAnsi="Arial"/>
          <w:i/>
          <w:color w:val="000000"/>
          <w:sz w:val="22"/>
          <w:lang w:val="en-GB" w:eastAsia="en-US"/>
        </w:rPr>
        <w:t>Learn Local s</w:t>
      </w:r>
      <w:r w:rsidR="00D72B00">
        <w:rPr>
          <w:rFonts w:ascii="Arial" w:hAnsi="Arial"/>
          <w:i/>
          <w:color w:val="000000"/>
          <w:sz w:val="22"/>
          <w:lang w:val="en-GB" w:eastAsia="en-US"/>
        </w:rPr>
        <w:t>taff development opportunities – pre-accredited programs</w:t>
      </w: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9D5D01" w:rsidRPr="00044F8A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:rsidR="002D5296" w:rsidRDefault="002D5296" w:rsidP="002D5296">
      <w:pPr>
        <w:rPr>
          <w:rFonts w:ascii="Arial" w:hAnsi="Arial" w:cs="Arial"/>
          <w:color w:val="000000"/>
          <w:sz w:val="22"/>
          <w:szCs w:val="22"/>
        </w:rPr>
      </w:pPr>
    </w:p>
    <w:p w:rsidR="009D5D01" w:rsidRPr="00044F8A" w:rsidRDefault="002D5296" w:rsidP="003A68DB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725" w:right="-312" w:hanging="1009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9 October 2014 One </w:t>
      </w:r>
      <w:r w:rsidRPr="002D5296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day conference</w:t>
      </w:r>
      <w:r w:rsidRPr="002D5296">
        <w:rPr>
          <w:rFonts w:ascii="Arial" w:hAnsi="Arial" w:cs="Arial"/>
          <w:i/>
          <w:color w:val="000000"/>
          <w:sz w:val="22"/>
          <w:szCs w:val="22"/>
        </w:rPr>
        <w:t xml:space="preserve"> Excellently Local: quality pre-accredited teaching and learning in the community</w:t>
      </w:r>
    </w:p>
    <w:p w:rsidR="009D5D01" w:rsidRDefault="002D5296" w:rsidP="00D83221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1701" w:right="-312" w:hanging="1985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 w:rsidRPr="00802E41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PQF workshops (including moderation) in all ACFE regions</w:t>
      </w:r>
    </w:p>
    <w:p w:rsidR="009D5D01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</w:pPr>
    </w:p>
    <w:p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A04A84" w:rsidRPr="00A04A84" w:rsidRDefault="00A04A84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A04A84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One day conference for Learn Local organisations</w:t>
      </w:r>
    </w:p>
    <w:p w:rsidR="009D5D01" w:rsidRDefault="00813145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aps/>
          <w:color w:val="000000"/>
          <w:sz w:val="22"/>
          <w:szCs w:val="22"/>
          <w:lang w:val="en-GB" w:eastAsia="en-US"/>
        </w:rPr>
        <w:t>A</w:t>
      </w:r>
      <w:r w:rsidR="002D5296" w:rsidRPr="002D5296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one day conference </w:t>
      </w:r>
      <w:r w:rsidR="002D5296" w:rsidRPr="002D5296">
        <w:rPr>
          <w:rFonts w:ascii="Arial" w:hAnsi="Arial" w:cs="Arial"/>
          <w:i/>
          <w:color w:val="000000"/>
          <w:sz w:val="22"/>
          <w:szCs w:val="22"/>
        </w:rPr>
        <w:t>Excellently Local: quality pre-accredited teaching and learning in the community</w:t>
      </w:r>
      <w:r w:rsidR="00063616">
        <w:rPr>
          <w:rFonts w:ascii="Arial" w:hAnsi="Arial" w:cs="Arial"/>
          <w:color w:val="000000"/>
          <w:sz w:val="22"/>
          <w:szCs w:val="22"/>
        </w:rPr>
        <w:t xml:space="preserve"> will be held for Learn Local organisations on 9 October 2014 at the William </w:t>
      </w:r>
      <w:proofErr w:type="spellStart"/>
      <w:r w:rsidR="00063616">
        <w:rPr>
          <w:rFonts w:ascii="Arial" w:hAnsi="Arial" w:cs="Arial"/>
          <w:color w:val="000000"/>
          <w:sz w:val="22"/>
          <w:szCs w:val="22"/>
        </w:rPr>
        <w:t>Angliss</w:t>
      </w:r>
      <w:proofErr w:type="spellEnd"/>
      <w:r w:rsidR="00063616">
        <w:rPr>
          <w:rFonts w:ascii="Arial" w:hAnsi="Arial" w:cs="Arial"/>
          <w:color w:val="000000"/>
          <w:sz w:val="22"/>
          <w:szCs w:val="22"/>
        </w:rPr>
        <w:t xml:space="preserve"> Institute of TAFE, Melbourne.</w:t>
      </w:r>
    </w:p>
    <w:p w:rsidR="00063616" w:rsidRDefault="00063616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063616" w:rsidRDefault="00063616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The wide ranging conference agenda will provide opportunities for attendees to learn from experts and peers about innovative design and deliver</w:t>
      </w:r>
      <w:r w:rsidR="00DB01D8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y of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pre-accredited programs, how to find and engage learners, </w:t>
      </w:r>
      <w:r w:rsidR="00A04A84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fresh ideas about adult learning pedagogy, hear from former pre-accredited students, networking opportunities and more. </w:t>
      </w:r>
      <w:r w:rsidR="002F0511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Attendance at the event is fully subsidised by the ACFE Board. </w:t>
      </w:r>
      <w:r w:rsidR="00A04A84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Registration and con</w:t>
      </w:r>
      <w:r w:rsidR="00813145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</w:t>
      </w:r>
      <w:r w:rsidR="00A04A84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act details are below.</w:t>
      </w:r>
    </w:p>
    <w:p w:rsidR="002F0511" w:rsidRDefault="002F051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D83221" w:rsidRPr="00A04A84" w:rsidRDefault="00D83221" w:rsidP="00D8322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Pre-accredited Quality Framework workshops available across Victoria</w:t>
      </w:r>
    </w:p>
    <w:p w:rsidR="002F0511" w:rsidRDefault="002F051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Pre-accredited Q</w:t>
      </w:r>
      <w:r w:rsidR="00BA4DA4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uality Framework workshops will be delivered in every ACFE region </w:t>
      </w:r>
      <w:r w:rsidR="00C87B8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over </w:t>
      </w:r>
      <w:r w:rsidR="00BA4DA4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August 2014 </w:t>
      </w:r>
      <w:r w:rsidR="00C87B8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to</w:t>
      </w:r>
      <w:r w:rsidR="00BA4DA4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December </w:t>
      </w:r>
      <w:r w:rsidR="00BA4DA4" w:rsidRPr="003A68D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2015.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</w:t>
      </w:r>
      <w:r w:rsidR="00F1336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The PQF w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orkshops are </w:t>
      </w:r>
      <w:r w:rsidR="00F1336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an 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ideal </w:t>
      </w:r>
      <w:r w:rsidR="00F1336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way to supplement the i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nduction </w:t>
      </w:r>
      <w:r w:rsidR="00F1336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of staff </w:t>
      </w:r>
      <w:proofErr w:type="gramStart"/>
      <w:r w:rsidR="0059742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who</w:t>
      </w:r>
      <w:proofErr w:type="gramEnd"/>
      <w:r w:rsidR="0059742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are </w:t>
      </w:r>
      <w:r w:rsidR="00F1336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new to the pre-accredited environment</w:t>
      </w:r>
      <w:r w:rsidR="0059742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,</w:t>
      </w:r>
      <w:r w:rsidR="00F1336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and the workshops also offer opportunities for 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managers and teachers</w:t>
      </w:r>
      <w:r w:rsidR="00F1336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to further their understanding of the PQF. </w:t>
      </w:r>
      <w:r w:rsidR="00BA4DA4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The workshops will address all aspects of the </w:t>
      </w:r>
      <w:hyperlink r:id="rId9" w:history="1">
        <w:r w:rsidR="00BA4DA4" w:rsidRPr="00BA4DA4">
          <w:rPr>
            <w:rStyle w:val="Hyperlink"/>
            <w:rFonts w:ascii="Arial" w:hAnsi="Arial" w:cs="Arial"/>
            <w:bCs/>
            <w:sz w:val="22"/>
            <w:szCs w:val="22"/>
            <w:lang w:val="en-GB" w:eastAsia="en-US"/>
          </w:rPr>
          <w:t>Pre-accredited Quality Framework</w:t>
        </w:r>
      </w:hyperlink>
      <w:r w:rsidR="00BA4DA4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incl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uding </w:t>
      </w:r>
      <w:r w:rsidR="00F1336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pre-accredited curriculum, employability skills, and 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moderation. Workshop dates</w:t>
      </w:r>
      <w:r w:rsidR="006935C4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,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locations and registration details </w:t>
      </w:r>
      <w:r w:rsidR="00722C6E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for 2014 workshops 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are below.</w:t>
      </w:r>
      <w:r w:rsidR="00BA4DA4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</w:t>
      </w:r>
    </w:p>
    <w:p w:rsidR="00D83221" w:rsidRDefault="00D8322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D83221" w:rsidRDefault="00D8322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D83221" w:rsidRDefault="00D8322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D83221" w:rsidRDefault="00D8322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D83221" w:rsidRDefault="00D8322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D83221" w:rsidRDefault="00D8322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D83221" w:rsidRDefault="00D8322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D83221" w:rsidRDefault="00D8322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D83221" w:rsidRDefault="00D8322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063616" w:rsidRPr="002D5296" w:rsidRDefault="00063616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bookmarkStart w:id="0" w:name="_GoBack"/>
      <w:bookmarkEnd w:id="0"/>
    </w:p>
    <w:tbl>
      <w:tblPr>
        <w:tblW w:w="9343" w:type="dxa"/>
        <w:tblInd w:w="-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3532"/>
        <w:gridCol w:w="1843"/>
      </w:tblGrid>
      <w:tr w:rsidR="00DB01D8" w:rsidRPr="00322BD0" w:rsidTr="007F7495">
        <w:trPr>
          <w:trHeight w:val="288"/>
        </w:trPr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4F81BD"/>
            <w:vAlign w:val="bottom"/>
          </w:tcPr>
          <w:p w:rsidR="00DB01D8" w:rsidRPr="00322BD0" w:rsidRDefault="00DB01D8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322BD0">
              <w:rPr>
                <w:rFonts w:ascii="Arial" w:hAnsi="Arial" w:cs="Arial"/>
                <w:b/>
                <w:bCs/>
                <w:color w:val="FFFFFF"/>
              </w:rPr>
              <w:lastRenderedPageBreak/>
              <w:t>Activity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1D8" w:rsidRPr="00322BD0" w:rsidRDefault="00DB01D8">
            <w:pP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322BD0">
              <w:rPr>
                <w:rFonts w:ascii="Arial" w:hAnsi="Arial" w:cs="Arial"/>
                <w:b/>
                <w:bCs/>
                <w:color w:val="FFFFFF"/>
              </w:rPr>
              <w:t>Date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1D8" w:rsidRPr="00322BD0" w:rsidRDefault="00DB01D8">
            <w:pP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322BD0">
              <w:rPr>
                <w:rFonts w:ascii="Arial" w:hAnsi="Arial" w:cs="Arial"/>
                <w:b/>
                <w:bCs/>
                <w:color w:val="FFFFFF"/>
              </w:rPr>
              <w:t>Venue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1D8" w:rsidRPr="00322BD0" w:rsidRDefault="00DB01D8">
            <w:pP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322BD0">
              <w:rPr>
                <w:rFonts w:ascii="Arial" w:hAnsi="Arial" w:cs="Arial"/>
                <w:b/>
                <w:bCs/>
                <w:color w:val="FFFFFF"/>
              </w:rPr>
              <w:t>Contact</w:t>
            </w:r>
          </w:p>
        </w:tc>
      </w:tr>
      <w:tr w:rsidR="00DB01D8" w:rsidRPr="00322BD0" w:rsidTr="00322BD0">
        <w:trPr>
          <w:trHeight w:val="576"/>
        </w:trPr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CE6F1"/>
            <w:vAlign w:val="center"/>
          </w:tcPr>
          <w:p w:rsidR="00DB01D8" w:rsidRPr="00322BD0" w:rsidRDefault="00DB01D8" w:rsidP="00D83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BD0">
              <w:rPr>
                <w:rFonts w:ascii="Arial" w:hAnsi="Arial" w:cs="Arial"/>
                <w:color w:val="000000"/>
                <w:sz w:val="22"/>
                <w:szCs w:val="22"/>
              </w:rPr>
              <w:t xml:space="preserve">One day Conference </w:t>
            </w:r>
            <w:r w:rsidR="00322BD0" w:rsidRPr="00322BD0">
              <w:rPr>
                <w:rFonts w:ascii="Arial" w:hAnsi="Arial" w:cs="Arial"/>
                <w:i/>
                <w:color w:val="000000"/>
                <w:sz w:val="22"/>
                <w:szCs w:val="22"/>
              </w:rPr>
              <w:t>Excellently Local: quality pre-accredited teaching and learning in the community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1D8" w:rsidRPr="00322BD0" w:rsidRDefault="00DB01D8" w:rsidP="00D8322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22BD0">
              <w:rPr>
                <w:rFonts w:ascii="Arial" w:hAnsi="Arial" w:cs="Arial"/>
                <w:color w:val="000000"/>
                <w:sz w:val="22"/>
                <w:szCs w:val="22"/>
              </w:rPr>
              <w:t>Thursday, 9 October 2014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1D8" w:rsidRPr="00322BD0" w:rsidRDefault="00DB01D8" w:rsidP="00D8322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22BD0">
              <w:rPr>
                <w:rFonts w:ascii="Arial" w:hAnsi="Arial" w:cs="Arial"/>
                <w:color w:val="000000"/>
                <w:sz w:val="22"/>
                <w:szCs w:val="22"/>
              </w:rPr>
              <w:t xml:space="preserve">William </w:t>
            </w:r>
            <w:proofErr w:type="spellStart"/>
            <w:r w:rsidRPr="00322BD0">
              <w:rPr>
                <w:rFonts w:ascii="Arial" w:hAnsi="Arial" w:cs="Arial"/>
                <w:color w:val="000000"/>
                <w:sz w:val="22"/>
                <w:szCs w:val="22"/>
              </w:rPr>
              <w:t>Angliss</w:t>
            </w:r>
            <w:proofErr w:type="spellEnd"/>
            <w:r w:rsidRPr="00322BD0"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Institute of TAFE, 555 La Trobe Street Melbourne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CA5" w:rsidRDefault="009F0CA5" w:rsidP="009F0CA5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 xml:space="preserve">Registration:   </w:t>
            </w:r>
            <w:hyperlink r:id="rId10" w:history="1">
              <w:r>
                <w:rPr>
                  <w:rStyle w:val="Hyperlink"/>
                  <w:rFonts w:ascii="Arial" w:hAnsi="Arial" w:cs="Arial"/>
                  <w:lang w:eastAsia="en-GB"/>
                </w:rPr>
                <w:t>http://tinyurl.com/pqfconference</w:t>
              </w:r>
            </w:hyperlink>
            <w:r>
              <w:rPr>
                <w:rFonts w:ascii="Arial" w:hAnsi="Arial" w:cs="Arial"/>
                <w:color w:val="000000"/>
                <w:lang w:eastAsia="en-GB"/>
              </w:rPr>
              <w:t xml:space="preserve"> or contact Ms Kathy Jagan on </w:t>
            </w:r>
            <w:hyperlink r:id="rId11" w:history="1">
              <w:r>
                <w:rPr>
                  <w:rStyle w:val="Hyperlink"/>
                  <w:rFonts w:ascii="Verdana" w:hAnsi="Verdana"/>
                  <w:sz w:val="20"/>
                </w:rPr>
                <w:t>kathy.jagan@cae.edu.au</w:t>
              </w:r>
            </w:hyperlink>
          </w:p>
          <w:p w:rsidR="00DB01D8" w:rsidRPr="00322BD0" w:rsidRDefault="00DB01D8" w:rsidP="00AB0D4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B01D8" w:rsidRPr="00322BD0" w:rsidTr="00322BD0">
        <w:trPr>
          <w:trHeight w:val="864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1D8" w:rsidRPr="00322BD0" w:rsidRDefault="00DB01D8" w:rsidP="00DB01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BD0">
              <w:rPr>
                <w:rFonts w:ascii="Arial" w:hAnsi="Arial" w:cs="Arial"/>
                <w:color w:val="000000"/>
                <w:sz w:val="22"/>
                <w:szCs w:val="22"/>
              </w:rPr>
              <w:t>Pre-accredited Quality Framework workshops</w:t>
            </w:r>
          </w:p>
          <w:p w:rsidR="00DB01D8" w:rsidRPr="00322BD0" w:rsidRDefault="00DB01D8" w:rsidP="00DB01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01D8" w:rsidRPr="00322BD0" w:rsidRDefault="00DB01D8" w:rsidP="00DB01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BD0">
              <w:rPr>
                <w:rFonts w:ascii="Arial" w:hAnsi="Arial" w:cs="Arial"/>
                <w:color w:val="000000"/>
                <w:sz w:val="22"/>
                <w:szCs w:val="22"/>
              </w:rPr>
              <w:t>Options for introduction or in-depth practical workshops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1D8" w:rsidRPr="00322BD0" w:rsidRDefault="00DB01D8" w:rsidP="00D8322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22BD0">
              <w:rPr>
                <w:rFonts w:ascii="Arial" w:hAnsi="Arial" w:cs="Arial"/>
                <w:color w:val="000000"/>
                <w:sz w:val="22"/>
                <w:szCs w:val="22"/>
              </w:rPr>
              <w:t>Friday, 12 September 2014</w:t>
            </w:r>
          </w:p>
        </w:tc>
        <w:tc>
          <w:tcPr>
            <w:tcW w:w="353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1D8" w:rsidRPr="00322BD0" w:rsidRDefault="00DB01D8" w:rsidP="00D8322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22BD0">
              <w:rPr>
                <w:rFonts w:ascii="Arial" w:hAnsi="Arial" w:cs="Arial"/>
                <w:color w:val="000000"/>
                <w:sz w:val="22"/>
                <w:szCs w:val="22"/>
              </w:rPr>
              <w:t>Best Chance Training, 583 Ferntree Gully Rd</w:t>
            </w:r>
            <w:r w:rsidRPr="00322BD0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Glen Waverley  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1D8" w:rsidRPr="00322BD0" w:rsidRDefault="00DB01D8" w:rsidP="00D83221">
            <w:pPr>
              <w:rPr>
                <w:rFonts w:ascii="Arial" w:hAnsi="Arial" w:cs="Arial"/>
                <w:sz w:val="22"/>
                <w:szCs w:val="22"/>
              </w:rPr>
            </w:pPr>
            <w:r w:rsidRPr="00322BD0">
              <w:rPr>
                <w:rFonts w:ascii="Arial" w:hAnsi="Arial" w:cs="Arial"/>
                <w:sz w:val="22"/>
                <w:szCs w:val="22"/>
              </w:rPr>
              <w:t xml:space="preserve">Workshop registrations: </w:t>
            </w:r>
          </w:p>
          <w:p w:rsidR="00DB01D8" w:rsidRPr="00322BD0" w:rsidRDefault="00DB01D8" w:rsidP="00D832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B01D8" w:rsidRPr="00322BD0" w:rsidRDefault="009F0CA5" w:rsidP="00D83221">
            <w:pPr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DB01D8" w:rsidRPr="00322BD0">
                <w:rPr>
                  <w:rStyle w:val="Hyperlink"/>
                  <w:rFonts w:ascii="Arial" w:hAnsi="Arial" w:cs="Arial"/>
                  <w:sz w:val="22"/>
                  <w:szCs w:val="22"/>
                </w:rPr>
                <w:t>http://e.mybookingmanager.com/E51422413229868</w:t>
              </w:r>
            </w:hyperlink>
            <w:r w:rsidR="00DB01D8" w:rsidRPr="00322B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B01D8" w:rsidRPr="00322BD0" w:rsidRDefault="00DB01D8" w:rsidP="00D832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B01D8" w:rsidRPr="00322BD0" w:rsidRDefault="00DB01D8" w:rsidP="00D8322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22BD0">
              <w:rPr>
                <w:rFonts w:ascii="Arial" w:hAnsi="Arial" w:cs="Arial"/>
                <w:sz w:val="22"/>
                <w:szCs w:val="22"/>
              </w:rPr>
              <w:t xml:space="preserve">or contact Ms Kathy Jagan at </w:t>
            </w:r>
            <w:hyperlink r:id="rId13" w:history="1">
              <w:r w:rsidRPr="00322BD0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en-GB" w:eastAsia="en-US"/>
                </w:rPr>
                <w:t>kathy.jagan@cae.edu.au</w:t>
              </w:r>
            </w:hyperlink>
          </w:p>
        </w:tc>
      </w:tr>
      <w:tr w:rsidR="00DB01D8" w:rsidRPr="00322BD0" w:rsidTr="00322BD0">
        <w:trPr>
          <w:trHeight w:val="864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1D8" w:rsidRPr="00322BD0" w:rsidRDefault="00DB01D8" w:rsidP="00D832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1D8" w:rsidRPr="00322BD0" w:rsidRDefault="00DB01D8" w:rsidP="00D8322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22BD0">
              <w:rPr>
                <w:rFonts w:ascii="Arial" w:hAnsi="Arial" w:cs="Arial"/>
                <w:color w:val="000000"/>
              </w:rPr>
              <w:t>Wednesday, 1 October 2014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1D8" w:rsidRPr="00322BD0" w:rsidRDefault="00DB01D8" w:rsidP="00D8322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22BD0">
              <w:rPr>
                <w:rFonts w:ascii="Arial" w:hAnsi="Arial" w:cs="Arial"/>
                <w:color w:val="000000"/>
              </w:rPr>
              <w:t xml:space="preserve">Vines Road Community Centre 37-61 Vines Rd, Hamlyn Heights 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1D8" w:rsidRPr="00322BD0" w:rsidRDefault="00DB01D8">
            <w:pPr>
              <w:rPr>
                <w:rFonts w:ascii="Arial" w:eastAsia="Calibri" w:hAnsi="Arial" w:cs="Arial"/>
                <w:color w:val="0000FF"/>
                <w:sz w:val="22"/>
                <w:szCs w:val="22"/>
                <w:u w:val="single"/>
              </w:rPr>
            </w:pPr>
          </w:p>
        </w:tc>
      </w:tr>
      <w:tr w:rsidR="00DB01D8" w:rsidRPr="00322BD0" w:rsidTr="00322BD0">
        <w:trPr>
          <w:trHeight w:val="720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1D8" w:rsidRPr="00322BD0" w:rsidRDefault="00DB01D8" w:rsidP="00D832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1D8" w:rsidRPr="00322BD0" w:rsidRDefault="00DB01D8" w:rsidP="00D8322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22BD0">
              <w:rPr>
                <w:rFonts w:ascii="Arial" w:hAnsi="Arial" w:cs="Arial"/>
                <w:color w:val="000000"/>
              </w:rPr>
              <w:t>Monday, 13 October 2014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1D8" w:rsidRPr="00322BD0" w:rsidRDefault="00DB01D8" w:rsidP="00D8322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22BD0">
              <w:rPr>
                <w:rFonts w:ascii="Arial" w:hAnsi="Arial" w:cs="Arial"/>
                <w:color w:val="000000"/>
              </w:rPr>
              <w:t>Living and Learning Pakenham, 6B Henry Street Pakenham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1D8" w:rsidRPr="00322BD0" w:rsidRDefault="00DB01D8">
            <w:pPr>
              <w:rPr>
                <w:rFonts w:ascii="Arial" w:eastAsia="Calibri" w:hAnsi="Arial" w:cs="Arial"/>
                <w:color w:val="0000FF"/>
                <w:sz w:val="22"/>
                <w:szCs w:val="22"/>
                <w:u w:val="single"/>
              </w:rPr>
            </w:pPr>
          </w:p>
        </w:tc>
      </w:tr>
      <w:tr w:rsidR="00DB01D8" w:rsidRPr="00322BD0" w:rsidTr="00322BD0">
        <w:trPr>
          <w:trHeight w:val="576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1D8" w:rsidRPr="00322BD0" w:rsidRDefault="00DB01D8" w:rsidP="00D832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1D8" w:rsidRPr="00322BD0" w:rsidRDefault="0085458B" w:rsidP="00D83221">
            <w:pPr>
              <w:rPr>
                <w:rFonts w:ascii="Arial" w:hAnsi="Arial" w:cs="Arial"/>
                <w:color w:val="000000"/>
              </w:rPr>
            </w:pPr>
            <w:r w:rsidRPr="00322BD0">
              <w:rPr>
                <w:rFonts w:ascii="Arial" w:hAnsi="Arial" w:cs="Arial"/>
                <w:color w:val="000000"/>
              </w:rPr>
              <w:t>Friday 14 November 2014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1D8" w:rsidRPr="00322BD0" w:rsidRDefault="0085458B" w:rsidP="00D83221">
            <w:pPr>
              <w:rPr>
                <w:rFonts w:ascii="Arial" w:hAnsi="Arial" w:cs="Arial"/>
                <w:color w:val="000000"/>
              </w:rPr>
            </w:pPr>
            <w:r w:rsidRPr="00322BD0">
              <w:rPr>
                <w:rFonts w:ascii="Arial" w:hAnsi="Arial" w:cs="Arial"/>
                <w:color w:val="000000"/>
              </w:rPr>
              <w:t>Wimmera Hub, 39 Urquhart St, Horsham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1D8" w:rsidRPr="00322BD0" w:rsidRDefault="00DB01D8">
            <w:pPr>
              <w:rPr>
                <w:rFonts w:ascii="Arial" w:eastAsia="Calibri" w:hAnsi="Arial" w:cs="Arial"/>
                <w:color w:val="0000FF"/>
                <w:sz w:val="22"/>
                <w:szCs w:val="22"/>
                <w:u w:val="single"/>
              </w:rPr>
            </w:pPr>
          </w:p>
        </w:tc>
      </w:tr>
      <w:tr w:rsidR="00DB01D8" w:rsidRPr="00322BD0" w:rsidTr="00322BD0">
        <w:trPr>
          <w:trHeight w:val="576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1D8" w:rsidRPr="00322BD0" w:rsidRDefault="00DB01D8" w:rsidP="00D832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1D8" w:rsidRPr="00322BD0" w:rsidRDefault="0085458B" w:rsidP="00D83221">
            <w:pPr>
              <w:rPr>
                <w:rFonts w:ascii="Arial" w:hAnsi="Arial" w:cs="Arial"/>
                <w:color w:val="000000"/>
              </w:rPr>
            </w:pPr>
            <w:r w:rsidRPr="00322BD0">
              <w:rPr>
                <w:rFonts w:ascii="Arial" w:hAnsi="Arial" w:cs="Arial"/>
                <w:color w:val="000000"/>
              </w:rPr>
              <w:t>Thursday, 20 November 2014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1D8" w:rsidRPr="00322BD0" w:rsidRDefault="0085458B" w:rsidP="00D83221">
            <w:pPr>
              <w:rPr>
                <w:rFonts w:ascii="Arial" w:hAnsi="Arial" w:cs="Arial"/>
                <w:color w:val="000000"/>
              </w:rPr>
            </w:pPr>
            <w:r w:rsidRPr="00322BD0">
              <w:rPr>
                <w:rFonts w:ascii="Arial" w:hAnsi="Arial" w:cs="Arial"/>
                <w:color w:val="000000"/>
              </w:rPr>
              <w:t>Sale Neighbourhood House 21 Leslie St, Sale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1D8" w:rsidRPr="00322BD0" w:rsidRDefault="00DB01D8">
            <w:pPr>
              <w:rPr>
                <w:rFonts w:ascii="Arial" w:eastAsia="Calibri" w:hAnsi="Arial" w:cs="Arial"/>
                <w:color w:val="0000FF"/>
                <w:sz w:val="22"/>
                <w:szCs w:val="22"/>
                <w:u w:val="single"/>
              </w:rPr>
            </w:pPr>
          </w:p>
        </w:tc>
      </w:tr>
      <w:tr w:rsidR="00DB01D8" w:rsidRPr="00322BD0" w:rsidTr="00322BD0">
        <w:trPr>
          <w:trHeight w:val="576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1D8" w:rsidRPr="00322BD0" w:rsidRDefault="00DB01D8" w:rsidP="00D832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1D8" w:rsidRPr="00322BD0" w:rsidRDefault="00DB01D8" w:rsidP="00D8322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22BD0">
              <w:rPr>
                <w:rFonts w:ascii="Arial" w:hAnsi="Arial" w:cs="Arial"/>
                <w:color w:val="000000"/>
              </w:rPr>
              <w:t>Monday, 15 December 2014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1D8" w:rsidRPr="00322BD0" w:rsidRDefault="00DB01D8" w:rsidP="00D8322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22BD0">
              <w:rPr>
                <w:rFonts w:ascii="Arial" w:hAnsi="Arial" w:cs="Arial"/>
                <w:color w:val="000000"/>
              </w:rPr>
              <w:t>Centre for Adult Education (CAE), 253 Flinders Lane Melbourne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1D8" w:rsidRPr="00322BD0" w:rsidRDefault="00DB01D8">
            <w:pPr>
              <w:rPr>
                <w:rFonts w:ascii="Arial" w:eastAsia="Calibri" w:hAnsi="Arial" w:cs="Arial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9706F1" w:rsidRDefault="009706F1" w:rsidP="00DB01D8">
      <w:pPr>
        <w:rPr>
          <w:szCs w:val="24"/>
        </w:rPr>
      </w:pPr>
    </w:p>
    <w:p w:rsidR="0085458B" w:rsidRDefault="0085458B" w:rsidP="00DB01D8">
      <w:pPr>
        <w:rPr>
          <w:szCs w:val="24"/>
        </w:rPr>
      </w:pPr>
    </w:p>
    <w:p w:rsidR="0085458B" w:rsidRPr="00A9135E" w:rsidRDefault="0085458B" w:rsidP="00DB01D8">
      <w:pPr>
        <w:rPr>
          <w:szCs w:val="24"/>
        </w:rPr>
      </w:pPr>
    </w:p>
    <w:sectPr w:rsidR="0085458B" w:rsidRPr="00A9135E" w:rsidSect="00D72B00">
      <w:footerReference w:type="first" r:id="rId14"/>
      <w:pgSz w:w="11907" w:h="16840" w:code="9"/>
      <w:pgMar w:top="899" w:right="992" w:bottom="1258" w:left="126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B89" w:rsidRDefault="006B1B89" w:rsidP="00846881">
      <w:r>
        <w:separator/>
      </w:r>
    </w:p>
  </w:endnote>
  <w:endnote w:type="continuationSeparator" w:id="0">
    <w:p w:rsidR="006B1B89" w:rsidRDefault="006B1B89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81" w:rsidRPr="009D5D01" w:rsidRDefault="00846881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9F0CA5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846881" w:rsidRDefault="00846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B89" w:rsidRDefault="006B1B89" w:rsidP="00846881">
      <w:r>
        <w:separator/>
      </w:r>
    </w:p>
  </w:footnote>
  <w:footnote w:type="continuationSeparator" w:id="0">
    <w:p w:rsidR="006B1B89" w:rsidRDefault="006B1B89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4D4"/>
    <w:rsid w:val="00021555"/>
    <w:rsid w:val="0002288F"/>
    <w:rsid w:val="0002677B"/>
    <w:rsid w:val="000425DB"/>
    <w:rsid w:val="00060214"/>
    <w:rsid w:val="00060EA4"/>
    <w:rsid w:val="00063616"/>
    <w:rsid w:val="000701E5"/>
    <w:rsid w:val="0008021C"/>
    <w:rsid w:val="000901F6"/>
    <w:rsid w:val="000A28AF"/>
    <w:rsid w:val="000C3753"/>
    <w:rsid w:val="000C782C"/>
    <w:rsid w:val="00105130"/>
    <w:rsid w:val="001079BD"/>
    <w:rsid w:val="001214D4"/>
    <w:rsid w:val="00125617"/>
    <w:rsid w:val="001411A4"/>
    <w:rsid w:val="00161B14"/>
    <w:rsid w:val="00181F47"/>
    <w:rsid w:val="001C0117"/>
    <w:rsid w:val="001C4930"/>
    <w:rsid w:val="001D2F77"/>
    <w:rsid w:val="00206E94"/>
    <w:rsid w:val="00213CB1"/>
    <w:rsid w:val="00234DCA"/>
    <w:rsid w:val="00241DCD"/>
    <w:rsid w:val="00264866"/>
    <w:rsid w:val="002831C1"/>
    <w:rsid w:val="00284B19"/>
    <w:rsid w:val="002A24E2"/>
    <w:rsid w:val="002D0BFF"/>
    <w:rsid w:val="002D5296"/>
    <w:rsid w:val="002F0511"/>
    <w:rsid w:val="00322BD0"/>
    <w:rsid w:val="00340366"/>
    <w:rsid w:val="00352C50"/>
    <w:rsid w:val="00384947"/>
    <w:rsid w:val="00394AC7"/>
    <w:rsid w:val="003A68DB"/>
    <w:rsid w:val="003B7B63"/>
    <w:rsid w:val="003D454C"/>
    <w:rsid w:val="003F0B63"/>
    <w:rsid w:val="003F3D59"/>
    <w:rsid w:val="003F640F"/>
    <w:rsid w:val="004304A3"/>
    <w:rsid w:val="00453CAD"/>
    <w:rsid w:val="004604A8"/>
    <w:rsid w:val="0048144F"/>
    <w:rsid w:val="004B182C"/>
    <w:rsid w:val="004C32C0"/>
    <w:rsid w:val="004C7772"/>
    <w:rsid w:val="004E42D2"/>
    <w:rsid w:val="00502F85"/>
    <w:rsid w:val="00505EC2"/>
    <w:rsid w:val="00506F42"/>
    <w:rsid w:val="00540C9F"/>
    <w:rsid w:val="005543E8"/>
    <w:rsid w:val="00583630"/>
    <w:rsid w:val="00590B75"/>
    <w:rsid w:val="00597427"/>
    <w:rsid w:val="005B4815"/>
    <w:rsid w:val="005E1085"/>
    <w:rsid w:val="005F153D"/>
    <w:rsid w:val="006254CC"/>
    <w:rsid w:val="00626260"/>
    <w:rsid w:val="006344F3"/>
    <w:rsid w:val="006409D9"/>
    <w:rsid w:val="00651785"/>
    <w:rsid w:val="006855AE"/>
    <w:rsid w:val="00687039"/>
    <w:rsid w:val="006935A8"/>
    <w:rsid w:val="006935C4"/>
    <w:rsid w:val="00696854"/>
    <w:rsid w:val="006A1696"/>
    <w:rsid w:val="006A5387"/>
    <w:rsid w:val="006B1B89"/>
    <w:rsid w:val="006D4561"/>
    <w:rsid w:val="00717852"/>
    <w:rsid w:val="00722C6E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E59F5"/>
    <w:rsid w:val="007F7495"/>
    <w:rsid w:val="00802E41"/>
    <w:rsid w:val="00813145"/>
    <w:rsid w:val="00846881"/>
    <w:rsid w:val="0085458B"/>
    <w:rsid w:val="00867D3A"/>
    <w:rsid w:val="00880ACA"/>
    <w:rsid w:val="0089186A"/>
    <w:rsid w:val="008E2680"/>
    <w:rsid w:val="008E2DD6"/>
    <w:rsid w:val="008E53DE"/>
    <w:rsid w:val="008F3646"/>
    <w:rsid w:val="00903B41"/>
    <w:rsid w:val="00933C17"/>
    <w:rsid w:val="00965E53"/>
    <w:rsid w:val="009706F1"/>
    <w:rsid w:val="009843BA"/>
    <w:rsid w:val="0099526E"/>
    <w:rsid w:val="009C7B4C"/>
    <w:rsid w:val="009D5D01"/>
    <w:rsid w:val="009E3636"/>
    <w:rsid w:val="009F0CA5"/>
    <w:rsid w:val="00A011F2"/>
    <w:rsid w:val="00A04A84"/>
    <w:rsid w:val="00A14B2D"/>
    <w:rsid w:val="00A2083F"/>
    <w:rsid w:val="00A24A30"/>
    <w:rsid w:val="00A83FB3"/>
    <w:rsid w:val="00A9135E"/>
    <w:rsid w:val="00AB0D48"/>
    <w:rsid w:val="00AD0AF3"/>
    <w:rsid w:val="00AF0514"/>
    <w:rsid w:val="00B11D3D"/>
    <w:rsid w:val="00B33E4F"/>
    <w:rsid w:val="00B41E45"/>
    <w:rsid w:val="00B435C6"/>
    <w:rsid w:val="00B5136F"/>
    <w:rsid w:val="00B632F5"/>
    <w:rsid w:val="00BA4DA4"/>
    <w:rsid w:val="00C151BB"/>
    <w:rsid w:val="00C373FC"/>
    <w:rsid w:val="00C75A39"/>
    <w:rsid w:val="00C83B90"/>
    <w:rsid w:val="00C87B8B"/>
    <w:rsid w:val="00CA0D2E"/>
    <w:rsid w:val="00CB16A1"/>
    <w:rsid w:val="00CD0632"/>
    <w:rsid w:val="00CE682F"/>
    <w:rsid w:val="00CE69B8"/>
    <w:rsid w:val="00CF40A6"/>
    <w:rsid w:val="00CF6891"/>
    <w:rsid w:val="00D22C4A"/>
    <w:rsid w:val="00D33418"/>
    <w:rsid w:val="00D53A53"/>
    <w:rsid w:val="00D72B00"/>
    <w:rsid w:val="00D83221"/>
    <w:rsid w:val="00DB01D8"/>
    <w:rsid w:val="00DD6095"/>
    <w:rsid w:val="00DD6855"/>
    <w:rsid w:val="00E320A4"/>
    <w:rsid w:val="00E6663B"/>
    <w:rsid w:val="00E91E6B"/>
    <w:rsid w:val="00EE4BD9"/>
    <w:rsid w:val="00EE5E95"/>
    <w:rsid w:val="00F11CAC"/>
    <w:rsid w:val="00F13367"/>
    <w:rsid w:val="00F17667"/>
    <w:rsid w:val="00F24B4E"/>
    <w:rsid w:val="00F30F82"/>
    <w:rsid w:val="00F343D3"/>
    <w:rsid w:val="00F8781E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styleId="FollowedHyperlink">
    <w:name w:val="FollowedHyperlink"/>
    <w:basedOn w:val="DefaultParagraphFont"/>
    <w:rsid w:val="00DB01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thy.jagan@cae.edu.au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.mybookingmanager.com/E51422413229868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h.jagan@cae.edu.a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tinyurl.com/pqfconference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education.vic.gov.au/training/providers/learnlocal/Pages/pqf.asp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24E25-4FE0-4DBE-B890-F1CB4039085A}"/>
</file>

<file path=customXml/itemProps2.xml><?xml version="1.0" encoding="utf-8"?>
<ds:datastoreItem xmlns:ds="http://schemas.openxmlformats.org/officeDocument/2006/customXml" ds:itemID="{21D34596-53C1-4B4F-8980-143B2CAF6BB6}"/>
</file>

<file path=customXml/itemProps3.xml><?xml version="1.0" encoding="utf-8"?>
<ds:datastoreItem xmlns:ds="http://schemas.openxmlformats.org/officeDocument/2006/customXml" ds:itemID="{C3C5E854-FF16-402E-B3AE-93015F7E4879}"/>
</file>

<file path=customXml/itemProps4.xml><?xml version="1.0" encoding="utf-8"?>
<ds:datastoreItem xmlns:ds="http://schemas.openxmlformats.org/officeDocument/2006/customXml" ds:itemID="{88DAE9FD-84BA-4F6B-A762-6D435959D7E3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1</TotalTime>
  <Pages>2</Pages>
  <Words>395</Words>
  <Characters>2928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08306670</dc:creator>
  <cp:keywords/>
  <dc:description/>
  <cp:lastModifiedBy>Morrow, Jackie A</cp:lastModifiedBy>
  <cp:revision>2</cp:revision>
  <cp:lastPrinted>2014-08-14T01:35:00Z</cp:lastPrinted>
  <dcterms:created xsi:type="dcterms:W3CDTF">2014-08-18T06:50:00Z</dcterms:created>
  <dcterms:modified xsi:type="dcterms:W3CDTF">2014-08-18T06:50:00Z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