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84736" w14:textId="6B10A7A8" w:rsidR="008D097C" w:rsidRDefault="00596F47" w:rsidP="008D097C">
      <w:pPr>
        <w:pStyle w:val="Surtitle"/>
        <w:ind w:left="0"/>
        <w:rPr>
          <w:rFonts w:eastAsia="Times New Roman"/>
        </w:rPr>
      </w:pPr>
      <w:r w:rsidRPr="008D097C">
        <w:rPr>
          <w:rFonts w:ascii="Calibri Light" w:eastAsia="Times New Roman" w:hAnsi="Calibri Light" w:cs="Calibri Light"/>
          <w:caps w:val="0"/>
          <w:noProof/>
          <w:color w:val="auto"/>
          <w:spacing w:val="-10"/>
          <w:kern w:val="28"/>
          <w:sz w:val="56"/>
          <w:szCs w:val="56"/>
          <w:lang w:eastAsia="en-AU"/>
        </w:rPr>
        <w:drawing>
          <wp:anchor distT="0" distB="0" distL="114300" distR="114300" simplePos="0" relativeHeight="251662336" behindDoc="1" locked="0" layoutInCell="1" allowOverlap="1" wp14:anchorId="286D4B3C" wp14:editId="79D7BA7E">
            <wp:simplePos x="0" y="0"/>
            <wp:positionH relativeFrom="column">
              <wp:posOffset>8350554</wp:posOffset>
            </wp:positionH>
            <wp:positionV relativeFrom="paragraph">
              <wp:posOffset>-393700</wp:posOffset>
            </wp:positionV>
            <wp:extent cx="1375410" cy="1285875"/>
            <wp:effectExtent l="0" t="0" r="0" b="9525"/>
            <wp:wrapNone/>
            <wp:docPr id="3" name="Picture 3" descr="S:\ACFE\BSP\COMMUNICATIONS\DESIGN\LOGOS\ACFE Logos\ACFE Board Logos\acfe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CFE\BSP\COMMUNICATIONS\DESIGN\LOGOS\ACFE Logos\ACFE Board Logos\acfe_logo_blac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7C">
        <w:rPr>
          <w:rFonts w:eastAsia="Times New Roman"/>
        </w:rPr>
        <w:t>Adult, Community and Further Education Board</w:t>
      </w:r>
    </w:p>
    <w:p w14:paraId="792C3B59" w14:textId="102AAD5C" w:rsidR="00E4208D" w:rsidRPr="008D097C" w:rsidRDefault="00E4208D" w:rsidP="008D097C">
      <w:pPr>
        <w:pStyle w:val="Title"/>
        <w:ind w:left="0"/>
        <w:jc w:val="left"/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</w:pPr>
      <w:r w:rsidRPr="008D097C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 xml:space="preserve">Gifts, </w:t>
      </w:r>
      <w:r w:rsidR="00317724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b</w:t>
      </w:r>
      <w:r w:rsidRPr="008D097C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e</w:t>
      </w:r>
      <w:r w:rsidR="00317724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nefits and h</w:t>
      </w:r>
      <w:bookmarkStart w:id="0" w:name="_GoBack"/>
      <w:bookmarkEnd w:id="0"/>
      <w:r w:rsidR="008D097C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ospitality r</w:t>
      </w:r>
      <w:r w:rsidR="00D03715" w:rsidRPr="008D097C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egister</w:t>
      </w:r>
      <w:r w:rsidR="00317724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 xml:space="preserve"> </w:t>
      </w:r>
      <w:r w:rsidR="00317724" w:rsidRPr="008D097C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20</w:t>
      </w:r>
      <w:r w:rsidR="00317724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17–18</w:t>
      </w:r>
    </w:p>
    <w:p w14:paraId="0590AB51" w14:textId="3D848C0D" w:rsidR="00D03715" w:rsidRPr="008D097C" w:rsidRDefault="00317724" w:rsidP="006827DD">
      <w:pPr>
        <w:pStyle w:val="Heading1"/>
        <w:spacing w:after="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Accepted o</w:t>
      </w:r>
      <w:r w:rsidR="00D03715" w:rsidRPr="008D097C">
        <w:rPr>
          <w:rFonts w:ascii="Calibri Light" w:hAnsi="Calibri Light" w:cs="Calibri Light"/>
        </w:rPr>
        <w:t>ffers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2554"/>
        <w:gridCol w:w="2124"/>
        <w:gridCol w:w="2125"/>
        <w:gridCol w:w="1700"/>
        <w:gridCol w:w="2549"/>
        <w:gridCol w:w="2695"/>
      </w:tblGrid>
      <w:tr w:rsidR="00E4208D" w:rsidRPr="00051466" w14:paraId="1BF3DC74" w14:textId="77777777" w:rsidTr="001F2C81">
        <w:trPr>
          <w:tblHeader/>
        </w:trPr>
        <w:tc>
          <w:tcPr>
            <w:tcW w:w="1557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2B55D1BE" w14:textId="3779E14B" w:rsidR="00E4208D" w:rsidRPr="001F2C81" w:rsidRDefault="00317724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Date o</w:t>
            </w:r>
            <w:r w:rsidR="00E4208D" w:rsidRPr="001F2C81">
              <w:rPr>
                <w:lang w:val="en-US"/>
              </w:rPr>
              <w:t>ffered</w:t>
            </w:r>
          </w:p>
        </w:tc>
        <w:tc>
          <w:tcPr>
            <w:tcW w:w="2554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165C2484" w14:textId="17AD0240" w:rsidR="00E4208D" w:rsidRPr="001F2C81" w:rsidRDefault="00317724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Offered t</w:t>
            </w:r>
            <w:r w:rsidR="00E4208D" w:rsidRPr="001F2C81">
              <w:rPr>
                <w:lang w:val="en-US"/>
              </w:rPr>
              <w:t>o</w:t>
            </w:r>
          </w:p>
        </w:tc>
        <w:tc>
          <w:tcPr>
            <w:tcW w:w="2124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67F1A229" w14:textId="129F4A6B" w:rsidR="00E4208D" w:rsidRPr="001F2C81" w:rsidRDefault="00317724" w:rsidP="00734F9C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Offered b</w:t>
            </w:r>
            <w:r w:rsidR="00734F9C">
              <w:rPr>
                <w:lang w:val="en-US"/>
              </w:rPr>
              <w:t>y</w:t>
            </w:r>
          </w:p>
        </w:tc>
        <w:tc>
          <w:tcPr>
            <w:tcW w:w="2125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3BE6E04D" w14:textId="662A0437" w:rsidR="00E4208D" w:rsidRPr="001F2C81" w:rsidRDefault="00317724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Offer d</w:t>
            </w:r>
            <w:r w:rsidR="00E4208D" w:rsidRPr="001F2C81">
              <w:rPr>
                <w:lang w:val="en-US"/>
              </w:rPr>
              <w:t xml:space="preserve">escription </w:t>
            </w:r>
          </w:p>
        </w:tc>
        <w:tc>
          <w:tcPr>
            <w:tcW w:w="1700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2337C8E9" w14:textId="4D9FFBA0" w:rsidR="00E4208D" w:rsidRPr="001F2C81" w:rsidRDefault="00317724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Estimated or a</w:t>
            </w:r>
            <w:r w:rsidR="00E4208D" w:rsidRPr="001F2C81">
              <w:rPr>
                <w:lang w:val="en-US"/>
              </w:rPr>
              <w:t xml:space="preserve">ctual </w:t>
            </w:r>
            <w:r>
              <w:rPr>
                <w:lang w:val="en-US"/>
              </w:rPr>
              <w:t>v</w:t>
            </w:r>
            <w:r w:rsidR="00E4208D" w:rsidRPr="001F2C81">
              <w:rPr>
                <w:lang w:val="en-US"/>
              </w:rPr>
              <w:t>alue</w:t>
            </w:r>
          </w:p>
        </w:tc>
        <w:tc>
          <w:tcPr>
            <w:tcW w:w="2549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2E234B71" w14:textId="39BC248E" w:rsidR="00E4208D" w:rsidRPr="001F2C81" w:rsidRDefault="00317724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Decision and o</w:t>
            </w:r>
            <w:r w:rsidR="00E4208D" w:rsidRPr="001F2C81">
              <w:rPr>
                <w:lang w:val="en-US"/>
              </w:rPr>
              <w:t>wnership</w:t>
            </w:r>
          </w:p>
        </w:tc>
        <w:tc>
          <w:tcPr>
            <w:tcW w:w="2695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1B11FBC1" w14:textId="2A9A2F29" w:rsidR="00E4208D" w:rsidRPr="001F2C81" w:rsidRDefault="00317724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Acceptance r</w:t>
            </w:r>
            <w:r w:rsidR="00E4208D" w:rsidRPr="001F2C81">
              <w:rPr>
                <w:lang w:val="en-US"/>
              </w:rPr>
              <w:t>ationale</w:t>
            </w:r>
          </w:p>
        </w:tc>
      </w:tr>
      <w:tr w:rsidR="00E4208D" w:rsidRPr="00051466" w14:paraId="001CAFCE" w14:textId="77777777" w:rsidTr="00D03715">
        <w:trPr>
          <w:trHeight w:val="900"/>
        </w:trPr>
        <w:tc>
          <w:tcPr>
            <w:tcW w:w="1557" w:type="dxa"/>
            <w:shd w:val="clear" w:color="auto" w:fill="auto"/>
            <w:noWrap/>
          </w:tcPr>
          <w:p w14:paraId="755D1099" w14:textId="0ABC40FA" w:rsidR="00E4208D" w:rsidRPr="001F2C81" w:rsidRDefault="00596F47" w:rsidP="00596F47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Nil</w:t>
            </w:r>
          </w:p>
        </w:tc>
        <w:tc>
          <w:tcPr>
            <w:tcW w:w="2554" w:type="dxa"/>
            <w:shd w:val="clear" w:color="auto" w:fill="auto"/>
            <w:tcMar>
              <w:left w:w="57" w:type="dxa"/>
              <w:right w:w="57" w:type="dxa"/>
            </w:tcMar>
          </w:tcPr>
          <w:p w14:paraId="0E52C235" w14:textId="7FAD8ECE" w:rsidR="00E4208D" w:rsidRPr="001F2C81" w:rsidRDefault="00E4208D" w:rsidP="00596F47">
            <w:pPr>
              <w:pStyle w:val="Tabletext"/>
              <w:rPr>
                <w:lang w:val="en-US"/>
              </w:rPr>
            </w:pPr>
          </w:p>
        </w:tc>
        <w:tc>
          <w:tcPr>
            <w:tcW w:w="2124" w:type="dxa"/>
            <w:shd w:val="clear" w:color="auto" w:fill="auto"/>
          </w:tcPr>
          <w:p w14:paraId="17F13237" w14:textId="3FAD5D07" w:rsidR="00E4208D" w:rsidRPr="001F2C81" w:rsidRDefault="00E4208D" w:rsidP="00596F47">
            <w:pPr>
              <w:pStyle w:val="Tabletext"/>
              <w:rPr>
                <w:lang w:val="en-US"/>
              </w:rPr>
            </w:pPr>
          </w:p>
        </w:tc>
        <w:tc>
          <w:tcPr>
            <w:tcW w:w="2125" w:type="dxa"/>
            <w:shd w:val="clear" w:color="auto" w:fill="auto"/>
          </w:tcPr>
          <w:p w14:paraId="1B201BFC" w14:textId="3F65CE6F" w:rsidR="00E4208D" w:rsidRPr="001F2C81" w:rsidRDefault="00E4208D" w:rsidP="00596F47">
            <w:pPr>
              <w:pStyle w:val="Tabletext"/>
              <w:rPr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14:paraId="39DE4845" w14:textId="397E5A95" w:rsidR="00E4208D" w:rsidRPr="001F2C81" w:rsidRDefault="00E4208D" w:rsidP="00596F47">
            <w:pPr>
              <w:pStyle w:val="Tabletext"/>
              <w:rPr>
                <w:lang w:val="en-US"/>
              </w:rPr>
            </w:pPr>
          </w:p>
        </w:tc>
        <w:tc>
          <w:tcPr>
            <w:tcW w:w="2549" w:type="dxa"/>
            <w:shd w:val="clear" w:color="auto" w:fill="auto"/>
          </w:tcPr>
          <w:p w14:paraId="1F8761F9" w14:textId="34479726" w:rsidR="00E4208D" w:rsidRPr="001F2C81" w:rsidRDefault="00E4208D" w:rsidP="00596F47">
            <w:pPr>
              <w:pStyle w:val="Tabletext"/>
              <w:rPr>
                <w:lang w:val="en-US"/>
              </w:rPr>
            </w:pPr>
          </w:p>
        </w:tc>
        <w:tc>
          <w:tcPr>
            <w:tcW w:w="2695" w:type="dxa"/>
            <w:shd w:val="clear" w:color="auto" w:fill="auto"/>
          </w:tcPr>
          <w:p w14:paraId="27C65E4E" w14:textId="358E6F10" w:rsidR="00E4208D" w:rsidRPr="001F2C81" w:rsidRDefault="00E4208D" w:rsidP="00596F47">
            <w:pPr>
              <w:pStyle w:val="Tabletext"/>
              <w:rPr>
                <w:lang w:val="en-US"/>
              </w:rPr>
            </w:pPr>
          </w:p>
        </w:tc>
      </w:tr>
    </w:tbl>
    <w:p w14:paraId="0692F38A" w14:textId="5B1DE486" w:rsidR="00E4208D" w:rsidRPr="008D097C" w:rsidRDefault="00317724" w:rsidP="006827DD">
      <w:pPr>
        <w:pStyle w:val="Heading1"/>
        <w:spacing w:after="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Declined o</w:t>
      </w:r>
      <w:r w:rsidR="00E4208D" w:rsidRPr="008D097C">
        <w:rPr>
          <w:rFonts w:ascii="Calibri Light" w:hAnsi="Calibri Light" w:cs="Calibri Light"/>
        </w:rPr>
        <w:t xml:space="preserve">ffers </w:t>
      </w:r>
    </w:p>
    <w:tbl>
      <w:tblPr>
        <w:tblW w:w="152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4677"/>
        <w:gridCol w:w="7235"/>
        <w:gridCol w:w="1837"/>
      </w:tblGrid>
      <w:tr w:rsidR="00E4208D" w:rsidRPr="00642A2D" w14:paraId="0559E32F" w14:textId="77777777" w:rsidTr="001F2C81">
        <w:trPr>
          <w:trHeight w:val="599"/>
          <w:tblHeader/>
        </w:trPr>
        <w:tc>
          <w:tcPr>
            <w:tcW w:w="1550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5EB7373D" w14:textId="3B7A3672" w:rsidR="00E4208D" w:rsidRPr="00817D8F" w:rsidRDefault="00317724" w:rsidP="001F2C81">
            <w:pPr>
              <w:pStyle w:val="Tableheading"/>
            </w:pPr>
            <w:r>
              <w:rPr>
                <w:lang w:val="en-US"/>
              </w:rPr>
              <w:t>Date o</w:t>
            </w:r>
            <w:r w:rsidR="00E4208D" w:rsidRPr="001F2C81">
              <w:rPr>
                <w:lang w:val="en-US"/>
              </w:rPr>
              <w:t>ffered</w:t>
            </w:r>
          </w:p>
        </w:tc>
        <w:tc>
          <w:tcPr>
            <w:tcW w:w="4677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35CF08BC" w14:textId="4D2C4926" w:rsidR="00E4208D" w:rsidRPr="001F2C81" w:rsidRDefault="00E4208D" w:rsidP="001F2C81">
            <w:pPr>
              <w:pStyle w:val="Tableheading"/>
              <w:rPr>
                <w:lang w:val="en-US"/>
              </w:rPr>
            </w:pPr>
            <w:r w:rsidRPr="00817D8F">
              <w:t>Organisation</w:t>
            </w:r>
            <w:r w:rsidR="00317724">
              <w:rPr>
                <w:lang w:val="en-US"/>
              </w:rPr>
              <w:t xml:space="preserve"> c</w:t>
            </w:r>
            <w:r w:rsidRPr="001F2C81">
              <w:rPr>
                <w:lang w:val="en-US"/>
              </w:rPr>
              <w:t>ategory</w:t>
            </w:r>
          </w:p>
        </w:tc>
        <w:tc>
          <w:tcPr>
            <w:tcW w:w="7235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628EEB83" w14:textId="69B0BE8C" w:rsidR="00E4208D" w:rsidRPr="001F2C81" w:rsidRDefault="00317724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Offer d</w:t>
            </w:r>
            <w:r w:rsidR="00E4208D" w:rsidRPr="001F2C81">
              <w:rPr>
                <w:lang w:val="en-US"/>
              </w:rPr>
              <w:t>escription</w:t>
            </w:r>
          </w:p>
        </w:tc>
        <w:tc>
          <w:tcPr>
            <w:tcW w:w="1837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1FEDEAEA" w14:textId="3674C802" w:rsidR="00E4208D" w:rsidRPr="001F2C81" w:rsidRDefault="00317724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Estimated or actual v</w:t>
            </w:r>
            <w:r w:rsidR="00E4208D" w:rsidRPr="001F2C81">
              <w:rPr>
                <w:lang w:val="en-US"/>
              </w:rPr>
              <w:t>alue</w:t>
            </w:r>
          </w:p>
        </w:tc>
      </w:tr>
      <w:tr w:rsidR="00E4208D" w:rsidRPr="00642A2D" w14:paraId="7481DF1E" w14:textId="77777777" w:rsidTr="00D03715">
        <w:trPr>
          <w:trHeight w:val="567"/>
        </w:trPr>
        <w:tc>
          <w:tcPr>
            <w:tcW w:w="1550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646D432F" w14:textId="470B4084" w:rsidR="00E4208D" w:rsidRPr="001F2C81" w:rsidRDefault="00596F47" w:rsidP="001F2C81">
            <w:pPr>
              <w:pStyle w:val="Tabletext"/>
              <w:keepNext/>
              <w:rPr>
                <w:lang w:val="en-US"/>
              </w:rPr>
            </w:pPr>
            <w:r>
              <w:rPr>
                <w:lang w:val="en-US"/>
              </w:rPr>
              <w:t>Nil</w:t>
            </w:r>
          </w:p>
        </w:tc>
        <w:tc>
          <w:tcPr>
            <w:tcW w:w="4677" w:type="dxa"/>
            <w:shd w:val="clear" w:color="auto" w:fill="auto"/>
            <w:tcMar>
              <w:left w:w="57" w:type="dxa"/>
              <w:right w:w="57" w:type="dxa"/>
            </w:tcMar>
          </w:tcPr>
          <w:p w14:paraId="4EB75C5B" w14:textId="1CF0337F" w:rsidR="00E4208D" w:rsidRPr="001F2C81" w:rsidRDefault="00E4208D" w:rsidP="001F2C81">
            <w:pPr>
              <w:pStyle w:val="Tabletext"/>
              <w:keepNext/>
              <w:rPr>
                <w:lang w:val="en-US"/>
              </w:rPr>
            </w:pPr>
          </w:p>
        </w:tc>
        <w:tc>
          <w:tcPr>
            <w:tcW w:w="7235" w:type="dxa"/>
            <w:shd w:val="clear" w:color="auto" w:fill="auto"/>
            <w:tcMar>
              <w:left w:w="57" w:type="dxa"/>
              <w:right w:w="57" w:type="dxa"/>
            </w:tcMar>
          </w:tcPr>
          <w:p w14:paraId="6B5EF9AE" w14:textId="3D3E5FDB" w:rsidR="00E4208D" w:rsidRPr="001F2C81" w:rsidRDefault="00E4208D" w:rsidP="001F2C81">
            <w:pPr>
              <w:pStyle w:val="Tabletext"/>
              <w:keepNext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  <w:tcMar>
              <w:left w:w="57" w:type="dxa"/>
              <w:right w:w="57" w:type="dxa"/>
            </w:tcMar>
          </w:tcPr>
          <w:p w14:paraId="359D7442" w14:textId="12213BED" w:rsidR="00E4208D" w:rsidRPr="00642A2D" w:rsidRDefault="00E4208D" w:rsidP="001F2C81">
            <w:pPr>
              <w:pStyle w:val="Tabletext"/>
              <w:keepNext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</w:tbl>
    <w:p w14:paraId="536B8554" w14:textId="641A7938" w:rsidR="00596F47" w:rsidRDefault="00596F47" w:rsidP="00D03715"/>
    <w:p w14:paraId="197F2792" w14:textId="77777777" w:rsidR="00596F47" w:rsidRPr="00596F47" w:rsidRDefault="00596F47" w:rsidP="00596F47"/>
    <w:p w14:paraId="17880E46" w14:textId="77777777" w:rsidR="00596F47" w:rsidRPr="00596F47" w:rsidRDefault="00596F47" w:rsidP="00596F47"/>
    <w:p w14:paraId="4243DFAF" w14:textId="77777777" w:rsidR="00596F47" w:rsidRPr="00596F47" w:rsidRDefault="00596F47" w:rsidP="00596F47"/>
    <w:p w14:paraId="66A94683" w14:textId="40E9276C" w:rsidR="00596F47" w:rsidRDefault="00596F47" w:rsidP="00596F47"/>
    <w:p w14:paraId="4B9A34D3" w14:textId="75E94D47" w:rsidR="008D097C" w:rsidRPr="00596F47" w:rsidRDefault="00596F47" w:rsidP="00596F47">
      <w:pPr>
        <w:tabs>
          <w:tab w:val="left" w:pos="12835"/>
        </w:tabs>
      </w:pPr>
      <w:r>
        <w:tab/>
      </w:r>
    </w:p>
    <w:sectPr w:rsidR="008D097C" w:rsidRPr="00596F47" w:rsidSect="002004A7">
      <w:footerReference w:type="default" r:id="rId12"/>
      <w:pgSz w:w="16840" w:h="11907" w:orient="landscape" w:code="9"/>
      <w:pgMar w:top="1134" w:right="567" w:bottom="1134" w:left="567" w:header="709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E4003" w14:textId="77777777" w:rsidR="0052736D" w:rsidRDefault="0052736D" w:rsidP="001972BD">
      <w:r>
        <w:separator/>
      </w:r>
    </w:p>
  </w:endnote>
  <w:endnote w:type="continuationSeparator" w:id="0">
    <w:p w14:paraId="6F216893" w14:textId="77777777" w:rsidR="0052736D" w:rsidRDefault="0052736D" w:rsidP="0019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0351B" w14:textId="504DAD03" w:rsidR="00EB7E5D" w:rsidRPr="001972BD" w:rsidRDefault="00EB7E5D" w:rsidP="005521D5">
    <w:pPr>
      <w:pStyle w:val="Footer"/>
      <w:tabs>
        <w:tab w:val="clear" w:pos="4513"/>
        <w:tab w:val="clear" w:pos="9026"/>
        <w:tab w:val="center" w:pos="10065"/>
        <w:tab w:val="right" w:pos="22677"/>
      </w:tabs>
      <w:rPr>
        <w:sz w:val="18"/>
      </w:rPr>
    </w:pPr>
    <w:r>
      <w:rPr>
        <w:noProof/>
        <w:lang w:eastAsia="en-AU"/>
      </w:rPr>
      <w:drawing>
        <wp:inline distT="0" distB="0" distL="0" distR="0" wp14:anchorId="56E40375" wp14:editId="2F658EFD">
          <wp:extent cx="1810003" cy="704948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TBlack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003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42B83" w14:textId="77777777" w:rsidR="0052736D" w:rsidRDefault="0052736D" w:rsidP="001972BD">
      <w:r>
        <w:separator/>
      </w:r>
    </w:p>
  </w:footnote>
  <w:footnote w:type="continuationSeparator" w:id="0">
    <w:p w14:paraId="2EBCE0DB" w14:textId="77777777" w:rsidR="0052736D" w:rsidRDefault="0052736D" w:rsidP="00197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1E70"/>
    <w:multiLevelType w:val="multilevel"/>
    <w:tmpl w:val="EB388794"/>
    <w:lvl w:ilvl="0">
      <w:start w:val="1"/>
      <w:numFmt w:val="decimal"/>
      <w:lvlText w:val="%1."/>
      <w:lvlJc w:val="left"/>
      <w:pPr>
        <w:ind w:left="360" w:hanging="360"/>
      </w:pPr>
      <w:rPr>
        <w:color w:val="2E74B5" w:themeColor="accent1" w:themeShade="BF"/>
      </w:rPr>
    </w:lvl>
    <w:lvl w:ilvl="1">
      <w:start w:val="1"/>
      <w:numFmt w:val="decimal"/>
      <w:pStyle w:val="ESHeading2"/>
      <w:lvlText w:val="%1.%2."/>
      <w:lvlJc w:val="left"/>
      <w:pPr>
        <w:ind w:left="792" w:hanging="432"/>
      </w:pPr>
      <w:rPr>
        <w:b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91"/>
    <w:rsid w:val="00051466"/>
    <w:rsid w:val="000F44EF"/>
    <w:rsid w:val="00100C1B"/>
    <w:rsid w:val="00104755"/>
    <w:rsid w:val="00104FDD"/>
    <w:rsid w:val="00110E54"/>
    <w:rsid w:val="00117E96"/>
    <w:rsid w:val="001972BD"/>
    <w:rsid w:val="001C0F40"/>
    <w:rsid w:val="001F2C81"/>
    <w:rsid w:val="002004A7"/>
    <w:rsid w:val="00230B13"/>
    <w:rsid w:val="0027626C"/>
    <w:rsid w:val="002E3E39"/>
    <w:rsid w:val="002E6156"/>
    <w:rsid w:val="002F5C09"/>
    <w:rsid w:val="00317724"/>
    <w:rsid w:val="003F0C03"/>
    <w:rsid w:val="00400791"/>
    <w:rsid w:val="004E2D12"/>
    <w:rsid w:val="0052736D"/>
    <w:rsid w:val="005521D5"/>
    <w:rsid w:val="00596F47"/>
    <w:rsid w:val="005B1A86"/>
    <w:rsid w:val="005F4F4D"/>
    <w:rsid w:val="00642A2D"/>
    <w:rsid w:val="00653AD1"/>
    <w:rsid w:val="006827DD"/>
    <w:rsid w:val="00684340"/>
    <w:rsid w:val="00734F9C"/>
    <w:rsid w:val="007B1AAF"/>
    <w:rsid w:val="007D2F01"/>
    <w:rsid w:val="007D4C3E"/>
    <w:rsid w:val="00804307"/>
    <w:rsid w:val="00817D8F"/>
    <w:rsid w:val="00821EE9"/>
    <w:rsid w:val="008909C4"/>
    <w:rsid w:val="008D097C"/>
    <w:rsid w:val="0096094F"/>
    <w:rsid w:val="00981938"/>
    <w:rsid w:val="00982D59"/>
    <w:rsid w:val="00AD7FA4"/>
    <w:rsid w:val="00B1641A"/>
    <w:rsid w:val="00B445B5"/>
    <w:rsid w:val="00BA2025"/>
    <w:rsid w:val="00BC10D3"/>
    <w:rsid w:val="00C16D23"/>
    <w:rsid w:val="00C2508F"/>
    <w:rsid w:val="00C460A1"/>
    <w:rsid w:val="00CC6B29"/>
    <w:rsid w:val="00D03715"/>
    <w:rsid w:val="00D52E7F"/>
    <w:rsid w:val="00D649E6"/>
    <w:rsid w:val="00DC10F7"/>
    <w:rsid w:val="00DC6F30"/>
    <w:rsid w:val="00E4208D"/>
    <w:rsid w:val="00EA5E9A"/>
    <w:rsid w:val="00EB7E5D"/>
    <w:rsid w:val="00F8468F"/>
    <w:rsid w:val="00F979CF"/>
    <w:rsid w:val="00FD6C68"/>
    <w:rsid w:val="00FE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0FC7A"/>
  <w15:chartTrackingRefBased/>
  <w15:docId w15:val="{18C9C003-598E-45FE-8DB1-85B1E8DE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F4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0C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3">
    <w:name w:val="toc 3"/>
    <w:basedOn w:val="TOC2"/>
    <w:next w:val="Normal"/>
    <w:autoRedefine/>
    <w:uiPriority w:val="39"/>
    <w:unhideWhenUsed/>
    <w:qFormat/>
    <w:rsid w:val="003F0C03"/>
    <w:pPr>
      <w:tabs>
        <w:tab w:val="right" w:pos="567"/>
        <w:tab w:val="right" w:leader="underscore" w:pos="9346"/>
      </w:tabs>
      <w:spacing w:line="240" w:lineRule="atLeast"/>
      <w:ind w:left="360"/>
      <w:outlineLvl w:val="1"/>
    </w:pPr>
    <w:rPr>
      <w:rFonts w:ascii="Arial" w:eastAsiaTheme="minorEastAsia" w:hAnsi="Arial" w:cs="Arial"/>
      <w:noProof/>
      <w:color w:val="343741"/>
      <w:sz w:val="20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F0C03"/>
    <w:pPr>
      <w:spacing w:after="100"/>
      <w:ind w:left="220"/>
    </w:pPr>
  </w:style>
  <w:style w:type="paragraph" w:customStyle="1" w:styleId="ESHeading2">
    <w:name w:val="ES_Heading 2"/>
    <w:basedOn w:val="Heading1"/>
    <w:next w:val="Normal"/>
    <w:autoRedefine/>
    <w:qFormat/>
    <w:rsid w:val="003F0C03"/>
    <w:pPr>
      <w:numPr>
        <w:ilvl w:val="1"/>
        <w:numId w:val="1"/>
      </w:numPr>
      <w:tabs>
        <w:tab w:val="left" w:pos="1134"/>
      </w:tabs>
      <w:spacing w:after="120"/>
    </w:pPr>
    <w:rPr>
      <w:rFonts w:ascii="Arial" w:hAnsi="Arial"/>
      <w:bCs/>
      <w:smallCaps/>
      <w:color w:val="004EA8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972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2BD"/>
  </w:style>
  <w:style w:type="paragraph" w:styleId="Footer">
    <w:name w:val="footer"/>
    <w:basedOn w:val="Normal"/>
    <w:link w:val="FooterChar"/>
    <w:uiPriority w:val="99"/>
    <w:unhideWhenUsed/>
    <w:rsid w:val="001972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2BD"/>
  </w:style>
  <w:style w:type="paragraph" w:customStyle="1" w:styleId="DETHeading2">
    <w:name w:val="DET_Heading 2"/>
    <w:basedOn w:val="Heading2"/>
    <w:qFormat/>
    <w:rsid w:val="00684340"/>
    <w:pPr>
      <w:spacing w:before="180" w:after="120"/>
    </w:pPr>
    <w:rPr>
      <w:b/>
      <w:caps/>
      <w:color w:val="5B9BD5" w:themeColor="accent1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3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C4"/>
    <w:rPr>
      <w:rFonts w:ascii="Segoe UI" w:hAnsi="Segoe UI" w:cs="Segoe UI"/>
      <w:sz w:val="18"/>
      <w:szCs w:val="18"/>
    </w:rPr>
  </w:style>
  <w:style w:type="paragraph" w:customStyle="1" w:styleId="Surtitle">
    <w:name w:val="Surtitle"/>
    <w:basedOn w:val="Subtitle"/>
    <w:qFormat/>
    <w:rsid w:val="008D097C"/>
    <w:pPr>
      <w:spacing w:after="0" w:line="259" w:lineRule="auto"/>
      <w:ind w:left="284"/>
    </w:pPr>
    <w:rPr>
      <w:caps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97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097C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D097C"/>
    <w:pPr>
      <w:spacing w:after="480"/>
      <w:ind w:left="284"/>
      <w:jc w:val="center"/>
    </w:pPr>
    <w:rPr>
      <w:rFonts w:eastAsiaTheme="minorEastAsia" w:cs="DIN-Regular"/>
      <w:caps/>
      <w:color w:val="00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D097C"/>
    <w:rPr>
      <w:rFonts w:eastAsiaTheme="minorEastAsia" w:cs="DIN-Regular"/>
      <w:caps/>
      <w:color w:val="000000"/>
      <w:sz w:val="28"/>
      <w:szCs w:val="28"/>
    </w:rPr>
  </w:style>
  <w:style w:type="paragraph" w:customStyle="1" w:styleId="Tableheading">
    <w:name w:val="Table heading"/>
    <w:basedOn w:val="Normal"/>
    <w:qFormat/>
    <w:rsid w:val="001F2C81"/>
    <w:pPr>
      <w:keepNext/>
      <w:spacing w:before="120" w:after="120"/>
    </w:pPr>
    <w:rPr>
      <w:rFonts w:ascii="Calibri" w:eastAsia="Meiryo" w:hAnsi="Calibri" w:cs="DIN-Regular"/>
      <w:b/>
      <w:color w:val="FFFFFF" w:themeColor="background1"/>
      <w:sz w:val="18"/>
      <w:szCs w:val="17"/>
    </w:rPr>
  </w:style>
  <w:style w:type="paragraph" w:customStyle="1" w:styleId="Tabletext">
    <w:name w:val="Table text"/>
    <w:basedOn w:val="Normal"/>
    <w:qFormat/>
    <w:rsid w:val="001F2C81"/>
    <w:pPr>
      <w:spacing w:before="60" w:after="60"/>
    </w:pPr>
    <w:rPr>
      <w:rFonts w:ascii="Calibri" w:eastAsia="Meiryo" w:hAnsi="Calibri" w:cs="DIN-Regular"/>
      <w:color w:val="000000"/>
      <w:sz w:val="18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ACFEB Gifts benefits and hospitality public register 2017-18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902E4-1FAA-427C-9ACD-7407B538C191}">
  <ds:schemaRefs>
    <ds:schemaRef ds:uri="http://schemas.microsoft.com/office/2006/metadata/properties"/>
    <ds:schemaRef ds:uri="http://schemas.microsoft.com/office/infopath/2007/PartnerControls"/>
    <ds:schemaRef ds:uri="364123dc-505d-4420-ba46-755d10439c57"/>
  </ds:schemaRefs>
</ds:datastoreItem>
</file>

<file path=customXml/itemProps2.xml><?xml version="1.0" encoding="utf-8"?>
<ds:datastoreItem xmlns:ds="http://schemas.openxmlformats.org/officeDocument/2006/customXml" ds:itemID="{60BDC835-0FD8-4E3C-93E6-0C8780E97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E779A-49AE-4509-B6C4-4E9284B66CD3}"/>
</file>

<file path=customXml/itemProps4.xml><?xml version="1.0" encoding="utf-8"?>
<ds:datastoreItem xmlns:ds="http://schemas.openxmlformats.org/officeDocument/2006/customXml" ds:itemID="{7B55AE29-7E95-4199-BF5D-E6576405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Bourgois, Nathalie N</dc:creator>
  <cp:keywords/>
  <dc:description/>
  <cp:lastModifiedBy>Brun, Valeria V</cp:lastModifiedBy>
  <cp:revision>3</cp:revision>
  <cp:lastPrinted>2018-07-24T02:27:00Z</cp:lastPrinted>
  <dcterms:created xsi:type="dcterms:W3CDTF">2019-12-17T23:38:00Z</dcterms:created>
  <dcterms:modified xsi:type="dcterms:W3CDTF">2019-12-17T23:42:00Z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DET_EDRMS_RCSTaxHTField0">
    <vt:lpwstr>13.3.2 Agency Procedures Development|229a67ae-1fec-46d6-a277-bd43dbd1d37e</vt:lpwstr>
  </property>
  <property fmtid="{D5CDD505-2E9C-101B-9397-08002B2CF9AE}" pid="8" name="DET_EDRMS_RCS">
    <vt:lpwstr>12;#13.3.2 Agency Procedures Development|229a67ae-1fec-46d6-a277-bd43dbd1d37e</vt:lpwstr>
  </property>
  <property fmtid="{D5CDD505-2E9C-101B-9397-08002B2CF9AE}" pid="9" name="DET_EDRMS_BusUnitTaxHTField0">
    <vt:lpwstr/>
  </property>
  <property fmtid="{D5CDD505-2E9C-101B-9397-08002B2CF9AE}" pid="10" name="TaxCatchAll">
    <vt:lpwstr>12;#13.3.2 Agency Procedures Development|229a67ae-1fec-46d6-a277-bd43dbd1d37e</vt:lpwstr>
  </property>
  <property fmtid="{D5CDD505-2E9C-101B-9397-08002B2CF9AE}" pid="11" name="DET_EDRMS_SecClassTaxHTField0">
    <vt:lpwstr/>
  </property>
  <property fmtid="{D5CDD505-2E9C-101B-9397-08002B2CF9AE}" pid="12" name="DET_EDRMS_BusUnit">
    <vt:lpwstr/>
  </property>
  <property fmtid="{D5CDD505-2E9C-101B-9397-08002B2CF9AE}" pid="13" name="DET_EDRMS_SecClass">
    <vt:lpwstr/>
  </property>
  <property fmtid="{D5CDD505-2E9C-101B-9397-08002B2CF9AE}" pid="14" name="Governance">
    <vt:lpwstr>;#Policy;#Risk;#</vt:lpwstr>
  </property>
  <property fmtid="{D5CDD505-2E9C-101B-9397-08002B2CF9AE}" pid="15" name="_docset_NoMedatataSyncRequired">
    <vt:lpwstr>False</vt:lpwstr>
  </property>
</Properties>
</file>