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1640" w14:textId="14E194B6" w:rsidR="00DC3FD4" w:rsidRPr="00DC3FD4" w:rsidRDefault="006577DF" w:rsidP="00B3462A">
      <w:pPr>
        <w:rPr>
          <w:lang w:val="en-AU"/>
        </w:rPr>
      </w:pPr>
      <w:r w:rsidRPr="00DC3FD4">
        <w:rPr>
          <w:rFonts w:asciiTheme="majorHAnsi" w:eastAsiaTheme="majorEastAsia" w:hAnsiTheme="majorHAnsi" w:cs="Times New Roman (Headings CS)"/>
          <w:b/>
          <w:color w:val="00B2A8" w:themeColor="accent1"/>
          <w:sz w:val="48"/>
          <w:szCs w:val="32"/>
          <w:lang w:val="en-AU"/>
        </w:rPr>
        <w:t>Understanding skill sets</w:t>
      </w:r>
    </w:p>
    <w:p w14:paraId="051E01B2" w14:textId="7291D304" w:rsidR="00470A9F" w:rsidRPr="00D77DBD" w:rsidRDefault="0052190C" w:rsidP="00B3462A">
      <w:pPr>
        <w:pStyle w:val="Intro"/>
        <w:rPr>
          <w:lang w:val="en-US"/>
        </w:rPr>
      </w:pPr>
      <w:r>
        <w:t>This fact sheet explains arrangements for</w:t>
      </w:r>
      <w:r w:rsidR="00E633E8">
        <w:t xml:space="preserve"> delivering skill sets under</w:t>
      </w:r>
      <w:r>
        <w:t xml:space="preserve"> Skills Firs</w:t>
      </w:r>
      <w:r w:rsidR="008C6B2B">
        <w:t>t</w:t>
      </w:r>
    </w:p>
    <w:p w14:paraId="76AE9110" w14:textId="77777777" w:rsidR="00716F2E" w:rsidRDefault="00716F2E" w:rsidP="00B3462A">
      <w:pPr>
        <w:sectPr w:rsidR="00716F2E" w:rsidSect="007A1069">
          <w:headerReference w:type="default" r:id="rId12"/>
          <w:footerReference w:type="even" r:id="rId13"/>
          <w:footerReference w:type="default" r:id="rId14"/>
          <w:pgSz w:w="11900" w:h="16840"/>
          <w:pgMar w:top="2155" w:right="1134" w:bottom="1701" w:left="1134" w:header="680" w:footer="510" w:gutter="0"/>
          <w:cols w:space="708"/>
          <w:docGrid w:linePitch="360"/>
        </w:sectPr>
      </w:pPr>
    </w:p>
    <w:p w14:paraId="3F5C2602" w14:textId="77777777" w:rsidR="00716F2E" w:rsidRDefault="00716F2E" w:rsidP="00716F2E">
      <w:pPr>
        <w:pStyle w:val="Heading2"/>
      </w:pPr>
      <w:r>
        <w:t>Background</w:t>
      </w:r>
    </w:p>
    <w:p w14:paraId="6B33B4F8" w14:textId="3D2CFED6" w:rsidR="00470A9F" w:rsidRPr="00EB3309" w:rsidRDefault="000E27E7" w:rsidP="00157692">
      <w:r>
        <w:t>We may fund skills sets</w:t>
      </w:r>
      <w:r w:rsidR="004355C8">
        <w:t xml:space="preserve"> under Skills First in the form of</w:t>
      </w:r>
      <w:r w:rsidR="00470A9F" w:rsidRPr="00EB3309">
        <w:t>:</w:t>
      </w:r>
    </w:p>
    <w:p w14:paraId="39B28DD9" w14:textId="6F75B133" w:rsidR="00470A9F" w:rsidRPr="00EB3309" w:rsidRDefault="00470A9F" w:rsidP="00B26750">
      <w:pPr>
        <w:pStyle w:val="ListParagraph"/>
        <w:numPr>
          <w:ilvl w:val="0"/>
          <w:numId w:val="24"/>
        </w:numPr>
        <w:spacing w:after="80" w:line="240" w:lineRule="auto"/>
        <w:ind w:left="357" w:hanging="357"/>
        <w:contextualSpacing w:val="0"/>
      </w:pPr>
      <w:r w:rsidRPr="00EB3309">
        <w:t>an accredited course with the title ‘</w:t>
      </w:r>
      <w:r w:rsidR="00165DAB">
        <w:t>c</w:t>
      </w:r>
      <w:r w:rsidRPr="00EB3309">
        <w:t xml:space="preserve">ourse in…’ </w:t>
      </w:r>
      <w:r w:rsidRPr="001B5AAE">
        <w:t xml:space="preserve">(a </w:t>
      </w:r>
      <w:r w:rsidR="00165DAB">
        <w:t>c</w:t>
      </w:r>
      <w:r w:rsidRPr="001B5AAE">
        <w:t xml:space="preserve">ourse </w:t>
      </w:r>
      <w:r w:rsidR="00165DAB">
        <w:t>i</w:t>
      </w:r>
      <w:r w:rsidRPr="001B5AAE">
        <w:t>n)</w:t>
      </w:r>
    </w:p>
    <w:p w14:paraId="11F88C23" w14:textId="7407B370" w:rsidR="00470A9F" w:rsidRPr="00EB3309" w:rsidRDefault="00470A9F" w:rsidP="00B26750">
      <w:pPr>
        <w:pStyle w:val="ListParagraph"/>
        <w:numPr>
          <w:ilvl w:val="0"/>
          <w:numId w:val="24"/>
        </w:numPr>
        <w:spacing w:after="80" w:line="240" w:lineRule="auto"/>
        <w:ind w:left="357" w:hanging="357"/>
        <w:contextualSpacing w:val="0"/>
      </w:pPr>
      <w:r w:rsidRPr="00EB3309">
        <w:t xml:space="preserve">a nationally recognised </w:t>
      </w:r>
      <w:r>
        <w:t xml:space="preserve">skill set from a </w:t>
      </w:r>
      <w:r w:rsidR="00165DAB">
        <w:t>training package</w:t>
      </w:r>
    </w:p>
    <w:p w14:paraId="0724C714" w14:textId="77777777" w:rsidR="00470A9F" w:rsidRPr="00EB3309" w:rsidRDefault="00470A9F" w:rsidP="00B26750">
      <w:pPr>
        <w:pStyle w:val="ListParagraph"/>
        <w:numPr>
          <w:ilvl w:val="0"/>
          <w:numId w:val="24"/>
        </w:numPr>
        <w:spacing w:after="80" w:line="240" w:lineRule="auto"/>
        <w:ind w:left="357" w:hanging="357"/>
        <w:contextualSpacing w:val="0"/>
      </w:pPr>
      <w:r w:rsidRPr="00EB3309">
        <w:t>a</w:t>
      </w:r>
      <w:r>
        <w:t>n accredited</w:t>
      </w:r>
      <w:r w:rsidRPr="00EB3309">
        <w:t xml:space="preserve"> single subject</w:t>
      </w:r>
    </w:p>
    <w:p w14:paraId="28F5EBC3" w14:textId="667BD4E8" w:rsidR="00470A9F" w:rsidRPr="00EB3309" w:rsidRDefault="00470A9F" w:rsidP="00B26750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</w:pPr>
      <w:r w:rsidRPr="00EB3309">
        <w:t xml:space="preserve">a group of </w:t>
      </w:r>
      <w:r>
        <w:t xml:space="preserve">accredited </w:t>
      </w:r>
      <w:r w:rsidRPr="00EB3309">
        <w:t>subjects approved by the Department</w:t>
      </w:r>
      <w:r>
        <w:t xml:space="preserve"> of Education and Training (the </w:t>
      </w:r>
      <w:r w:rsidR="00165DAB">
        <w:t>department</w:t>
      </w:r>
      <w:r>
        <w:t>)</w:t>
      </w:r>
      <w:r w:rsidRPr="00EB3309">
        <w:t>.  </w:t>
      </w:r>
    </w:p>
    <w:p w14:paraId="01F1E864" w14:textId="5BA40C8D" w:rsidR="00A72B99" w:rsidRDefault="00A72B99" w:rsidP="00157692">
      <w:r w:rsidRPr="00C736FB">
        <w:t xml:space="preserve">All skill sets funded under Skills First are in the </w:t>
      </w:r>
      <w:r w:rsidR="008F47A1">
        <w:t>f</w:t>
      </w:r>
      <w:r w:rsidRPr="00C736FB">
        <w:t xml:space="preserve">unded </w:t>
      </w:r>
      <w:r w:rsidR="008F47A1">
        <w:t>p</w:t>
      </w:r>
      <w:r w:rsidRPr="00C736FB">
        <w:t>rogram</w:t>
      </w:r>
      <w:r w:rsidR="006D1314">
        <w:t>s</w:t>
      </w:r>
      <w:r w:rsidRPr="00C736FB">
        <w:t xml:space="preserve"> </w:t>
      </w:r>
      <w:r w:rsidR="008F47A1">
        <w:t>r</w:t>
      </w:r>
      <w:r w:rsidRPr="00C736FB">
        <w:t>eport and are marked as skill sets in the ‘</w:t>
      </w:r>
      <w:r w:rsidR="008F47A1">
        <w:t>p</w:t>
      </w:r>
      <w:r w:rsidRPr="00C736FB">
        <w:t xml:space="preserve">rogram </w:t>
      </w:r>
      <w:r w:rsidR="008F47A1">
        <w:t>t</w:t>
      </w:r>
      <w:r w:rsidRPr="00C736FB">
        <w:t>ype’ column</w:t>
      </w:r>
      <w:r>
        <w:t>.</w:t>
      </w:r>
    </w:p>
    <w:p w14:paraId="3A38E021" w14:textId="55D01DF5" w:rsidR="00470A9F" w:rsidRPr="002D378B" w:rsidRDefault="00723B4A" w:rsidP="00157692">
      <w:pPr>
        <w:pStyle w:val="Heading2"/>
      </w:pPr>
      <w:r>
        <w:t>Purpose of skill sets</w:t>
      </w:r>
    </w:p>
    <w:p w14:paraId="65915AEE" w14:textId="09A72CF8" w:rsidR="00470A9F" w:rsidRPr="00DD5450" w:rsidRDefault="00470A9F" w:rsidP="00157692">
      <w:r>
        <w:t>Skill set</w:t>
      </w:r>
      <w:r w:rsidRPr="00CF3F07">
        <w:t xml:space="preserve">s complement </w:t>
      </w:r>
      <w:r w:rsidR="00D26DF4">
        <w:t>AQF</w:t>
      </w:r>
      <w:r w:rsidR="00D26DF4" w:rsidRPr="00CF3F07">
        <w:t xml:space="preserve"> </w:t>
      </w:r>
      <w:r w:rsidRPr="00CF3F07">
        <w:t xml:space="preserve">qualifications. </w:t>
      </w:r>
      <w:r w:rsidR="00A00EF8">
        <w:t>They can</w:t>
      </w:r>
      <w:r w:rsidRPr="00DD5450">
        <w:t xml:space="preserve"> benefit students by giving them: </w:t>
      </w:r>
    </w:p>
    <w:p w14:paraId="145A59D2" w14:textId="296AC14B" w:rsidR="00470A9F" w:rsidRPr="00DD5450" w:rsidRDefault="00470A9F" w:rsidP="00B26750">
      <w:pPr>
        <w:pStyle w:val="ListParagraph"/>
        <w:numPr>
          <w:ilvl w:val="0"/>
          <w:numId w:val="19"/>
        </w:numPr>
        <w:spacing w:after="80" w:line="240" w:lineRule="auto"/>
        <w:ind w:left="357" w:hanging="357"/>
        <w:contextualSpacing w:val="0"/>
      </w:pPr>
      <w:r w:rsidRPr="00DD5450">
        <w:t xml:space="preserve">training pathways to </w:t>
      </w:r>
      <w:r w:rsidR="007556A6">
        <w:t>AQF</w:t>
      </w:r>
      <w:r w:rsidR="007556A6" w:rsidRPr="00DD5450">
        <w:t xml:space="preserve"> </w:t>
      </w:r>
      <w:r w:rsidRPr="00DD5450">
        <w:t xml:space="preserve">qualifications </w:t>
      </w:r>
    </w:p>
    <w:p w14:paraId="69347C58" w14:textId="6C0B5A2F" w:rsidR="00470A9F" w:rsidRDefault="00470A9F" w:rsidP="00B26750">
      <w:pPr>
        <w:pStyle w:val="ListParagraph"/>
        <w:numPr>
          <w:ilvl w:val="0"/>
          <w:numId w:val="19"/>
        </w:numPr>
        <w:spacing w:after="80" w:line="240" w:lineRule="auto"/>
        <w:ind w:left="357" w:hanging="357"/>
        <w:contextualSpacing w:val="0"/>
      </w:pPr>
      <w:r>
        <w:t>specific</w:t>
      </w:r>
      <w:r w:rsidRPr="00DD5450">
        <w:t xml:space="preserve"> skills and general capabilities</w:t>
      </w:r>
    </w:p>
    <w:p w14:paraId="0A8F9E2F" w14:textId="63859BFA" w:rsidR="00B71417" w:rsidRPr="00DD5450" w:rsidRDefault="00B71417" w:rsidP="00B26750">
      <w:pPr>
        <w:pStyle w:val="ListParagraph"/>
        <w:numPr>
          <w:ilvl w:val="0"/>
          <w:numId w:val="19"/>
        </w:numPr>
        <w:spacing w:after="80" w:line="240" w:lineRule="auto"/>
        <w:ind w:left="357" w:hanging="357"/>
        <w:contextualSpacing w:val="0"/>
      </w:pPr>
      <w:r>
        <w:t>reskilling</w:t>
      </w:r>
      <w:r w:rsidR="00D8077E">
        <w:t xml:space="preserve"> to meet the needs of a rapidly changing economy</w:t>
      </w:r>
    </w:p>
    <w:p w14:paraId="1D931882" w14:textId="77777777" w:rsidR="00470A9F" w:rsidRPr="00DD5450" w:rsidRDefault="00470A9F" w:rsidP="00B26750">
      <w:pPr>
        <w:pStyle w:val="ListParagraph"/>
        <w:numPr>
          <w:ilvl w:val="0"/>
          <w:numId w:val="19"/>
        </w:numPr>
        <w:spacing w:after="120" w:line="240" w:lineRule="auto"/>
        <w:ind w:left="357" w:hanging="357"/>
        <w:contextualSpacing w:val="0"/>
      </w:pPr>
      <w:r w:rsidRPr="00DD5450">
        <w:t xml:space="preserve">more career opportunities within their workplace and between employers. </w:t>
      </w:r>
    </w:p>
    <w:p w14:paraId="758FD9D3" w14:textId="0218F13A" w:rsidR="00470A9F" w:rsidRPr="002B770A" w:rsidRDefault="00723B4A" w:rsidP="00157692">
      <w:pPr>
        <w:pStyle w:val="Heading2"/>
      </w:pPr>
      <w:r>
        <w:t>Allocations</w:t>
      </w:r>
    </w:p>
    <w:p w14:paraId="5779CEAB" w14:textId="6785B4F2" w:rsidR="00470A9F" w:rsidRDefault="00470A9F" w:rsidP="0085218D">
      <w:r w:rsidRPr="00742963">
        <w:t xml:space="preserve">Your </w:t>
      </w:r>
      <w:r w:rsidR="00165DAB">
        <w:t>c</w:t>
      </w:r>
      <w:r w:rsidRPr="00742963">
        <w:t xml:space="preserve">ommencement </w:t>
      </w:r>
      <w:r w:rsidR="00165DAB">
        <w:t>a</w:t>
      </w:r>
      <w:r w:rsidRPr="00742963">
        <w:t xml:space="preserve">llocation </w:t>
      </w:r>
      <w:r w:rsidR="000E26B1" w:rsidRPr="00F52C0D">
        <w:rPr>
          <w:rFonts w:ascii="Arial" w:eastAsia="Arial" w:hAnsi="Arial" w:cs="Times New Roman"/>
          <w:lang w:val="en-US"/>
        </w:rPr>
        <w:t>is</w:t>
      </w:r>
      <w:r w:rsidR="000E26B1" w:rsidRPr="00F52C0D">
        <w:rPr>
          <w:rFonts w:ascii="Arial" w:eastAsia="Times New Roman" w:hAnsi="Arial" w:cs="Times New Roman"/>
        </w:rPr>
        <w:t xml:space="preserve"> separated into </w:t>
      </w:r>
      <w:r w:rsidR="0085218D">
        <w:rPr>
          <w:rFonts w:ascii="Arial" w:eastAsia="Times New Roman" w:hAnsi="Arial" w:cs="Times New Roman"/>
        </w:rPr>
        <w:t>2</w:t>
      </w:r>
      <w:r w:rsidR="000E26B1" w:rsidRPr="00F52C0D">
        <w:rPr>
          <w:rFonts w:ascii="Arial" w:eastAsia="Times New Roman" w:hAnsi="Arial" w:cs="Times New Roman"/>
        </w:rPr>
        <w:t xml:space="preserve"> parts – commencements for </w:t>
      </w:r>
      <w:r w:rsidR="006E62F6">
        <w:rPr>
          <w:rFonts w:ascii="Arial" w:eastAsia="Times New Roman" w:hAnsi="Arial" w:cs="Times New Roman"/>
        </w:rPr>
        <w:t>AQF</w:t>
      </w:r>
      <w:r w:rsidR="006E62F6" w:rsidRPr="00F52C0D">
        <w:rPr>
          <w:rFonts w:ascii="Arial" w:eastAsia="Times New Roman" w:hAnsi="Arial" w:cs="Times New Roman"/>
        </w:rPr>
        <w:t xml:space="preserve"> qualifications</w:t>
      </w:r>
      <w:r w:rsidR="000E26B1" w:rsidRPr="00F52C0D">
        <w:rPr>
          <w:rFonts w:ascii="Arial" w:eastAsia="Times New Roman" w:hAnsi="Arial" w:cs="Times New Roman"/>
        </w:rPr>
        <w:t xml:space="preserve"> and commencements for skill sets.</w:t>
      </w:r>
      <w:r w:rsidR="00C736FB" w:rsidRPr="00742963">
        <w:t xml:space="preserve"> This is documented </w:t>
      </w:r>
      <w:r w:rsidR="007556A6" w:rsidRPr="00742963">
        <w:t xml:space="preserve">in your </w:t>
      </w:r>
      <w:r w:rsidR="00165DAB">
        <w:t>s</w:t>
      </w:r>
      <w:r w:rsidR="007556A6" w:rsidRPr="00742963">
        <w:t xml:space="preserve">chedule 2 – </w:t>
      </w:r>
      <w:r w:rsidR="00165DAB">
        <w:t>i</w:t>
      </w:r>
      <w:r w:rsidR="007556A6" w:rsidRPr="00742963">
        <w:t xml:space="preserve">ndividual </w:t>
      </w:r>
      <w:r w:rsidR="00165DAB">
        <w:t>d</w:t>
      </w:r>
      <w:r w:rsidR="007556A6" w:rsidRPr="00742963">
        <w:t xml:space="preserve">etails and </w:t>
      </w:r>
      <w:r w:rsidR="00165DAB">
        <w:t>c</w:t>
      </w:r>
      <w:r w:rsidR="007556A6" w:rsidRPr="00742963">
        <w:t>onditions</w:t>
      </w:r>
      <w:r w:rsidR="00742963">
        <w:t>.</w:t>
      </w:r>
    </w:p>
    <w:p w14:paraId="76FA4B9C" w14:textId="54BD2660" w:rsidR="00470A9F" w:rsidRDefault="00993BC6" w:rsidP="00157692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Managing your </w:t>
      </w:r>
      <w:r w:rsidR="00165DAB">
        <w:rPr>
          <w:rFonts w:eastAsia="Times New Roman"/>
        </w:rPr>
        <w:t>a</w:t>
      </w:r>
      <w:r w:rsidR="00470A9F">
        <w:rPr>
          <w:rFonts w:eastAsia="Times New Roman"/>
        </w:rPr>
        <w:t>llocation</w:t>
      </w:r>
    </w:p>
    <w:p w14:paraId="077A3152" w14:textId="452B06C9" w:rsidR="00EC557D" w:rsidRDefault="006E62F6" w:rsidP="00157692">
      <w:r>
        <w:rPr>
          <w:lang w:val="en-US"/>
        </w:rPr>
        <w:t>Delivering</w:t>
      </w:r>
      <w:r w:rsidR="00470A9F" w:rsidRPr="00EE07EE">
        <w:rPr>
          <w:lang w:val="en-US"/>
        </w:rPr>
        <w:t xml:space="preserve"> </w:t>
      </w:r>
      <w:r w:rsidR="00470A9F">
        <w:rPr>
          <w:lang w:val="en-US"/>
        </w:rPr>
        <w:t>skill set</w:t>
      </w:r>
      <w:r w:rsidR="00470A9F" w:rsidRPr="00EE07EE">
        <w:rPr>
          <w:lang w:val="en-US"/>
        </w:rPr>
        <w:t xml:space="preserve">s </w:t>
      </w:r>
      <w:r w:rsidR="007A1069">
        <w:rPr>
          <w:lang w:val="en-US"/>
        </w:rPr>
        <w:t>won’</w:t>
      </w:r>
      <w:r w:rsidR="00470A9F" w:rsidRPr="00EE07EE">
        <w:rPr>
          <w:lang w:val="en-US"/>
        </w:rPr>
        <w:t xml:space="preserve">t count towards your commencements for </w:t>
      </w:r>
      <w:r w:rsidR="00D26DF4">
        <w:rPr>
          <w:lang w:val="en-US"/>
        </w:rPr>
        <w:t>AQF</w:t>
      </w:r>
      <w:r w:rsidR="00D26DF4" w:rsidRPr="00EE07EE">
        <w:rPr>
          <w:lang w:val="en-US"/>
        </w:rPr>
        <w:t xml:space="preserve"> </w:t>
      </w:r>
      <w:r w:rsidR="00470A9F" w:rsidRPr="00EE07EE">
        <w:rPr>
          <w:lang w:val="en-US"/>
        </w:rPr>
        <w:t>qualifications, and vice versa.</w:t>
      </w:r>
      <w:r w:rsidR="007A1069">
        <w:rPr>
          <w:lang w:val="en-US"/>
        </w:rPr>
        <w:t xml:space="preserve"> </w:t>
      </w:r>
      <w:proofErr w:type="gramStart"/>
      <w:r w:rsidR="007A1069">
        <w:rPr>
          <w:lang w:val="en-US"/>
        </w:rPr>
        <w:t>And,</w:t>
      </w:r>
      <w:proofErr w:type="gramEnd"/>
      <w:r w:rsidR="007A1069">
        <w:rPr>
          <w:lang w:val="en-US"/>
        </w:rPr>
        <w:t xml:space="preserve"> y</w:t>
      </w:r>
      <w:proofErr w:type="spellStart"/>
      <w:r w:rsidR="00470A9F" w:rsidRPr="00C829C6">
        <w:t>ou</w:t>
      </w:r>
      <w:proofErr w:type="spellEnd"/>
      <w:r w:rsidR="00470A9F" w:rsidRPr="00C829C6">
        <w:t xml:space="preserve"> can</w:t>
      </w:r>
      <w:r w:rsidR="00723B4A">
        <w:t>’</w:t>
      </w:r>
      <w:r w:rsidR="00470A9F" w:rsidRPr="00C829C6">
        <w:t xml:space="preserve">t </w:t>
      </w:r>
      <w:r w:rsidR="00723B4A">
        <w:t>use your</w:t>
      </w:r>
      <w:r w:rsidR="00470A9F" w:rsidRPr="00C829C6">
        <w:t xml:space="preserve"> commencements </w:t>
      </w:r>
      <w:r w:rsidR="00723B4A">
        <w:t>for</w:t>
      </w:r>
      <w:r w:rsidR="00470A9F" w:rsidRPr="00C829C6">
        <w:t xml:space="preserve"> </w:t>
      </w:r>
      <w:r w:rsidR="00D26DF4">
        <w:t>AQF</w:t>
      </w:r>
      <w:r w:rsidR="00D26DF4" w:rsidRPr="00C829C6">
        <w:t xml:space="preserve"> </w:t>
      </w:r>
      <w:r w:rsidR="00470A9F" w:rsidRPr="00C829C6">
        <w:t xml:space="preserve">qualifications for </w:t>
      </w:r>
      <w:r w:rsidR="00470A9F">
        <w:t>skill set</w:t>
      </w:r>
      <w:r w:rsidR="00470A9F" w:rsidRPr="00C829C6">
        <w:t xml:space="preserve">s, or vice versa. </w:t>
      </w:r>
    </w:p>
    <w:p w14:paraId="6800CFB8" w14:textId="1B211EDC" w:rsidR="00470A9F" w:rsidRDefault="007A1069" w:rsidP="00157692">
      <w:pPr>
        <w:rPr>
          <w:lang w:val="en-US"/>
        </w:rPr>
      </w:pPr>
      <w:r>
        <w:rPr>
          <w:lang w:val="en-US"/>
        </w:rPr>
        <w:br w:type="column"/>
      </w:r>
      <w:r>
        <w:rPr>
          <w:lang w:val="en-US"/>
        </w:rPr>
        <w:t>U</w:t>
      </w:r>
      <w:r w:rsidR="00470A9F" w:rsidRPr="00C829C6">
        <w:rPr>
          <w:lang w:val="en-US"/>
        </w:rPr>
        <w:t xml:space="preserve">se SVTS to track how many commencements you’ve used. </w:t>
      </w:r>
      <w:r w:rsidR="00993BC6">
        <w:t>Click on Contracts &gt; Contract Commencement Allocations.</w:t>
      </w:r>
    </w:p>
    <w:p w14:paraId="17F38B15" w14:textId="3398FAB5" w:rsidR="00C736FB" w:rsidRDefault="00C736FB" w:rsidP="00157692">
      <w:pPr>
        <w:pStyle w:val="Heading3"/>
        <w:rPr>
          <w:lang w:val="en-US"/>
        </w:rPr>
      </w:pPr>
      <w:r>
        <w:rPr>
          <w:lang w:val="en-US"/>
        </w:rPr>
        <w:t xml:space="preserve">Additional allocations and additions to </w:t>
      </w:r>
      <w:r w:rsidR="00165DAB">
        <w:rPr>
          <w:lang w:val="en-US"/>
        </w:rPr>
        <w:t>f</w:t>
      </w:r>
      <w:r>
        <w:rPr>
          <w:lang w:val="en-US"/>
        </w:rPr>
        <w:t xml:space="preserve">unded </w:t>
      </w:r>
      <w:r w:rsidR="00165DAB">
        <w:rPr>
          <w:lang w:val="en-US"/>
        </w:rPr>
        <w:t>s</w:t>
      </w:r>
      <w:r>
        <w:rPr>
          <w:lang w:val="en-US"/>
        </w:rPr>
        <w:t>cope</w:t>
      </w:r>
    </w:p>
    <w:p w14:paraId="40FD2E7C" w14:textId="59AA40FB" w:rsidR="006E62F6" w:rsidRDefault="006E62F6" w:rsidP="00157692">
      <w:pPr>
        <w:rPr>
          <w:lang w:val="en-US"/>
        </w:rPr>
      </w:pPr>
      <w:r>
        <w:rPr>
          <w:lang w:val="en-US"/>
        </w:rPr>
        <w:t>We may offer you the</w:t>
      </w:r>
      <w:r w:rsidR="00C736FB">
        <w:rPr>
          <w:lang w:val="en-US"/>
        </w:rPr>
        <w:t xml:space="preserve"> opportunity to </w:t>
      </w:r>
      <w:r w:rsidR="00C736FB" w:rsidRPr="007227DA">
        <w:rPr>
          <w:lang w:val="en-US"/>
        </w:rPr>
        <w:t xml:space="preserve">apply for </w:t>
      </w:r>
      <w:r w:rsidR="001F7E1B">
        <w:rPr>
          <w:lang w:val="en-US"/>
        </w:rPr>
        <w:t xml:space="preserve">increased </w:t>
      </w:r>
      <w:r w:rsidR="00C736FB">
        <w:rPr>
          <w:lang w:val="en-US"/>
        </w:rPr>
        <w:t xml:space="preserve">allocations and </w:t>
      </w:r>
      <w:r w:rsidR="00C736FB" w:rsidRPr="007227DA">
        <w:rPr>
          <w:lang w:val="en-US"/>
        </w:rPr>
        <w:t>addition</w:t>
      </w:r>
      <w:r w:rsidR="00C736FB">
        <w:rPr>
          <w:lang w:val="en-US"/>
        </w:rPr>
        <w:t>s</w:t>
      </w:r>
      <w:r w:rsidR="00C736FB" w:rsidRPr="007227DA">
        <w:rPr>
          <w:lang w:val="en-US"/>
        </w:rPr>
        <w:t xml:space="preserve"> to your </w:t>
      </w:r>
      <w:r w:rsidR="006F59F8">
        <w:rPr>
          <w:lang w:val="en-US"/>
        </w:rPr>
        <w:t>f</w:t>
      </w:r>
      <w:r w:rsidR="00C736FB" w:rsidRPr="007227DA">
        <w:rPr>
          <w:lang w:val="en-US"/>
        </w:rPr>
        <w:t xml:space="preserve">unded </w:t>
      </w:r>
      <w:r w:rsidR="006F59F8">
        <w:rPr>
          <w:lang w:val="en-US"/>
        </w:rPr>
        <w:t>s</w:t>
      </w:r>
      <w:r w:rsidR="00C736FB" w:rsidRPr="007227DA">
        <w:rPr>
          <w:lang w:val="en-US"/>
        </w:rPr>
        <w:t>cope</w:t>
      </w:r>
      <w:r w:rsidR="00C736FB">
        <w:rPr>
          <w:lang w:val="en-US"/>
        </w:rPr>
        <w:t xml:space="preserve"> during 2022</w:t>
      </w:r>
      <w:r>
        <w:rPr>
          <w:lang w:val="en-US"/>
        </w:rPr>
        <w:t xml:space="preserve">. </w:t>
      </w:r>
    </w:p>
    <w:p w14:paraId="7370B06F" w14:textId="77777777" w:rsidR="00D90658" w:rsidRDefault="006E62F6" w:rsidP="00D90658">
      <w:pPr>
        <w:rPr>
          <w:lang w:val="en-US"/>
        </w:rPr>
      </w:pPr>
      <w:r>
        <w:rPr>
          <w:lang w:val="en-US"/>
        </w:rPr>
        <w:t>This depends on</w:t>
      </w:r>
      <w:r w:rsidR="00C736FB" w:rsidRPr="007227DA">
        <w:rPr>
          <w:lang w:val="en-US"/>
        </w:rPr>
        <w:t xml:space="preserve"> the state’s training needs. </w:t>
      </w:r>
      <w:r w:rsidR="00C736FB">
        <w:rPr>
          <w:lang w:val="en-US"/>
        </w:rPr>
        <w:t xml:space="preserve">We will advise you </w:t>
      </w:r>
      <w:r w:rsidR="00D345B6">
        <w:rPr>
          <w:lang w:val="en-US"/>
        </w:rPr>
        <w:t xml:space="preserve">about </w:t>
      </w:r>
      <w:r w:rsidR="00C736FB">
        <w:t>such opportunities via SVTS.</w:t>
      </w:r>
    </w:p>
    <w:p w14:paraId="10A5005A" w14:textId="676F1F1F" w:rsidR="002546FD" w:rsidRPr="00B3462A" w:rsidRDefault="00C736FB" w:rsidP="001B4B2D">
      <w:pPr>
        <w:pStyle w:val="Heading3"/>
      </w:pPr>
      <w:r w:rsidRPr="00B3462A">
        <w:t xml:space="preserve">Literacy and </w:t>
      </w:r>
      <w:r w:rsidR="00165DAB" w:rsidRPr="00B3462A">
        <w:t>n</w:t>
      </w:r>
      <w:r w:rsidRPr="00B3462A">
        <w:t xml:space="preserve">umeracy </w:t>
      </w:r>
      <w:r w:rsidR="00165DAB" w:rsidRPr="00B3462A">
        <w:t>s</w:t>
      </w:r>
      <w:r w:rsidRPr="00B3462A">
        <w:t xml:space="preserve">upport </w:t>
      </w:r>
      <w:r w:rsidR="00165DAB" w:rsidRPr="00B3462A">
        <w:t>p</w:t>
      </w:r>
      <w:r w:rsidRPr="00B3462A">
        <w:t xml:space="preserve">rogram </w:t>
      </w:r>
    </w:p>
    <w:p w14:paraId="250B45AD" w14:textId="6CFD535F" w:rsidR="002546FD" w:rsidRDefault="00864EAC" w:rsidP="00157692">
      <w:r>
        <w:t>Under this program, you can offer</w:t>
      </w:r>
      <w:r w:rsidR="002546FD" w:rsidRPr="008F6482">
        <w:t xml:space="preserve"> customised bundle</w:t>
      </w:r>
      <w:r>
        <w:t>s</w:t>
      </w:r>
      <w:r w:rsidR="002546FD" w:rsidRPr="008F6482">
        <w:t xml:space="preserve"> of </w:t>
      </w:r>
      <w:r>
        <w:t xml:space="preserve">literacy and numeracy support </w:t>
      </w:r>
      <w:r w:rsidR="002546FD" w:rsidRPr="008F6482">
        <w:t xml:space="preserve">units </w:t>
      </w:r>
      <w:r w:rsidR="002546FD">
        <w:t>(</w:t>
      </w:r>
      <w:r w:rsidR="002546FD" w:rsidRPr="008F6482">
        <w:t xml:space="preserve">like a </w:t>
      </w:r>
      <w:r w:rsidR="002546FD">
        <w:t>skill set)</w:t>
      </w:r>
      <w:r>
        <w:t>. However</w:t>
      </w:r>
      <w:r w:rsidR="002546FD" w:rsidRPr="008F6482">
        <w:t xml:space="preserve">, </w:t>
      </w:r>
      <w:r w:rsidR="003B70E4">
        <w:t>training reported under the ‘LNSUPPORT’ course code isn’t</w:t>
      </w:r>
      <w:r w:rsidR="002546FD">
        <w:t xml:space="preserve"> </w:t>
      </w:r>
      <w:r w:rsidR="00C736FB">
        <w:t>considered a skill set</w:t>
      </w:r>
      <w:r w:rsidR="002546FD" w:rsidRPr="008F6482">
        <w:t xml:space="preserve"> and </w:t>
      </w:r>
      <w:r w:rsidR="002546FD">
        <w:t>does</w:t>
      </w:r>
      <w:r>
        <w:t>n</w:t>
      </w:r>
      <w:r w:rsidR="003B70E4">
        <w:t>’</w:t>
      </w:r>
      <w:r>
        <w:t>t</w:t>
      </w:r>
      <w:r w:rsidR="002546FD">
        <w:t xml:space="preserve"> count towards</w:t>
      </w:r>
      <w:r w:rsidR="002546FD" w:rsidRPr="008F6482">
        <w:t xml:space="preserve"> your </w:t>
      </w:r>
      <w:r w:rsidR="00165DAB">
        <w:t>c</w:t>
      </w:r>
      <w:r w:rsidR="002546FD" w:rsidRPr="008F6482">
        <w:t xml:space="preserve">ommencement </w:t>
      </w:r>
      <w:r w:rsidR="00165DAB">
        <w:t>a</w:t>
      </w:r>
      <w:r w:rsidR="002546FD" w:rsidRPr="008F6482">
        <w:t>llocation.</w:t>
      </w:r>
    </w:p>
    <w:p w14:paraId="486700BF" w14:textId="42362A44" w:rsidR="00790631" w:rsidRDefault="001F7E1B" w:rsidP="00157692">
      <w:pPr>
        <w:rPr>
          <w:rFonts w:asciiTheme="majorHAnsi" w:eastAsiaTheme="majorEastAsia" w:hAnsiTheme="majorHAnsi" w:cstheme="majorBidi"/>
          <w:b/>
          <w:caps/>
          <w:color w:val="0071CE" w:themeColor="accent3"/>
          <w:sz w:val="26"/>
          <w:szCs w:val="26"/>
          <w:lang w:val="en-US"/>
        </w:rPr>
      </w:pPr>
      <w:r>
        <w:t>Read</w:t>
      </w:r>
      <w:r w:rsidR="00790631">
        <w:t xml:space="preserve"> the </w:t>
      </w:r>
      <w:hyperlink r:id="rId15" w:history="1">
        <w:r w:rsidR="00790631" w:rsidRPr="006676CF">
          <w:rPr>
            <w:rStyle w:val="Hyperlink"/>
          </w:rPr>
          <w:t>Literacy and Numeracy Support Implementation Guide</w:t>
        </w:r>
      </w:hyperlink>
      <w:r w:rsidR="00550C3D">
        <w:t xml:space="preserve"> </w:t>
      </w:r>
      <w:r>
        <w:t>for more information</w:t>
      </w:r>
      <w:r w:rsidR="00790631">
        <w:t>.</w:t>
      </w:r>
    </w:p>
    <w:p w14:paraId="52414910" w14:textId="596768EB" w:rsidR="00470A9F" w:rsidRDefault="00723B4A" w:rsidP="00157692">
      <w:pPr>
        <w:pStyle w:val="Heading2"/>
        <w:rPr>
          <w:lang w:val="en-US"/>
        </w:rPr>
      </w:pPr>
      <w:r>
        <w:rPr>
          <w:lang w:val="en-US"/>
        </w:rPr>
        <w:t>Student participation</w:t>
      </w:r>
      <w:r w:rsidR="00782078" w:rsidRPr="00782078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4"/>
        </w:rPr>
        <w:t xml:space="preserve"> </w:t>
      </w:r>
    </w:p>
    <w:p w14:paraId="77D81A09" w14:textId="147E13DC" w:rsidR="00470A9F" w:rsidRDefault="00274A0B" w:rsidP="00157692">
      <w:pPr>
        <w:pStyle w:val="Heading3"/>
      </w:pPr>
      <w:r>
        <w:t xml:space="preserve">Doing </w:t>
      </w:r>
      <w:r w:rsidR="00470A9F">
        <w:t>a skill set and a</w:t>
      </w:r>
      <w:r>
        <w:t>n</w:t>
      </w:r>
      <w:r w:rsidR="00470A9F">
        <w:t xml:space="preserve"> </w:t>
      </w:r>
      <w:r>
        <w:t>AQF</w:t>
      </w:r>
      <w:r w:rsidR="00470A9F">
        <w:t xml:space="preserve"> qualification at the same time</w:t>
      </w:r>
    </w:p>
    <w:p w14:paraId="0F136204" w14:textId="7E60D288" w:rsidR="006676CF" w:rsidRPr="006676CF" w:rsidRDefault="00274A0B" w:rsidP="006676CF">
      <w:r>
        <w:t>T</w:t>
      </w:r>
      <w:r w:rsidR="00470A9F" w:rsidRPr="006119D9">
        <w:t>he ‘</w:t>
      </w:r>
      <w:r w:rsidR="001F2EAF">
        <w:t>2</w:t>
      </w:r>
      <w:r w:rsidR="00470A9F" w:rsidRPr="006119D9">
        <w:t xml:space="preserve"> at a time’ </w:t>
      </w:r>
      <w:r w:rsidR="00470A9F">
        <w:t>limit applies</w:t>
      </w:r>
      <w:r w:rsidR="00470A9F" w:rsidRPr="006119D9">
        <w:t xml:space="preserve"> </w:t>
      </w:r>
      <w:r w:rsidR="00470A9F">
        <w:t xml:space="preserve">collectively </w:t>
      </w:r>
      <w:r w:rsidR="008530F9">
        <w:t>across</w:t>
      </w:r>
      <w:r w:rsidR="00511842">
        <w:t xml:space="preserve"> </w:t>
      </w:r>
      <w:r w:rsidR="00470A9F">
        <w:t xml:space="preserve">skill sets and </w:t>
      </w:r>
      <w:r w:rsidR="00D26DF4">
        <w:t xml:space="preserve">AQF </w:t>
      </w:r>
      <w:r w:rsidR="00470A9F" w:rsidRPr="006119D9">
        <w:t xml:space="preserve">qualifications. For example, a student </w:t>
      </w:r>
      <w:r w:rsidR="001F7E1B">
        <w:t>can’t do</w:t>
      </w:r>
      <w:r w:rsidR="00470A9F" w:rsidRPr="006119D9">
        <w:t xml:space="preserve"> </w:t>
      </w:r>
      <w:r w:rsidR="001F7E1B">
        <w:t>2</w:t>
      </w:r>
      <w:r w:rsidR="001F7E1B" w:rsidRPr="006119D9">
        <w:t xml:space="preserve"> </w:t>
      </w:r>
      <w:r w:rsidR="00470A9F">
        <w:t>skill set</w:t>
      </w:r>
      <w:r w:rsidR="00470A9F" w:rsidRPr="006119D9">
        <w:t xml:space="preserve">s and one </w:t>
      </w:r>
      <w:r w:rsidR="00D26DF4">
        <w:t xml:space="preserve">AQF </w:t>
      </w:r>
      <w:r w:rsidR="00470A9F" w:rsidRPr="006119D9">
        <w:t xml:space="preserve">qualification </w:t>
      </w:r>
      <w:r w:rsidR="00470A9F">
        <w:t>at the same time.</w:t>
      </w:r>
    </w:p>
    <w:p w14:paraId="1A137696" w14:textId="3FD3A032" w:rsidR="00470A9F" w:rsidRDefault="00D26DF4" w:rsidP="00157692">
      <w:pPr>
        <w:pStyle w:val="Heading3"/>
      </w:pPr>
      <w:r>
        <w:t>Number of</w:t>
      </w:r>
      <w:r w:rsidR="00470A9F">
        <w:t xml:space="preserve"> </w:t>
      </w:r>
      <w:proofErr w:type="gramStart"/>
      <w:r w:rsidR="00470A9F">
        <w:t>skill</w:t>
      </w:r>
      <w:proofErr w:type="gramEnd"/>
      <w:r w:rsidR="00470A9F">
        <w:t xml:space="preserve"> sets in a year</w:t>
      </w:r>
    </w:p>
    <w:p w14:paraId="1459E599" w14:textId="3300419B" w:rsidR="009269E2" w:rsidRDefault="00470A9F" w:rsidP="00157692">
      <w:r>
        <w:t>T</w:t>
      </w:r>
      <w:r w:rsidRPr="006119D9">
        <w:t>he ‘</w:t>
      </w:r>
      <w:r w:rsidR="001F2EAF">
        <w:t>2</w:t>
      </w:r>
      <w:r w:rsidRPr="006119D9">
        <w:t xml:space="preserve"> </w:t>
      </w:r>
      <w:r>
        <w:t>in a year</w:t>
      </w:r>
      <w:r w:rsidRPr="006119D9">
        <w:t xml:space="preserve">’ </w:t>
      </w:r>
      <w:r>
        <w:t>limit applies</w:t>
      </w:r>
      <w:r w:rsidR="00D26DF4">
        <w:t>,</w:t>
      </w:r>
      <w:r>
        <w:t xml:space="preserve"> but skill sets and </w:t>
      </w:r>
      <w:r w:rsidR="00D26DF4">
        <w:t xml:space="preserve">AQF </w:t>
      </w:r>
      <w:r>
        <w:t xml:space="preserve">qualifications are </w:t>
      </w:r>
      <w:r w:rsidR="00A00EF8">
        <w:t xml:space="preserve">counted </w:t>
      </w:r>
      <w:r>
        <w:t xml:space="preserve">separately. </w:t>
      </w:r>
    </w:p>
    <w:p w14:paraId="77B91B07" w14:textId="20043300" w:rsidR="00470A9F" w:rsidRPr="006119D9" w:rsidRDefault="00470A9F" w:rsidP="00157692">
      <w:r>
        <w:t>This means</w:t>
      </w:r>
      <w:r w:rsidRPr="006119D9">
        <w:t xml:space="preserve"> a student </w:t>
      </w:r>
      <w:r>
        <w:t xml:space="preserve">can </w:t>
      </w:r>
      <w:r w:rsidR="001F7E1B">
        <w:t>start</w:t>
      </w:r>
      <w:r w:rsidR="001F7E1B" w:rsidRPr="00484315">
        <w:t xml:space="preserve"> </w:t>
      </w:r>
      <w:r w:rsidRPr="00484315">
        <w:t>a maximum of</w:t>
      </w:r>
      <w:r w:rsidRPr="006119D9">
        <w:t xml:space="preserve"> </w:t>
      </w:r>
      <w:r w:rsidR="001F2EAF">
        <w:t>2</w:t>
      </w:r>
      <w:r w:rsidRPr="006119D9">
        <w:t xml:space="preserve"> </w:t>
      </w:r>
      <w:r>
        <w:t>skill set</w:t>
      </w:r>
      <w:r w:rsidRPr="006119D9">
        <w:t xml:space="preserve">s and </w:t>
      </w:r>
      <w:r w:rsidR="00B73F29">
        <w:t>2</w:t>
      </w:r>
      <w:r w:rsidRPr="006119D9">
        <w:t xml:space="preserve"> </w:t>
      </w:r>
      <w:r w:rsidR="00D26DF4">
        <w:t xml:space="preserve">AQF </w:t>
      </w:r>
      <w:r w:rsidRPr="006119D9">
        <w:t>qualification</w:t>
      </w:r>
      <w:r w:rsidR="00D26DF4">
        <w:t>s</w:t>
      </w:r>
      <w:r w:rsidRPr="006119D9">
        <w:t xml:space="preserve"> </w:t>
      </w:r>
      <w:r>
        <w:t xml:space="preserve">in a calendar </w:t>
      </w:r>
      <w:proofErr w:type="gramStart"/>
      <w:r>
        <w:t>year, but</w:t>
      </w:r>
      <w:proofErr w:type="gramEnd"/>
      <w:r>
        <w:t xml:space="preserve"> </w:t>
      </w:r>
      <w:r w:rsidR="00D26DF4">
        <w:t xml:space="preserve">can’t </w:t>
      </w:r>
      <w:r w:rsidR="00723B4A">
        <w:t>do</w:t>
      </w:r>
      <w:r w:rsidR="00D26DF4">
        <w:t xml:space="preserve"> </w:t>
      </w:r>
      <w:r>
        <w:t xml:space="preserve">more than </w:t>
      </w:r>
      <w:r w:rsidR="00B73F29">
        <w:t>2</w:t>
      </w:r>
      <w:r>
        <w:t xml:space="preserve"> at the same time.</w:t>
      </w:r>
    </w:p>
    <w:p w14:paraId="38EB91CE" w14:textId="3149E42B" w:rsidR="00470A9F" w:rsidRPr="0051364F" w:rsidRDefault="00723B4A" w:rsidP="00157692">
      <w:pPr>
        <w:pStyle w:val="Heading2"/>
        <w:rPr>
          <w:lang w:val="en-US"/>
        </w:rPr>
      </w:pPr>
      <w:r>
        <w:rPr>
          <w:lang w:val="en-US"/>
        </w:rPr>
        <w:lastRenderedPageBreak/>
        <w:t>Fees and payment</w:t>
      </w:r>
    </w:p>
    <w:p w14:paraId="40455591" w14:textId="4529004C" w:rsidR="00470A9F" w:rsidRDefault="009269E2" w:rsidP="00157692">
      <w:pPr>
        <w:pStyle w:val="Heading3"/>
      </w:pPr>
      <w:r>
        <w:t>T</w:t>
      </w:r>
      <w:r w:rsidR="002546FD">
        <w:t>uition fees</w:t>
      </w:r>
    </w:p>
    <w:p w14:paraId="3EF06B53" w14:textId="5400BD59" w:rsidR="00470A9F" w:rsidRDefault="007E7095" w:rsidP="00157692">
      <w:r>
        <w:rPr>
          <w:lang w:val="en-US"/>
        </w:rPr>
        <w:t>Like</w:t>
      </w:r>
      <w:r w:rsidR="00470A9F">
        <w:rPr>
          <w:lang w:val="en-US"/>
        </w:rPr>
        <w:t xml:space="preserve"> any other </w:t>
      </w:r>
      <w:r w:rsidR="00470A9F" w:rsidRPr="00544BF5">
        <w:rPr>
          <w:lang w:val="en-US"/>
        </w:rPr>
        <w:t>Skills First</w:t>
      </w:r>
      <w:r w:rsidR="00470A9F" w:rsidRPr="00A31187">
        <w:rPr>
          <w:i/>
          <w:lang w:val="en-US"/>
        </w:rPr>
        <w:t xml:space="preserve"> </w:t>
      </w:r>
      <w:r w:rsidR="00470A9F">
        <w:rPr>
          <w:lang w:val="en-US"/>
        </w:rPr>
        <w:t>training, y</w:t>
      </w:r>
      <w:r w:rsidR="00470A9F" w:rsidRPr="00563221">
        <w:rPr>
          <w:lang w:val="en-US"/>
        </w:rPr>
        <w:t xml:space="preserve">ou </w:t>
      </w:r>
      <w:r w:rsidR="00470A9F">
        <w:rPr>
          <w:lang w:val="en-US"/>
        </w:rPr>
        <w:t>determine tuition fee</w:t>
      </w:r>
      <w:r w:rsidR="00675CD5">
        <w:rPr>
          <w:lang w:val="en-US"/>
        </w:rPr>
        <w:t>s</w:t>
      </w:r>
      <w:r w:rsidR="00470A9F">
        <w:rPr>
          <w:lang w:val="en-US"/>
        </w:rPr>
        <w:t xml:space="preserve"> </w:t>
      </w:r>
      <w:r w:rsidR="00470A9F" w:rsidRPr="00563221">
        <w:rPr>
          <w:lang w:val="en-US"/>
        </w:rPr>
        <w:t xml:space="preserve">for </w:t>
      </w:r>
      <w:r w:rsidR="00470A9F">
        <w:rPr>
          <w:lang w:val="en-US"/>
        </w:rPr>
        <w:t>skill set</w:t>
      </w:r>
      <w:r w:rsidR="00675CD5">
        <w:rPr>
          <w:lang w:val="en-US"/>
        </w:rPr>
        <w:t>s</w:t>
      </w:r>
      <w:r w:rsidR="002546FD">
        <w:rPr>
          <w:lang w:val="en-US"/>
        </w:rPr>
        <w:t xml:space="preserve">. Normal </w:t>
      </w:r>
      <w:r w:rsidR="00470A9F">
        <w:t xml:space="preserve">concession </w:t>
      </w:r>
      <w:r w:rsidR="002546FD">
        <w:t xml:space="preserve">and </w:t>
      </w:r>
      <w:r w:rsidR="00723B4A">
        <w:t>f</w:t>
      </w:r>
      <w:r w:rsidR="00470A9F">
        <w:t xml:space="preserve">ee </w:t>
      </w:r>
      <w:r w:rsidR="00723B4A">
        <w:t>w</w:t>
      </w:r>
      <w:r w:rsidR="00470A9F">
        <w:t>aiver</w:t>
      </w:r>
      <w:r w:rsidR="002546FD">
        <w:t xml:space="preserve"> setting</w:t>
      </w:r>
      <w:r w:rsidR="009269E2">
        <w:t>s</w:t>
      </w:r>
      <w:r w:rsidR="002546FD">
        <w:t xml:space="preserve"> apply</w:t>
      </w:r>
      <w:r w:rsidR="00470A9F">
        <w:t>.</w:t>
      </w:r>
    </w:p>
    <w:p w14:paraId="28522C37" w14:textId="56AF01E8" w:rsidR="00470A9F" w:rsidRPr="00D77DBD" w:rsidRDefault="002546FD" w:rsidP="00157692">
      <w:pPr>
        <w:pStyle w:val="Heading3"/>
        <w:rPr>
          <w:lang w:val="en-US"/>
        </w:rPr>
      </w:pPr>
      <w:r>
        <w:rPr>
          <w:lang w:val="en-US"/>
        </w:rPr>
        <w:t>Subsidies and fee contributions</w:t>
      </w:r>
    </w:p>
    <w:p w14:paraId="25AA24EF" w14:textId="293BBC09" w:rsidR="00470A9F" w:rsidRPr="003D412A" w:rsidRDefault="009C01C3" w:rsidP="00157692">
      <w:pPr>
        <w:rPr>
          <w:lang w:val="en-US"/>
        </w:rPr>
      </w:pPr>
      <w:r>
        <w:rPr>
          <w:lang w:val="en-US"/>
        </w:rPr>
        <w:t>Subsidies</w:t>
      </w:r>
      <w:r w:rsidR="00B17623">
        <w:rPr>
          <w:lang w:val="en-US"/>
        </w:rPr>
        <w:t xml:space="preserve"> (including loadings)</w:t>
      </w:r>
      <w:r w:rsidR="00E04BDE">
        <w:rPr>
          <w:lang w:val="en-US"/>
        </w:rPr>
        <w:t>,</w:t>
      </w:r>
      <w:r w:rsidR="00AD6C92">
        <w:rPr>
          <w:lang w:val="en-US"/>
        </w:rPr>
        <w:t xml:space="preserve"> RPL subsidies</w:t>
      </w:r>
      <w:r w:rsidR="00173761">
        <w:rPr>
          <w:lang w:val="en-US"/>
        </w:rPr>
        <w:t>,</w:t>
      </w:r>
      <w:r w:rsidR="00E04BDE">
        <w:rPr>
          <w:lang w:val="en-US"/>
        </w:rPr>
        <w:t xml:space="preserve"> c</w:t>
      </w:r>
      <w:r w:rsidR="009825C2">
        <w:rPr>
          <w:lang w:val="en-US"/>
        </w:rPr>
        <w:t xml:space="preserve">oncession </w:t>
      </w:r>
      <w:r w:rsidR="00E04BDE">
        <w:rPr>
          <w:lang w:val="en-US"/>
        </w:rPr>
        <w:t xml:space="preserve">contributions and </w:t>
      </w:r>
      <w:r w:rsidR="009825C2">
        <w:rPr>
          <w:lang w:val="en-US"/>
        </w:rPr>
        <w:t>fee waiver contributions are calculated and paid in the same way as AQF qualifications.</w:t>
      </w:r>
      <w:r w:rsidR="009825C2" w:rsidRPr="00123CEF" w:rsidDel="009825C2">
        <w:rPr>
          <w:lang w:val="en-US"/>
        </w:rPr>
        <w:t xml:space="preserve"> </w:t>
      </w:r>
    </w:p>
    <w:p w14:paraId="0B57AD22" w14:textId="1E7F138A" w:rsidR="00470A9F" w:rsidRPr="003D45A1" w:rsidRDefault="00723B4A" w:rsidP="00932234">
      <w:pPr>
        <w:pStyle w:val="Heading2"/>
      </w:pPr>
      <w:r w:rsidRPr="003D45A1">
        <w:t>Reporting</w:t>
      </w:r>
    </w:p>
    <w:p w14:paraId="5F955DB6" w14:textId="77777777" w:rsidR="004B1971" w:rsidRDefault="00470A9F" w:rsidP="00112B3C">
      <w:r w:rsidRPr="003D45A1">
        <w:t xml:space="preserve">You must report </w:t>
      </w:r>
      <w:r>
        <w:t>skill set</w:t>
      </w:r>
      <w:r w:rsidRPr="003D45A1">
        <w:t xml:space="preserve">s training activity via SVTS using the </w:t>
      </w:r>
      <w:r w:rsidR="008F47A1">
        <w:t>f</w:t>
      </w:r>
      <w:r w:rsidRPr="003D45A1">
        <w:t xml:space="preserve">unding </w:t>
      </w:r>
      <w:r w:rsidR="008F47A1">
        <w:t>s</w:t>
      </w:r>
      <w:r w:rsidRPr="003D45A1">
        <w:t xml:space="preserve">ource </w:t>
      </w:r>
      <w:r w:rsidR="008F47A1">
        <w:t>i</w:t>
      </w:r>
      <w:r w:rsidRPr="003D45A1">
        <w:t xml:space="preserve">dentifier – </w:t>
      </w:r>
      <w:r w:rsidR="008F47A1">
        <w:t>s</w:t>
      </w:r>
      <w:r w:rsidRPr="003D45A1">
        <w:t xml:space="preserve">tate </w:t>
      </w:r>
      <w:r w:rsidR="008F47A1">
        <w:t>t</w:t>
      </w:r>
      <w:r w:rsidRPr="003D45A1">
        <w:t xml:space="preserve">raining </w:t>
      </w:r>
      <w:r w:rsidR="008F47A1">
        <w:t>a</w:t>
      </w:r>
      <w:r w:rsidRPr="003D45A1">
        <w:t>uthority</w:t>
      </w:r>
      <w:r w:rsidR="002546FD">
        <w:t xml:space="preserve"> </w:t>
      </w:r>
      <w:r>
        <w:t>GSP.</w:t>
      </w:r>
    </w:p>
    <w:p w14:paraId="3D31FBE6" w14:textId="59235911" w:rsidR="009269E2" w:rsidRPr="004B1971" w:rsidRDefault="00723B4A" w:rsidP="004B1971">
      <w:pPr>
        <w:pStyle w:val="Heading2"/>
      </w:pPr>
      <w:r w:rsidRPr="004B1971">
        <w:t>Pre-training review</w:t>
      </w:r>
    </w:p>
    <w:p w14:paraId="42977922" w14:textId="308E8995" w:rsidR="00E6407C" w:rsidRDefault="009269E2" w:rsidP="00157692">
      <w:pPr>
        <w:rPr>
          <w:lang w:val="en-US"/>
        </w:rPr>
      </w:pPr>
      <w:r>
        <w:rPr>
          <w:lang w:val="en-US"/>
        </w:rPr>
        <w:t>T</w:t>
      </w:r>
      <w:r w:rsidRPr="007C6804">
        <w:rPr>
          <w:lang w:val="en-US"/>
        </w:rPr>
        <w:t xml:space="preserve">he </w:t>
      </w:r>
      <w:r w:rsidR="008F47A1">
        <w:rPr>
          <w:lang w:val="en-US"/>
        </w:rPr>
        <w:t>p</w:t>
      </w:r>
      <w:r w:rsidRPr="007C6804">
        <w:rPr>
          <w:lang w:val="en-US"/>
        </w:rPr>
        <w:t>re-</w:t>
      </w:r>
      <w:r w:rsidR="008F47A1">
        <w:rPr>
          <w:lang w:val="en-US"/>
        </w:rPr>
        <w:t>t</w:t>
      </w:r>
      <w:r w:rsidRPr="007C6804">
        <w:rPr>
          <w:lang w:val="en-US"/>
        </w:rPr>
        <w:t xml:space="preserve">raining </w:t>
      </w:r>
      <w:r w:rsidR="008F47A1">
        <w:rPr>
          <w:lang w:val="en-US"/>
        </w:rPr>
        <w:t>r</w:t>
      </w:r>
      <w:r w:rsidRPr="007C6804">
        <w:rPr>
          <w:lang w:val="en-US"/>
        </w:rPr>
        <w:t xml:space="preserve">eview is a fundamental component of the </w:t>
      </w:r>
      <w:r w:rsidR="008F47A1">
        <w:rPr>
          <w:lang w:val="en-US"/>
        </w:rPr>
        <w:t>c</w:t>
      </w:r>
      <w:r w:rsidRPr="007C6804">
        <w:rPr>
          <w:lang w:val="en-US"/>
        </w:rPr>
        <w:t>ontract</w:t>
      </w:r>
      <w:r>
        <w:rPr>
          <w:lang w:val="en-US"/>
        </w:rPr>
        <w:t xml:space="preserve"> and is a requirement for skill sets</w:t>
      </w:r>
      <w:r w:rsidRPr="007C6804">
        <w:rPr>
          <w:lang w:val="en-US"/>
        </w:rPr>
        <w:t xml:space="preserve">. </w:t>
      </w:r>
    </w:p>
    <w:p w14:paraId="38586360" w14:textId="22908FA5" w:rsidR="00723B4A" w:rsidRDefault="00790631" w:rsidP="00157692">
      <w:pPr>
        <w:rPr>
          <w:lang w:val="en-US"/>
        </w:rPr>
      </w:pPr>
      <w:r>
        <w:rPr>
          <w:lang w:val="en-US"/>
        </w:rPr>
        <w:t xml:space="preserve">Given skill sets are typically </w:t>
      </w:r>
      <w:r w:rsidR="00BC3E54">
        <w:rPr>
          <w:lang w:val="en-US"/>
        </w:rPr>
        <w:t xml:space="preserve">much </w:t>
      </w:r>
      <w:r w:rsidR="00AF61F6">
        <w:rPr>
          <w:lang w:val="en-US"/>
        </w:rPr>
        <w:t>shorter than AQF qualifications, y</w:t>
      </w:r>
      <w:r w:rsidR="009269E2" w:rsidRPr="00875992">
        <w:rPr>
          <w:lang w:val="en-US"/>
        </w:rPr>
        <w:t xml:space="preserve">ou can </w:t>
      </w:r>
      <w:r w:rsidR="0017516E">
        <w:rPr>
          <w:lang w:val="en-US"/>
        </w:rPr>
        <w:t>scale</w:t>
      </w:r>
      <w:r w:rsidR="009269E2" w:rsidRPr="00875992">
        <w:rPr>
          <w:lang w:val="en-US"/>
        </w:rPr>
        <w:t xml:space="preserve"> </w:t>
      </w:r>
      <w:r w:rsidR="00AF61F6">
        <w:rPr>
          <w:lang w:val="en-US"/>
        </w:rPr>
        <w:t xml:space="preserve">down </w:t>
      </w:r>
      <w:r w:rsidR="00723B4A">
        <w:rPr>
          <w:lang w:val="en-US"/>
        </w:rPr>
        <w:t>the pre-training review,</w:t>
      </w:r>
      <w:r w:rsidR="009269E2" w:rsidRPr="00875992">
        <w:rPr>
          <w:lang w:val="en-US"/>
        </w:rPr>
        <w:t xml:space="preserve"> provided you obtain enough information to show the skill set is suitable and appropriate for the student’s needs and they clearly understand all their other training options.</w:t>
      </w:r>
      <w:r w:rsidR="009269E2" w:rsidRPr="00875992" w:rsidDel="00A172B7">
        <w:rPr>
          <w:lang w:val="en-US"/>
        </w:rPr>
        <w:t xml:space="preserve"> </w:t>
      </w:r>
    </w:p>
    <w:p w14:paraId="2C5549AD" w14:textId="6B420DD6" w:rsidR="00470A9F" w:rsidRPr="00BD27A3" w:rsidRDefault="00470A9F" w:rsidP="00157692">
      <w:pPr>
        <w:pStyle w:val="Heading2"/>
      </w:pPr>
      <w:r w:rsidRPr="00BD27A3">
        <w:t xml:space="preserve">Training </w:t>
      </w:r>
      <w:r w:rsidR="00723B4A" w:rsidRPr="00BD27A3">
        <w:t>plan</w:t>
      </w:r>
      <w:r w:rsidR="00723B4A">
        <w:t>s</w:t>
      </w:r>
      <w:r w:rsidR="00341768" w:rsidRPr="00341768">
        <w:rPr>
          <w:rFonts w:asciiTheme="minorHAnsi" w:eastAsiaTheme="minorHAnsi" w:hAnsiTheme="minorHAnsi" w:cstheme="minorBidi"/>
          <w:b w:val="0"/>
          <w:noProof/>
          <w:color w:val="auto"/>
          <w:sz w:val="22"/>
          <w:szCs w:val="24"/>
        </w:rPr>
        <w:t xml:space="preserve"> </w:t>
      </w:r>
    </w:p>
    <w:p w14:paraId="552EBA70" w14:textId="77777777" w:rsidR="00CC1F23" w:rsidRDefault="00511842" w:rsidP="00157692">
      <w:r>
        <w:t xml:space="preserve">You must issue </w:t>
      </w:r>
      <w:r w:rsidR="00723B4A">
        <w:t>t</w:t>
      </w:r>
      <w:r w:rsidR="00993BC6">
        <w:t xml:space="preserve">raining </w:t>
      </w:r>
      <w:r w:rsidR="00723B4A">
        <w:t>p</w:t>
      </w:r>
      <w:r w:rsidR="00993BC6">
        <w:t xml:space="preserve">lans </w:t>
      </w:r>
      <w:r>
        <w:t>to</w:t>
      </w:r>
      <w:r w:rsidR="00993BC6">
        <w:t xml:space="preserve"> </w:t>
      </w:r>
      <w:r>
        <w:t>students doing</w:t>
      </w:r>
      <w:r w:rsidR="00993BC6">
        <w:t xml:space="preserve"> skill sets,</w:t>
      </w:r>
      <w:r w:rsidR="00470A9F">
        <w:t xml:space="preserve"> </w:t>
      </w:r>
      <w:r>
        <w:t>except</w:t>
      </w:r>
      <w:r w:rsidR="00470A9F" w:rsidRPr="00BD27A3">
        <w:t xml:space="preserve"> </w:t>
      </w:r>
      <w:r>
        <w:t>where the</w:t>
      </w:r>
      <w:r w:rsidRPr="00BD27A3">
        <w:t xml:space="preserve"> </w:t>
      </w:r>
      <w:r w:rsidR="00470A9F">
        <w:t>skill set</w:t>
      </w:r>
      <w:r w:rsidR="00470A9F" w:rsidRPr="00BD27A3">
        <w:t xml:space="preserve"> </w:t>
      </w:r>
      <w:r>
        <w:t xml:space="preserve">consists </w:t>
      </w:r>
      <w:r w:rsidR="00470A9F" w:rsidRPr="00BD27A3">
        <w:t xml:space="preserve">of a </w:t>
      </w:r>
      <w:r w:rsidR="00470A9F">
        <w:t>single</w:t>
      </w:r>
      <w:r w:rsidR="00470A9F" w:rsidRPr="00BD27A3">
        <w:t xml:space="preserve"> </w:t>
      </w:r>
      <w:r w:rsidR="00470A9F">
        <w:t>subject</w:t>
      </w:r>
      <w:r w:rsidR="00470A9F" w:rsidRPr="00BD27A3">
        <w:t xml:space="preserve">. </w:t>
      </w:r>
    </w:p>
    <w:p w14:paraId="5EF833DC" w14:textId="4CB78577" w:rsidR="00470A9F" w:rsidRPr="00BD27A3" w:rsidRDefault="00EE076B" w:rsidP="00157692">
      <w:r>
        <w:br w:type="column"/>
      </w:r>
      <w:r w:rsidR="006F529F">
        <w:t>F</w:t>
      </w:r>
      <w:r w:rsidR="001F7E1B">
        <w:t xml:space="preserve">or single subjects </w:t>
      </w:r>
      <w:r w:rsidR="00470A9F" w:rsidRPr="00BD27A3">
        <w:t xml:space="preserve">you must still inform the student </w:t>
      </w:r>
      <w:r w:rsidR="00470A9F">
        <w:t>about</w:t>
      </w:r>
      <w:r w:rsidR="00470A9F" w:rsidRPr="00BD27A3">
        <w:t xml:space="preserve"> the training and assessment requirements for the </w:t>
      </w:r>
      <w:r w:rsidR="00470A9F">
        <w:t>skill set</w:t>
      </w:r>
      <w:r w:rsidR="00470A9F" w:rsidRPr="00BD27A3">
        <w:t xml:space="preserve"> so they can make an informed decision about their enrolment.</w:t>
      </w:r>
    </w:p>
    <w:p w14:paraId="15C5112F" w14:textId="5031CC3D" w:rsidR="002C571F" w:rsidRDefault="00723B4A" w:rsidP="00327A6D">
      <w:pPr>
        <w:pStyle w:val="Heading2"/>
      </w:pPr>
      <w:r>
        <w:t>Free TAFE</w:t>
      </w:r>
      <w:r w:rsidR="0066478C">
        <w:t xml:space="preserve"> short courses</w:t>
      </w:r>
      <w:r>
        <w:t xml:space="preserve"> </w:t>
      </w:r>
    </w:p>
    <w:p w14:paraId="670208BA" w14:textId="54B7D0C0" w:rsidR="002C571F" w:rsidRPr="00656108" w:rsidRDefault="003921F8" w:rsidP="00157692">
      <w:r w:rsidRPr="00656108">
        <w:t>The</w:t>
      </w:r>
      <w:r w:rsidR="001F7E1B">
        <w:t>se</w:t>
      </w:r>
      <w:r w:rsidR="005C51B7">
        <w:t xml:space="preserve"> </w:t>
      </w:r>
      <w:r w:rsidRPr="00656108">
        <w:t xml:space="preserve">skill sets are </w:t>
      </w:r>
      <w:r w:rsidR="0066478C">
        <w:t>F</w:t>
      </w:r>
      <w:r w:rsidR="0066478C" w:rsidRPr="00656108">
        <w:t xml:space="preserve">ree </w:t>
      </w:r>
      <w:r w:rsidRPr="00656108">
        <w:t>TAFE</w:t>
      </w:r>
      <w:r w:rsidR="0066478C">
        <w:t xml:space="preserve"> short courses</w:t>
      </w:r>
      <w:r w:rsidR="006F529F">
        <w:t>:</w:t>
      </w:r>
    </w:p>
    <w:p w14:paraId="5415B6FD" w14:textId="6F21B095" w:rsidR="002C571F" w:rsidRPr="00446C68" w:rsidRDefault="002C571F" w:rsidP="00B26750">
      <w:pPr>
        <w:pStyle w:val="ListParagraph"/>
        <w:numPr>
          <w:ilvl w:val="0"/>
          <w:numId w:val="20"/>
        </w:numPr>
        <w:spacing w:after="80" w:line="240" w:lineRule="auto"/>
        <w:ind w:left="357" w:hanging="357"/>
        <w:contextualSpacing w:val="0"/>
        <w:rPr>
          <w:lang w:val="en-US"/>
        </w:rPr>
      </w:pPr>
      <w:r w:rsidRPr="00446C68">
        <w:rPr>
          <w:lang w:val="en-US"/>
        </w:rPr>
        <w:t>Course in Gender Equity</w:t>
      </w:r>
    </w:p>
    <w:p w14:paraId="25B4DBC8" w14:textId="2D35408B" w:rsidR="002C571F" w:rsidRPr="00446C68" w:rsidRDefault="002C571F" w:rsidP="00B26750">
      <w:pPr>
        <w:pStyle w:val="ListParagraph"/>
        <w:numPr>
          <w:ilvl w:val="0"/>
          <w:numId w:val="20"/>
        </w:numPr>
        <w:spacing w:after="80" w:line="240" w:lineRule="auto"/>
        <w:ind w:left="357" w:hanging="357"/>
        <w:contextualSpacing w:val="0"/>
        <w:rPr>
          <w:lang w:val="en-US"/>
        </w:rPr>
      </w:pPr>
      <w:r w:rsidRPr="00446C68">
        <w:rPr>
          <w:lang w:val="en-US"/>
        </w:rPr>
        <w:t>Course in Identifying and Responding to Family Violence Risk</w:t>
      </w:r>
    </w:p>
    <w:p w14:paraId="58EA58B7" w14:textId="77777777" w:rsidR="00031FC5" w:rsidRPr="00446C68" w:rsidRDefault="003921F8" w:rsidP="00B26750">
      <w:pPr>
        <w:pStyle w:val="ListParagraph"/>
        <w:numPr>
          <w:ilvl w:val="0"/>
          <w:numId w:val="20"/>
        </w:numPr>
        <w:spacing w:after="80" w:line="240" w:lineRule="auto"/>
        <w:ind w:left="357" w:hanging="357"/>
        <w:contextualSpacing w:val="0"/>
        <w:rPr>
          <w:lang w:val="en-US"/>
        </w:rPr>
      </w:pPr>
      <w:r w:rsidRPr="00446C68">
        <w:t>Course in Introduction to the National Disability Insurance Scheme</w:t>
      </w:r>
    </w:p>
    <w:p w14:paraId="661B9361" w14:textId="7090B317" w:rsidR="00031FC5" w:rsidRPr="00446C68" w:rsidRDefault="00031FC5" w:rsidP="00B26750">
      <w:pPr>
        <w:pStyle w:val="ListParagraph"/>
        <w:numPr>
          <w:ilvl w:val="0"/>
          <w:numId w:val="20"/>
        </w:numPr>
        <w:spacing w:after="80"/>
        <w:ind w:left="357" w:hanging="357"/>
        <w:contextualSpacing w:val="0"/>
      </w:pPr>
      <w:r w:rsidRPr="00446C68">
        <w:t>Course in Working Safely in the Solar Industry</w:t>
      </w:r>
    </w:p>
    <w:p w14:paraId="4AF1E2CE" w14:textId="77777777" w:rsidR="00031FC5" w:rsidRPr="00446C68" w:rsidRDefault="00031FC5" w:rsidP="00B26750">
      <w:pPr>
        <w:pStyle w:val="ListParagraph"/>
        <w:numPr>
          <w:ilvl w:val="0"/>
          <w:numId w:val="20"/>
        </w:numPr>
        <w:spacing w:after="80"/>
        <w:ind w:left="357" w:hanging="357"/>
        <w:contextualSpacing w:val="0"/>
      </w:pPr>
      <w:r w:rsidRPr="00446C68">
        <w:t>Agricultural Chemical Skill Set</w:t>
      </w:r>
    </w:p>
    <w:p w14:paraId="3C96C843" w14:textId="77777777" w:rsidR="00031FC5" w:rsidRPr="00446C68" w:rsidRDefault="00031FC5" w:rsidP="00B26750">
      <w:pPr>
        <w:pStyle w:val="ListParagraph"/>
        <w:numPr>
          <w:ilvl w:val="0"/>
          <w:numId w:val="20"/>
        </w:numPr>
        <w:spacing w:after="80"/>
        <w:ind w:left="357" w:hanging="357"/>
        <w:contextualSpacing w:val="0"/>
      </w:pPr>
      <w:r w:rsidRPr="00446C68">
        <w:t>Hybrid Electric Vehicle Inspection and Servicing Skill Set</w:t>
      </w:r>
    </w:p>
    <w:p w14:paraId="7F8D7A7E" w14:textId="77777777" w:rsidR="00031FC5" w:rsidRPr="00446C68" w:rsidRDefault="00031FC5" w:rsidP="00B26750">
      <w:pPr>
        <w:pStyle w:val="ListParagraph"/>
        <w:numPr>
          <w:ilvl w:val="0"/>
          <w:numId w:val="20"/>
        </w:numPr>
        <w:spacing w:after="80"/>
        <w:ind w:left="357" w:hanging="357"/>
        <w:contextualSpacing w:val="0"/>
      </w:pPr>
      <w:r w:rsidRPr="00446C68">
        <w:t>Battery Electric Vehicle Diagnose and Repair Skill Set</w:t>
      </w:r>
    </w:p>
    <w:p w14:paraId="71A130E7" w14:textId="77777777" w:rsidR="00031FC5" w:rsidRPr="00446C68" w:rsidRDefault="00031FC5" w:rsidP="00B26750">
      <w:pPr>
        <w:pStyle w:val="ListParagraph"/>
        <w:numPr>
          <w:ilvl w:val="0"/>
          <w:numId w:val="20"/>
        </w:numPr>
        <w:spacing w:after="80"/>
        <w:ind w:left="357" w:hanging="357"/>
        <w:contextualSpacing w:val="0"/>
      </w:pPr>
      <w:r w:rsidRPr="00446C68">
        <w:t>Battery Electric Vehicle Inspection and Servicing Skill Set</w:t>
      </w:r>
    </w:p>
    <w:p w14:paraId="4FDDF4F2" w14:textId="77777777" w:rsidR="00031FC5" w:rsidRPr="00446C68" w:rsidRDefault="00031FC5" w:rsidP="00B26750">
      <w:pPr>
        <w:pStyle w:val="ListParagraph"/>
        <w:numPr>
          <w:ilvl w:val="0"/>
          <w:numId w:val="20"/>
        </w:numPr>
        <w:spacing w:after="80"/>
        <w:ind w:left="357" w:hanging="357"/>
        <w:contextualSpacing w:val="0"/>
      </w:pPr>
      <w:r w:rsidRPr="00446C68">
        <w:t>Mental Health Co-</w:t>
      </w:r>
      <w:proofErr w:type="gramStart"/>
      <w:r w:rsidRPr="00446C68">
        <w:t>existing</w:t>
      </w:r>
      <w:proofErr w:type="gramEnd"/>
      <w:r w:rsidRPr="00446C68">
        <w:t xml:space="preserve"> Needs Skill Set</w:t>
      </w:r>
    </w:p>
    <w:p w14:paraId="256E001F" w14:textId="110AB877" w:rsidR="003921F8" w:rsidRPr="00446C68" w:rsidRDefault="00031FC5" w:rsidP="00B26750">
      <w:pPr>
        <w:pStyle w:val="ListParagraph"/>
        <w:numPr>
          <w:ilvl w:val="0"/>
          <w:numId w:val="20"/>
        </w:numPr>
        <w:spacing w:after="120" w:line="240" w:lineRule="auto"/>
        <w:ind w:left="357" w:hanging="357"/>
        <w:contextualSpacing w:val="0"/>
        <w:rPr>
          <w:lang w:val="en-US"/>
        </w:rPr>
      </w:pPr>
      <w:r w:rsidRPr="00446C68">
        <w:t>Mental Health Peer Work Skill Set</w:t>
      </w:r>
      <w:r w:rsidR="003921F8" w:rsidRPr="00446C68">
        <w:t>.</w:t>
      </w:r>
    </w:p>
    <w:p w14:paraId="62060C2B" w14:textId="4134CA27" w:rsidR="00EC5DD2" w:rsidRDefault="0042186C" w:rsidP="00157692">
      <w:r w:rsidRPr="00656108">
        <w:t xml:space="preserve">TAFEs must grant a fee waiver to students enrolling in these </w:t>
      </w:r>
      <w:r w:rsidR="00031FC5">
        <w:t>Free TAFE short courses</w:t>
      </w:r>
      <w:r w:rsidRPr="00656108">
        <w:t>.</w:t>
      </w:r>
      <w:r w:rsidR="00C94389" w:rsidRPr="00656108">
        <w:t xml:space="preserve"> </w:t>
      </w:r>
    </w:p>
    <w:p w14:paraId="2E5B539C" w14:textId="6B1D53A2" w:rsidR="003921F8" w:rsidRPr="00656108" w:rsidRDefault="0042186C" w:rsidP="00157692">
      <w:r w:rsidRPr="00656108">
        <w:t xml:space="preserve">A student’s participation in these skill sets </w:t>
      </w:r>
      <w:r w:rsidR="006F529F">
        <w:t>won’t</w:t>
      </w:r>
      <w:r w:rsidRPr="00656108">
        <w:t xml:space="preserve"> impact their Free TAFE entitlement.</w:t>
      </w:r>
    </w:p>
    <w:p w14:paraId="2164EC26" w14:textId="628E8D44" w:rsidR="00C94389" w:rsidRDefault="006F529F" w:rsidP="00EE076B">
      <w:pPr>
        <w:spacing w:after="240"/>
      </w:pPr>
      <w:r>
        <w:t>Report TAFE e</w:t>
      </w:r>
      <w:r w:rsidR="00C94389" w:rsidRPr="00656108">
        <w:t xml:space="preserve">nrolments </w:t>
      </w:r>
      <w:r>
        <w:t>in these short courses</w:t>
      </w:r>
      <w:r w:rsidR="00C94389" w:rsidRPr="00656108">
        <w:t xml:space="preserve"> </w:t>
      </w:r>
      <w:r>
        <w:t>using</w:t>
      </w:r>
      <w:r w:rsidR="00C94389" w:rsidRPr="00656108">
        <w:t xml:space="preserve"> </w:t>
      </w:r>
      <w:r w:rsidR="00DA41AF">
        <w:t>f</w:t>
      </w:r>
      <w:r w:rsidR="00C94389" w:rsidRPr="00656108">
        <w:t xml:space="preserve">unding </w:t>
      </w:r>
      <w:r w:rsidR="00DA41AF">
        <w:t>s</w:t>
      </w:r>
      <w:r w:rsidR="00C94389" w:rsidRPr="00656108">
        <w:t xml:space="preserve">ource </w:t>
      </w:r>
      <w:r w:rsidR="00DA41AF">
        <w:t>i</w:t>
      </w:r>
      <w:r w:rsidR="00C94389" w:rsidRPr="00656108">
        <w:t xml:space="preserve">dentifier GSP, and </w:t>
      </w:r>
      <w:r w:rsidR="00DA41AF">
        <w:t>f</w:t>
      </w:r>
      <w:r w:rsidR="00C94389" w:rsidRPr="00656108">
        <w:t xml:space="preserve">ee </w:t>
      </w:r>
      <w:r w:rsidR="00DA41AF">
        <w:t>w</w:t>
      </w:r>
      <w:r w:rsidR="00C94389" w:rsidRPr="00656108">
        <w:t>aiver/</w:t>
      </w:r>
      <w:r w:rsidR="00DA41AF">
        <w:t>e</w:t>
      </w:r>
      <w:r w:rsidR="00C94389" w:rsidRPr="00656108">
        <w:t>xemption</w:t>
      </w:r>
      <w:r w:rsidR="00034566" w:rsidRPr="00656108">
        <w:t xml:space="preserve"> </w:t>
      </w:r>
      <w:r w:rsidR="00DA41AF">
        <w:t>t</w:t>
      </w:r>
      <w:r w:rsidR="00034566" w:rsidRPr="00656108">
        <w:t>ype</w:t>
      </w:r>
      <w:r w:rsidR="00C94389" w:rsidRPr="00656108">
        <w:t xml:space="preserve"> </w:t>
      </w:r>
      <w:r w:rsidR="00DA41AF">
        <w:t>i</w:t>
      </w:r>
      <w:r w:rsidR="00C94389" w:rsidRPr="00656108">
        <w:t>dentifier ‘Y’.</w:t>
      </w:r>
    </w:p>
    <w:p w14:paraId="4FBB126F" w14:textId="0B8E18A3" w:rsidR="00932234" w:rsidRPr="00805CE4" w:rsidRDefault="00932234" w:rsidP="00932234">
      <w:pPr>
        <w:pStyle w:val="Heading2"/>
      </w:pPr>
      <w:r w:rsidRPr="00FC3440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7922CD83" wp14:editId="0C10F126">
            <wp:simplePos x="0" y="0"/>
            <wp:positionH relativeFrom="column">
              <wp:align>left</wp:align>
            </wp:positionH>
            <wp:positionV relativeFrom="paragraph">
              <wp:posOffset>5080</wp:posOffset>
            </wp:positionV>
            <wp:extent cx="316230" cy="246380"/>
            <wp:effectExtent l="0" t="0" r="7620" b="1270"/>
            <wp:wrapSquare wrapText="bothSides"/>
            <wp:docPr id="4" name="Picture 194">
              <a:extLst xmlns:a="http://schemas.openxmlformats.org/drawingml/2006/main">
                <a:ext uri="{FF2B5EF4-FFF2-40B4-BE49-F238E27FC236}">
                  <a16:creationId xmlns:a16="http://schemas.microsoft.com/office/drawing/2014/main" id="{6715208C-BD87-5D48-877C-F1848C7AE1F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94">
                      <a:extLst>
                        <a:ext uri="{FF2B5EF4-FFF2-40B4-BE49-F238E27FC236}">
                          <a16:creationId xmlns:a16="http://schemas.microsoft.com/office/drawing/2014/main" id="{6715208C-BD87-5D48-877C-F1848C7AE1F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</w:t>
      </w:r>
      <w:r w:rsidRPr="00805CE4">
        <w:t>urther information</w:t>
      </w:r>
    </w:p>
    <w:p w14:paraId="58BC3E63" w14:textId="775D1057" w:rsidR="00932234" w:rsidRDefault="00932234" w:rsidP="00932234">
      <w:r>
        <w:rPr>
          <w:rFonts w:ascii="Arial" w:hAnsi="Arial" w:cs="Arial"/>
        </w:rPr>
        <w:t xml:space="preserve">Submit an enquiry via </w:t>
      </w:r>
      <w:hyperlink r:id="rId17" w:history="1">
        <w:r>
          <w:rPr>
            <w:rStyle w:val="Hyperlink"/>
            <w:rFonts w:ascii="Arial" w:hAnsi="Arial" w:cs="Arial"/>
          </w:rPr>
          <w:t>SVTS</w:t>
        </w:r>
      </w:hyperlink>
      <w:r>
        <w:rPr>
          <w:rFonts w:ascii="Arial" w:hAnsi="Arial" w:cs="Arial"/>
        </w:rPr>
        <w:t xml:space="preserve"> </w:t>
      </w:r>
    </w:p>
    <w:p w14:paraId="56BF04AA" w14:textId="312B4DA0" w:rsidR="00CF1580" w:rsidRDefault="00CF1580" w:rsidP="00932234">
      <w:pPr>
        <w:rPr>
          <w:lang w:val="en-AU"/>
        </w:rPr>
        <w:sectPr w:rsidR="00CF1580" w:rsidSect="00B26750">
          <w:type w:val="continuous"/>
          <w:pgSz w:w="11900" w:h="16840"/>
          <w:pgMar w:top="2127" w:right="1134" w:bottom="1134" w:left="1134" w:header="709" w:footer="709" w:gutter="0"/>
          <w:cols w:num="2" w:space="708"/>
          <w:docGrid w:linePitch="360"/>
        </w:sectPr>
      </w:pPr>
    </w:p>
    <w:p w14:paraId="30BC55F9" w14:textId="77777777" w:rsidR="00016815" w:rsidRDefault="00016815" w:rsidP="001E0B7F">
      <w:pPr>
        <w:pStyle w:val="Copyrighttext"/>
        <w:spacing w:before="120" w:after="0"/>
      </w:pPr>
    </w:p>
    <w:p w14:paraId="0EF9357E" w14:textId="77777777" w:rsidR="00C24100" w:rsidRDefault="00C24100" w:rsidP="001E0B7F">
      <w:pPr>
        <w:pStyle w:val="Copyrighttext"/>
        <w:spacing w:before="120" w:after="0"/>
      </w:pPr>
    </w:p>
    <w:p w14:paraId="70AC8D92" w14:textId="77777777" w:rsidR="00C24100" w:rsidRDefault="00C24100" w:rsidP="001E0B7F">
      <w:pPr>
        <w:pStyle w:val="Copyrighttext"/>
        <w:spacing w:before="120" w:after="0"/>
      </w:pPr>
    </w:p>
    <w:p w14:paraId="3259D2AB" w14:textId="77777777" w:rsidR="00C24100" w:rsidRDefault="00C24100" w:rsidP="001E0B7F">
      <w:pPr>
        <w:pStyle w:val="Copyrighttext"/>
        <w:spacing w:before="120" w:after="0"/>
      </w:pPr>
    </w:p>
    <w:p w14:paraId="33ABF1CF" w14:textId="77777777" w:rsidR="00C24100" w:rsidRDefault="00C24100" w:rsidP="001E0B7F">
      <w:pPr>
        <w:pStyle w:val="Copyrighttext"/>
        <w:spacing w:before="120" w:after="0"/>
      </w:pPr>
    </w:p>
    <w:p w14:paraId="4DA9BCF4" w14:textId="77777777" w:rsidR="00C24100" w:rsidRDefault="00C24100" w:rsidP="001E0B7F">
      <w:pPr>
        <w:pStyle w:val="Copyrighttext"/>
        <w:spacing w:before="120" w:after="0"/>
      </w:pPr>
    </w:p>
    <w:p w14:paraId="5FCB3F42" w14:textId="77777777" w:rsidR="00C24100" w:rsidRDefault="00C24100" w:rsidP="001E0B7F">
      <w:pPr>
        <w:pStyle w:val="Copyrighttext"/>
        <w:spacing w:before="120" w:after="0"/>
      </w:pPr>
    </w:p>
    <w:p w14:paraId="1BD5B296" w14:textId="77777777" w:rsidR="00C24100" w:rsidRDefault="00C24100" w:rsidP="001E0B7F">
      <w:pPr>
        <w:pStyle w:val="Copyrighttext"/>
        <w:spacing w:before="120" w:after="0"/>
      </w:pPr>
    </w:p>
    <w:p w14:paraId="0406D772" w14:textId="1346BD37" w:rsidR="001A4E05" w:rsidRPr="00E601C3" w:rsidRDefault="001A4E05" w:rsidP="001E0B7F">
      <w:pPr>
        <w:pStyle w:val="Copyrighttext"/>
        <w:spacing w:before="120" w:after="0"/>
        <w:rPr>
          <w:rFonts w:cstheme="minorHAnsi"/>
        </w:rPr>
      </w:pPr>
      <w:r w:rsidRPr="00EC5DD2">
        <w:t>© State of Victoria (Department of Education and Training) 202</w:t>
      </w:r>
      <w:r w:rsidR="00860696">
        <w:t>2</w:t>
      </w:r>
      <w:r w:rsidRPr="00EC5DD2">
        <w:t xml:space="preserve">. </w:t>
      </w:r>
      <w:r w:rsidRPr="00EC5DD2">
        <w:rPr>
          <w:rFonts w:cstheme="minorHAnsi"/>
        </w:rPr>
        <w:t>Except where otherwise </w:t>
      </w:r>
      <w:hyperlink r:id="rId18" w:history="1">
        <w:r w:rsidRPr="00EC5DD2">
          <w:rPr>
            <w:rStyle w:val="Hyperlink"/>
            <w:rFonts w:cstheme="minorHAnsi"/>
            <w:color w:val="auto"/>
          </w:rPr>
          <w:t>noted,</w:t>
        </w:r>
      </w:hyperlink>
      <w:r w:rsidRPr="00EC5DD2">
        <w:rPr>
          <w:rFonts w:cstheme="minorHAnsi"/>
        </w:rPr>
        <w:t xml:space="preserve"> material in this document is provided under a </w:t>
      </w:r>
      <w:hyperlink r:id="rId19" w:history="1">
        <w:r w:rsidRPr="00EC5DD2">
          <w:rPr>
            <w:rStyle w:val="Hyperlink"/>
            <w:rFonts w:cstheme="minorHAnsi"/>
            <w:color w:val="auto"/>
          </w:rPr>
          <w:t>Creative Commons Attribution 4.0 International</w:t>
        </w:r>
      </w:hyperlink>
      <w:r w:rsidRPr="00EC5DD2">
        <w:rPr>
          <w:rFonts w:cstheme="minorHAnsi"/>
        </w:rPr>
        <w:t xml:space="preserve"> Please check the full </w:t>
      </w:r>
      <w:hyperlink r:id="rId20" w:history="1">
        <w:r w:rsidRPr="00EC5DD2">
          <w:rPr>
            <w:rStyle w:val="Hyperlink"/>
            <w:rFonts w:cstheme="minorHAnsi"/>
            <w:color w:val="auto"/>
          </w:rPr>
          <w:t>copyright notice </w:t>
        </w:r>
      </w:hyperlink>
    </w:p>
    <w:sectPr w:rsidR="001A4E05" w:rsidRPr="00E601C3" w:rsidSect="00C41943">
      <w:footerReference w:type="default" r:id="rId21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9B2E" w14:textId="77777777" w:rsidR="00C5506F" w:rsidRDefault="00C5506F" w:rsidP="003967DD">
      <w:pPr>
        <w:spacing w:after="0"/>
      </w:pPr>
      <w:r>
        <w:separator/>
      </w:r>
    </w:p>
  </w:endnote>
  <w:endnote w:type="continuationSeparator" w:id="0">
    <w:p w14:paraId="3C0B90D4" w14:textId="77777777" w:rsidR="00C5506F" w:rsidRDefault="00C5506F" w:rsidP="003967DD">
      <w:pPr>
        <w:spacing w:after="0"/>
      </w:pPr>
      <w:r>
        <w:continuationSeparator/>
      </w:r>
    </w:p>
  </w:endnote>
  <w:endnote w:type="continuationNotice" w:id="1">
    <w:p w14:paraId="360A9273" w14:textId="77777777" w:rsidR="00C5506F" w:rsidRDefault="00C550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sz w:val="20"/>
        <w:szCs w:val="20"/>
      </w:rPr>
      <w:id w:val="-1180120930"/>
      <w:docPartObj>
        <w:docPartGallery w:val="Page Numbers (Top of Page)"/>
        <w:docPartUnique/>
      </w:docPartObj>
    </w:sdtPr>
    <w:sdtEndPr/>
    <w:sdtContent>
      <w:p w14:paraId="2D0D3DE8" w14:textId="6E48C46F" w:rsidR="007A1069" w:rsidRPr="00075D22" w:rsidRDefault="004A6194" w:rsidP="004A6194">
        <w:pPr>
          <w:tabs>
            <w:tab w:val="center" w:pos="4513"/>
            <w:tab w:val="right" w:pos="9026"/>
          </w:tabs>
          <w:jc w:val="right"/>
          <w:rPr>
            <w:rFonts w:ascii="Arial" w:eastAsia="Arial" w:hAnsi="Arial" w:cs="Times New Roman"/>
            <w:sz w:val="20"/>
            <w:szCs w:val="20"/>
          </w:rPr>
        </w:pPr>
        <w:r w:rsidRPr="00075D22">
          <w:rPr>
            <w:rFonts w:ascii="Arial" w:eastAsia="Arial" w:hAnsi="Arial" w:cs="Times New Roman"/>
            <w:sz w:val="20"/>
            <w:szCs w:val="20"/>
          </w:rPr>
          <w:t xml:space="preserve">Page </w: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instrText xml:space="preserve"> PAGE </w:instrTex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>
          <w:rPr>
            <w:rFonts w:ascii="Arial" w:eastAsia="Arial" w:hAnsi="Arial" w:cs="Times New Roman"/>
            <w:bCs/>
            <w:sz w:val="20"/>
            <w:szCs w:val="20"/>
          </w:rPr>
          <w:t>1</w: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  <w:r w:rsidRPr="00075D22">
          <w:rPr>
            <w:rFonts w:ascii="Arial" w:eastAsia="Arial" w:hAnsi="Arial" w:cs="Times New Roman"/>
            <w:sz w:val="20"/>
            <w:szCs w:val="20"/>
          </w:rPr>
          <w:t xml:space="preserve"> of </w: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instrText xml:space="preserve"> NUMPAGES  </w:instrTex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>
          <w:rPr>
            <w:rFonts w:ascii="Arial" w:eastAsia="Arial" w:hAnsi="Arial" w:cs="Times New Roman"/>
            <w:bCs/>
            <w:sz w:val="20"/>
            <w:szCs w:val="20"/>
          </w:rPr>
          <w:t>3</w: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</w:p>
      <w:p w14:paraId="0CD3DEB7" w14:textId="4D9E30CA" w:rsidR="00A31926" w:rsidRPr="004A6194" w:rsidRDefault="00341BD4" w:rsidP="004A6194">
        <w:pPr>
          <w:tabs>
            <w:tab w:val="center" w:pos="4513"/>
            <w:tab w:val="right" w:pos="9026"/>
          </w:tabs>
          <w:rPr>
            <w:rFonts w:ascii="Arial" w:eastAsia="Arial" w:hAnsi="Arial" w:cs="Times New Roman"/>
            <w:sz w:val="20"/>
            <w:szCs w:val="20"/>
          </w:rPr>
        </w:pPr>
        <w:r>
          <w:rPr>
            <w:rFonts w:ascii="Arial" w:eastAsia="Arial" w:hAnsi="Arial" w:cs="Times New Roman"/>
            <w:bCs/>
            <w:sz w:val="20"/>
            <w:szCs w:val="20"/>
          </w:rPr>
          <w:t>p</w:t>
        </w:r>
        <w:r w:rsidR="004A6194" w:rsidRPr="00EC5DD2">
          <w:rPr>
            <w:rFonts w:ascii="Arial" w:eastAsia="Arial" w:hAnsi="Arial" w:cs="Times New Roman"/>
            <w:bCs/>
            <w:sz w:val="20"/>
            <w:szCs w:val="20"/>
          </w:rPr>
          <w:t xml:space="preserve">ublished </w:t>
        </w:r>
        <w:r w:rsidR="00D345B6" w:rsidRPr="00EC5DD2">
          <w:rPr>
            <w:rFonts w:ascii="Arial" w:eastAsia="Arial" w:hAnsi="Arial" w:cs="Times New Roman"/>
            <w:bCs/>
            <w:sz w:val="20"/>
            <w:szCs w:val="20"/>
          </w:rPr>
          <w:t xml:space="preserve">December </w:t>
        </w:r>
        <w:r w:rsidR="00EF30E3" w:rsidRPr="00EC5DD2">
          <w:rPr>
            <w:rFonts w:ascii="Arial" w:eastAsia="Arial" w:hAnsi="Arial" w:cs="Times New Roman"/>
            <w:bCs/>
            <w:sz w:val="20"/>
            <w:szCs w:val="20"/>
          </w:rPr>
          <w:t>202</w:t>
        </w:r>
        <w:r w:rsidR="00EF30E3">
          <w:rPr>
            <w:rFonts w:ascii="Arial" w:eastAsia="Arial" w:hAnsi="Arial" w:cs="Times New Roman"/>
            <w:bCs/>
            <w:sz w:val="20"/>
            <w:szCs w:val="20"/>
          </w:rPr>
          <w:t>2</w:t>
        </w:r>
        <w:r w:rsidR="00EF30E3" w:rsidRPr="00075D22">
          <w:rPr>
            <w:rFonts w:ascii="Arial" w:eastAsia="Arial" w:hAnsi="Arial" w:cs="Times New Roman"/>
            <w:bCs/>
            <w:sz w:val="20"/>
            <w:szCs w:val="20"/>
          </w:rPr>
          <w:t xml:space="preserve"> </w:t>
        </w:r>
        <w:r w:rsidR="004A6194" w:rsidRPr="00075D22">
          <w:rPr>
            <w:rFonts w:ascii="Arial" w:eastAsia="Arial" w:hAnsi="Arial" w:cs="Times New Roman"/>
            <w:bCs/>
            <w:sz w:val="20"/>
            <w:szCs w:val="20"/>
          </w:rPr>
          <w:t xml:space="preserve">(version </w:t>
        </w:r>
        <w:r w:rsidR="00EF30E3">
          <w:rPr>
            <w:rFonts w:ascii="Arial" w:eastAsia="Arial" w:hAnsi="Arial" w:cs="Times New Roman"/>
            <w:bCs/>
            <w:sz w:val="20"/>
            <w:szCs w:val="20"/>
          </w:rPr>
          <w:t>3</w:t>
        </w:r>
        <w:r w:rsidR="00471ED4">
          <w:rPr>
            <w:rFonts w:ascii="Arial" w:eastAsia="Arial" w:hAnsi="Arial" w:cs="Times New Roman"/>
            <w:bCs/>
            <w:sz w:val="20"/>
            <w:szCs w:val="20"/>
          </w:rPr>
          <w:t>.0</w:t>
        </w:r>
        <w:r w:rsidR="004A6194" w:rsidRPr="00075D22">
          <w:rPr>
            <w:rFonts w:ascii="Arial" w:eastAsia="Arial" w:hAnsi="Arial" w:cs="Times New Roman"/>
            <w:bCs/>
            <w:sz w:val="20"/>
            <w:szCs w:val="20"/>
          </w:rPr>
          <w:t xml:space="preserve">)    </w:t>
        </w:r>
        <w:r w:rsidR="004A6194" w:rsidRPr="00075D22">
          <w:rPr>
            <w:rFonts w:ascii="Arial" w:eastAsia="Arial" w:hAnsi="Arial" w:cs="Times New Roman"/>
            <w:i/>
            <w:sz w:val="20"/>
            <w:szCs w:val="20"/>
          </w:rPr>
          <w:t>This document is a guide only and subject to change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sz w:val="20"/>
        <w:szCs w:val="20"/>
      </w:rPr>
      <w:id w:val="97611118"/>
      <w:docPartObj>
        <w:docPartGallery w:val="Page Numbers (Top of Page)"/>
        <w:docPartUnique/>
      </w:docPartObj>
    </w:sdtPr>
    <w:sdtEndPr/>
    <w:sdtContent>
      <w:p w14:paraId="5B32CF13" w14:textId="77777777" w:rsidR="001A4E05" w:rsidRPr="00075D22" w:rsidRDefault="001A4E05" w:rsidP="001A4E05">
        <w:pPr>
          <w:tabs>
            <w:tab w:val="center" w:pos="4513"/>
            <w:tab w:val="right" w:pos="9026"/>
          </w:tabs>
          <w:jc w:val="right"/>
          <w:rPr>
            <w:rFonts w:ascii="Arial" w:eastAsia="Arial" w:hAnsi="Arial" w:cs="Times New Roman"/>
            <w:sz w:val="20"/>
            <w:szCs w:val="20"/>
          </w:rPr>
        </w:pPr>
        <w:r w:rsidRPr="00075D22">
          <w:rPr>
            <w:rFonts w:ascii="Arial" w:eastAsia="Arial" w:hAnsi="Arial" w:cs="Times New Roman"/>
            <w:sz w:val="20"/>
            <w:szCs w:val="20"/>
          </w:rPr>
          <w:t xml:space="preserve">Page </w: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instrText xml:space="preserve"> PAGE </w:instrTex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>
          <w:rPr>
            <w:rFonts w:ascii="Arial" w:eastAsia="Arial" w:hAnsi="Arial" w:cs="Times New Roman"/>
            <w:bCs/>
            <w:sz w:val="20"/>
            <w:szCs w:val="20"/>
          </w:rPr>
          <w:t>2</w: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  <w:r w:rsidRPr="00075D22">
          <w:rPr>
            <w:rFonts w:ascii="Arial" w:eastAsia="Arial" w:hAnsi="Arial" w:cs="Times New Roman"/>
            <w:sz w:val="20"/>
            <w:szCs w:val="20"/>
          </w:rPr>
          <w:t xml:space="preserve"> of </w: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instrText xml:space="preserve"> NUMPAGES  </w:instrTex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>
          <w:rPr>
            <w:rFonts w:ascii="Arial" w:eastAsia="Arial" w:hAnsi="Arial" w:cs="Times New Roman"/>
            <w:bCs/>
            <w:sz w:val="20"/>
            <w:szCs w:val="20"/>
          </w:rPr>
          <w:t>3</w:t>
        </w:r>
        <w:r w:rsidRPr="00075D22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</w:p>
      <w:p w14:paraId="0669CAA0" w14:textId="2A6C1952" w:rsidR="00E7208C" w:rsidRPr="001A4E05" w:rsidRDefault="00723B4A" w:rsidP="004A6194">
        <w:pPr>
          <w:tabs>
            <w:tab w:val="center" w:pos="4513"/>
            <w:tab w:val="right" w:pos="9026"/>
          </w:tabs>
          <w:rPr>
            <w:rFonts w:ascii="Arial" w:eastAsia="Arial" w:hAnsi="Arial" w:cs="Times New Roman"/>
            <w:sz w:val="20"/>
            <w:szCs w:val="20"/>
          </w:rPr>
        </w:pPr>
        <w:r w:rsidRPr="001A4E05">
          <w:rPr>
            <w:rFonts w:ascii="Arial" w:eastAsia="Arial" w:hAnsi="Arial" w:cs="Times New Roman"/>
            <w:bCs/>
            <w:sz w:val="20"/>
            <w:szCs w:val="20"/>
          </w:rPr>
          <w:t xml:space="preserve">Published </w:t>
        </w:r>
        <w:r w:rsidR="00EC5DD2" w:rsidRPr="001A4E05">
          <w:rPr>
            <w:rFonts w:ascii="Arial" w:eastAsia="Arial" w:hAnsi="Arial" w:cs="Times New Roman"/>
            <w:bCs/>
            <w:sz w:val="20"/>
            <w:szCs w:val="20"/>
          </w:rPr>
          <w:t>14</w:t>
        </w:r>
        <w:r w:rsidRPr="001A4E05">
          <w:rPr>
            <w:rFonts w:ascii="Arial" w:eastAsia="Arial" w:hAnsi="Arial" w:cs="Times New Roman"/>
            <w:bCs/>
            <w:sz w:val="20"/>
            <w:szCs w:val="20"/>
          </w:rPr>
          <w:t xml:space="preserve"> December 2021 (version 2.0)    </w:t>
        </w:r>
        <w:r w:rsidRPr="001A4E05">
          <w:rPr>
            <w:rFonts w:ascii="Arial" w:eastAsia="Arial" w:hAnsi="Arial" w:cs="Times New Roman"/>
            <w:i/>
            <w:sz w:val="20"/>
            <w:szCs w:val="20"/>
          </w:rPr>
          <w:t>This document is a guide only and subject to change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574E" w14:textId="77777777" w:rsidR="00C5506F" w:rsidRDefault="00C5506F" w:rsidP="003967DD">
      <w:pPr>
        <w:spacing w:after="0"/>
      </w:pPr>
      <w:r>
        <w:separator/>
      </w:r>
    </w:p>
  </w:footnote>
  <w:footnote w:type="continuationSeparator" w:id="0">
    <w:p w14:paraId="07252C7A" w14:textId="77777777" w:rsidR="00C5506F" w:rsidRDefault="00C5506F" w:rsidP="003967DD">
      <w:pPr>
        <w:spacing w:after="0"/>
      </w:pPr>
      <w:r>
        <w:continuationSeparator/>
      </w:r>
    </w:p>
  </w:footnote>
  <w:footnote w:type="continuationNotice" w:id="1">
    <w:p w14:paraId="70D2D959" w14:textId="77777777" w:rsidR="00C5506F" w:rsidRDefault="00C550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702F27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7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on&#10;&#10;Description automatically generated" style="width:39pt;height:39pt;visibility:visible;mso-wrap-style:square" o:bullet="t">
        <v:imagedata r:id="rId1" o:title="Icon&#10;&#10;Description automatically generated"/>
      </v:shape>
    </w:pict>
  </w:numPicBullet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80969"/>
    <w:multiLevelType w:val="hybridMultilevel"/>
    <w:tmpl w:val="6F56A2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0444A0"/>
    <w:multiLevelType w:val="hybridMultilevel"/>
    <w:tmpl w:val="BF34C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9E70D3"/>
    <w:multiLevelType w:val="hybridMultilevel"/>
    <w:tmpl w:val="43F47C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262E1"/>
    <w:multiLevelType w:val="hybridMultilevel"/>
    <w:tmpl w:val="5A807912"/>
    <w:lvl w:ilvl="0" w:tplc="2A8EE9EE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B7288"/>
    <w:multiLevelType w:val="hybridMultilevel"/>
    <w:tmpl w:val="201C3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16348"/>
    <w:multiLevelType w:val="hybridMultilevel"/>
    <w:tmpl w:val="31285BF4"/>
    <w:lvl w:ilvl="0" w:tplc="28164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8D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C9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C8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6C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43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88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F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2D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A1324"/>
    <w:multiLevelType w:val="hybridMultilevel"/>
    <w:tmpl w:val="E24037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815FC"/>
    <w:multiLevelType w:val="hybridMultilevel"/>
    <w:tmpl w:val="119A7C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80698A"/>
    <w:multiLevelType w:val="hybridMultilevel"/>
    <w:tmpl w:val="5DB2CA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4A68A4"/>
    <w:multiLevelType w:val="hybridMultilevel"/>
    <w:tmpl w:val="6FB02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30F24"/>
    <w:multiLevelType w:val="hybridMultilevel"/>
    <w:tmpl w:val="FEE8D76E"/>
    <w:lvl w:ilvl="0" w:tplc="2A8EE9EE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1884">
    <w:abstractNumId w:val="0"/>
  </w:num>
  <w:num w:numId="2" w16cid:durableId="1892305772">
    <w:abstractNumId w:val="1"/>
  </w:num>
  <w:num w:numId="3" w16cid:durableId="1679696742">
    <w:abstractNumId w:val="2"/>
  </w:num>
  <w:num w:numId="4" w16cid:durableId="2007391782">
    <w:abstractNumId w:val="3"/>
  </w:num>
  <w:num w:numId="5" w16cid:durableId="1212229844">
    <w:abstractNumId w:val="4"/>
  </w:num>
  <w:num w:numId="6" w16cid:durableId="556208468">
    <w:abstractNumId w:val="9"/>
  </w:num>
  <w:num w:numId="7" w16cid:durableId="826441481">
    <w:abstractNumId w:val="5"/>
  </w:num>
  <w:num w:numId="8" w16cid:durableId="1018698987">
    <w:abstractNumId w:val="6"/>
  </w:num>
  <w:num w:numId="9" w16cid:durableId="414283455">
    <w:abstractNumId w:val="7"/>
  </w:num>
  <w:num w:numId="10" w16cid:durableId="86385754">
    <w:abstractNumId w:val="8"/>
  </w:num>
  <w:num w:numId="11" w16cid:durableId="142744362">
    <w:abstractNumId w:val="10"/>
  </w:num>
  <w:num w:numId="12" w16cid:durableId="929390713">
    <w:abstractNumId w:val="19"/>
  </w:num>
  <w:num w:numId="13" w16cid:durableId="78524124">
    <w:abstractNumId w:val="26"/>
  </w:num>
  <w:num w:numId="14" w16cid:durableId="2063216126">
    <w:abstractNumId w:val="27"/>
  </w:num>
  <w:num w:numId="15" w16cid:durableId="335770529">
    <w:abstractNumId w:val="14"/>
  </w:num>
  <w:num w:numId="16" w16cid:durableId="1377926297">
    <w:abstractNumId w:val="21"/>
  </w:num>
  <w:num w:numId="17" w16cid:durableId="136728216">
    <w:abstractNumId w:val="17"/>
  </w:num>
  <w:num w:numId="18" w16cid:durableId="1599367418">
    <w:abstractNumId w:val="22"/>
  </w:num>
  <w:num w:numId="19" w16cid:durableId="1202748206">
    <w:abstractNumId w:val="25"/>
  </w:num>
  <w:num w:numId="20" w16cid:durableId="1535850595">
    <w:abstractNumId w:val="15"/>
  </w:num>
  <w:num w:numId="21" w16cid:durableId="1016493504">
    <w:abstractNumId w:val="13"/>
  </w:num>
  <w:num w:numId="22" w16cid:durableId="1049499167">
    <w:abstractNumId w:val="20"/>
  </w:num>
  <w:num w:numId="23" w16cid:durableId="239562816">
    <w:abstractNumId w:val="24"/>
  </w:num>
  <w:num w:numId="24" w16cid:durableId="2074423624">
    <w:abstractNumId w:val="12"/>
  </w:num>
  <w:num w:numId="25" w16cid:durableId="310133270">
    <w:abstractNumId w:val="11"/>
  </w:num>
  <w:num w:numId="26" w16cid:durableId="2058973536">
    <w:abstractNumId w:val="16"/>
  </w:num>
  <w:num w:numId="27" w16cid:durableId="252667235">
    <w:abstractNumId w:val="23"/>
  </w:num>
  <w:num w:numId="28" w16cid:durableId="14125782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E5D"/>
    <w:rsid w:val="00003178"/>
    <w:rsid w:val="00004F5F"/>
    <w:rsid w:val="00011F31"/>
    <w:rsid w:val="00013339"/>
    <w:rsid w:val="00016815"/>
    <w:rsid w:val="000256E2"/>
    <w:rsid w:val="000305C5"/>
    <w:rsid w:val="00030DED"/>
    <w:rsid w:val="00031FC5"/>
    <w:rsid w:val="0003343B"/>
    <w:rsid w:val="00034566"/>
    <w:rsid w:val="00080DA9"/>
    <w:rsid w:val="000861DD"/>
    <w:rsid w:val="000A3DA7"/>
    <w:rsid w:val="000A47D4"/>
    <w:rsid w:val="000A5E39"/>
    <w:rsid w:val="000B00B7"/>
    <w:rsid w:val="000C5537"/>
    <w:rsid w:val="000C600E"/>
    <w:rsid w:val="000C6408"/>
    <w:rsid w:val="000D7F9A"/>
    <w:rsid w:val="000E26B1"/>
    <w:rsid w:val="000E27E7"/>
    <w:rsid w:val="000E5C6C"/>
    <w:rsid w:val="00112B3C"/>
    <w:rsid w:val="00122369"/>
    <w:rsid w:val="00150E0F"/>
    <w:rsid w:val="00151B31"/>
    <w:rsid w:val="00154EF5"/>
    <w:rsid w:val="00157212"/>
    <w:rsid w:val="00157692"/>
    <w:rsid w:val="0016287D"/>
    <w:rsid w:val="00165DAB"/>
    <w:rsid w:val="00173761"/>
    <w:rsid w:val="0017516E"/>
    <w:rsid w:val="0017648A"/>
    <w:rsid w:val="00180716"/>
    <w:rsid w:val="001A4E05"/>
    <w:rsid w:val="001B4B2D"/>
    <w:rsid w:val="001D0D94"/>
    <w:rsid w:val="001D13F9"/>
    <w:rsid w:val="001E0B7F"/>
    <w:rsid w:val="001E6BDE"/>
    <w:rsid w:val="001F2EAF"/>
    <w:rsid w:val="001F39DD"/>
    <w:rsid w:val="001F7E1B"/>
    <w:rsid w:val="002019AB"/>
    <w:rsid w:val="00232ADB"/>
    <w:rsid w:val="00244CD5"/>
    <w:rsid w:val="002512BE"/>
    <w:rsid w:val="002546FD"/>
    <w:rsid w:val="002614A8"/>
    <w:rsid w:val="00274A0B"/>
    <w:rsid w:val="00275FB8"/>
    <w:rsid w:val="002837BD"/>
    <w:rsid w:val="002A4A96"/>
    <w:rsid w:val="002C571F"/>
    <w:rsid w:val="002D378B"/>
    <w:rsid w:val="002E3BED"/>
    <w:rsid w:val="002F6115"/>
    <w:rsid w:val="0031184D"/>
    <w:rsid w:val="00312720"/>
    <w:rsid w:val="003214AC"/>
    <w:rsid w:val="003218C1"/>
    <w:rsid w:val="00327A6D"/>
    <w:rsid w:val="00341768"/>
    <w:rsid w:val="00341BD4"/>
    <w:rsid w:val="00343AFC"/>
    <w:rsid w:val="0034745C"/>
    <w:rsid w:val="00360CBF"/>
    <w:rsid w:val="003921F8"/>
    <w:rsid w:val="003967DD"/>
    <w:rsid w:val="003A4C39"/>
    <w:rsid w:val="003B70E4"/>
    <w:rsid w:val="003C51B6"/>
    <w:rsid w:val="003C54C8"/>
    <w:rsid w:val="003C7CD8"/>
    <w:rsid w:val="003E1C4A"/>
    <w:rsid w:val="00406A4D"/>
    <w:rsid w:val="00407EF2"/>
    <w:rsid w:val="0042186C"/>
    <w:rsid w:val="0042333B"/>
    <w:rsid w:val="004337E6"/>
    <w:rsid w:val="004355C8"/>
    <w:rsid w:val="00443E58"/>
    <w:rsid w:val="00446C68"/>
    <w:rsid w:val="004471AB"/>
    <w:rsid w:val="00470A9F"/>
    <w:rsid w:val="00471ED4"/>
    <w:rsid w:val="004855FE"/>
    <w:rsid w:val="004A2E74"/>
    <w:rsid w:val="004A31F0"/>
    <w:rsid w:val="004A4B2D"/>
    <w:rsid w:val="004A6194"/>
    <w:rsid w:val="004B1971"/>
    <w:rsid w:val="004B2ED6"/>
    <w:rsid w:val="004D4388"/>
    <w:rsid w:val="004F10E2"/>
    <w:rsid w:val="004F61C8"/>
    <w:rsid w:val="00500ADA"/>
    <w:rsid w:val="00511842"/>
    <w:rsid w:val="00512BBA"/>
    <w:rsid w:val="0052190C"/>
    <w:rsid w:val="00544BF5"/>
    <w:rsid w:val="00550C3D"/>
    <w:rsid w:val="00555277"/>
    <w:rsid w:val="00567CF0"/>
    <w:rsid w:val="005812F1"/>
    <w:rsid w:val="00582614"/>
    <w:rsid w:val="00584366"/>
    <w:rsid w:val="005A4F12"/>
    <w:rsid w:val="005C51B7"/>
    <w:rsid w:val="005C6D82"/>
    <w:rsid w:val="005D5919"/>
    <w:rsid w:val="005D654B"/>
    <w:rsid w:val="005E0283"/>
    <w:rsid w:val="005E0713"/>
    <w:rsid w:val="005F2622"/>
    <w:rsid w:val="005F779E"/>
    <w:rsid w:val="00602984"/>
    <w:rsid w:val="006137A9"/>
    <w:rsid w:val="00624A55"/>
    <w:rsid w:val="00624BF7"/>
    <w:rsid w:val="006434E6"/>
    <w:rsid w:val="00650265"/>
    <w:rsid w:val="006523D7"/>
    <w:rsid w:val="00656108"/>
    <w:rsid w:val="006577DF"/>
    <w:rsid w:val="0066478C"/>
    <w:rsid w:val="00664D8D"/>
    <w:rsid w:val="006671CE"/>
    <w:rsid w:val="006676CF"/>
    <w:rsid w:val="00672427"/>
    <w:rsid w:val="00675CD5"/>
    <w:rsid w:val="0067745E"/>
    <w:rsid w:val="00677534"/>
    <w:rsid w:val="006A1F8A"/>
    <w:rsid w:val="006A25AC"/>
    <w:rsid w:val="006A36C5"/>
    <w:rsid w:val="006A7B86"/>
    <w:rsid w:val="006C45C0"/>
    <w:rsid w:val="006D1314"/>
    <w:rsid w:val="006D4747"/>
    <w:rsid w:val="006E2B9A"/>
    <w:rsid w:val="006E62F6"/>
    <w:rsid w:val="006F3BFE"/>
    <w:rsid w:val="006F529F"/>
    <w:rsid w:val="006F59F8"/>
    <w:rsid w:val="006F7783"/>
    <w:rsid w:val="00710CED"/>
    <w:rsid w:val="00716F2E"/>
    <w:rsid w:val="007227DA"/>
    <w:rsid w:val="00723B4A"/>
    <w:rsid w:val="007249BC"/>
    <w:rsid w:val="0072651E"/>
    <w:rsid w:val="00732947"/>
    <w:rsid w:val="00734D62"/>
    <w:rsid w:val="00735566"/>
    <w:rsid w:val="00742963"/>
    <w:rsid w:val="00745D3A"/>
    <w:rsid w:val="007556A6"/>
    <w:rsid w:val="0076125E"/>
    <w:rsid w:val="00767573"/>
    <w:rsid w:val="00782078"/>
    <w:rsid w:val="00790631"/>
    <w:rsid w:val="0079411D"/>
    <w:rsid w:val="007A1069"/>
    <w:rsid w:val="007A2474"/>
    <w:rsid w:val="007B26D3"/>
    <w:rsid w:val="007B556E"/>
    <w:rsid w:val="007C53C6"/>
    <w:rsid w:val="007D2CDF"/>
    <w:rsid w:val="007D3E38"/>
    <w:rsid w:val="007D4090"/>
    <w:rsid w:val="007E6A09"/>
    <w:rsid w:val="007E7095"/>
    <w:rsid w:val="007F4FF7"/>
    <w:rsid w:val="008031EB"/>
    <w:rsid w:val="00805EE2"/>
    <w:rsid w:val="008065DA"/>
    <w:rsid w:val="0085218D"/>
    <w:rsid w:val="008530F9"/>
    <w:rsid w:val="00860696"/>
    <w:rsid w:val="00862331"/>
    <w:rsid w:val="00864EAC"/>
    <w:rsid w:val="008900F6"/>
    <w:rsid w:val="00890680"/>
    <w:rsid w:val="00892E24"/>
    <w:rsid w:val="008954E9"/>
    <w:rsid w:val="008A5AA4"/>
    <w:rsid w:val="008B1737"/>
    <w:rsid w:val="008B69CE"/>
    <w:rsid w:val="008C1C22"/>
    <w:rsid w:val="008C5ECE"/>
    <w:rsid w:val="008C6B2B"/>
    <w:rsid w:val="008E0EE1"/>
    <w:rsid w:val="008F3D35"/>
    <w:rsid w:val="008F47A1"/>
    <w:rsid w:val="009141B9"/>
    <w:rsid w:val="009269E2"/>
    <w:rsid w:val="00932234"/>
    <w:rsid w:val="00946666"/>
    <w:rsid w:val="009502D5"/>
    <w:rsid w:val="00952690"/>
    <w:rsid w:val="00954B9A"/>
    <w:rsid w:val="0096312C"/>
    <w:rsid w:val="0097038A"/>
    <w:rsid w:val="00973C2F"/>
    <w:rsid w:val="009825C2"/>
    <w:rsid w:val="00984E75"/>
    <w:rsid w:val="00987C0B"/>
    <w:rsid w:val="0099358C"/>
    <w:rsid w:val="00993BC6"/>
    <w:rsid w:val="009960D6"/>
    <w:rsid w:val="009B02F2"/>
    <w:rsid w:val="009C01C3"/>
    <w:rsid w:val="009D3EAB"/>
    <w:rsid w:val="009F0BE2"/>
    <w:rsid w:val="009F6A77"/>
    <w:rsid w:val="00A00EF8"/>
    <w:rsid w:val="00A14EDD"/>
    <w:rsid w:val="00A26983"/>
    <w:rsid w:val="00A31926"/>
    <w:rsid w:val="00A710DF"/>
    <w:rsid w:val="00A72B99"/>
    <w:rsid w:val="00A94D33"/>
    <w:rsid w:val="00AB2932"/>
    <w:rsid w:val="00AC50F8"/>
    <w:rsid w:val="00AD6C92"/>
    <w:rsid w:val="00AF61F6"/>
    <w:rsid w:val="00AF6383"/>
    <w:rsid w:val="00B14EB1"/>
    <w:rsid w:val="00B17623"/>
    <w:rsid w:val="00B21562"/>
    <w:rsid w:val="00B21D58"/>
    <w:rsid w:val="00B26750"/>
    <w:rsid w:val="00B331C1"/>
    <w:rsid w:val="00B3462A"/>
    <w:rsid w:val="00B36709"/>
    <w:rsid w:val="00B5343D"/>
    <w:rsid w:val="00B57D41"/>
    <w:rsid w:val="00B679FA"/>
    <w:rsid w:val="00B7049D"/>
    <w:rsid w:val="00B71417"/>
    <w:rsid w:val="00B73F29"/>
    <w:rsid w:val="00B8030A"/>
    <w:rsid w:val="00B91B71"/>
    <w:rsid w:val="00BB1870"/>
    <w:rsid w:val="00BC3E54"/>
    <w:rsid w:val="00BE74D2"/>
    <w:rsid w:val="00BF62E6"/>
    <w:rsid w:val="00C13410"/>
    <w:rsid w:val="00C14D6A"/>
    <w:rsid w:val="00C24100"/>
    <w:rsid w:val="00C33854"/>
    <w:rsid w:val="00C41943"/>
    <w:rsid w:val="00C538AD"/>
    <w:rsid w:val="00C539BB"/>
    <w:rsid w:val="00C5506F"/>
    <w:rsid w:val="00C62862"/>
    <w:rsid w:val="00C736FB"/>
    <w:rsid w:val="00C92EC6"/>
    <w:rsid w:val="00C94389"/>
    <w:rsid w:val="00CB0347"/>
    <w:rsid w:val="00CC1F23"/>
    <w:rsid w:val="00CC5AA8"/>
    <w:rsid w:val="00CC7207"/>
    <w:rsid w:val="00CD5993"/>
    <w:rsid w:val="00CE52BD"/>
    <w:rsid w:val="00CE7916"/>
    <w:rsid w:val="00CF1580"/>
    <w:rsid w:val="00D009CE"/>
    <w:rsid w:val="00D01BD7"/>
    <w:rsid w:val="00D02285"/>
    <w:rsid w:val="00D03A99"/>
    <w:rsid w:val="00D154EE"/>
    <w:rsid w:val="00D23684"/>
    <w:rsid w:val="00D26DF4"/>
    <w:rsid w:val="00D345B6"/>
    <w:rsid w:val="00D621B5"/>
    <w:rsid w:val="00D8077E"/>
    <w:rsid w:val="00D81393"/>
    <w:rsid w:val="00D85316"/>
    <w:rsid w:val="00D90658"/>
    <w:rsid w:val="00D9777A"/>
    <w:rsid w:val="00DA36A0"/>
    <w:rsid w:val="00DA41AF"/>
    <w:rsid w:val="00DB71CA"/>
    <w:rsid w:val="00DC1300"/>
    <w:rsid w:val="00DC3FD4"/>
    <w:rsid w:val="00DC4D0D"/>
    <w:rsid w:val="00DE0861"/>
    <w:rsid w:val="00DE2A75"/>
    <w:rsid w:val="00DE4D86"/>
    <w:rsid w:val="00E04BDE"/>
    <w:rsid w:val="00E17BF8"/>
    <w:rsid w:val="00E34263"/>
    <w:rsid w:val="00E34721"/>
    <w:rsid w:val="00E4317E"/>
    <w:rsid w:val="00E43269"/>
    <w:rsid w:val="00E5030B"/>
    <w:rsid w:val="00E56A13"/>
    <w:rsid w:val="00E601C3"/>
    <w:rsid w:val="00E6100B"/>
    <w:rsid w:val="00E633E8"/>
    <w:rsid w:val="00E6407C"/>
    <w:rsid w:val="00E64758"/>
    <w:rsid w:val="00E7208C"/>
    <w:rsid w:val="00E77EB9"/>
    <w:rsid w:val="00EA3715"/>
    <w:rsid w:val="00EC557D"/>
    <w:rsid w:val="00EC5DD2"/>
    <w:rsid w:val="00EE076B"/>
    <w:rsid w:val="00EE2AA0"/>
    <w:rsid w:val="00EF30E3"/>
    <w:rsid w:val="00EF5F42"/>
    <w:rsid w:val="00F01EB4"/>
    <w:rsid w:val="00F0610A"/>
    <w:rsid w:val="00F26F6F"/>
    <w:rsid w:val="00F4610C"/>
    <w:rsid w:val="00F515B1"/>
    <w:rsid w:val="00F5271F"/>
    <w:rsid w:val="00F73193"/>
    <w:rsid w:val="00F94715"/>
    <w:rsid w:val="00FA000A"/>
    <w:rsid w:val="00FB27DB"/>
    <w:rsid w:val="00FC5979"/>
    <w:rsid w:val="00FD01A3"/>
    <w:rsid w:val="00FD0B74"/>
    <w:rsid w:val="00FD6B7E"/>
    <w:rsid w:val="00FD75D4"/>
    <w:rsid w:val="00FD7B1D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B2A8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List Paragraph Number,FooterText,リスト段落"/>
    <w:basedOn w:val="Normal"/>
    <w:link w:val="ListParagraphChar"/>
    <w:uiPriority w:val="34"/>
    <w:qFormat/>
    <w:rsid w:val="00470A9F"/>
    <w:pPr>
      <w:spacing w:after="160" w:line="259" w:lineRule="auto"/>
      <w:ind w:left="720"/>
      <w:contextualSpacing/>
    </w:pPr>
    <w:rPr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0A9F"/>
    <w:rPr>
      <w:sz w:val="16"/>
      <w:szCs w:val="16"/>
    </w:r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link w:val="ListParagraph"/>
    <w:uiPriority w:val="34"/>
    <w:qFormat/>
    <w:locked/>
    <w:rsid w:val="00470A9F"/>
    <w:rPr>
      <w:sz w:val="22"/>
      <w:szCs w:val="22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E63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3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0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education.vic.gov.au/Pages/copyrigh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ducation.vic.gov.au/sv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education.vic.gov.au/Pages/copyright.aspx" TargetMode="Externa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vic.gov.au/Documents/training/providers/rto/currlnsupportlitnum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889F23CC-8630-4926-9FA3-1F0811927D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502F8C-D344-45C9-9E61-DC53E689626B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3D72E2-31F5-4C8A-9077-91155E1718E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e2460a2-3e09-40bc-a665-6e5b313d5e13"/>
    <ds:schemaRef ds:uri="http://www.w3.org/XML/1998/namespace"/>
    <ds:schemaRef ds:uri="http://purl.org/dc/terms/"/>
    <ds:schemaRef ds:uri="http://schemas.microsoft.com/office/2006/metadata/properties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Claire Reader</cp:lastModifiedBy>
  <cp:revision>8</cp:revision>
  <cp:lastPrinted>2022-12-15T02:20:00Z</cp:lastPrinted>
  <dcterms:created xsi:type="dcterms:W3CDTF">2022-12-11T23:33:00Z</dcterms:created>
  <dcterms:modified xsi:type="dcterms:W3CDTF">2022-12-15T02:23:00Z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{b3cca25b-f07d-4239-8a3c-b7d682f9d566}</vt:lpwstr>
  </property>
  <property fmtid="{D5CDD505-2E9C-101B-9397-08002B2CF9AE}" pid="5" name="RecordPoint_ActiveItemListId">
    <vt:lpwstr>{099e913b-59b7-463a-b199-018130ffc057}</vt:lpwstr>
  </property>
  <property fmtid="{D5CDD505-2E9C-101B-9397-08002B2CF9AE}" pid="6" name="RecordPoint_ActiveItemUniqueId">
    <vt:lpwstr>{c00e7c3b-ca37-418b-b85f-87ee8a9ebee5}</vt:lpwstr>
  </property>
  <property fmtid="{D5CDD505-2E9C-101B-9397-08002B2CF9AE}" pid="7" name="RecordPoint_ActiveItemWebId">
    <vt:lpwstr>{6e2460a2-3e09-40bc-a665-6e5b313d5e13}</vt:lpwstr>
  </property>
  <property fmtid="{D5CDD505-2E9C-101B-9397-08002B2CF9AE}" pid="8" name="DET_EDRMS_RCSTaxHTField0">
    <vt:lpwstr>13.1.2 Internal Policy|ad985a07-89db-41e4-84da-e1a6cef79014</vt:lpwstr>
  </property>
  <property fmtid="{D5CDD505-2E9C-101B-9397-08002B2CF9AE}" pid="9" name="DET_EDRMS_RCS">
    <vt:lpwstr>13;#13.1.2 Internal Policy|ad985a07-89db-41e4-84da-e1a6cef79014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R20220643719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>2022-12-15T13:24:32.3890029+11:00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ofbb8b9a280a423a91cf717fb81349cd">
    <vt:lpwstr>Education|5232e41c-5101-41fe-b638-7d41d1371531</vt:lpwstr>
  </property>
  <property fmtid="{D5CDD505-2E9C-101B-9397-08002B2CF9AE}" pid="17" name="a319977fc8504e09982f090ae1d7c602">
    <vt:lpwstr>Page|eb523acf-a821-456c-a76b-7607578309d7</vt:lpwstr>
  </property>
  <property fmtid="{D5CDD505-2E9C-101B-9397-08002B2CF9AE}" pid="18" name="DEECD_ItemType">
    <vt:lpwstr>101;#Page|eb523acf-a821-456c-a76b-7607578309d7</vt:lpwstr>
  </property>
</Properties>
</file>