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F8B0" w14:textId="2459D147" w:rsidR="008425EE" w:rsidRDefault="008B1013" w:rsidP="008C68CF">
      <w:pPr>
        <w:pStyle w:val="Heading1"/>
        <w:rPr>
          <w:lang w:val="en-AU"/>
        </w:rPr>
      </w:pPr>
      <w:r w:rsidRPr="008425EE">
        <w:rPr>
          <w:lang w:val="en-AU"/>
        </w:rPr>
        <w:t>Sighting and retaining evidence of eligibility</w:t>
      </w:r>
    </w:p>
    <w:p w14:paraId="0C9E4609" w14:textId="1E7C4CF6" w:rsidR="008425EE" w:rsidRDefault="00E173CC" w:rsidP="009D47D2">
      <w:pPr>
        <w:pStyle w:val="Intro"/>
      </w:pPr>
      <w:r w:rsidRPr="00E173CC">
        <w:t xml:space="preserve">This fact sheet explains what must be sighted and retained when you check a student’s evidence of eligibility for the Skills First program. </w:t>
      </w:r>
      <w:r w:rsidR="006E40F0">
        <w:t>Read it alongside the VET Funding Contract and Guidelines About Eligibility</w:t>
      </w:r>
      <w:r w:rsidRPr="00E173CC">
        <w:t>.</w:t>
      </w:r>
    </w:p>
    <w:p w14:paraId="1D63E08B" w14:textId="77777777" w:rsidR="00CC14D8" w:rsidRDefault="00CC14D8" w:rsidP="00271D59">
      <w:pPr>
        <w:pStyle w:val="Heading2"/>
        <w:rPr>
          <w:lang w:val="en-AU"/>
        </w:rPr>
        <w:sectPr w:rsidR="00CC14D8" w:rsidSect="00FB45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843" w:right="560" w:bottom="1701" w:left="709" w:header="567" w:footer="567" w:gutter="0"/>
          <w:cols w:space="708"/>
          <w:docGrid w:linePitch="360"/>
        </w:sectPr>
      </w:pPr>
    </w:p>
    <w:p w14:paraId="55A9146F" w14:textId="2F4D2EB2" w:rsidR="008C3D29" w:rsidRPr="00F54B79" w:rsidRDefault="00CE07F2" w:rsidP="00271D59">
      <w:pPr>
        <w:pStyle w:val="Heading2"/>
      </w:pPr>
      <w:r w:rsidRPr="00F54B79">
        <w:t>Background</w:t>
      </w:r>
    </w:p>
    <w:p w14:paraId="5281CD46" w14:textId="6F163944" w:rsidR="008C3D29" w:rsidRDefault="008C3D29" w:rsidP="009D47D2">
      <w:pPr>
        <w:rPr>
          <w:szCs w:val="22"/>
        </w:rPr>
      </w:pPr>
      <w:r>
        <w:rPr>
          <w:szCs w:val="22"/>
        </w:rPr>
        <w:t xml:space="preserve">Before you enrol a student in </w:t>
      </w:r>
      <w:r w:rsidRPr="00200103">
        <w:rPr>
          <w:iCs/>
          <w:szCs w:val="22"/>
        </w:rPr>
        <w:t>Skills First</w:t>
      </w:r>
      <w:r>
        <w:rPr>
          <w:i/>
          <w:szCs w:val="22"/>
        </w:rPr>
        <w:t xml:space="preserve"> </w:t>
      </w:r>
      <w:r>
        <w:rPr>
          <w:szCs w:val="22"/>
        </w:rPr>
        <w:t>training, you must make sure they</w:t>
      </w:r>
      <w:r w:rsidR="00FB454C">
        <w:rPr>
          <w:szCs w:val="22"/>
        </w:rPr>
        <w:t>’re</w:t>
      </w:r>
      <w:r>
        <w:rPr>
          <w:szCs w:val="22"/>
        </w:rPr>
        <w:t xml:space="preserve"> eligible</w:t>
      </w:r>
      <w:r w:rsidR="00CA4230">
        <w:rPr>
          <w:szCs w:val="22"/>
        </w:rPr>
        <w:t xml:space="preserve">, by </w:t>
      </w:r>
      <w:r>
        <w:rPr>
          <w:szCs w:val="22"/>
        </w:rPr>
        <w:t>confirming they</w:t>
      </w:r>
      <w:r w:rsidR="00FB454C">
        <w:rPr>
          <w:szCs w:val="22"/>
        </w:rPr>
        <w:t>’</w:t>
      </w:r>
      <w:r>
        <w:rPr>
          <w:szCs w:val="22"/>
        </w:rPr>
        <w:t>re an Australian or New Zealand citizen or a permanent resident</w:t>
      </w:r>
      <w:r w:rsidR="00FB454C">
        <w:rPr>
          <w:szCs w:val="22"/>
        </w:rPr>
        <w:t xml:space="preserve"> of Australia</w:t>
      </w:r>
      <w:r w:rsidR="006753F3">
        <w:rPr>
          <w:szCs w:val="22"/>
        </w:rPr>
        <w:t xml:space="preserve">. </w:t>
      </w:r>
    </w:p>
    <w:p w14:paraId="58ACE64C" w14:textId="2CC9E318" w:rsidR="008C3D29" w:rsidRDefault="00FB454C" w:rsidP="009D47D2">
      <w:pPr>
        <w:rPr>
          <w:szCs w:val="22"/>
          <w:lang w:val="en-AU"/>
        </w:rPr>
      </w:pPr>
      <w:r>
        <w:rPr>
          <w:szCs w:val="22"/>
        </w:rPr>
        <w:t>You must establish e</w:t>
      </w:r>
      <w:r w:rsidR="008C3D29">
        <w:rPr>
          <w:szCs w:val="22"/>
        </w:rPr>
        <w:t xml:space="preserve">ligibility </w:t>
      </w:r>
      <w:r w:rsidR="006E40F0">
        <w:rPr>
          <w:szCs w:val="22"/>
        </w:rPr>
        <w:t xml:space="preserve">in </w:t>
      </w:r>
      <w:r w:rsidR="008C3D29">
        <w:rPr>
          <w:szCs w:val="22"/>
          <w:lang w:val="en-AU"/>
        </w:rPr>
        <w:t>a</w:t>
      </w:r>
      <w:r w:rsidR="008C3D29" w:rsidRPr="001849E1">
        <w:rPr>
          <w:szCs w:val="22"/>
          <w:lang w:val="en-AU"/>
        </w:rPr>
        <w:t xml:space="preserve"> robust way that </w:t>
      </w:r>
      <w:r w:rsidR="006753F3">
        <w:rPr>
          <w:szCs w:val="22"/>
          <w:lang w:val="en-AU"/>
        </w:rPr>
        <w:t>we</w:t>
      </w:r>
      <w:r w:rsidR="008C3D29" w:rsidRPr="001849E1">
        <w:rPr>
          <w:szCs w:val="22"/>
          <w:lang w:val="en-AU"/>
        </w:rPr>
        <w:t xml:space="preserve"> can verify</w:t>
      </w:r>
      <w:r w:rsidR="008C3D29">
        <w:rPr>
          <w:szCs w:val="22"/>
          <w:lang w:val="en-AU"/>
        </w:rPr>
        <w:t xml:space="preserve"> at an audit or review</w:t>
      </w:r>
      <w:r>
        <w:rPr>
          <w:szCs w:val="22"/>
          <w:lang w:val="en-AU"/>
        </w:rPr>
        <w:t>. T</w:t>
      </w:r>
      <w:r w:rsidR="008C3D29">
        <w:rPr>
          <w:szCs w:val="22"/>
          <w:lang w:val="en-AU"/>
        </w:rPr>
        <w:t>his includes sighting and retaining copies of documents</w:t>
      </w:r>
      <w:r w:rsidR="008C3D29" w:rsidRPr="001849E1">
        <w:rPr>
          <w:szCs w:val="22"/>
          <w:lang w:val="en-AU"/>
        </w:rPr>
        <w:t>.</w:t>
      </w:r>
      <w:r w:rsidR="008C3D29">
        <w:rPr>
          <w:szCs w:val="22"/>
          <w:lang w:val="en-AU"/>
        </w:rPr>
        <w:t xml:space="preserve"> </w:t>
      </w:r>
    </w:p>
    <w:p w14:paraId="6C9F9FE7" w14:textId="42556F4B" w:rsidR="008C3D29" w:rsidRDefault="00CE07F2" w:rsidP="008C68CF">
      <w:pPr>
        <w:pStyle w:val="Heading2"/>
      </w:pPr>
      <w:r>
        <w:t>Types of evidence we accept</w:t>
      </w:r>
    </w:p>
    <w:p w14:paraId="1F2325BE" w14:textId="6C44A455" w:rsidR="006E40F0" w:rsidRDefault="006E40F0" w:rsidP="008C68CF">
      <w:pPr>
        <w:pStyle w:val="Heading3"/>
      </w:pPr>
      <w:r>
        <w:t>Proving citizenship/permanent residence</w:t>
      </w:r>
    </w:p>
    <w:p w14:paraId="4D105076" w14:textId="509CF810" w:rsidR="008C3D29" w:rsidRPr="00CD2AFF" w:rsidRDefault="006E40F0" w:rsidP="008C68CF">
      <w:r>
        <w:t xml:space="preserve">We </w:t>
      </w:r>
      <w:r w:rsidR="008C3D29">
        <w:t>accept</w:t>
      </w:r>
      <w:r>
        <w:t xml:space="preserve"> these </w:t>
      </w:r>
      <w:r w:rsidR="008C3D29">
        <w:t>documents</w:t>
      </w:r>
      <w:r w:rsidR="006753F3">
        <w:t xml:space="preserve"> as proof of citizenship/ permanent residence</w:t>
      </w:r>
      <w:r>
        <w:t>: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8C3D29" w:rsidRPr="00BB2B2F" w14:paraId="61D04D07" w14:textId="77777777" w:rsidTr="00840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5EB9124" w14:textId="37AC8224" w:rsidR="008C3D29" w:rsidRPr="007C527C" w:rsidRDefault="008C3D29" w:rsidP="008C68CF">
            <w:pPr>
              <w:pStyle w:val="ListParagraph"/>
              <w:spacing w:before="120"/>
              <w:ind w:left="0"/>
              <w:contextualSpacing w:val="0"/>
              <w:rPr>
                <w:rFonts w:ascii="Arial" w:hAnsi="Arial" w:cs="Arial"/>
                <w:szCs w:val="22"/>
                <w:lang w:val="en-AU"/>
              </w:rPr>
            </w:pPr>
            <w:bookmarkStart w:id="0" w:name="_Hlk84490682"/>
            <w:r w:rsidRPr="007C527C">
              <w:rPr>
                <w:rFonts w:ascii="Arial" w:hAnsi="Arial" w:cs="Arial"/>
                <w:szCs w:val="22"/>
                <w:lang w:val="en-AU"/>
              </w:rPr>
              <w:t>If the student is:</w:t>
            </w:r>
          </w:p>
        </w:tc>
        <w:tc>
          <w:tcPr>
            <w:tcW w:w="7938" w:type="dxa"/>
          </w:tcPr>
          <w:p w14:paraId="392BD67D" w14:textId="46A79B00" w:rsidR="008C3D29" w:rsidRPr="007C527C" w:rsidRDefault="008C3D29" w:rsidP="008C68CF">
            <w:pPr>
              <w:pStyle w:val="ListParagraph"/>
              <w:spacing w:before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AU"/>
              </w:rPr>
            </w:pPr>
            <w:r w:rsidRPr="007C527C">
              <w:rPr>
                <w:rFonts w:ascii="Arial" w:hAnsi="Arial" w:cs="Arial"/>
                <w:szCs w:val="22"/>
                <w:lang w:val="en-AU"/>
              </w:rPr>
              <w:t xml:space="preserve">You can accept </w:t>
            </w:r>
            <w:r w:rsidR="00C56286" w:rsidRPr="00C56286">
              <w:rPr>
                <w:rFonts w:ascii="Arial" w:hAnsi="Arial" w:cs="Arial"/>
                <w:b/>
                <w:bCs/>
                <w:szCs w:val="22"/>
                <w:lang w:val="en-AU"/>
              </w:rPr>
              <w:t>ANY</w:t>
            </w:r>
            <w:r w:rsidRPr="007C527C">
              <w:rPr>
                <w:rFonts w:ascii="Arial" w:hAnsi="Arial" w:cs="Arial"/>
                <w:szCs w:val="22"/>
                <w:lang w:val="en-AU"/>
              </w:rPr>
              <w:t xml:space="preserve"> of these:</w:t>
            </w:r>
          </w:p>
        </w:tc>
      </w:tr>
      <w:tr w:rsidR="008C3D29" w:rsidRPr="00BB2B2F" w14:paraId="33A2B10A" w14:textId="77777777" w:rsidTr="00967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12" w:space="0" w:color="B8BBBE" w:themeColor="accent6" w:themeTint="66"/>
            </w:tcBorders>
          </w:tcPr>
          <w:p w14:paraId="0F27FAA9" w14:textId="4A10BFC6" w:rsidR="008C3D29" w:rsidRPr="007C527C" w:rsidRDefault="008C3D29" w:rsidP="008409E1">
            <w:pPr>
              <w:spacing w:before="120"/>
              <w:rPr>
                <w:rFonts w:ascii="Arial" w:hAnsi="Arial" w:cs="Arial"/>
                <w:szCs w:val="22"/>
                <w:lang w:val="en-AU"/>
              </w:rPr>
            </w:pPr>
            <w:r w:rsidRPr="007C527C">
              <w:rPr>
                <w:rFonts w:ascii="Arial" w:hAnsi="Arial" w:cs="Arial"/>
                <w:szCs w:val="22"/>
                <w:lang w:val="en-AU"/>
              </w:rPr>
              <w:t>an Australian citizen</w:t>
            </w:r>
          </w:p>
        </w:tc>
        <w:tc>
          <w:tcPr>
            <w:tcW w:w="7938" w:type="dxa"/>
            <w:tcBorders>
              <w:bottom w:val="single" w:sz="12" w:space="0" w:color="B8BBBE" w:themeColor="accent6" w:themeTint="66"/>
            </w:tcBorders>
          </w:tcPr>
          <w:p w14:paraId="0BC7D534" w14:textId="24E35DAA" w:rsidR="008C3D29" w:rsidRPr="008409E1" w:rsidRDefault="008C3D29" w:rsidP="008409E1">
            <w:pPr>
              <w:pStyle w:val="ListParagraph"/>
              <w:numPr>
                <w:ilvl w:val="0"/>
                <w:numId w:val="2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8409E1">
              <w:rPr>
                <w:lang w:val="en-AU"/>
              </w:rPr>
              <w:t>Australian birth certificate (not birth extract)</w:t>
            </w:r>
          </w:p>
          <w:p w14:paraId="0C4ADB06" w14:textId="5D4D00A7" w:rsidR="008C3D29" w:rsidRPr="007C527C" w:rsidRDefault="00FC28C9" w:rsidP="008409E1">
            <w:pPr>
              <w:pStyle w:val="ListParagraph"/>
              <w:numPr>
                <w:ilvl w:val="0"/>
                <w:numId w:val="2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8C3D29" w:rsidRPr="007C527C">
              <w:rPr>
                <w:lang w:val="en-AU"/>
              </w:rPr>
              <w:t xml:space="preserve">urrent Australian </w:t>
            </w:r>
            <w:r>
              <w:rPr>
                <w:lang w:val="en-AU"/>
              </w:rPr>
              <w:t>p</w:t>
            </w:r>
            <w:r w:rsidR="008C3D29" w:rsidRPr="007C527C">
              <w:rPr>
                <w:lang w:val="en-AU"/>
              </w:rPr>
              <w:t>assport</w:t>
            </w:r>
          </w:p>
          <w:p w14:paraId="2EC13253" w14:textId="1529C4D0" w:rsidR="008C3D29" w:rsidRPr="007C527C" w:rsidRDefault="008C3D29" w:rsidP="008409E1">
            <w:pPr>
              <w:pStyle w:val="ListParagraph"/>
              <w:numPr>
                <w:ilvl w:val="0"/>
                <w:numId w:val="2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C527C">
              <w:rPr>
                <w:lang w:val="en-AU"/>
              </w:rPr>
              <w:t>Australian citizenship certificate</w:t>
            </w:r>
          </w:p>
          <w:p w14:paraId="44B45605" w14:textId="6E1EDD35" w:rsidR="008C3D29" w:rsidRPr="007C527C" w:rsidRDefault="00FC28C9" w:rsidP="008409E1">
            <w:pPr>
              <w:pStyle w:val="ListParagraph"/>
              <w:numPr>
                <w:ilvl w:val="0"/>
                <w:numId w:val="2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8C3D29" w:rsidRPr="007C527C">
              <w:rPr>
                <w:lang w:val="en-AU"/>
              </w:rPr>
              <w:t xml:space="preserve">urrent green Medicare card </w:t>
            </w:r>
          </w:p>
          <w:p w14:paraId="5554DCAD" w14:textId="6798D612" w:rsidR="00FB454C" w:rsidRPr="007C527C" w:rsidRDefault="008C3D29" w:rsidP="008409E1">
            <w:pPr>
              <w:pStyle w:val="ListParagraph"/>
              <w:numPr>
                <w:ilvl w:val="0"/>
                <w:numId w:val="2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7C527C">
              <w:rPr>
                <w:lang w:val="en-AU"/>
              </w:rPr>
              <w:t>Australian certificate of registration by descent</w:t>
            </w:r>
          </w:p>
        </w:tc>
      </w:tr>
      <w:tr w:rsidR="008C3D29" w:rsidRPr="00BB2B2F" w14:paraId="32755494" w14:textId="77777777" w:rsidTr="004A5EE3">
        <w:trPr>
          <w:trHeight w:val="1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036E9E75" w14:textId="1C9DE4B8" w:rsidR="008C3D29" w:rsidRPr="007C527C" w:rsidRDefault="008C3D29" w:rsidP="008409E1">
            <w:pPr>
              <w:rPr>
                <w:rFonts w:ascii="Arial" w:hAnsi="Arial" w:cs="Arial"/>
                <w:szCs w:val="22"/>
                <w:lang w:val="en-AU"/>
              </w:rPr>
            </w:pPr>
            <w:r w:rsidRPr="007C527C">
              <w:rPr>
                <w:rFonts w:ascii="Arial" w:hAnsi="Arial" w:cs="Arial"/>
                <w:szCs w:val="22"/>
                <w:lang w:val="en-AU"/>
              </w:rPr>
              <w:t>a N</w:t>
            </w:r>
            <w:r w:rsidR="00FC28C9">
              <w:rPr>
                <w:rFonts w:ascii="Arial" w:hAnsi="Arial" w:cs="Arial"/>
                <w:szCs w:val="22"/>
                <w:lang w:val="en-AU"/>
              </w:rPr>
              <w:t>ew Zealand</w:t>
            </w:r>
            <w:r w:rsidRPr="007C527C">
              <w:rPr>
                <w:rFonts w:ascii="Arial" w:hAnsi="Arial" w:cs="Arial"/>
                <w:szCs w:val="22"/>
                <w:lang w:val="en-AU"/>
              </w:rPr>
              <w:t xml:space="preserve"> citizen</w:t>
            </w:r>
          </w:p>
        </w:tc>
        <w:tc>
          <w:tcPr>
            <w:tcW w:w="0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004329CD" w14:textId="096F3A30" w:rsidR="008C3D29" w:rsidRPr="008409E1" w:rsidRDefault="00FC28C9" w:rsidP="00967711">
            <w:pPr>
              <w:pStyle w:val="ListParagraph"/>
              <w:numPr>
                <w:ilvl w:val="0"/>
                <w:numId w:val="20"/>
              </w:numPr>
              <w:ind w:left="357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8C3D29" w:rsidRPr="008409E1">
              <w:rPr>
                <w:lang w:val="en-AU"/>
              </w:rPr>
              <w:t xml:space="preserve">urrent New Zealand </w:t>
            </w:r>
            <w:r>
              <w:rPr>
                <w:lang w:val="en-AU"/>
              </w:rPr>
              <w:t>p</w:t>
            </w:r>
            <w:r w:rsidR="008C3D29" w:rsidRPr="008409E1">
              <w:rPr>
                <w:lang w:val="en-AU"/>
              </w:rPr>
              <w:t>assport</w:t>
            </w:r>
          </w:p>
          <w:p w14:paraId="7ECBA182" w14:textId="3CD86E28" w:rsidR="00DC4F81" w:rsidRDefault="00DC4F81" w:rsidP="00967711">
            <w:pPr>
              <w:pStyle w:val="ListParagraph"/>
              <w:numPr>
                <w:ilvl w:val="0"/>
                <w:numId w:val="20"/>
              </w:numPr>
              <w:ind w:left="357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New Zealand birth certificate</w:t>
            </w:r>
          </w:p>
          <w:p w14:paraId="11313992" w14:textId="5D8F8B09" w:rsidR="00DC4F81" w:rsidRDefault="00DC4F81" w:rsidP="00967711">
            <w:pPr>
              <w:pStyle w:val="ListParagraph"/>
              <w:numPr>
                <w:ilvl w:val="0"/>
                <w:numId w:val="20"/>
              </w:numPr>
              <w:ind w:left="357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New Zealand citizenship certificate</w:t>
            </w:r>
          </w:p>
          <w:p w14:paraId="45C1AF77" w14:textId="0B17F3FF" w:rsidR="005C7A2E" w:rsidRPr="00967711" w:rsidRDefault="00FC28C9" w:rsidP="00967711">
            <w:pPr>
              <w:pStyle w:val="ListParagraph"/>
              <w:numPr>
                <w:ilvl w:val="0"/>
                <w:numId w:val="20"/>
              </w:numPr>
              <w:ind w:left="357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DC4F81" w:rsidRPr="007C527C">
              <w:rPr>
                <w:lang w:val="en-AU"/>
              </w:rPr>
              <w:t>urrent green Medicare card</w:t>
            </w:r>
          </w:p>
        </w:tc>
      </w:tr>
      <w:tr w:rsidR="008C3D29" w:rsidRPr="00BB2B2F" w14:paraId="60144989" w14:textId="77777777" w:rsidTr="00967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5A3A7E44" w14:textId="4B442EB5" w:rsidR="008C3D29" w:rsidRPr="007C527C" w:rsidRDefault="008C3D29" w:rsidP="008409E1">
            <w:pPr>
              <w:rPr>
                <w:rFonts w:ascii="Arial" w:hAnsi="Arial" w:cs="Arial"/>
                <w:szCs w:val="22"/>
                <w:lang w:val="en-AU"/>
              </w:rPr>
            </w:pPr>
            <w:r w:rsidRPr="007C527C">
              <w:rPr>
                <w:rFonts w:ascii="Arial" w:hAnsi="Arial" w:cs="Arial"/>
                <w:szCs w:val="22"/>
                <w:lang w:val="en-AU"/>
              </w:rPr>
              <w:t>a permanent resident</w:t>
            </w:r>
          </w:p>
        </w:tc>
        <w:tc>
          <w:tcPr>
            <w:tcW w:w="7938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110AE201" w14:textId="7D53A021" w:rsidR="008C3D29" w:rsidRPr="007C527C" w:rsidRDefault="00FC28C9" w:rsidP="00C74C15">
            <w:pPr>
              <w:pStyle w:val="ListParagraph"/>
              <w:numPr>
                <w:ilvl w:val="0"/>
                <w:numId w:val="2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AU"/>
              </w:rPr>
            </w:pPr>
            <w:r>
              <w:rPr>
                <w:rFonts w:ascii="Arial" w:hAnsi="Arial" w:cs="Arial"/>
                <w:szCs w:val="22"/>
                <w:lang w:val="en-AU"/>
              </w:rPr>
              <w:t>c</w:t>
            </w:r>
            <w:r w:rsidR="008C3D29" w:rsidRPr="007C527C">
              <w:rPr>
                <w:rFonts w:ascii="Arial" w:hAnsi="Arial" w:cs="Arial"/>
                <w:szCs w:val="22"/>
                <w:lang w:val="en-AU"/>
              </w:rPr>
              <w:t>urrent green Medicare card</w:t>
            </w:r>
          </w:p>
          <w:p w14:paraId="698CF808" w14:textId="39759ED5" w:rsidR="008C3D29" w:rsidRPr="008409E1" w:rsidRDefault="00FC28C9" w:rsidP="008409E1">
            <w:pPr>
              <w:pStyle w:val="ListParagraph"/>
              <w:numPr>
                <w:ilvl w:val="0"/>
                <w:numId w:val="2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f</w:t>
            </w:r>
            <w:r w:rsidR="008C3D29" w:rsidRPr="008409E1">
              <w:rPr>
                <w:lang w:val="en-AU"/>
              </w:rPr>
              <w:t xml:space="preserve">ormal confirmation of permanent residence granted by the Department of Home Affairs </w:t>
            </w:r>
            <w:r w:rsidR="008C3D29" w:rsidRPr="008409E1">
              <w:rPr>
                <w:b/>
                <w:lang w:val="en-AU"/>
              </w:rPr>
              <w:t>AND</w:t>
            </w:r>
            <w:r w:rsidR="008C3D29" w:rsidRPr="008409E1">
              <w:rPr>
                <w:lang w:val="en-AU"/>
              </w:rPr>
              <w:t xml:space="preserve"> the student’s foreign passport or </w:t>
            </w:r>
            <w:proofErr w:type="spellStart"/>
            <w:r w:rsidR="008C3D29" w:rsidRPr="008409E1">
              <w:rPr>
                <w:lang w:val="en-AU"/>
              </w:rPr>
              <w:t>ImmiCard</w:t>
            </w:r>
            <w:proofErr w:type="spellEnd"/>
          </w:p>
        </w:tc>
      </w:tr>
      <w:tr w:rsidR="000C55C9" w:rsidRPr="00BB2B2F" w14:paraId="0411FEE5" w14:textId="77777777" w:rsidTr="009677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0555E590" w14:textId="09F3EC97" w:rsidR="000C55C9" w:rsidRPr="007C527C" w:rsidRDefault="000C55C9" w:rsidP="008409E1">
            <w:pPr>
              <w:rPr>
                <w:rFonts w:ascii="Arial" w:hAnsi="Arial" w:cs="Arial"/>
                <w:szCs w:val="22"/>
                <w:lang w:val="en-AU"/>
              </w:rPr>
            </w:pPr>
            <w:r w:rsidRPr="007C527C">
              <w:rPr>
                <w:rFonts w:ascii="Arial" w:hAnsi="Arial" w:cs="Arial"/>
                <w:szCs w:val="22"/>
                <w:lang w:val="en-AU"/>
              </w:rPr>
              <w:t xml:space="preserve">an asylum seeker </w:t>
            </w:r>
            <w:r>
              <w:rPr>
                <w:rFonts w:ascii="Arial" w:hAnsi="Arial" w:cs="Arial"/>
                <w:szCs w:val="22"/>
                <w:lang w:val="en-AU"/>
              </w:rPr>
              <w:t>enrolling under the Asylum Seeker VET program</w:t>
            </w:r>
          </w:p>
        </w:tc>
        <w:tc>
          <w:tcPr>
            <w:tcW w:w="7938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452F162E" w14:textId="1EC05A01" w:rsidR="000C55C9" w:rsidRPr="008409E1" w:rsidRDefault="000C55C9" w:rsidP="008409E1">
            <w:pPr>
              <w:pStyle w:val="ListParagraph"/>
              <w:numPr>
                <w:ilvl w:val="0"/>
                <w:numId w:val="2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8409E1">
              <w:rPr>
                <w:lang w:val="en-AU"/>
              </w:rPr>
              <w:t>a ‘</w:t>
            </w:r>
            <w:r w:rsidRPr="008409E1">
              <w:rPr>
                <w:iCs/>
                <w:lang w:val="en-AU"/>
              </w:rPr>
              <w:t>Referral to Government Subsidised Training - Asylum Seekers’</w:t>
            </w:r>
            <w:r w:rsidRPr="008409E1">
              <w:rPr>
                <w:lang w:val="en-AU"/>
              </w:rPr>
              <w:t xml:space="preserve"> form from the Asylum Seeker Resource Centre or the Australian Red Cross </w:t>
            </w:r>
          </w:p>
          <w:p w14:paraId="4B548227" w14:textId="3650485A" w:rsidR="000C55C9" w:rsidRPr="007C527C" w:rsidRDefault="00FC28C9" w:rsidP="008409E1">
            <w:pPr>
              <w:pStyle w:val="ListParagraph"/>
              <w:numPr>
                <w:ilvl w:val="0"/>
                <w:numId w:val="2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0C55C9" w:rsidRPr="00DC4F81">
              <w:rPr>
                <w:lang w:val="en-AU"/>
              </w:rPr>
              <w:t xml:space="preserve">onfirmation through the Visa Entitlement Verification Online (VEVO) system that the student has a valid visa type </w:t>
            </w:r>
            <w:r>
              <w:rPr>
                <w:lang w:val="en-AU"/>
              </w:rPr>
              <w:t xml:space="preserve">that we </w:t>
            </w:r>
            <w:proofErr w:type="gramStart"/>
            <w:r w:rsidR="000C55C9" w:rsidRPr="00DC4F81">
              <w:rPr>
                <w:lang w:val="en-AU"/>
              </w:rPr>
              <w:t>accept</w:t>
            </w:r>
            <w:proofErr w:type="gramEnd"/>
            <w:r w:rsidR="000C55C9" w:rsidRPr="00DC4F81">
              <w:rPr>
                <w:lang w:val="en-AU"/>
              </w:rPr>
              <w:t xml:space="preserve"> for participation </w:t>
            </w:r>
            <w:r>
              <w:rPr>
                <w:lang w:val="en-AU"/>
              </w:rPr>
              <w:t>in the program</w:t>
            </w:r>
          </w:p>
        </w:tc>
      </w:tr>
      <w:tr w:rsidR="000C55C9" w:rsidRPr="00BB2B2F" w14:paraId="7ECBDB5C" w14:textId="77777777" w:rsidTr="00967711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607ECB51" w14:textId="01E27404" w:rsidR="000C55C9" w:rsidRPr="007C527C" w:rsidRDefault="000C55C9" w:rsidP="008409E1">
            <w:pPr>
              <w:rPr>
                <w:rFonts w:ascii="Arial" w:hAnsi="Arial" w:cs="Arial"/>
                <w:szCs w:val="22"/>
                <w:lang w:val="en-AU"/>
              </w:rPr>
            </w:pPr>
            <w:r>
              <w:rPr>
                <w:rFonts w:ascii="Arial" w:hAnsi="Arial" w:cs="Arial"/>
                <w:szCs w:val="22"/>
                <w:lang w:val="en-AU"/>
              </w:rPr>
              <w:t>i</w:t>
            </w:r>
            <w:r w:rsidRPr="007C527C">
              <w:rPr>
                <w:rFonts w:ascii="Arial" w:hAnsi="Arial" w:cs="Arial"/>
                <w:szCs w:val="22"/>
                <w:lang w:val="en-AU"/>
              </w:rPr>
              <w:t>n exceptional circumstances</w:t>
            </w:r>
          </w:p>
        </w:tc>
        <w:tc>
          <w:tcPr>
            <w:tcW w:w="7938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7B4AC747" w14:textId="50A69798" w:rsidR="000C55C9" w:rsidRPr="008409E1" w:rsidRDefault="00FC28C9" w:rsidP="008409E1">
            <w:pPr>
              <w:pStyle w:val="ListParagraph"/>
              <w:numPr>
                <w:ilvl w:val="0"/>
                <w:numId w:val="20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0C55C9" w:rsidRPr="008409E1">
              <w:rPr>
                <w:lang w:val="en-AU"/>
              </w:rPr>
              <w:t xml:space="preserve"> proxy declaration signed by the training provider CEO or a government or community services provider, approved by the </w:t>
            </w:r>
            <w:r>
              <w:rPr>
                <w:lang w:val="en-AU"/>
              </w:rPr>
              <w:t>d</w:t>
            </w:r>
            <w:r w:rsidR="000C55C9" w:rsidRPr="008409E1">
              <w:rPr>
                <w:lang w:val="en-AU"/>
              </w:rPr>
              <w:t xml:space="preserve">epartment </w:t>
            </w:r>
          </w:p>
        </w:tc>
      </w:tr>
      <w:bookmarkEnd w:id="0"/>
    </w:tbl>
    <w:p w14:paraId="1444AA52" w14:textId="77777777" w:rsidR="003D2F1B" w:rsidRDefault="003D2F1B" w:rsidP="008C68CF">
      <w:pPr>
        <w:pStyle w:val="Heading3"/>
        <w:sectPr w:rsidR="003D2F1B" w:rsidSect="00C31929">
          <w:type w:val="continuous"/>
          <w:pgSz w:w="11900" w:h="16840"/>
          <w:pgMar w:top="1701" w:right="1134" w:bottom="851" w:left="709" w:header="709" w:footer="283" w:gutter="0"/>
          <w:cols w:space="708"/>
          <w:docGrid w:linePitch="360"/>
        </w:sectPr>
      </w:pPr>
    </w:p>
    <w:p w14:paraId="312DCB40" w14:textId="7F5CC583" w:rsidR="008C3D29" w:rsidRDefault="00AC6047" w:rsidP="0053577D">
      <w:pPr>
        <w:pStyle w:val="Heading3"/>
        <w:spacing w:before="200"/>
      </w:pPr>
      <w:r>
        <w:lastRenderedPageBreak/>
        <w:t>Using a p</w:t>
      </w:r>
      <w:r w:rsidR="008C3D29">
        <w:t>roxy declaration</w:t>
      </w:r>
    </w:p>
    <w:p w14:paraId="7BFDF97A" w14:textId="7CEDD117" w:rsidR="00FC7C80" w:rsidRDefault="008C3D29">
      <w:pPr>
        <w:spacing w:after="200"/>
      </w:pPr>
      <w:r>
        <w:t xml:space="preserve">You must make all reasonable efforts to help </w:t>
      </w:r>
      <w:r w:rsidR="00FC7C80">
        <w:t xml:space="preserve">a student </w:t>
      </w:r>
      <w:r>
        <w:t xml:space="preserve">prove their eligibility in the conventional way. </w:t>
      </w:r>
      <w:r w:rsidR="00FC7C80">
        <w:t>If a student doesn’t have an</w:t>
      </w:r>
      <w:r w:rsidR="00CA4230">
        <w:t xml:space="preserve"> </w:t>
      </w:r>
      <w:r w:rsidR="00FC7C80">
        <w:t xml:space="preserve">accepted form of evidence of eligibility, they may be able to make a case to show they’re in </w:t>
      </w:r>
      <w:r w:rsidR="00FC7C80" w:rsidRPr="00FC7C80">
        <w:rPr>
          <w:b/>
          <w:bCs/>
        </w:rPr>
        <w:t>exceptional circumstances</w:t>
      </w:r>
      <w:r w:rsidR="00FC7C80">
        <w:t>. Follow the</w:t>
      </w:r>
      <w:r w:rsidR="00F75771">
        <w:t>se</w:t>
      </w:r>
      <w:r w:rsidR="00FC7C80">
        <w:t xml:space="preserve"> steps to help a student in this situation: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78"/>
        <w:gridCol w:w="9049"/>
      </w:tblGrid>
      <w:tr w:rsidR="000B16AA" w14:paraId="1FE696DE" w14:textId="77777777" w:rsidTr="004A5EE3">
        <w:trPr>
          <w:trHeight w:val="1990"/>
        </w:trPr>
        <w:tc>
          <w:tcPr>
            <w:tcW w:w="9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67A5FEF" w14:textId="17A704A5" w:rsidR="000B16AA" w:rsidRDefault="004A3359">
            <w:pPr>
              <w:spacing w:after="200"/>
            </w:pPr>
            <w:r w:rsidRPr="002E7FF8">
              <w:rPr>
                <w:b/>
                <w:bCs/>
              </w:rPr>
              <w:t xml:space="preserve">Step </w:t>
            </w:r>
            <w:r>
              <w:rPr>
                <w:b/>
                <w:bCs/>
              </w:rPr>
              <w:t>1:</w:t>
            </w:r>
          </w:p>
        </w:tc>
        <w:tc>
          <w:tcPr>
            <w:tcW w:w="90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C8CB029" w14:textId="5776D593" w:rsidR="004A3359" w:rsidRDefault="004A3359" w:rsidP="004A5EE3">
            <w:r>
              <w:t>Decide whether you think the student is in exceptional circumstances</w:t>
            </w:r>
            <w:r w:rsidR="005E5051">
              <w:t>.</w:t>
            </w:r>
          </w:p>
          <w:p w14:paraId="2C4EEF8F" w14:textId="025BC425" w:rsidR="004A3359" w:rsidRDefault="0092396E" w:rsidP="004A5EE3">
            <w:r>
              <w:t>This</w:t>
            </w:r>
            <w:r w:rsidR="004A3359">
              <w:t xml:space="preserve"> </w:t>
            </w:r>
            <w:r w:rsidR="004A3359" w:rsidRPr="005E5051">
              <w:rPr>
                <w:b/>
                <w:bCs/>
              </w:rPr>
              <w:t>doesn’t</w:t>
            </w:r>
            <w:r w:rsidR="004A3359" w:rsidRPr="007F557B">
              <w:t xml:space="preserve"> </w:t>
            </w:r>
            <w:r w:rsidR="004A3359" w:rsidRPr="00D9396B">
              <w:t>include</w:t>
            </w:r>
            <w:r w:rsidR="004A3359">
              <w:t xml:space="preserve"> </w:t>
            </w:r>
            <w:r w:rsidR="004A3359" w:rsidRPr="005E5051">
              <w:rPr>
                <w:szCs w:val="22"/>
              </w:rPr>
              <w:t xml:space="preserve">where a </w:t>
            </w:r>
            <w:r w:rsidR="004A3359">
              <w:t>student is unwilling to bear the cost or inconvenience of obtaining documents.</w:t>
            </w:r>
          </w:p>
          <w:p w14:paraId="3FBF1071" w14:textId="6B49128B" w:rsidR="000B16AA" w:rsidRDefault="004A3359" w:rsidP="004A5EE3">
            <w:r w:rsidRPr="005E5051">
              <w:rPr>
                <w:szCs w:val="22"/>
              </w:rPr>
              <w:t xml:space="preserve">It </w:t>
            </w:r>
            <w:r w:rsidRPr="005E5051">
              <w:rPr>
                <w:b/>
                <w:bCs/>
                <w:szCs w:val="22"/>
              </w:rPr>
              <w:t xml:space="preserve">may </w:t>
            </w:r>
            <w:r w:rsidRPr="005E5051">
              <w:rPr>
                <w:szCs w:val="22"/>
              </w:rPr>
              <w:t xml:space="preserve">include where student </w:t>
            </w:r>
            <w:r>
              <w:t xml:space="preserve">grew up in a remote location and their birth was not registered or </w:t>
            </w:r>
            <w:r w:rsidRPr="005E5051">
              <w:rPr>
                <w:szCs w:val="22"/>
              </w:rPr>
              <w:t xml:space="preserve">is experiencing </w:t>
            </w:r>
            <w:r>
              <w:t>disadvantage or estrangement from family or guardians and they don’t have access to identity documents.</w:t>
            </w:r>
          </w:p>
        </w:tc>
      </w:tr>
      <w:tr w:rsidR="000B16AA" w14:paraId="77FFE2BA" w14:textId="77777777" w:rsidTr="00CA4230">
        <w:trPr>
          <w:trHeight w:val="1202"/>
        </w:trPr>
        <w:tc>
          <w:tcPr>
            <w:tcW w:w="9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6FF3CE1" w14:textId="77777777" w:rsidR="004A3359" w:rsidRDefault="004A3359" w:rsidP="004A5EE3">
            <w:pPr>
              <w:rPr>
                <w:b/>
                <w:bCs/>
              </w:rPr>
            </w:pPr>
            <w:r w:rsidRPr="00EA798D">
              <w:rPr>
                <w:b/>
                <w:bCs/>
              </w:rPr>
              <w:t>Step 2</w:t>
            </w:r>
            <w:r>
              <w:rPr>
                <w:b/>
                <w:bCs/>
              </w:rPr>
              <w:t>:</w:t>
            </w:r>
          </w:p>
          <w:p w14:paraId="6C3697FD" w14:textId="77777777" w:rsidR="000B16AA" w:rsidRDefault="000B16AA" w:rsidP="007F67A0">
            <w:pPr>
              <w:spacing w:before="120" w:after="200"/>
            </w:pPr>
          </w:p>
        </w:tc>
        <w:tc>
          <w:tcPr>
            <w:tcW w:w="90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</w:tcPr>
          <w:p w14:paraId="0571C0D8" w14:textId="61492F70" w:rsidR="000B16AA" w:rsidRDefault="004A3359" w:rsidP="00CA4230">
            <w:r>
              <w:t>If the student is in exceptional circumstances, lodge an SVTS enquiry and ask us to approve a proxy declaration. Include any supporting information to make the case for the student.</w:t>
            </w:r>
            <w:r w:rsidR="00CA4230">
              <w:t xml:space="preserve"> </w:t>
            </w:r>
            <w:r w:rsidRPr="00EB2961">
              <w:t>For exampl</w:t>
            </w:r>
            <w:r>
              <w:t xml:space="preserve">e, </w:t>
            </w:r>
            <w:r w:rsidR="007E4319">
              <w:t>a</w:t>
            </w:r>
            <w:r>
              <w:t xml:space="preserve"> declaration signed by your CEO, or a representative from a government department or community service provider.</w:t>
            </w:r>
          </w:p>
        </w:tc>
      </w:tr>
      <w:tr w:rsidR="000B16AA" w14:paraId="4F73527D" w14:textId="77777777" w:rsidTr="00174D9B">
        <w:tc>
          <w:tcPr>
            <w:tcW w:w="9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EA9E59E" w14:textId="7725C467" w:rsidR="000B16AA" w:rsidRDefault="004A3359" w:rsidP="004A5EE3">
            <w:r w:rsidRPr="002E7FF8">
              <w:rPr>
                <w:b/>
                <w:bCs/>
              </w:rPr>
              <w:t>Step 3</w:t>
            </w:r>
            <w:r>
              <w:rPr>
                <w:b/>
                <w:bCs/>
              </w:rPr>
              <w:t>:</w:t>
            </w:r>
          </w:p>
        </w:tc>
        <w:tc>
          <w:tcPr>
            <w:tcW w:w="904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6DAB58A" w14:textId="439F5D6B" w:rsidR="00174D9B" w:rsidRDefault="004A3359" w:rsidP="00CA4230">
            <w:r>
              <w:t>We</w:t>
            </w:r>
            <w:r w:rsidR="00CA4230">
              <w:t xml:space="preserve">’ll </w:t>
            </w:r>
            <w:r w:rsidR="007E4319">
              <w:t xml:space="preserve">reply </w:t>
            </w:r>
            <w:r w:rsidR="00CA4230">
              <w:t>with a decision</w:t>
            </w:r>
            <w:r>
              <w:t>.</w:t>
            </w:r>
            <w:r w:rsidR="00CA4230">
              <w:t xml:space="preserve"> If we approve, k</w:t>
            </w:r>
            <w:r>
              <w:t xml:space="preserve">eep a copy of </w:t>
            </w:r>
            <w:r w:rsidR="00CA4230">
              <w:t xml:space="preserve">the declaration and our </w:t>
            </w:r>
            <w:r>
              <w:t>approval.</w:t>
            </w:r>
          </w:p>
        </w:tc>
      </w:tr>
    </w:tbl>
    <w:p w14:paraId="449232E8" w14:textId="6FE2A650" w:rsidR="008C3D29" w:rsidRDefault="00CE07F2" w:rsidP="00CE07F2">
      <w:pPr>
        <w:pStyle w:val="Heading2"/>
        <w:rPr>
          <w:lang w:val="en-AU"/>
        </w:rPr>
      </w:pPr>
      <w:r>
        <w:rPr>
          <w:lang w:val="en-AU"/>
        </w:rPr>
        <w:t>Ways to sight and retain evidence</w:t>
      </w:r>
    </w:p>
    <w:p w14:paraId="37B7CEB7" w14:textId="43555484" w:rsidR="008C3D29" w:rsidRDefault="004A5EE3" w:rsidP="002E039C">
      <w:pPr>
        <w:rPr>
          <w:lang w:val="en-AU"/>
        </w:rPr>
      </w:pPr>
      <w:r>
        <w:rPr>
          <w:lang w:val="en-AU"/>
        </w:rPr>
        <w:t>T</w:t>
      </w:r>
      <w:r w:rsidR="00BF1569" w:rsidRPr="00BF1569">
        <w:rPr>
          <w:lang w:val="en-AU"/>
        </w:rPr>
        <w:t>here are </w:t>
      </w:r>
      <w:r w:rsidR="004C16FA">
        <w:rPr>
          <w:b/>
          <w:bCs/>
          <w:lang w:val="en-AU"/>
        </w:rPr>
        <w:t>6</w:t>
      </w:r>
      <w:r w:rsidR="00BF1569" w:rsidRPr="00BF1569">
        <w:rPr>
          <w:lang w:val="en-AU"/>
        </w:rPr>
        <w:t> ways to sight and retain evidence of eligibility so you can help students in different circumstances</w:t>
      </w:r>
      <w:r w:rsidR="00967711" w:rsidRPr="00C56515">
        <w:rPr>
          <w:lang w:val="en-AU"/>
        </w:rPr>
        <w:t>: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0C2483" w:rsidRPr="00BB2B2F" w14:paraId="6820266C" w14:textId="77777777" w:rsidTr="00174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4046AC5D" w14:textId="505E2159" w:rsidR="000C2483" w:rsidRPr="007C527C" w:rsidRDefault="009E2700" w:rsidP="002E039C">
            <w:pPr>
              <w:pStyle w:val="ListParagraph"/>
              <w:spacing w:before="120"/>
              <w:ind w:left="0"/>
              <w:contextualSpacing w:val="0"/>
              <w:rPr>
                <w:rFonts w:ascii="Arial" w:hAnsi="Arial" w:cs="Arial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Cs w:val="22"/>
                <w:lang w:val="en-AU"/>
              </w:rPr>
              <w:drawing>
                <wp:anchor distT="0" distB="0" distL="114300" distR="114300" simplePos="0" relativeHeight="251658240" behindDoc="0" locked="0" layoutInCell="1" allowOverlap="1" wp14:anchorId="7DC1666F" wp14:editId="7A04394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40640</wp:posOffset>
                  </wp:positionV>
                  <wp:extent cx="228600" cy="228600"/>
                  <wp:effectExtent l="0" t="0" r="0" b="0"/>
                  <wp:wrapSquare wrapText="bothSides"/>
                  <wp:docPr id="3" name="Graphic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2483">
              <w:rPr>
                <w:rFonts w:ascii="Arial" w:hAnsi="Arial" w:cs="Arial"/>
                <w:szCs w:val="22"/>
                <w:lang w:val="en-AU"/>
              </w:rPr>
              <w:t>SIGHT</w:t>
            </w:r>
            <w:r w:rsidR="000C2483" w:rsidRPr="007C527C">
              <w:rPr>
                <w:rFonts w:ascii="Arial" w:hAnsi="Arial" w:cs="Arial"/>
                <w:szCs w:val="22"/>
                <w:lang w:val="en-AU"/>
              </w:rPr>
              <w:t>:</w:t>
            </w:r>
          </w:p>
        </w:tc>
        <w:tc>
          <w:tcPr>
            <w:tcW w:w="4961" w:type="dxa"/>
          </w:tcPr>
          <w:p w14:paraId="724F5296" w14:textId="6BBD18E2" w:rsidR="000C2483" w:rsidRPr="007C527C" w:rsidRDefault="009E2700" w:rsidP="002E039C">
            <w:pPr>
              <w:pStyle w:val="ListParagraph"/>
              <w:spacing w:before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AU"/>
              </w:rPr>
            </w:pPr>
            <w:r>
              <w:rPr>
                <w:rFonts w:ascii="Arial" w:hAnsi="Arial" w:cs="Arial"/>
                <w:noProof/>
                <w:szCs w:val="22"/>
                <w:lang w:val="en-AU"/>
              </w:rPr>
              <w:drawing>
                <wp:anchor distT="0" distB="0" distL="114300" distR="114300" simplePos="0" relativeHeight="251658241" behindDoc="0" locked="0" layoutInCell="1" allowOverlap="1" wp14:anchorId="11BF51EB" wp14:editId="0F156B40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40640</wp:posOffset>
                  </wp:positionV>
                  <wp:extent cx="228600" cy="228600"/>
                  <wp:effectExtent l="0" t="0" r="0" b="0"/>
                  <wp:wrapSquare wrapText="bothSides"/>
                  <wp:docPr id="5" name="Graphic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483">
              <w:rPr>
                <w:rFonts w:ascii="Arial" w:hAnsi="Arial" w:cs="Arial"/>
                <w:szCs w:val="22"/>
                <w:lang w:val="en-AU"/>
              </w:rPr>
              <w:t>RETAIN</w:t>
            </w:r>
            <w:r w:rsidR="000C2483" w:rsidRPr="007C527C">
              <w:rPr>
                <w:rFonts w:ascii="Arial" w:hAnsi="Arial" w:cs="Arial"/>
                <w:szCs w:val="22"/>
                <w:lang w:val="en-AU"/>
              </w:rPr>
              <w:t>:</w:t>
            </w:r>
          </w:p>
        </w:tc>
      </w:tr>
      <w:tr w:rsidR="000C2483" w:rsidRPr="00BB2B2F" w14:paraId="6CA32EF8" w14:textId="77777777" w:rsidTr="00174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bottom w:val="single" w:sz="12" w:space="0" w:color="B8BBBE" w:themeColor="accent6" w:themeTint="66"/>
            </w:tcBorders>
          </w:tcPr>
          <w:p w14:paraId="346EE6A9" w14:textId="355DC8F9" w:rsidR="000C2483" w:rsidRPr="000C2483" w:rsidRDefault="00D03BBA" w:rsidP="002E039C">
            <w:pPr>
              <w:pStyle w:val="ListParagraph"/>
              <w:numPr>
                <w:ilvl w:val="0"/>
                <w:numId w:val="24"/>
              </w:numPr>
              <w:ind w:left="326"/>
              <w:rPr>
                <w:rFonts w:ascii="Arial" w:hAnsi="Arial" w:cs="Arial"/>
                <w:szCs w:val="22"/>
                <w:lang w:val="en-AU"/>
              </w:rPr>
            </w:pPr>
            <w:r w:rsidRPr="002E039C">
              <w:rPr>
                <w:rFonts w:ascii="Arial" w:hAnsi="Arial" w:cs="Arial"/>
                <w:szCs w:val="22"/>
                <w:lang w:val="en-AU"/>
              </w:rPr>
              <w:t xml:space="preserve">An </w:t>
            </w:r>
            <w:r w:rsidR="000C2483" w:rsidRPr="002E039C">
              <w:rPr>
                <w:rFonts w:ascii="Arial" w:hAnsi="Arial" w:cs="Arial"/>
                <w:szCs w:val="22"/>
                <w:lang w:val="en-AU"/>
              </w:rPr>
              <w:t>original document, presented in person</w:t>
            </w:r>
          </w:p>
        </w:tc>
        <w:tc>
          <w:tcPr>
            <w:tcW w:w="4961" w:type="dxa"/>
            <w:tcBorders>
              <w:bottom w:val="single" w:sz="12" w:space="0" w:color="B8BBBE" w:themeColor="accent6" w:themeTint="66"/>
            </w:tcBorders>
          </w:tcPr>
          <w:p w14:paraId="3B20993B" w14:textId="673CBC37" w:rsidR="000C2483" w:rsidRPr="000C2483" w:rsidRDefault="000C2483" w:rsidP="000C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AU"/>
              </w:rPr>
            </w:pPr>
            <w:r w:rsidRPr="007C527C">
              <w:rPr>
                <w:szCs w:val="22"/>
                <w:lang w:val="en-AU"/>
              </w:rPr>
              <w:t>A photocopy or electronic copy</w:t>
            </w:r>
          </w:p>
        </w:tc>
      </w:tr>
      <w:tr w:rsidR="000C2483" w:rsidRPr="00BB2B2F" w14:paraId="3D5EF8A1" w14:textId="77777777" w:rsidTr="00174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4B4DC552" w14:textId="7D2AC48D" w:rsidR="000C2483" w:rsidRPr="000C2483" w:rsidRDefault="000C2483" w:rsidP="000C2483">
            <w:pPr>
              <w:pStyle w:val="ListParagraph"/>
              <w:numPr>
                <w:ilvl w:val="0"/>
                <w:numId w:val="24"/>
              </w:numPr>
              <w:ind w:left="326"/>
              <w:rPr>
                <w:rFonts w:ascii="Arial" w:hAnsi="Arial" w:cs="Arial"/>
                <w:szCs w:val="22"/>
                <w:lang w:val="en-AU"/>
              </w:rPr>
            </w:pPr>
            <w:r w:rsidRPr="000C2483">
              <w:rPr>
                <w:rFonts w:ascii="Arial" w:hAnsi="Arial" w:cs="Arial"/>
                <w:szCs w:val="22"/>
                <w:lang w:val="en-AU"/>
              </w:rPr>
              <w:t xml:space="preserve">An </w:t>
            </w:r>
            <w:r w:rsidRPr="000C2483">
              <w:rPr>
                <w:rFonts w:ascii="Arial" w:hAnsi="Arial" w:cs="Arial"/>
                <w:b/>
                <w:bCs/>
                <w:szCs w:val="22"/>
                <w:lang w:val="en-AU"/>
              </w:rPr>
              <w:t>original</w:t>
            </w:r>
            <w:r w:rsidRPr="000C2483">
              <w:rPr>
                <w:rFonts w:ascii="Arial" w:hAnsi="Arial" w:cs="Arial"/>
                <w:szCs w:val="22"/>
                <w:lang w:val="en-AU"/>
              </w:rPr>
              <w:t xml:space="preserve"> certified copy of the document, presented in person or sent by post</w:t>
            </w:r>
          </w:p>
        </w:tc>
        <w:tc>
          <w:tcPr>
            <w:tcW w:w="4961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70C47F92" w14:textId="200D7056" w:rsidR="000C2483" w:rsidRPr="000C2483" w:rsidRDefault="000C2483" w:rsidP="000C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AU"/>
              </w:rPr>
            </w:pPr>
            <w:r w:rsidRPr="007C527C">
              <w:rPr>
                <w:szCs w:val="22"/>
                <w:lang w:val="en-AU"/>
              </w:rPr>
              <w:t>A photocopy or electronic copy</w:t>
            </w:r>
          </w:p>
        </w:tc>
      </w:tr>
      <w:tr w:rsidR="000C2483" w:rsidRPr="00BB2B2F" w14:paraId="68FF10DC" w14:textId="77777777" w:rsidTr="00174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7F75043D" w14:textId="5E0D19AA" w:rsidR="000C2483" w:rsidRPr="000C2483" w:rsidRDefault="000C2483" w:rsidP="000C2483">
            <w:pPr>
              <w:pStyle w:val="ListParagraph"/>
              <w:numPr>
                <w:ilvl w:val="0"/>
                <w:numId w:val="24"/>
              </w:numPr>
              <w:ind w:left="326"/>
              <w:rPr>
                <w:rFonts w:ascii="Arial" w:hAnsi="Arial" w:cs="Arial"/>
                <w:szCs w:val="22"/>
                <w:lang w:val="en-AU"/>
              </w:rPr>
            </w:pPr>
            <w:r w:rsidRPr="000C2483">
              <w:rPr>
                <w:rFonts w:ascii="Arial" w:hAnsi="Arial" w:cs="Arial"/>
                <w:szCs w:val="22"/>
                <w:lang w:val="en-AU"/>
              </w:rPr>
              <w:t>Confirmation the student’s details are verified to match a current and valid document in the Document Verification Service (DVS)</w:t>
            </w:r>
          </w:p>
        </w:tc>
        <w:tc>
          <w:tcPr>
            <w:tcW w:w="4961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2C3E3189" w14:textId="3E9B4B5D" w:rsidR="000C2483" w:rsidRPr="000C2483" w:rsidRDefault="000C2483" w:rsidP="000C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AU"/>
              </w:rPr>
            </w:pPr>
            <w:r w:rsidRPr="007C527C">
              <w:rPr>
                <w:szCs w:val="22"/>
                <w:lang w:val="en-AU"/>
              </w:rPr>
              <w:t>A transaction record showing the document was verified in the DVS</w:t>
            </w:r>
          </w:p>
        </w:tc>
      </w:tr>
      <w:tr w:rsidR="000C2483" w:rsidRPr="00BB2B2F" w14:paraId="7E7C22A3" w14:textId="77777777" w:rsidTr="00174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1C36BBB0" w14:textId="4989E2C6" w:rsidR="000C2483" w:rsidRPr="000C2483" w:rsidRDefault="00D03BBA" w:rsidP="000C2483">
            <w:pPr>
              <w:pStyle w:val="ListParagraph"/>
              <w:numPr>
                <w:ilvl w:val="0"/>
                <w:numId w:val="24"/>
              </w:numPr>
              <w:ind w:left="326"/>
              <w:rPr>
                <w:rFonts w:ascii="Arial" w:hAnsi="Arial" w:cs="Arial"/>
                <w:szCs w:val="22"/>
                <w:lang w:val="en-AU"/>
              </w:rPr>
            </w:pPr>
            <w:r>
              <w:rPr>
                <w:rFonts w:ascii="Arial" w:hAnsi="Arial" w:cs="Arial"/>
                <w:szCs w:val="22"/>
                <w:lang w:val="en-AU"/>
              </w:rPr>
              <w:t>A</w:t>
            </w:r>
            <w:r w:rsidR="000C2483" w:rsidRPr="000C2483">
              <w:rPr>
                <w:rFonts w:ascii="Arial" w:hAnsi="Arial" w:cs="Arial"/>
                <w:szCs w:val="22"/>
                <w:lang w:val="en-AU"/>
              </w:rPr>
              <w:t xml:space="preserve"> green Medicare card displayed on a Digital Wallet through the Express Plus Medicare mobile app</w:t>
            </w:r>
          </w:p>
        </w:tc>
        <w:tc>
          <w:tcPr>
            <w:tcW w:w="4961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5CCEA426" w14:textId="554DEEC6" w:rsidR="000C2483" w:rsidRPr="00C56515" w:rsidRDefault="000C2483" w:rsidP="000C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AU"/>
              </w:rPr>
            </w:pPr>
            <w:r w:rsidRPr="00C56515">
              <w:rPr>
                <w:rFonts w:ascii="Arial" w:hAnsi="Arial" w:cs="Arial"/>
                <w:szCs w:val="22"/>
                <w:lang w:val="en-AU"/>
              </w:rPr>
              <w:t>A written declaration</w:t>
            </w:r>
            <w:r w:rsidR="00CF5EA2">
              <w:rPr>
                <w:rFonts w:ascii="Arial" w:hAnsi="Arial" w:cs="Arial"/>
                <w:szCs w:val="22"/>
                <w:lang w:val="en-AU"/>
              </w:rPr>
              <w:t xml:space="preserve"> that includes </w:t>
            </w:r>
            <w:r w:rsidR="00990667" w:rsidRPr="00C56515">
              <w:rPr>
                <w:rFonts w:ascii="Arial" w:hAnsi="Arial" w:cs="Arial"/>
                <w:szCs w:val="22"/>
                <w:lang w:val="en-AU"/>
              </w:rPr>
              <w:t>the authorised delegate’s name</w:t>
            </w:r>
            <w:r w:rsidR="001A5AAF" w:rsidRPr="00C56515">
              <w:rPr>
                <w:rFonts w:ascii="Arial" w:hAnsi="Arial" w:cs="Arial"/>
                <w:szCs w:val="22"/>
                <w:lang w:val="en-AU"/>
              </w:rPr>
              <w:t xml:space="preserve"> and the</w:t>
            </w:r>
            <w:r w:rsidR="00990667" w:rsidRPr="00C56515">
              <w:rPr>
                <w:rFonts w:ascii="Arial" w:hAnsi="Arial" w:cs="Arial"/>
                <w:szCs w:val="22"/>
                <w:lang w:val="en-AU"/>
              </w:rPr>
              <w:t xml:space="preserve"> date they</w:t>
            </w:r>
            <w:r w:rsidR="00CE42B7" w:rsidRPr="00C56515">
              <w:rPr>
                <w:rFonts w:ascii="Arial" w:hAnsi="Arial" w:cs="Arial"/>
                <w:szCs w:val="22"/>
                <w:lang w:val="en-AU"/>
              </w:rPr>
              <w:t xml:space="preserve"> sighted </w:t>
            </w:r>
            <w:r w:rsidR="00A9028C" w:rsidRPr="00C56515">
              <w:rPr>
                <w:rFonts w:ascii="Arial" w:hAnsi="Arial" w:cs="Arial"/>
                <w:szCs w:val="22"/>
                <w:lang w:val="en-AU"/>
              </w:rPr>
              <w:t>the card</w:t>
            </w:r>
            <w:r w:rsidR="00CE42B7" w:rsidRPr="00C56515">
              <w:rPr>
                <w:rFonts w:ascii="Arial" w:hAnsi="Arial" w:cs="Arial"/>
                <w:szCs w:val="22"/>
                <w:lang w:val="en-AU"/>
              </w:rPr>
              <w:t xml:space="preserve">, the </w:t>
            </w:r>
            <w:r w:rsidR="003F7E3E" w:rsidRPr="00C56515">
              <w:rPr>
                <w:rFonts w:ascii="Arial" w:hAnsi="Arial" w:cs="Arial"/>
                <w:szCs w:val="22"/>
                <w:lang w:val="en-AU"/>
              </w:rPr>
              <w:t>card</w:t>
            </w:r>
            <w:r w:rsidR="00CE42B7" w:rsidRPr="00C56515">
              <w:rPr>
                <w:rFonts w:ascii="Arial" w:hAnsi="Arial" w:cs="Arial"/>
                <w:szCs w:val="22"/>
                <w:lang w:val="en-AU"/>
              </w:rPr>
              <w:t xml:space="preserve"> number and the card holder’s name.</w:t>
            </w:r>
          </w:p>
        </w:tc>
      </w:tr>
      <w:tr w:rsidR="000C2483" w:rsidRPr="00BB2B2F" w14:paraId="2B4B080D" w14:textId="77777777" w:rsidTr="00174D9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2A42E30F" w14:textId="547DE0F4" w:rsidR="000C2483" w:rsidRPr="000C2483" w:rsidRDefault="000C2483" w:rsidP="000C2483">
            <w:pPr>
              <w:pStyle w:val="ListParagraph"/>
              <w:numPr>
                <w:ilvl w:val="0"/>
                <w:numId w:val="24"/>
              </w:numPr>
              <w:ind w:left="326"/>
              <w:rPr>
                <w:rFonts w:ascii="Arial" w:hAnsi="Arial" w:cs="Arial"/>
                <w:szCs w:val="22"/>
                <w:lang w:val="en-AU"/>
              </w:rPr>
            </w:pPr>
            <w:r w:rsidRPr="000C2483">
              <w:rPr>
                <w:rFonts w:ascii="Arial" w:hAnsi="Arial" w:cs="Arial"/>
                <w:szCs w:val="22"/>
                <w:lang w:val="en-AU"/>
              </w:rPr>
              <w:t>An email or pdf document the student</w:t>
            </w:r>
            <w:r w:rsidR="00A23917">
              <w:rPr>
                <w:rFonts w:ascii="Arial" w:hAnsi="Arial" w:cs="Arial"/>
                <w:szCs w:val="22"/>
                <w:lang w:val="en-AU"/>
              </w:rPr>
              <w:t xml:space="preserve"> has obtained </w:t>
            </w:r>
            <w:r w:rsidRPr="000C2483">
              <w:rPr>
                <w:rFonts w:ascii="Arial" w:hAnsi="Arial" w:cs="Arial"/>
                <w:szCs w:val="22"/>
                <w:lang w:val="en-AU"/>
              </w:rPr>
              <w:t xml:space="preserve">from the VEVO system </w:t>
            </w:r>
            <w:r w:rsidR="00A23917">
              <w:rPr>
                <w:rFonts w:ascii="Arial" w:hAnsi="Arial" w:cs="Arial"/>
                <w:szCs w:val="22"/>
                <w:lang w:val="en-AU"/>
              </w:rPr>
              <w:t>that confirms they hold a permanent visa</w:t>
            </w:r>
          </w:p>
          <w:p w14:paraId="630D8B31" w14:textId="77777777" w:rsidR="000C2483" w:rsidRPr="000C2483" w:rsidRDefault="000C2483" w:rsidP="000C2483">
            <w:pPr>
              <w:ind w:left="326"/>
              <w:rPr>
                <w:rFonts w:ascii="Arial" w:hAnsi="Arial" w:cs="Arial"/>
                <w:b/>
                <w:bCs/>
                <w:szCs w:val="22"/>
                <w:lang w:val="en-AU"/>
              </w:rPr>
            </w:pPr>
            <w:r w:rsidRPr="000C2483">
              <w:rPr>
                <w:rFonts w:ascii="Arial" w:hAnsi="Arial" w:cs="Arial"/>
                <w:b/>
                <w:bCs/>
                <w:szCs w:val="22"/>
                <w:lang w:val="en-AU"/>
              </w:rPr>
              <w:t xml:space="preserve">AND </w:t>
            </w:r>
          </w:p>
          <w:p w14:paraId="79F56387" w14:textId="19A1C15A" w:rsidR="000C2483" w:rsidRPr="000C2483" w:rsidRDefault="000C2483" w:rsidP="000C2483">
            <w:pPr>
              <w:ind w:left="326"/>
              <w:rPr>
                <w:rFonts w:ascii="Arial" w:hAnsi="Arial" w:cs="Arial"/>
                <w:szCs w:val="22"/>
                <w:lang w:val="en-AU"/>
              </w:rPr>
            </w:pPr>
            <w:r w:rsidRPr="000C2483">
              <w:rPr>
                <w:rFonts w:ascii="Arial" w:hAnsi="Arial" w:cs="Arial"/>
                <w:szCs w:val="22"/>
                <w:lang w:val="en-AU"/>
              </w:rPr>
              <w:t xml:space="preserve">An original or certified copy of the student’s foreign passport or </w:t>
            </w:r>
            <w:proofErr w:type="spellStart"/>
            <w:r w:rsidRPr="000C2483">
              <w:rPr>
                <w:rFonts w:ascii="Arial" w:hAnsi="Arial" w:cs="Arial"/>
                <w:szCs w:val="22"/>
                <w:lang w:val="en-AU"/>
              </w:rPr>
              <w:t>ImmiCard</w:t>
            </w:r>
            <w:proofErr w:type="spellEnd"/>
          </w:p>
        </w:tc>
        <w:tc>
          <w:tcPr>
            <w:tcW w:w="4961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2057BB3F" w14:textId="77777777" w:rsidR="000C2483" w:rsidRDefault="000C2483" w:rsidP="000C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AU"/>
              </w:rPr>
            </w:pPr>
            <w:r w:rsidRPr="000C2483">
              <w:rPr>
                <w:rFonts w:ascii="Arial" w:hAnsi="Arial" w:cs="Arial"/>
                <w:szCs w:val="22"/>
                <w:lang w:val="en-AU"/>
              </w:rPr>
              <w:t>Electronic or paper copies of both documents</w:t>
            </w:r>
          </w:p>
          <w:p w14:paraId="55F8225C" w14:textId="573827B2" w:rsidR="00A23AED" w:rsidRPr="000C2483" w:rsidRDefault="00A23AED" w:rsidP="000C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AU"/>
              </w:rPr>
            </w:pPr>
          </w:p>
        </w:tc>
      </w:tr>
      <w:tr w:rsidR="000C2483" w:rsidRPr="00BB2B2F" w14:paraId="1C4409C1" w14:textId="77777777" w:rsidTr="00174D9B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7B49C970" w14:textId="2189B30C" w:rsidR="000C2483" w:rsidRPr="000C2483" w:rsidRDefault="00A23917" w:rsidP="000C2483">
            <w:pPr>
              <w:pStyle w:val="ListParagraph"/>
              <w:numPr>
                <w:ilvl w:val="0"/>
                <w:numId w:val="24"/>
              </w:numPr>
              <w:ind w:left="326"/>
              <w:rPr>
                <w:rFonts w:ascii="Arial" w:hAnsi="Arial" w:cs="Arial"/>
                <w:szCs w:val="22"/>
                <w:lang w:val="en-AU"/>
              </w:rPr>
            </w:pPr>
            <w:r>
              <w:rPr>
                <w:rFonts w:ascii="Arial" w:hAnsi="Arial" w:cs="Arial"/>
                <w:szCs w:val="22"/>
                <w:lang w:val="en-AU"/>
              </w:rPr>
              <w:t xml:space="preserve">Your own </w:t>
            </w:r>
            <w:r w:rsidR="000C2483" w:rsidRPr="000C2483">
              <w:rPr>
                <w:rFonts w:ascii="Arial" w:hAnsi="Arial" w:cs="Arial"/>
                <w:szCs w:val="22"/>
                <w:lang w:val="en-AU"/>
              </w:rPr>
              <w:t xml:space="preserve">VEVO </w:t>
            </w:r>
            <w:r>
              <w:rPr>
                <w:rFonts w:ascii="Arial" w:hAnsi="Arial" w:cs="Arial"/>
                <w:szCs w:val="22"/>
                <w:lang w:val="en-AU"/>
              </w:rPr>
              <w:t xml:space="preserve">check on the student’s behalf, that shows </w:t>
            </w:r>
            <w:r w:rsidR="000C2483" w:rsidRPr="000C2483">
              <w:rPr>
                <w:rFonts w:ascii="Arial" w:hAnsi="Arial" w:cs="Arial"/>
                <w:szCs w:val="22"/>
                <w:lang w:val="en-AU"/>
              </w:rPr>
              <w:t>they hold a permanent visa</w:t>
            </w:r>
            <w:r>
              <w:rPr>
                <w:rFonts w:ascii="Arial" w:hAnsi="Arial" w:cs="Arial"/>
                <w:szCs w:val="22"/>
                <w:lang w:val="en-AU"/>
              </w:rPr>
              <w:t xml:space="preserve"> and that the details on the VEVO check match the details on their foreign passport or </w:t>
            </w:r>
            <w:proofErr w:type="spellStart"/>
            <w:r>
              <w:rPr>
                <w:rFonts w:ascii="Arial" w:hAnsi="Arial" w:cs="Arial"/>
                <w:szCs w:val="22"/>
                <w:lang w:val="en-AU"/>
              </w:rPr>
              <w:t>ImmiCard</w:t>
            </w:r>
            <w:proofErr w:type="spellEnd"/>
          </w:p>
        </w:tc>
        <w:tc>
          <w:tcPr>
            <w:tcW w:w="4961" w:type="dxa"/>
            <w:tcBorders>
              <w:top w:val="single" w:sz="12" w:space="0" w:color="B8BBBE" w:themeColor="accent6" w:themeTint="66"/>
              <w:bottom w:val="single" w:sz="12" w:space="0" w:color="B8BBBE" w:themeColor="accent6" w:themeTint="66"/>
            </w:tcBorders>
          </w:tcPr>
          <w:p w14:paraId="58C1C233" w14:textId="77484363" w:rsidR="000C2483" w:rsidRPr="000C2483" w:rsidRDefault="00EB2961" w:rsidP="000C2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lang w:val="en-AU"/>
              </w:rPr>
            </w:pPr>
            <w:r>
              <w:rPr>
                <w:rFonts w:ascii="Arial" w:hAnsi="Arial" w:cs="Arial"/>
                <w:szCs w:val="22"/>
                <w:lang w:val="en-AU"/>
              </w:rPr>
              <w:t xml:space="preserve">A </w:t>
            </w:r>
            <w:r w:rsidR="00A23917">
              <w:rPr>
                <w:rFonts w:ascii="Arial" w:hAnsi="Arial" w:cs="Arial"/>
                <w:szCs w:val="22"/>
                <w:lang w:val="en-AU"/>
              </w:rPr>
              <w:t xml:space="preserve">VEVO transaction </w:t>
            </w:r>
            <w:r w:rsidR="000C2483" w:rsidRPr="000C2483">
              <w:rPr>
                <w:rFonts w:ascii="Arial" w:hAnsi="Arial" w:cs="Arial"/>
                <w:szCs w:val="22"/>
                <w:lang w:val="en-AU"/>
              </w:rPr>
              <w:t>record that shows the student’s details and permanent visa status</w:t>
            </w:r>
          </w:p>
        </w:tc>
      </w:tr>
    </w:tbl>
    <w:p w14:paraId="507DEFDB" w14:textId="22A7B4E1" w:rsidR="00764998" w:rsidRPr="00045DBF" w:rsidRDefault="00764998" w:rsidP="00911D52">
      <w:pPr>
        <w:pStyle w:val="Heading3"/>
        <w:spacing w:before="120"/>
        <w:rPr>
          <w:rStyle w:val="Strong"/>
          <w:b/>
          <w:bCs w:val="0"/>
        </w:rPr>
      </w:pPr>
      <w:r>
        <w:rPr>
          <w:rStyle w:val="Strong"/>
          <w:b/>
          <w:bCs w:val="0"/>
        </w:rPr>
        <w:lastRenderedPageBreak/>
        <w:t>Sighting c</w:t>
      </w:r>
      <w:r w:rsidRPr="00045DBF">
        <w:rPr>
          <w:rStyle w:val="Strong"/>
          <w:b/>
          <w:bCs w:val="0"/>
        </w:rPr>
        <w:t>ertified cop</w:t>
      </w:r>
      <w:r>
        <w:rPr>
          <w:rStyle w:val="Strong"/>
          <w:b/>
          <w:bCs w:val="0"/>
        </w:rPr>
        <w:t>ies of</w:t>
      </w:r>
      <w:r w:rsidRPr="00045DBF">
        <w:rPr>
          <w:rStyle w:val="Strong"/>
          <w:b/>
          <w:bCs w:val="0"/>
        </w:rPr>
        <w:t xml:space="preserve"> a document </w:t>
      </w:r>
    </w:p>
    <w:p w14:paraId="4B608292" w14:textId="143C888B" w:rsidR="00764998" w:rsidRPr="00BF4FCA" w:rsidRDefault="00764998" w:rsidP="00990667">
      <w:pPr>
        <w:rPr>
          <w:rFonts w:cstheme="majorHAnsi"/>
          <w:b/>
          <w:szCs w:val="22"/>
        </w:rPr>
      </w:pPr>
      <w:r>
        <w:t>A certified copy is made when a student presents their original document and a photocopy of it to a ‘certifier’.</w:t>
      </w:r>
      <w:r w:rsidR="00990667">
        <w:t xml:space="preserve"> </w:t>
      </w:r>
      <w:r w:rsidRPr="00BF4FCA">
        <w:t>Fo</w:t>
      </w:r>
      <w:r w:rsidRPr="00DC676B">
        <w:t>r information about who can be a certifier, see the Guidelines About Eligibility, or the</w:t>
      </w:r>
      <w:r w:rsidRPr="008755E8">
        <w:t xml:space="preserve"> </w:t>
      </w:r>
      <w:hyperlink r:id="rId22" w:history="1">
        <w:r w:rsidRPr="00A16D64">
          <w:rPr>
            <w:rStyle w:val="Hyperlink"/>
            <w:rFonts w:cstheme="majorHAnsi"/>
            <w:bCs/>
            <w:color w:val="0070C0"/>
            <w:szCs w:val="22"/>
          </w:rPr>
          <w:t>Department of Justice and Community Safety website</w:t>
        </w:r>
      </w:hyperlink>
      <w:r w:rsidR="00DC676B">
        <w:rPr>
          <w:rStyle w:val="Hyperlink"/>
          <w:rFonts w:cstheme="majorHAnsi"/>
          <w:bCs/>
          <w:color w:val="auto"/>
          <w:szCs w:val="22"/>
        </w:rPr>
        <w:t>.</w:t>
      </w:r>
    </w:p>
    <w:p w14:paraId="618A788B" w14:textId="2AF6712D" w:rsidR="00AC6047" w:rsidRPr="007C527C" w:rsidRDefault="00AC6047" w:rsidP="00AC6047">
      <w:pPr>
        <w:pStyle w:val="Heading3"/>
      </w:pPr>
      <w:r>
        <w:t xml:space="preserve">Formally confirming </w:t>
      </w:r>
      <w:r w:rsidRPr="007C527C">
        <w:t>permanent residence</w:t>
      </w:r>
    </w:p>
    <w:p w14:paraId="3ED64651" w14:textId="6471B8C9" w:rsidR="00AC6047" w:rsidRPr="00BF4FCA" w:rsidRDefault="00AC6047" w:rsidP="00A80C3D">
      <w:r>
        <w:rPr>
          <w:lang w:val="en-AU"/>
        </w:rPr>
        <w:t xml:space="preserve">In most cases, permanent residents </w:t>
      </w:r>
      <w:r w:rsidR="00433220">
        <w:rPr>
          <w:lang w:val="en-AU"/>
        </w:rPr>
        <w:t xml:space="preserve">can use </w:t>
      </w:r>
      <w:r>
        <w:rPr>
          <w:lang w:val="en-AU"/>
        </w:rPr>
        <w:t xml:space="preserve">a green Medicare card as evidence of </w:t>
      </w:r>
      <w:r w:rsidRPr="00200103">
        <w:rPr>
          <w:iCs/>
          <w:lang w:val="en-AU"/>
        </w:rPr>
        <w:t>Skills First</w:t>
      </w:r>
      <w:r w:rsidR="009761CA">
        <w:rPr>
          <w:lang w:val="en-AU"/>
        </w:rPr>
        <w:t xml:space="preserve"> </w:t>
      </w:r>
      <w:r>
        <w:rPr>
          <w:lang w:val="en-AU"/>
        </w:rPr>
        <w:t>eligibility</w:t>
      </w:r>
      <w:r>
        <w:rPr>
          <w:i/>
          <w:lang w:val="en-AU"/>
        </w:rPr>
        <w:t>.</w:t>
      </w:r>
      <w:r w:rsidR="00BD01FD">
        <w:rPr>
          <w:lang w:val="en-AU"/>
        </w:rPr>
        <w:t xml:space="preserve"> </w:t>
      </w:r>
      <w:r>
        <w:rPr>
          <w:lang w:val="en-AU"/>
        </w:rPr>
        <w:t xml:space="preserve">If the student doesn’t have a green Medicare card, you </w:t>
      </w:r>
      <w:r w:rsidR="000C3126">
        <w:rPr>
          <w:lang w:val="en-AU"/>
        </w:rPr>
        <w:t xml:space="preserve">can </w:t>
      </w:r>
      <w:r>
        <w:rPr>
          <w:lang w:val="en-AU"/>
        </w:rPr>
        <w:t xml:space="preserve">confirm permanent residence through VEVO. </w:t>
      </w:r>
      <w:r w:rsidRPr="00BF4FCA">
        <w:t>If a student gives you a self-generated VEVO check, this may be in the form of an email or pdf document. You</w:t>
      </w:r>
      <w:r w:rsidR="00155E13">
        <w:t>’ll</w:t>
      </w:r>
      <w:r w:rsidRPr="00155E13">
        <w:t xml:space="preserve"> need to:</w:t>
      </w:r>
    </w:p>
    <w:p w14:paraId="3D547142" w14:textId="77777777" w:rsidR="00AC6047" w:rsidRPr="00C514AF" w:rsidRDefault="00AC6047" w:rsidP="00A80C3D">
      <w:pPr>
        <w:numPr>
          <w:ilvl w:val="0"/>
          <w:numId w:val="19"/>
        </w:numPr>
        <w:spacing w:line="259" w:lineRule="auto"/>
      </w:pPr>
      <w:r w:rsidRPr="00C514AF">
        <w:t>look for the logo of the Department of Home Affairs</w:t>
      </w:r>
      <w:r>
        <w:t xml:space="preserve"> on the VEVO check</w:t>
      </w:r>
    </w:p>
    <w:p w14:paraId="6B89D707" w14:textId="77777777" w:rsidR="00AC6047" w:rsidRDefault="00AC6047" w:rsidP="00A80C3D">
      <w:pPr>
        <w:numPr>
          <w:ilvl w:val="0"/>
          <w:numId w:val="19"/>
        </w:numPr>
        <w:spacing w:line="259" w:lineRule="auto"/>
      </w:pPr>
      <w:r>
        <w:t>look for information in the VEVO check that</w:t>
      </w:r>
      <w:r w:rsidRPr="00C514AF">
        <w:t xml:space="preserve"> clearly shows the student has a permanent visa</w:t>
      </w:r>
    </w:p>
    <w:p w14:paraId="220B1085" w14:textId="68607C99" w:rsidR="004A5EE3" w:rsidRDefault="00AC6047" w:rsidP="00A80C3D">
      <w:pPr>
        <w:numPr>
          <w:ilvl w:val="0"/>
          <w:numId w:val="19"/>
        </w:numPr>
        <w:spacing w:line="259" w:lineRule="auto"/>
      </w:pPr>
      <w:r w:rsidRPr="00C514AF">
        <w:t>make sure the student’s name</w:t>
      </w:r>
      <w:r>
        <w:t xml:space="preserve"> on the VEVO check</w:t>
      </w:r>
      <w:r w:rsidRPr="00C514AF">
        <w:t xml:space="preserve"> is the same as it is on their passport or </w:t>
      </w:r>
      <w:proofErr w:type="spellStart"/>
      <w:r w:rsidRPr="00C514AF">
        <w:t>ImmiCard</w:t>
      </w:r>
      <w:proofErr w:type="spellEnd"/>
      <w:r>
        <w:t>.</w:t>
      </w:r>
    </w:p>
    <w:p w14:paraId="5E637D9C" w14:textId="3B2A5AC9" w:rsidR="008C3D29" w:rsidRDefault="00AC6047" w:rsidP="00A80C3D">
      <w:pPr>
        <w:pStyle w:val="Heading3"/>
        <w:spacing w:before="120"/>
        <w:rPr>
          <w:lang w:val="en-AU"/>
        </w:rPr>
      </w:pPr>
      <w:r>
        <w:rPr>
          <w:lang w:val="en-AU"/>
        </w:rPr>
        <w:t>Using</w:t>
      </w:r>
      <w:r w:rsidR="008C3D29">
        <w:rPr>
          <w:lang w:val="en-AU"/>
        </w:rPr>
        <w:t xml:space="preserve"> the DVS</w:t>
      </w:r>
    </w:p>
    <w:p w14:paraId="29D6B0B3" w14:textId="19C4C4ED" w:rsidR="008C3D29" w:rsidRDefault="008C3D29" w:rsidP="00A80C3D">
      <w:pPr>
        <w:rPr>
          <w:szCs w:val="22"/>
          <w:lang w:val="en-AU"/>
        </w:rPr>
      </w:pPr>
      <w:r>
        <w:rPr>
          <w:szCs w:val="22"/>
          <w:lang w:val="en-AU"/>
        </w:rPr>
        <w:t xml:space="preserve">The </w:t>
      </w:r>
      <w:r w:rsidRPr="00D50C0B">
        <w:rPr>
          <w:szCs w:val="22"/>
          <w:lang w:val="en-AU"/>
        </w:rPr>
        <w:t xml:space="preserve">Document Verification Service (DVS) </w:t>
      </w:r>
      <w:r>
        <w:rPr>
          <w:szCs w:val="22"/>
          <w:lang w:val="en-AU"/>
        </w:rPr>
        <w:t xml:space="preserve">is </w:t>
      </w:r>
      <w:r w:rsidR="00155E13">
        <w:rPr>
          <w:szCs w:val="22"/>
          <w:lang w:val="en-AU"/>
        </w:rPr>
        <w:t xml:space="preserve">a </w:t>
      </w:r>
      <w:r>
        <w:rPr>
          <w:szCs w:val="22"/>
          <w:lang w:val="en-AU"/>
        </w:rPr>
        <w:t>Commonwealth Government</w:t>
      </w:r>
      <w:r w:rsidR="00155E13">
        <w:rPr>
          <w:szCs w:val="22"/>
          <w:lang w:val="en-AU"/>
        </w:rPr>
        <w:t xml:space="preserve"> service. It</w:t>
      </w:r>
      <w:r>
        <w:rPr>
          <w:szCs w:val="22"/>
          <w:lang w:val="en-AU"/>
        </w:rPr>
        <w:t>’s</w:t>
      </w:r>
      <w:r w:rsidR="00155E13">
        <w:rPr>
          <w:szCs w:val="22"/>
          <w:lang w:val="en-AU"/>
        </w:rPr>
        <w:t xml:space="preserve"> a</w:t>
      </w:r>
      <w:r>
        <w:rPr>
          <w:szCs w:val="22"/>
          <w:lang w:val="en-AU"/>
        </w:rPr>
        <w:t xml:space="preserve"> </w:t>
      </w:r>
      <w:r w:rsidRPr="00D50C0B">
        <w:rPr>
          <w:szCs w:val="22"/>
          <w:lang w:val="en-AU"/>
        </w:rPr>
        <w:t>national online system that allows organisations to compare an individual's identifying information with a government record.</w:t>
      </w:r>
    </w:p>
    <w:p w14:paraId="4A71187E" w14:textId="77777777" w:rsidR="00155E13" w:rsidRDefault="00155E13" w:rsidP="00A80C3D">
      <w:pPr>
        <w:rPr>
          <w:szCs w:val="22"/>
          <w:lang w:val="en-AU"/>
        </w:rPr>
      </w:pPr>
      <w:r>
        <w:rPr>
          <w:szCs w:val="22"/>
          <w:lang w:val="en-AU"/>
        </w:rPr>
        <w:t xml:space="preserve">We encourage you to use the DVS as an efficient and secure way to check </w:t>
      </w:r>
      <w:r w:rsidRPr="00200103">
        <w:rPr>
          <w:iCs/>
          <w:szCs w:val="22"/>
          <w:lang w:val="en-AU"/>
        </w:rPr>
        <w:t>Skills First</w:t>
      </w:r>
      <w:r>
        <w:rPr>
          <w:iCs/>
          <w:szCs w:val="22"/>
          <w:lang w:val="en-AU"/>
        </w:rPr>
        <w:t xml:space="preserve"> e</w:t>
      </w:r>
      <w:r>
        <w:rPr>
          <w:szCs w:val="22"/>
          <w:lang w:val="en-AU"/>
        </w:rPr>
        <w:t>ligibility</w:t>
      </w:r>
      <w:r>
        <w:rPr>
          <w:i/>
          <w:szCs w:val="22"/>
          <w:lang w:val="en-AU"/>
        </w:rPr>
        <w:t xml:space="preserve">. </w:t>
      </w:r>
      <w:r w:rsidRPr="00CF5ED4">
        <w:rPr>
          <w:szCs w:val="22"/>
          <w:lang w:val="en-AU"/>
        </w:rPr>
        <w:t xml:space="preserve"> </w:t>
      </w:r>
    </w:p>
    <w:p w14:paraId="0790837D" w14:textId="2A69D0BE" w:rsidR="00755EDA" w:rsidRDefault="00764998" w:rsidP="00A80C3D">
      <w:pPr>
        <w:rPr>
          <w:szCs w:val="22"/>
          <w:lang w:val="en-AU"/>
        </w:rPr>
      </w:pPr>
      <w:r>
        <w:rPr>
          <w:szCs w:val="22"/>
          <w:lang w:val="en-AU"/>
        </w:rPr>
        <w:t xml:space="preserve">You can </w:t>
      </w:r>
      <w:r w:rsidR="00B27AA5">
        <w:rPr>
          <w:szCs w:val="22"/>
          <w:lang w:val="en-AU"/>
        </w:rPr>
        <w:t xml:space="preserve">use </w:t>
      </w:r>
      <w:r w:rsidR="0008154F">
        <w:rPr>
          <w:szCs w:val="22"/>
          <w:lang w:val="en-AU"/>
        </w:rPr>
        <w:t>it</w:t>
      </w:r>
      <w:r w:rsidR="008C3D29" w:rsidDel="00764998">
        <w:rPr>
          <w:szCs w:val="22"/>
          <w:lang w:val="en-AU"/>
        </w:rPr>
        <w:t xml:space="preserve"> </w:t>
      </w:r>
      <w:r w:rsidR="008C3D29">
        <w:rPr>
          <w:szCs w:val="22"/>
          <w:lang w:val="en-AU"/>
        </w:rPr>
        <w:t xml:space="preserve">to check a range of Australian government-issued documents, including </w:t>
      </w:r>
      <w:r w:rsidR="004C16FA">
        <w:rPr>
          <w:szCs w:val="22"/>
          <w:lang w:val="en-AU"/>
        </w:rPr>
        <w:t>passpo</w:t>
      </w:r>
      <w:r w:rsidR="00CF340C">
        <w:rPr>
          <w:szCs w:val="22"/>
          <w:lang w:val="en-AU"/>
        </w:rPr>
        <w:t>rts</w:t>
      </w:r>
      <w:r w:rsidR="008C3D29">
        <w:rPr>
          <w:szCs w:val="22"/>
          <w:lang w:val="en-AU"/>
        </w:rPr>
        <w:t xml:space="preserve">, </w:t>
      </w:r>
      <w:r w:rsidR="00CF340C">
        <w:rPr>
          <w:szCs w:val="22"/>
          <w:lang w:val="en-AU"/>
        </w:rPr>
        <w:t xml:space="preserve">Medicare cards and </w:t>
      </w:r>
      <w:r w:rsidR="008C3D29">
        <w:rPr>
          <w:szCs w:val="22"/>
          <w:lang w:val="en-AU"/>
        </w:rPr>
        <w:t xml:space="preserve">birth certificates. </w:t>
      </w:r>
    </w:p>
    <w:p w14:paraId="61AE26B3" w14:textId="54238966" w:rsidR="0008154F" w:rsidRPr="006848BA" w:rsidRDefault="0008154F" w:rsidP="00A80C3D">
      <w:pPr>
        <w:pStyle w:val="Heading4"/>
        <w:spacing w:after="120"/>
        <w:rPr>
          <w:b/>
          <w:i w:val="0"/>
          <w:lang w:val="en-AU"/>
        </w:rPr>
      </w:pPr>
      <w:r w:rsidRPr="006848BA">
        <w:rPr>
          <w:b/>
          <w:i w:val="0"/>
          <w:lang w:val="en-AU"/>
        </w:rPr>
        <w:t>Engage a Gateway Service Provider</w:t>
      </w:r>
    </w:p>
    <w:p w14:paraId="6D3EBAAA" w14:textId="3A3BEEFB" w:rsidR="000C3126" w:rsidRPr="007F67A0" w:rsidRDefault="008C3D29" w:rsidP="0053577D">
      <w:pPr>
        <w:spacing w:before="120"/>
        <w:rPr>
          <w:rStyle w:val="Hyperlink"/>
          <w:rFonts w:asciiTheme="majorHAnsi" w:eastAsiaTheme="majorEastAsia" w:hAnsiTheme="majorHAnsi" w:cstheme="majorBidi"/>
          <w:i/>
          <w:color w:val="auto"/>
          <w:szCs w:val="22"/>
          <w:u w:val="none"/>
          <w:lang w:val="en-AU"/>
        </w:rPr>
      </w:pPr>
      <w:r>
        <w:rPr>
          <w:szCs w:val="22"/>
          <w:lang w:val="en-AU"/>
        </w:rPr>
        <w:t>To use the DVS, you must engage a Gateway Service Provider. This i</w:t>
      </w:r>
      <w:r w:rsidRPr="00D50C0B">
        <w:rPr>
          <w:szCs w:val="22"/>
          <w:lang w:val="en-AU"/>
        </w:rPr>
        <w:t xml:space="preserve">s an organisation authorised </w:t>
      </w:r>
      <w:r>
        <w:rPr>
          <w:szCs w:val="22"/>
          <w:lang w:val="en-AU"/>
        </w:rPr>
        <w:t xml:space="preserve">by the Commonwealth Government </w:t>
      </w:r>
      <w:r w:rsidRPr="00D50C0B">
        <w:rPr>
          <w:szCs w:val="22"/>
          <w:lang w:val="en-AU"/>
        </w:rPr>
        <w:t xml:space="preserve">to match information requests to and from </w:t>
      </w:r>
      <w:r>
        <w:rPr>
          <w:szCs w:val="22"/>
          <w:lang w:val="en-AU"/>
        </w:rPr>
        <w:t>the DVS</w:t>
      </w:r>
      <w:r w:rsidRPr="00D50C0B">
        <w:rPr>
          <w:szCs w:val="22"/>
          <w:lang w:val="en-AU"/>
        </w:rPr>
        <w:t>.</w:t>
      </w:r>
      <w:r w:rsidR="00C56286">
        <w:rPr>
          <w:szCs w:val="22"/>
          <w:lang w:val="en-AU"/>
        </w:rPr>
        <w:t xml:space="preserve"> </w:t>
      </w:r>
      <w:r w:rsidR="000C3126">
        <w:rPr>
          <w:szCs w:val="22"/>
          <w:lang w:val="en-AU"/>
        </w:rPr>
        <w:t>For more information about how to become a DVS user</w:t>
      </w:r>
      <w:r w:rsidR="000C3126" w:rsidRPr="00DC676B">
        <w:rPr>
          <w:szCs w:val="22"/>
          <w:lang w:val="en-AU"/>
        </w:rPr>
        <w:t xml:space="preserve">, refer to </w:t>
      </w:r>
      <w:r w:rsidR="000C3126" w:rsidRPr="00544E53">
        <w:rPr>
          <w:szCs w:val="22"/>
          <w:lang w:val="en-AU"/>
        </w:rPr>
        <w:t>the</w:t>
      </w:r>
      <w:r w:rsidR="000C3126" w:rsidRPr="00990667">
        <w:rPr>
          <w:color w:val="0070C0"/>
          <w:szCs w:val="22"/>
          <w:lang w:val="en-AU"/>
        </w:rPr>
        <w:t xml:space="preserve"> </w:t>
      </w:r>
      <w:hyperlink r:id="rId23" w:history="1">
        <w:r w:rsidR="000C3126" w:rsidRPr="00990667">
          <w:rPr>
            <w:rStyle w:val="Hyperlink"/>
            <w:color w:val="0071CE" w:themeColor="accent3"/>
            <w:szCs w:val="22"/>
          </w:rPr>
          <w:t>Commonwealth Government’s website</w:t>
        </w:r>
      </w:hyperlink>
      <w:r w:rsidR="000C3126" w:rsidRPr="00990667">
        <w:rPr>
          <w:rStyle w:val="Hyperlink"/>
          <w:color w:val="0071CE" w:themeColor="accent3"/>
        </w:rPr>
        <w:t xml:space="preserve">. </w:t>
      </w:r>
    </w:p>
    <w:p w14:paraId="554F9298" w14:textId="62E9AC6E" w:rsidR="0008154F" w:rsidRPr="006848BA" w:rsidRDefault="0008154F" w:rsidP="0053577D">
      <w:pPr>
        <w:spacing w:before="120"/>
        <w:rPr>
          <w:b/>
          <w:szCs w:val="22"/>
          <w:lang w:val="en-AU"/>
        </w:rPr>
      </w:pPr>
      <w:r w:rsidRPr="006848BA">
        <w:rPr>
          <w:b/>
          <w:szCs w:val="22"/>
          <w:lang w:val="en-AU"/>
        </w:rPr>
        <w:t>Sighting and retaining evidence</w:t>
      </w:r>
    </w:p>
    <w:p w14:paraId="1BF68B3A" w14:textId="0B616626" w:rsidR="008C3D29" w:rsidRDefault="008C3D29" w:rsidP="0053577D">
      <w:pPr>
        <w:rPr>
          <w:szCs w:val="22"/>
          <w:lang w:val="en-AU"/>
        </w:rPr>
      </w:pPr>
      <w:r>
        <w:rPr>
          <w:szCs w:val="22"/>
          <w:lang w:val="en-AU"/>
        </w:rPr>
        <w:t xml:space="preserve">When you use the DVS, you </w:t>
      </w:r>
      <w:r w:rsidRPr="000C3126">
        <w:rPr>
          <w:b/>
          <w:bCs/>
          <w:szCs w:val="22"/>
          <w:lang w:val="en-AU"/>
        </w:rPr>
        <w:t xml:space="preserve">don’t </w:t>
      </w:r>
      <w:r>
        <w:rPr>
          <w:szCs w:val="22"/>
          <w:lang w:val="en-AU"/>
        </w:rPr>
        <w:t xml:space="preserve">have to sight and retain a copy of the student’s document. </w:t>
      </w:r>
      <w:r w:rsidR="000C3126">
        <w:rPr>
          <w:szCs w:val="22"/>
          <w:lang w:val="en-AU"/>
        </w:rPr>
        <w:t xml:space="preserve">Instead, you </w:t>
      </w:r>
      <w:r>
        <w:rPr>
          <w:szCs w:val="22"/>
          <w:lang w:val="en-AU"/>
        </w:rPr>
        <w:t>sight confirmation from the Gateway Service Provider that the details on t</w:t>
      </w:r>
      <w:r w:rsidR="000C3126">
        <w:rPr>
          <w:szCs w:val="22"/>
          <w:lang w:val="en-AU"/>
        </w:rPr>
        <w:t xml:space="preserve">he student’s </w:t>
      </w:r>
      <w:r>
        <w:rPr>
          <w:szCs w:val="22"/>
          <w:lang w:val="en-AU"/>
        </w:rPr>
        <w:t>document match a current and valid record in the DVS database</w:t>
      </w:r>
      <w:r w:rsidR="00BD01FD">
        <w:rPr>
          <w:szCs w:val="22"/>
          <w:lang w:val="en-AU"/>
        </w:rPr>
        <w:t>.</w:t>
      </w:r>
    </w:p>
    <w:p w14:paraId="2BE1BCCA" w14:textId="6E08EF45" w:rsidR="00DD44AC" w:rsidRDefault="008C3D29" w:rsidP="0053577D">
      <w:pPr>
        <w:rPr>
          <w:szCs w:val="22"/>
          <w:lang w:val="en-AU"/>
        </w:rPr>
      </w:pPr>
      <w:r>
        <w:rPr>
          <w:szCs w:val="22"/>
          <w:lang w:val="en-AU"/>
        </w:rPr>
        <w:t xml:space="preserve">You must </w:t>
      </w:r>
      <w:r w:rsidRPr="00155E13">
        <w:rPr>
          <w:szCs w:val="22"/>
          <w:lang w:val="en-AU"/>
        </w:rPr>
        <w:t>retain a</w:t>
      </w:r>
      <w:r>
        <w:rPr>
          <w:szCs w:val="22"/>
          <w:lang w:val="en-AU"/>
        </w:rPr>
        <w:t xml:space="preserve"> transaction record that shows the student’s details, and that they were verified to match a valid and current document in the DVS. You don’t need to print this </w:t>
      </w:r>
      <w:r>
        <w:rPr>
          <w:rFonts w:cstheme="minorHAnsi"/>
          <w:szCs w:val="22"/>
          <w:lang w:val="en-AU"/>
        </w:rPr>
        <w:t>−</w:t>
      </w:r>
      <w:r>
        <w:rPr>
          <w:szCs w:val="22"/>
          <w:lang w:val="en-AU"/>
        </w:rPr>
        <w:t xml:space="preserve"> you can retain it electronically. An electronic record can usually be kept within the </w:t>
      </w:r>
      <w:r w:rsidR="00155E13">
        <w:rPr>
          <w:szCs w:val="22"/>
          <w:lang w:val="en-AU"/>
        </w:rPr>
        <w:t xml:space="preserve">Gateway Service Provider’s </w:t>
      </w:r>
      <w:r>
        <w:rPr>
          <w:szCs w:val="22"/>
          <w:lang w:val="en-AU"/>
        </w:rPr>
        <w:t>administrative platform</w:t>
      </w:r>
      <w:r w:rsidR="00155E13">
        <w:rPr>
          <w:szCs w:val="22"/>
          <w:lang w:val="en-AU"/>
        </w:rPr>
        <w:t>. B</w:t>
      </w:r>
      <w:r>
        <w:rPr>
          <w:szCs w:val="22"/>
          <w:lang w:val="en-AU"/>
        </w:rPr>
        <w:t>ut if not, keep a secure electronic version that can’t be easily altered.</w:t>
      </w:r>
    </w:p>
    <w:p w14:paraId="67D01D61" w14:textId="3C5EE96E" w:rsidR="0008154F" w:rsidRPr="006848BA" w:rsidRDefault="0008154F" w:rsidP="0053577D">
      <w:pPr>
        <w:rPr>
          <w:b/>
          <w:szCs w:val="22"/>
          <w:lang w:val="en-AU"/>
        </w:rPr>
      </w:pPr>
      <w:r w:rsidRPr="006848BA">
        <w:rPr>
          <w:b/>
          <w:szCs w:val="22"/>
          <w:lang w:val="en-AU"/>
        </w:rPr>
        <w:t>If a document can’t be verified</w:t>
      </w:r>
    </w:p>
    <w:p w14:paraId="5C47E69E" w14:textId="2AD4CDAD" w:rsidR="0031675E" w:rsidRDefault="00DD44AC" w:rsidP="0053577D">
      <w:pPr>
        <w:rPr>
          <w:bCs/>
          <w:iCs/>
          <w:szCs w:val="22"/>
          <w:lang w:val="en-AU"/>
        </w:rPr>
      </w:pPr>
      <w:r w:rsidRPr="00DD44AC">
        <w:rPr>
          <w:bCs/>
          <w:iCs/>
          <w:szCs w:val="22"/>
          <w:lang w:val="en-AU"/>
        </w:rPr>
        <w:t xml:space="preserve">If </w:t>
      </w:r>
      <w:r>
        <w:rPr>
          <w:bCs/>
          <w:iCs/>
          <w:szCs w:val="22"/>
          <w:lang w:val="en-AU"/>
        </w:rPr>
        <w:t>a</w:t>
      </w:r>
      <w:r w:rsidRPr="00DD44AC">
        <w:rPr>
          <w:bCs/>
          <w:iCs/>
          <w:szCs w:val="22"/>
          <w:lang w:val="en-AU"/>
        </w:rPr>
        <w:t xml:space="preserve"> student’s evidence can’t be verified through the DVS, </w:t>
      </w:r>
      <w:r>
        <w:rPr>
          <w:bCs/>
          <w:iCs/>
          <w:szCs w:val="22"/>
          <w:lang w:val="en-AU"/>
        </w:rPr>
        <w:t>you need to give</w:t>
      </w:r>
      <w:r w:rsidRPr="009C0189">
        <w:rPr>
          <w:bCs/>
          <w:iCs/>
          <w:szCs w:val="22"/>
          <w:lang w:val="en-AU"/>
        </w:rPr>
        <w:t xml:space="preserve"> the</w:t>
      </w:r>
      <w:r>
        <w:rPr>
          <w:bCs/>
          <w:iCs/>
          <w:szCs w:val="22"/>
          <w:lang w:val="en-AU"/>
        </w:rPr>
        <w:t>m</w:t>
      </w:r>
      <w:r w:rsidRPr="009C0189">
        <w:rPr>
          <w:bCs/>
          <w:iCs/>
          <w:szCs w:val="22"/>
          <w:lang w:val="en-AU"/>
        </w:rPr>
        <w:t xml:space="preserve"> the opportunity to provide </w:t>
      </w:r>
      <w:r>
        <w:rPr>
          <w:bCs/>
          <w:iCs/>
          <w:szCs w:val="22"/>
          <w:lang w:val="en-AU"/>
        </w:rPr>
        <w:t>it</w:t>
      </w:r>
      <w:r w:rsidRPr="009C0189">
        <w:rPr>
          <w:bCs/>
          <w:iCs/>
          <w:szCs w:val="22"/>
          <w:lang w:val="en-AU"/>
        </w:rPr>
        <w:t xml:space="preserve"> in another way before making a final </w:t>
      </w:r>
      <w:r>
        <w:rPr>
          <w:bCs/>
          <w:iCs/>
          <w:szCs w:val="22"/>
          <w:lang w:val="en-AU"/>
        </w:rPr>
        <w:t>decision about their eligibility</w:t>
      </w:r>
      <w:r w:rsidRPr="009C0189">
        <w:rPr>
          <w:bCs/>
          <w:iCs/>
          <w:szCs w:val="22"/>
          <w:lang w:val="en-AU"/>
        </w:rPr>
        <w:t>.</w:t>
      </w:r>
      <w:r>
        <w:rPr>
          <w:bCs/>
          <w:iCs/>
          <w:szCs w:val="22"/>
          <w:lang w:val="en-AU"/>
        </w:rPr>
        <w:t xml:space="preserve"> </w:t>
      </w:r>
    </w:p>
    <w:p w14:paraId="40E330B4" w14:textId="77777777" w:rsidR="0031675E" w:rsidRDefault="0031675E">
      <w:pPr>
        <w:spacing w:after="0"/>
        <w:rPr>
          <w:bCs/>
          <w:iCs/>
          <w:szCs w:val="22"/>
          <w:lang w:val="en-AU"/>
        </w:rPr>
      </w:pPr>
      <w:r>
        <w:rPr>
          <w:bCs/>
          <w:iCs/>
          <w:szCs w:val="22"/>
          <w:lang w:val="en-AU"/>
        </w:rPr>
        <w:br w:type="page"/>
      </w:r>
    </w:p>
    <w:p w14:paraId="0952549D" w14:textId="36346EE1" w:rsidR="00D73D32" w:rsidRPr="00045DBF" w:rsidRDefault="00D73D32" w:rsidP="008409E1">
      <w:pPr>
        <w:pStyle w:val="Heading2"/>
        <w:rPr>
          <w:rStyle w:val="Strong"/>
          <w:rFonts w:asciiTheme="minorHAnsi" w:eastAsiaTheme="minorHAnsi" w:hAnsiTheme="minorHAnsi" w:cstheme="minorBidi"/>
          <w:b/>
          <w:bCs w:val="0"/>
          <w:color w:val="auto"/>
          <w:sz w:val="22"/>
        </w:rPr>
      </w:pPr>
      <w:r>
        <w:rPr>
          <w:rStyle w:val="Strong"/>
          <w:b/>
          <w:bCs w:val="0"/>
        </w:rPr>
        <w:lastRenderedPageBreak/>
        <w:t>Using eligibility evidence again for future enrolments</w:t>
      </w:r>
    </w:p>
    <w:p w14:paraId="3684C122" w14:textId="515CD1E2" w:rsidR="00D73D32" w:rsidRDefault="00D73D32" w:rsidP="0053577D">
      <w:r>
        <w:t>If you keep a copy of the student’s eligibility evidence on file, you can use it again the next time they enrol with you</w:t>
      </w:r>
      <w:r w:rsidR="00BD01FD">
        <w:t>.</w:t>
      </w:r>
    </w:p>
    <w:p w14:paraId="5AE45BF3" w14:textId="12444E22" w:rsidR="00E408FA" w:rsidRDefault="00E408FA" w:rsidP="0053577D">
      <w:pPr>
        <w:pStyle w:val="ListParagraph"/>
        <w:numPr>
          <w:ilvl w:val="0"/>
          <w:numId w:val="32"/>
        </w:numPr>
        <w:ind w:left="357" w:hanging="357"/>
        <w:contextualSpacing w:val="0"/>
      </w:pPr>
      <w:r>
        <w:t xml:space="preserve">If you use a means other than the DVS to verify the evidence, the document must still be current and valid. </w:t>
      </w:r>
    </w:p>
    <w:p w14:paraId="110AA683" w14:textId="638CF22B" w:rsidR="00215F9C" w:rsidRDefault="00215F9C" w:rsidP="0053577D">
      <w:pPr>
        <w:pStyle w:val="ListParagraph"/>
        <w:numPr>
          <w:ilvl w:val="0"/>
          <w:numId w:val="32"/>
        </w:numPr>
        <w:ind w:left="357" w:hanging="357"/>
        <w:contextualSpacing w:val="0"/>
      </w:pPr>
      <w:r w:rsidRPr="001E288C">
        <w:t xml:space="preserve">If you use the DVS to verify the evidence </w:t>
      </w:r>
      <w:r>
        <w:t xml:space="preserve">and you don’t retain an expiry date, you can continue to use it </w:t>
      </w:r>
      <w:r w:rsidRPr="00AF5DF9">
        <w:rPr>
          <w:b/>
          <w:bCs/>
        </w:rPr>
        <w:t>only</w:t>
      </w:r>
      <w:r>
        <w:t xml:space="preserve"> </w:t>
      </w:r>
      <w:r w:rsidRPr="00D845FC">
        <w:t xml:space="preserve">for enrolments that occur </w:t>
      </w:r>
      <w:r>
        <w:t>in</w:t>
      </w:r>
      <w:r w:rsidRPr="00D845FC">
        <w:t xml:space="preserve"> the same calendar year as the DVS check</w:t>
      </w:r>
      <w:r>
        <w:t>.</w:t>
      </w:r>
    </w:p>
    <w:p w14:paraId="4AE944F2" w14:textId="79DBF761" w:rsidR="00F914D2" w:rsidRDefault="00D73D32" w:rsidP="0053577D">
      <w:r>
        <w:t>You must continue to keep a copy of the evidence for audit or review purpose</w:t>
      </w:r>
      <w:r w:rsidR="00F914D2">
        <w:t>s.</w:t>
      </w:r>
    </w:p>
    <w:p w14:paraId="6B1252E6" w14:textId="20DB7396" w:rsidR="00D73D32" w:rsidRDefault="00F914D2" w:rsidP="0031675E">
      <w:pPr>
        <w:spacing w:after="240"/>
      </w:pPr>
      <w:r>
        <w:t>Y</w:t>
      </w:r>
      <w:r w:rsidR="00D73D32">
        <w:t>ou must also make all other assessments of the student’s eligibility for the new enrolment.</w:t>
      </w:r>
    </w:p>
    <w:p w14:paraId="5A257C7B" w14:textId="375E4E55" w:rsidR="008C3D29" w:rsidRDefault="00E408FA" w:rsidP="00B052B9">
      <w:pPr>
        <w:pStyle w:val="Heading2"/>
      </w:pPr>
      <w:r w:rsidRPr="00FC3440">
        <w:rPr>
          <w:bCs/>
          <w:noProof/>
        </w:rPr>
        <w:drawing>
          <wp:inline distT="0" distB="0" distL="0" distR="0" wp14:anchorId="07325E17" wp14:editId="3A0A83CD">
            <wp:extent cx="323850" cy="252730"/>
            <wp:effectExtent l="0" t="0" r="0" b="0"/>
            <wp:docPr id="4" name="Picture 194">
              <a:extLst xmlns:a="http://schemas.openxmlformats.org/drawingml/2006/main">
                <a:ext uri="{FF2B5EF4-FFF2-40B4-BE49-F238E27FC236}">
                  <a16:creationId xmlns:a16="http://schemas.microsoft.com/office/drawing/2014/main" id="{6715208C-BD87-5D48-877C-F1848C7AE1F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94">
                      <a:extLst>
                        <a:ext uri="{FF2B5EF4-FFF2-40B4-BE49-F238E27FC236}">
                          <a16:creationId xmlns:a16="http://schemas.microsoft.com/office/drawing/2014/main" id="{6715208C-BD87-5D48-877C-F1848C7AE1F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B052B9">
        <w:t xml:space="preserve">Further information </w:t>
      </w:r>
    </w:p>
    <w:p w14:paraId="6B256574" w14:textId="77777777" w:rsidR="008C3D29" w:rsidRPr="00EC37B4" w:rsidRDefault="008C3D29" w:rsidP="0053577D">
      <w:pPr>
        <w:rPr>
          <w:szCs w:val="22"/>
        </w:rPr>
      </w:pPr>
      <w:r w:rsidRPr="00EC37B4">
        <w:rPr>
          <w:szCs w:val="22"/>
        </w:rPr>
        <w:t xml:space="preserve">Submit an enquiry via </w:t>
      </w:r>
      <w:hyperlink r:id="rId25" w:history="1">
        <w:r w:rsidRPr="00B052B9">
          <w:rPr>
            <w:rStyle w:val="Hyperlink"/>
            <w:color w:val="0071CE" w:themeColor="accent3"/>
            <w:szCs w:val="22"/>
          </w:rPr>
          <w:t>SVTS</w:t>
        </w:r>
      </w:hyperlink>
    </w:p>
    <w:p w14:paraId="14B20D20" w14:textId="0322F936" w:rsidR="008C3D29" w:rsidRPr="00B052B9" w:rsidRDefault="00240F27" w:rsidP="0053577D">
      <w:pPr>
        <w:rPr>
          <w:color w:val="0071CE" w:themeColor="accent3"/>
          <w:szCs w:val="22"/>
        </w:rPr>
      </w:pPr>
      <w:hyperlink r:id="rId26" w:anchor="fact-sheets" w:history="1">
        <w:r w:rsidR="003A4B21" w:rsidRPr="003A4B21">
          <w:rPr>
            <w:rStyle w:val="Hyperlink"/>
            <w:szCs w:val="22"/>
          </w:rPr>
          <w:t xml:space="preserve">Fact sheet: </w:t>
        </w:r>
        <w:r w:rsidR="003A4B21" w:rsidRPr="003A4B21">
          <w:rPr>
            <w:rStyle w:val="Hyperlink"/>
            <w:iCs/>
            <w:szCs w:val="22"/>
          </w:rPr>
          <w:t>Skills First</w:t>
        </w:r>
        <w:r w:rsidR="003A4B21" w:rsidRPr="003A4B21">
          <w:rPr>
            <w:rStyle w:val="Hyperlink"/>
            <w:szCs w:val="22"/>
          </w:rPr>
          <w:t xml:space="preserve"> Eligibility</w:t>
        </w:r>
      </w:hyperlink>
    </w:p>
    <w:p w14:paraId="0DAE5361" w14:textId="379B23FF" w:rsidR="008C3D29" w:rsidRPr="00B052B9" w:rsidRDefault="00240F27" w:rsidP="0053577D">
      <w:pPr>
        <w:rPr>
          <w:color w:val="0071CE" w:themeColor="accent3"/>
          <w:szCs w:val="22"/>
        </w:rPr>
      </w:pPr>
      <w:hyperlink r:id="rId27" w:anchor="fact-sheets" w:history="1">
        <w:r w:rsidR="003A4B21" w:rsidRPr="003A4B21">
          <w:rPr>
            <w:rStyle w:val="Hyperlink"/>
            <w:szCs w:val="22"/>
          </w:rPr>
          <w:t>Fact sheet: Using electronic signatures</w:t>
        </w:r>
      </w:hyperlink>
    </w:p>
    <w:p w14:paraId="1AFD02C8" w14:textId="3F4BD77E" w:rsidR="00B10ADF" w:rsidRPr="00DC676B" w:rsidRDefault="00240F27" w:rsidP="0053577D">
      <w:pPr>
        <w:rPr>
          <w:szCs w:val="22"/>
        </w:rPr>
      </w:pPr>
      <w:hyperlink r:id="rId28" w:anchor="fact-sheets" w:history="1">
        <w:r w:rsidR="003A4B21" w:rsidRPr="003A4B21">
          <w:rPr>
            <w:rStyle w:val="Hyperlink"/>
            <w:szCs w:val="22"/>
          </w:rPr>
          <w:t>Fact sheet: Recordkeeping requirement</w:t>
        </w:r>
      </w:hyperlink>
    </w:p>
    <w:p w14:paraId="3D511B8E" w14:textId="2B31E914" w:rsidR="00025DBD" w:rsidRDefault="00025DBD" w:rsidP="009F4106">
      <w:pPr>
        <w:pStyle w:val="Copyrighttext"/>
        <w:spacing w:after="120"/>
        <w:sectPr w:rsidR="00025DBD" w:rsidSect="003D2F1B">
          <w:pgSz w:w="11900" w:h="16840"/>
          <w:pgMar w:top="1701" w:right="1134" w:bottom="851" w:left="709" w:header="709" w:footer="283" w:gutter="0"/>
          <w:cols w:space="708"/>
          <w:docGrid w:linePitch="360"/>
        </w:sectPr>
      </w:pPr>
    </w:p>
    <w:p w14:paraId="06AA048F" w14:textId="77777777" w:rsidR="00CE07F2" w:rsidRDefault="00CE07F2" w:rsidP="009F4106">
      <w:pPr>
        <w:pStyle w:val="Copyrighttext"/>
        <w:spacing w:after="120"/>
      </w:pPr>
    </w:p>
    <w:p w14:paraId="27B31379" w14:textId="77777777" w:rsidR="005C7A2E" w:rsidRDefault="005C7A2E" w:rsidP="009F4106">
      <w:pPr>
        <w:pStyle w:val="Copyrighttext"/>
        <w:spacing w:after="120"/>
      </w:pPr>
    </w:p>
    <w:p w14:paraId="3D15AA3A" w14:textId="1B625031" w:rsidR="00BD01FD" w:rsidRDefault="00BD01FD" w:rsidP="00BD01FD">
      <w:pPr>
        <w:pStyle w:val="Copyrighttext"/>
        <w:spacing w:after="120"/>
      </w:pPr>
    </w:p>
    <w:p w14:paraId="25AB16DC" w14:textId="2F98AC19" w:rsidR="0031675E" w:rsidRDefault="0031675E" w:rsidP="00BD01FD">
      <w:pPr>
        <w:pStyle w:val="Copyrighttext"/>
        <w:spacing w:after="120"/>
      </w:pPr>
    </w:p>
    <w:p w14:paraId="0F0EFB13" w14:textId="4CC2C006" w:rsidR="0031675E" w:rsidRDefault="0031675E" w:rsidP="00BD01FD">
      <w:pPr>
        <w:pStyle w:val="Copyrighttext"/>
        <w:spacing w:after="120"/>
      </w:pPr>
    </w:p>
    <w:p w14:paraId="664D81E4" w14:textId="467CEE41" w:rsidR="0031675E" w:rsidRDefault="0031675E" w:rsidP="00BD01FD">
      <w:pPr>
        <w:pStyle w:val="Copyrighttext"/>
        <w:spacing w:after="120"/>
      </w:pPr>
    </w:p>
    <w:p w14:paraId="41CD1911" w14:textId="744778C4" w:rsidR="0031675E" w:rsidRDefault="0031675E" w:rsidP="00BD01FD">
      <w:pPr>
        <w:pStyle w:val="Copyrighttext"/>
        <w:spacing w:after="120"/>
      </w:pPr>
    </w:p>
    <w:p w14:paraId="74F0DE00" w14:textId="5781AE4B" w:rsidR="0031675E" w:rsidRDefault="0031675E" w:rsidP="00BD01FD">
      <w:pPr>
        <w:pStyle w:val="Copyrighttext"/>
        <w:spacing w:after="120"/>
      </w:pPr>
    </w:p>
    <w:p w14:paraId="25085CAC" w14:textId="4CD7FBC4" w:rsidR="0031675E" w:rsidRDefault="0031675E" w:rsidP="00BD01FD">
      <w:pPr>
        <w:pStyle w:val="Copyrighttext"/>
        <w:spacing w:after="120"/>
      </w:pPr>
    </w:p>
    <w:p w14:paraId="14E25A68" w14:textId="4AB31734" w:rsidR="0031675E" w:rsidRDefault="0031675E" w:rsidP="00BD01FD">
      <w:pPr>
        <w:pStyle w:val="Copyrighttext"/>
        <w:spacing w:after="120"/>
      </w:pPr>
    </w:p>
    <w:p w14:paraId="538E1469" w14:textId="0CB1D6EA" w:rsidR="0031675E" w:rsidRDefault="0031675E" w:rsidP="00BD01FD">
      <w:pPr>
        <w:pStyle w:val="Copyrighttext"/>
        <w:spacing w:after="120"/>
      </w:pPr>
    </w:p>
    <w:p w14:paraId="1D8E8F86" w14:textId="0124CA38" w:rsidR="0031675E" w:rsidRDefault="0031675E" w:rsidP="00BD01FD">
      <w:pPr>
        <w:pStyle w:val="Copyrighttext"/>
        <w:spacing w:after="120"/>
      </w:pPr>
    </w:p>
    <w:p w14:paraId="7B6E8535" w14:textId="59F92B4E" w:rsidR="0031675E" w:rsidRDefault="0031675E" w:rsidP="00BD01FD">
      <w:pPr>
        <w:pStyle w:val="Copyrighttext"/>
        <w:spacing w:after="120"/>
      </w:pPr>
    </w:p>
    <w:p w14:paraId="46FF27AD" w14:textId="45A1F79B" w:rsidR="0031675E" w:rsidRDefault="0031675E" w:rsidP="00BD01FD">
      <w:pPr>
        <w:pStyle w:val="Copyrighttext"/>
        <w:spacing w:after="120"/>
      </w:pPr>
    </w:p>
    <w:p w14:paraId="71A4D464" w14:textId="5B74ED6C" w:rsidR="0031675E" w:rsidRDefault="0031675E" w:rsidP="00BD01FD">
      <w:pPr>
        <w:pStyle w:val="Copyrighttext"/>
        <w:spacing w:after="120"/>
      </w:pPr>
    </w:p>
    <w:p w14:paraId="2FC5340F" w14:textId="3B6AE589" w:rsidR="0031675E" w:rsidRDefault="0031675E" w:rsidP="00BD01FD">
      <w:pPr>
        <w:pStyle w:val="Copyrighttext"/>
        <w:spacing w:after="120"/>
      </w:pPr>
    </w:p>
    <w:p w14:paraId="0EF49A8E" w14:textId="58D9EEA2" w:rsidR="0031675E" w:rsidRDefault="0031675E" w:rsidP="00BD01FD">
      <w:pPr>
        <w:pStyle w:val="Copyrighttext"/>
        <w:spacing w:after="120"/>
      </w:pPr>
    </w:p>
    <w:p w14:paraId="3BA4ADC5" w14:textId="37AB2E24" w:rsidR="0031675E" w:rsidRDefault="0031675E" w:rsidP="00BD01FD">
      <w:pPr>
        <w:pStyle w:val="Copyrighttext"/>
        <w:spacing w:after="120"/>
      </w:pPr>
    </w:p>
    <w:p w14:paraId="3D15F12C" w14:textId="0DD1F383" w:rsidR="0031675E" w:rsidRDefault="0031675E" w:rsidP="00BD01FD">
      <w:pPr>
        <w:pStyle w:val="Copyrighttext"/>
        <w:spacing w:after="120"/>
      </w:pPr>
    </w:p>
    <w:p w14:paraId="4A77A9DA" w14:textId="6BBBF20D" w:rsidR="0031675E" w:rsidRDefault="0031675E" w:rsidP="00BD01FD">
      <w:pPr>
        <w:pStyle w:val="Copyrighttext"/>
        <w:spacing w:after="120"/>
      </w:pPr>
    </w:p>
    <w:p w14:paraId="2441BF1B" w14:textId="094D3552" w:rsidR="0031675E" w:rsidRDefault="0031675E" w:rsidP="00BD01FD">
      <w:pPr>
        <w:pStyle w:val="Copyrighttext"/>
        <w:spacing w:after="120"/>
      </w:pPr>
    </w:p>
    <w:p w14:paraId="72033B57" w14:textId="01086D6C" w:rsidR="0031675E" w:rsidRDefault="0031675E" w:rsidP="00BD01FD">
      <w:pPr>
        <w:pStyle w:val="Copyrighttext"/>
        <w:spacing w:after="120"/>
      </w:pPr>
    </w:p>
    <w:p w14:paraId="3B5A829B" w14:textId="1A513AE5" w:rsidR="0031675E" w:rsidRDefault="0031675E" w:rsidP="00BD01FD">
      <w:pPr>
        <w:pStyle w:val="Copyrighttext"/>
        <w:spacing w:after="120"/>
      </w:pPr>
    </w:p>
    <w:p w14:paraId="394D262E" w14:textId="5FBE7505" w:rsidR="0031675E" w:rsidRDefault="0031675E" w:rsidP="00BD01FD">
      <w:pPr>
        <w:pStyle w:val="Copyrighttext"/>
        <w:spacing w:after="120"/>
      </w:pPr>
    </w:p>
    <w:p w14:paraId="289C3781" w14:textId="0C0A1EEB" w:rsidR="0031675E" w:rsidRDefault="0031675E" w:rsidP="00BD01FD">
      <w:pPr>
        <w:pStyle w:val="Copyrighttext"/>
        <w:spacing w:after="120"/>
      </w:pPr>
    </w:p>
    <w:p w14:paraId="7B50C2AF" w14:textId="64499EF2" w:rsidR="0031675E" w:rsidRDefault="0031675E" w:rsidP="00BD01FD">
      <w:pPr>
        <w:pStyle w:val="Copyrighttext"/>
        <w:spacing w:after="120"/>
      </w:pPr>
    </w:p>
    <w:p w14:paraId="77638EFD" w14:textId="41718163" w:rsidR="0031675E" w:rsidRDefault="0031675E" w:rsidP="00BD01FD">
      <w:pPr>
        <w:pStyle w:val="Copyrighttext"/>
        <w:spacing w:after="120"/>
      </w:pPr>
    </w:p>
    <w:p w14:paraId="3A7D8802" w14:textId="7CD794C8" w:rsidR="0031675E" w:rsidRDefault="0031675E" w:rsidP="00BD01FD">
      <w:pPr>
        <w:pStyle w:val="Copyrighttext"/>
        <w:spacing w:after="120"/>
      </w:pPr>
    </w:p>
    <w:p w14:paraId="7573B79C" w14:textId="7357DEB8" w:rsidR="0031675E" w:rsidRDefault="0031675E" w:rsidP="00BD01FD">
      <w:pPr>
        <w:pStyle w:val="Copyrighttext"/>
        <w:spacing w:after="120"/>
      </w:pPr>
    </w:p>
    <w:p w14:paraId="0D082D36" w14:textId="77777777" w:rsidR="0031675E" w:rsidRDefault="0031675E" w:rsidP="00BD01FD">
      <w:pPr>
        <w:pStyle w:val="Copyrighttext"/>
        <w:spacing w:after="120"/>
      </w:pPr>
    </w:p>
    <w:p w14:paraId="2A5ECC57" w14:textId="77777777" w:rsidR="00BD01FD" w:rsidRDefault="00BD01FD" w:rsidP="00BD01FD">
      <w:pPr>
        <w:pStyle w:val="Copyrighttext"/>
        <w:spacing w:after="120"/>
      </w:pPr>
    </w:p>
    <w:p w14:paraId="3950F060" w14:textId="18DA2502" w:rsidR="00122369" w:rsidRPr="00CF7503" w:rsidRDefault="0016287D" w:rsidP="009F4106">
      <w:pPr>
        <w:pStyle w:val="Copyrighttext"/>
        <w:spacing w:after="120"/>
        <w:rPr>
          <w:rStyle w:val="Hyperlink"/>
          <w:rFonts w:cstheme="minorHAnsi"/>
          <w:color w:val="auto"/>
        </w:rPr>
      </w:pPr>
      <w:r w:rsidRPr="00CF7503">
        <w:t>© State of Victoria (Department of Education and Training)</w:t>
      </w:r>
      <w:r w:rsidR="00E77EB9" w:rsidRPr="00CF7503">
        <w:t xml:space="preserve"> 20</w:t>
      </w:r>
      <w:r w:rsidR="00735566" w:rsidRPr="00CF7503">
        <w:t>2</w:t>
      </w:r>
      <w:r w:rsidR="003E3111">
        <w:t>2</w:t>
      </w:r>
      <w:r w:rsidR="00E77EB9" w:rsidRPr="00CF7503">
        <w:t>.</w:t>
      </w:r>
      <w:r w:rsidRPr="00CF7503">
        <w:t xml:space="preserve"> </w:t>
      </w:r>
      <w:r w:rsidR="00E34721" w:rsidRPr="00CF7503">
        <w:rPr>
          <w:rFonts w:cstheme="minorHAnsi"/>
        </w:rPr>
        <w:t>Except where otherwise </w:t>
      </w:r>
      <w:hyperlink r:id="rId29" w:history="1">
        <w:r w:rsidR="00E34721" w:rsidRPr="00CF7503">
          <w:rPr>
            <w:rStyle w:val="Hyperlink"/>
            <w:rFonts w:cstheme="minorHAnsi"/>
            <w:color w:val="auto"/>
          </w:rPr>
          <w:t>noted,</w:t>
        </w:r>
      </w:hyperlink>
      <w:r w:rsidR="00E34721" w:rsidRPr="00CF7503">
        <w:rPr>
          <w:rFonts w:cstheme="minorHAnsi"/>
        </w:rPr>
        <w:t xml:space="preserve"> material in this document is provided under a</w:t>
      </w:r>
      <w:r w:rsidR="004D4388" w:rsidRPr="00CF7503">
        <w:rPr>
          <w:rFonts w:cstheme="minorHAnsi"/>
        </w:rPr>
        <w:t xml:space="preserve"> </w:t>
      </w:r>
      <w:hyperlink r:id="rId30" w:history="1">
        <w:r w:rsidR="00E34721" w:rsidRPr="00CF7503">
          <w:rPr>
            <w:rStyle w:val="Hyperlink"/>
            <w:rFonts w:cstheme="minorHAnsi"/>
            <w:color w:val="auto"/>
          </w:rPr>
          <w:t>Creative Commons Attribution 4.0 International</w:t>
        </w:r>
      </w:hyperlink>
      <w:r w:rsidR="00E34721" w:rsidRPr="00CF7503">
        <w:rPr>
          <w:rFonts w:cstheme="minorHAnsi"/>
        </w:rPr>
        <w:t xml:space="preserve"> Please check the full </w:t>
      </w:r>
      <w:hyperlink r:id="rId31" w:history="1">
        <w:r w:rsidR="00E34721" w:rsidRPr="00CF7503">
          <w:rPr>
            <w:rStyle w:val="Hyperlink"/>
            <w:rFonts w:cstheme="minorHAnsi"/>
            <w:color w:val="auto"/>
          </w:rPr>
          <w:t>copyright notice </w:t>
        </w:r>
      </w:hyperlink>
    </w:p>
    <w:sectPr w:rsidR="00122369" w:rsidRPr="00CF7503" w:rsidSect="009F4106">
      <w:type w:val="continuous"/>
      <w:pgSz w:w="11900" w:h="16840"/>
      <w:pgMar w:top="1701" w:right="1134" w:bottom="851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BBEE" w14:textId="77777777" w:rsidR="004A028F" w:rsidRDefault="004A028F" w:rsidP="003967DD">
      <w:pPr>
        <w:spacing w:after="0"/>
      </w:pPr>
      <w:r>
        <w:separator/>
      </w:r>
    </w:p>
  </w:endnote>
  <w:endnote w:type="continuationSeparator" w:id="0">
    <w:p w14:paraId="346E09C2" w14:textId="77777777" w:rsidR="004A028F" w:rsidRDefault="004A028F" w:rsidP="003967DD">
      <w:pPr>
        <w:spacing w:after="0"/>
      </w:pPr>
      <w:r>
        <w:continuationSeparator/>
      </w:r>
    </w:p>
  </w:endnote>
  <w:endnote w:type="continuationNotice" w:id="1">
    <w:p w14:paraId="4FCD68F4" w14:textId="77777777" w:rsidR="004A028F" w:rsidRDefault="004A02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 w:cs="Times New Roman"/>
        <w:sz w:val="20"/>
        <w:szCs w:val="20"/>
      </w:rPr>
      <w:id w:val="-1769616900"/>
      <w:docPartObj>
        <w:docPartGallery w:val="Page Numbers (Top of Page)"/>
        <w:docPartUnique/>
      </w:docPartObj>
    </w:sdtPr>
    <w:sdtEndPr/>
    <w:sdtContent>
      <w:p w14:paraId="6579F563" w14:textId="77777777" w:rsidR="00935AE1" w:rsidRPr="00935AE1" w:rsidRDefault="00935AE1" w:rsidP="00935AE1">
        <w:pPr>
          <w:tabs>
            <w:tab w:val="center" w:pos="4513"/>
            <w:tab w:val="right" w:pos="9026"/>
          </w:tabs>
          <w:jc w:val="right"/>
          <w:rPr>
            <w:rFonts w:ascii="Arial" w:eastAsia="Arial" w:hAnsi="Arial" w:cs="Times New Roman"/>
            <w:sz w:val="20"/>
            <w:szCs w:val="20"/>
          </w:rPr>
        </w:pPr>
        <w:r w:rsidRPr="00935AE1">
          <w:rPr>
            <w:rFonts w:ascii="Arial" w:eastAsia="Arial" w:hAnsi="Arial" w:cs="Times New Roman"/>
            <w:sz w:val="20"/>
            <w:szCs w:val="20"/>
          </w:rPr>
          <w:t xml:space="preserve">Page </w:t>
        </w:r>
        <w:r w:rsidRPr="00935AE1">
          <w:rPr>
            <w:rFonts w:ascii="Arial" w:eastAsia="Arial" w:hAnsi="Arial" w:cs="Times New Roman"/>
            <w:bCs/>
            <w:sz w:val="20"/>
            <w:szCs w:val="20"/>
          </w:rPr>
          <w:fldChar w:fldCharType="begin"/>
        </w:r>
        <w:r w:rsidRPr="00935AE1">
          <w:rPr>
            <w:rFonts w:ascii="Arial" w:eastAsia="Arial" w:hAnsi="Arial" w:cs="Times New Roman"/>
            <w:bCs/>
            <w:sz w:val="20"/>
            <w:szCs w:val="20"/>
          </w:rPr>
          <w:instrText xml:space="preserve"> PAGE </w:instrText>
        </w:r>
        <w:r w:rsidRPr="00935AE1">
          <w:rPr>
            <w:rFonts w:ascii="Arial" w:eastAsia="Arial" w:hAnsi="Arial" w:cs="Times New Roman"/>
            <w:bCs/>
            <w:sz w:val="20"/>
            <w:szCs w:val="20"/>
          </w:rPr>
          <w:fldChar w:fldCharType="separate"/>
        </w:r>
        <w:r w:rsidRPr="00935AE1">
          <w:rPr>
            <w:rFonts w:ascii="Arial" w:eastAsia="Arial" w:hAnsi="Arial" w:cs="Times New Roman"/>
            <w:bCs/>
            <w:sz w:val="20"/>
            <w:szCs w:val="20"/>
          </w:rPr>
          <w:t>1</w:t>
        </w:r>
        <w:r w:rsidRPr="00935AE1">
          <w:rPr>
            <w:rFonts w:ascii="Arial" w:eastAsia="Arial" w:hAnsi="Arial" w:cs="Times New Roman"/>
            <w:bCs/>
            <w:sz w:val="20"/>
            <w:szCs w:val="20"/>
          </w:rPr>
          <w:fldChar w:fldCharType="end"/>
        </w:r>
        <w:r w:rsidRPr="00935AE1">
          <w:rPr>
            <w:rFonts w:ascii="Arial" w:eastAsia="Arial" w:hAnsi="Arial" w:cs="Times New Roman"/>
            <w:sz w:val="20"/>
            <w:szCs w:val="20"/>
          </w:rPr>
          <w:t xml:space="preserve"> of </w:t>
        </w:r>
        <w:r w:rsidRPr="00935AE1">
          <w:rPr>
            <w:rFonts w:ascii="Arial" w:eastAsia="Arial" w:hAnsi="Arial" w:cs="Times New Roman"/>
            <w:bCs/>
            <w:sz w:val="20"/>
            <w:szCs w:val="20"/>
          </w:rPr>
          <w:fldChar w:fldCharType="begin"/>
        </w:r>
        <w:r w:rsidRPr="00935AE1">
          <w:rPr>
            <w:rFonts w:ascii="Arial" w:eastAsia="Arial" w:hAnsi="Arial" w:cs="Times New Roman"/>
            <w:bCs/>
            <w:sz w:val="20"/>
            <w:szCs w:val="20"/>
          </w:rPr>
          <w:instrText xml:space="preserve"> NUMPAGES  </w:instrText>
        </w:r>
        <w:r w:rsidRPr="00935AE1">
          <w:rPr>
            <w:rFonts w:ascii="Arial" w:eastAsia="Arial" w:hAnsi="Arial" w:cs="Times New Roman"/>
            <w:bCs/>
            <w:sz w:val="20"/>
            <w:szCs w:val="20"/>
          </w:rPr>
          <w:fldChar w:fldCharType="separate"/>
        </w:r>
        <w:r w:rsidRPr="00935AE1">
          <w:rPr>
            <w:rFonts w:ascii="Arial" w:eastAsia="Arial" w:hAnsi="Arial" w:cs="Times New Roman"/>
            <w:bCs/>
            <w:sz w:val="20"/>
            <w:szCs w:val="20"/>
          </w:rPr>
          <w:t>2</w:t>
        </w:r>
        <w:r w:rsidRPr="00935AE1">
          <w:rPr>
            <w:rFonts w:ascii="Arial" w:eastAsia="Arial" w:hAnsi="Arial" w:cs="Times New Roman"/>
            <w:bCs/>
            <w:sz w:val="20"/>
            <w:szCs w:val="20"/>
          </w:rPr>
          <w:fldChar w:fldCharType="end"/>
        </w:r>
      </w:p>
      <w:p w14:paraId="0CD3DEB7" w14:textId="1BF0B001" w:rsidR="00A31926" w:rsidRPr="00935AE1" w:rsidRDefault="00935AE1" w:rsidP="00935AE1">
        <w:pPr>
          <w:tabs>
            <w:tab w:val="center" w:pos="4513"/>
            <w:tab w:val="right" w:pos="9026"/>
          </w:tabs>
          <w:rPr>
            <w:rFonts w:ascii="Arial" w:eastAsia="Arial" w:hAnsi="Arial" w:cs="Times New Roman"/>
            <w:sz w:val="20"/>
            <w:szCs w:val="20"/>
          </w:rPr>
        </w:pPr>
        <w:r w:rsidRPr="00935AE1">
          <w:rPr>
            <w:rFonts w:ascii="Arial" w:eastAsia="Arial" w:hAnsi="Arial" w:cs="Times New Roman"/>
            <w:bCs/>
            <w:sz w:val="20"/>
            <w:szCs w:val="20"/>
          </w:rPr>
          <w:t xml:space="preserve">Published </w:t>
        </w:r>
        <w:r w:rsidR="00582DB5">
          <w:rPr>
            <w:rFonts w:ascii="Arial" w:eastAsia="Arial" w:hAnsi="Arial" w:cs="Times New Roman"/>
            <w:bCs/>
            <w:sz w:val="20"/>
            <w:szCs w:val="20"/>
          </w:rPr>
          <w:t>December 202</w:t>
        </w:r>
        <w:r w:rsidR="00C31929">
          <w:rPr>
            <w:rFonts w:ascii="Arial" w:eastAsia="Arial" w:hAnsi="Arial" w:cs="Times New Roman"/>
            <w:bCs/>
            <w:sz w:val="20"/>
            <w:szCs w:val="20"/>
          </w:rPr>
          <w:t>2</w:t>
        </w:r>
        <w:r w:rsidRPr="00935AE1">
          <w:rPr>
            <w:rFonts w:ascii="Arial" w:eastAsia="Arial" w:hAnsi="Arial" w:cs="Times New Roman"/>
            <w:bCs/>
            <w:sz w:val="20"/>
            <w:szCs w:val="20"/>
          </w:rPr>
          <w:t xml:space="preserve"> (version </w:t>
        </w:r>
        <w:r w:rsidR="00C31929">
          <w:rPr>
            <w:rFonts w:ascii="Arial" w:eastAsia="Arial" w:hAnsi="Arial" w:cs="Times New Roman"/>
            <w:bCs/>
            <w:sz w:val="20"/>
            <w:szCs w:val="20"/>
          </w:rPr>
          <w:t>3</w:t>
        </w:r>
        <w:r w:rsidR="003A50E1">
          <w:rPr>
            <w:rFonts w:ascii="Arial" w:eastAsia="Arial" w:hAnsi="Arial" w:cs="Times New Roman"/>
            <w:bCs/>
            <w:sz w:val="20"/>
            <w:szCs w:val="20"/>
          </w:rPr>
          <w:t>.0</w:t>
        </w:r>
        <w:r w:rsidRPr="00935AE1">
          <w:rPr>
            <w:rFonts w:ascii="Arial" w:eastAsia="Arial" w:hAnsi="Arial" w:cs="Times New Roman"/>
            <w:bCs/>
            <w:sz w:val="20"/>
            <w:szCs w:val="20"/>
          </w:rPr>
          <w:t xml:space="preserve">)    </w:t>
        </w:r>
        <w:r w:rsidRPr="00935AE1">
          <w:rPr>
            <w:rFonts w:ascii="Arial" w:eastAsia="Arial" w:hAnsi="Arial" w:cs="Times New Roman"/>
            <w:i/>
            <w:sz w:val="20"/>
            <w:szCs w:val="20"/>
          </w:rPr>
          <w:t>This document is a guide only and subject to change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C3DD" w14:textId="77777777" w:rsidR="00E9742F" w:rsidRDefault="00E97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0279" w14:textId="77777777" w:rsidR="004A028F" w:rsidRDefault="004A028F" w:rsidP="003967DD">
      <w:pPr>
        <w:spacing w:after="0"/>
      </w:pPr>
      <w:r>
        <w:separator/>
      </w:r>
    </w:p>
  </w:footnote>
  <w:footnote w:type="continuationSeparator" w:id="0">
    <w:p w14:paraId="798379F8" w14:textId="77777777" w:rsidR="004A028F" w:rsidRDefault="004A028F" w:rsidP="003967DD">
      <w:pPr>
        <w:spacing w:after="0"/>
      </w:pPr>
      <w:r>
        <w:continuationSeparator/>
      </w:r>
    </w:p>
  </w:footnote>
  <w:footnote w:type="continuationNotice" w:id="1">
    <w:p w14:paraId="2F8C67CE" w14:textId="77777777" w:rsidR="004A028F" w:rsidRDefault="004A02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7BE9" w14:textId="77777777" w:rsidR="00E9742F" w:rsidRDefault="00E97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4751" w14:textId="77777777" w:rsidR="0008154F" w:rsidRDefault="0008154F" w:rsidP="0008154F">
    <w:pPr>
      <w:pStyle w:val="Header"/>
      <w:tabs>
        <w:tab w:val="clear" w:pos="4513"/>
        <w:tab w:val="clear" w:pos="9026"/>
        <w:tab w:val="left" w:pos="1880"/>
      </w:tabs>
      <w:rPr>
        <w:noProof/>
      </w:rPr>
    </w:pPr>
  </w:p>
  <w:p w14:paraId="74C602D3" w14:textId="77777777" w:rsidR="0008154F" w:rsidRDefault="0008154F" w:rsidP="0008154F">
    <w:pPr>
      <w:pStyle w:val="Header"/>
      <w:tabs>
        <w:tab w:val="clear" w:pos="4513"/>
        <w:tab w:val="clear" w:pos="9026"/>
        <w:tab w:val="left" w:pos="1880"/>
      </w:tabs>
      <w:rPr>
        <w:noProof/>
      </w:rPr>
    </w:pPr>
  </w:p>
  <w:p w14:paraId="585C1E50" w14:textId="19BCA300" w:rsidR="003967DD" w:rsidRDefault="000861DD" w:rsidP="0008154F">
    <w:pPr>
      <w:pStyle w:val="Header"/>
      <w:tabs>
        <w:tab w:val="clear" w:pos="4513"/>
        <w:tab w:val="clear" w:pos="9026"/>
        <w:tab w:val="left" w:pos="18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6DCD648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0421" cy="10684797"/>
          <wp:effectExtent l="0" t="0" r="0" b="254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54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A7F9" w14:textId="77777777" w:rsidR="00E9742F" w:rsidRDefault="00E97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506DF"/>
    <w:multiLevelType w:val="hybridMultilevel"/>
    <w:tmpl w:val="A238B1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915C12"/>
    <w:multiLevelType w:val="hybridMultilevel"/>
    <w:tmpl w:val="EDE283A0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16B3122F"/>
    <w:multiLevelType w:val="hybridMultilevel"/>
    <w:tmpl w:val="EC9CBF52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E44E58"/>
    <w:multiLevelType w:val="hybridMultilevel"/>
    <w:tmpl w:val="9ABC840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821DF"/>
    <w:multiLevelType w:val="hybridMultilevel"/>
    <w:tmpl w:val="F5EAA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CE5111"/>
    <w:multiLevelType w:val="hybridMultilevel"/>
    <w:tmpl w:val="94D433EC"/>
    <w:lvl w:ilvl="0" w:tplc="2D50C65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4338BD"/>
    <w:multiLevelType w:val="hybridMultilevel"/>
    <w:tmpl w:val="43322E9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1E08A0"/>
    <w:multiLevelType w:val="hybridMultilevel"/>
    <w:tmpl w:val="17A0B09C"/>
    <w:lvl w:ilvl="0" w:tplc="ED9E559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F51B5"/>
    <w:multiLevelType w:val="hybridMultilevel"/>
    <w:tmpl w:val="07746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D70D4C"/>
    <w:multiLevelType w:val="hybridMultilevel"/>
    <w:tmpl w:val="B06E0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9F1BD4"/>
    <w:multiLevelType w:val="hybridMultilevel"/>
    <w:tmpl w:val="8D883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6F0BD3"/>
    <w:multiLevelType w:val="hybridMultilevel"/>
    <w:tmpl w:val="3D0C8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71E02"/>
    <w:multiLevelType w:val="hybridMultilevel"/>
    <w:tmpl w:val="4B10FA5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4EFB2802"/>
    <w:multiLevelType w:val="hybridMultilevel"/>
    <w:tmpl w:val="45901AE2"/>
    <w:lvl w:ilvl="0" w:tplc="29341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00C27"/>
    <w:multiLevelType w:val="hybridMultilevel"/>
    <w:tmpl w:val="4FEEC0EC"/>
    <w:lvl w:ilvl="0" w:tplc="29341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12019">
    <w:abstractNumId w:val="0"/>
  </w:num>
  <w:num w:numId="2" w16cid:durableId="610861361">
    <w:abstractNumId w:val="1"/>
  </w:num>
  <w:num w:numId="3" w16cid:durableId="99956844">
    <w:abstractNumId w:val="2"/>
  </w:num>
  <w:num w:numId="4" w16cid:durableId="216162178">
    <w:abstractNumId w:val="3"/>
  </w:num>
  <w:num w:numId="5" w16cid:durableId="733360498">
    <w:abstractNumId w:val="4"/>
  </w:num>
  <w:num w:numId="6" w16cid:durableId="21593331">
    <w:abstractNumId w:val="9"/>
  </w:num>
  <w:num w:numId="7" w16cid:durableId="1983847018">
    <w:abstractNumId w:val="5"/>
  </w:num>
  <w:num w:numId="8" w16cid:durableId="1803228055">
    <w:abstractNumId w:val="6"/>
  </w:num>
  <w:num w:numId="9" w16cid:durableId="1963534973">
    <w:abstractNumId w:val="7"/>
  </w:num>
  <w:num w:numId="10" w16cid:durableId="1012956775">
    <w:abstractNumId w:val="8"/>
  </w:num>
  <w:num w:numId="11" w16cid:durableId="1150436938">
    <w:abstractNumId w:val="10"/>
  </w:num>
  <w:num w:numId="12" w16cid:durableId="67191377">
    <w:abstractNumId w:val="21"/>
  </w:num>
  <w:num w:numId="13" w16cid:durableId="1968857066">
    <w:abstractNumId w:val="29"/>
  </w:num>
  <w:num w:numId="14" w16cid:durableId="1042091602">
    <w:abstractNumId w:val="31"/>
  </w:num>
  <w:num w:numId="15" w16cid:durableId="1761171160">
    <w:abstractNumId w:val="19"/>
  </w:num>
  <w:num w:numId="16" w16cid:durableId="699745897">
    <w:abstractNumId w:val="26"/>
  </w:num>
  <w:num w:numId="17" w16cid:durableId="163057268">
    <w:abstractNumId w:val="20"/>
  </w:num>
  <w:num w:numId="18" w16cid:durableId="2019187945">
    <w:abstractNumId w:val="18"/>
  </w:num>
  <w:num w:numId="19" w16cid:durableId="1048335466">
    <w:abstractNumId w:val="15"/>
  </w:num>
  <w:num w:numId="20" w16cid:durableId="857622678">
    <w:abstractNumId w:val="17"/>
  </w:num>
  <w:num w:numId="21" w16cid:durableId="59449090">
    <w:abstractNumId w:val="24"/>
  </w:num>
  <w:num w:numId="22" w16cid:durableId="475682805">
    <w:abstractNumId w:val="22"/>
  </w:num>
  <w:num w:numId="23" w16cid:durableId="2067607137">
    <w:abstractNumId w:val="11"/>
  </w:num>
  <w:num w:numId="24" w16cid:durableId="1367832236">
    <w:abstractNumId w:val="30"/>
  </w:num>
  <w:num w:numId="25" w16cid:durableId="1281255530">
    <w:abstractNumId w:val="28"/>
  </w:num>
  <w:num w:numId="26" w16cid:durableId="423964685">
    <w:abstractNumId w:val="25"/>
  </w:num>
  <w:num w:numId="27" w16cid:durableId="1132554385">
    <w:abstractNumId w:val="31"/>
  </w:num>
  <w:num w:numId="28" w16cid:durableId="1310013363">
    <w:abstractNumId w:val="12"/>
  </w:num>
  <w:num w:numId="29" w16cid:durableId="1878856752">
    <w:abstractNumId w:val="14"/>
  </w:num>
  <w:num w:numId="30" w16cid:durableId="845755312">
    <w:abstractNumId w:val="16"/>
  </w:num>
  <w:num w:numId="31" w16cid:durableId="868495989">
    <w:abstractNumId w:val="13"/>
  </w:num>
  <w:num w:numId="32" w16cid:durableId="337778180">
    <w:abstractNumId w:val="27"/>
  </w:num>
  <w:num w:numId="33" w16cid:durableId="17053994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BE9"/>
    <w:rsid w:val="00011B2C"/>
    <w:rsid w:val="00011F31"/>
    <w:rsid w:val="00013339"/>
    <w:rsid w:val="0002293C"/>
    <w:rsid w:val="000256E2"/>
    <w:rsid w:val="00025DBD"/>
    <w:rsid w:val="00045DBF"/>
    <w:rsid w:val="00075D35"/>
    <w:rsid w:val="00077AA9"/>
    <w:rsid w:val="00080DA9"/>
    <w:rsid w:val="0008102C"/>
    <w:rsid w:val="0008154F"/>
    <w:rsid w:val="000861DD"/>
    <w:rsid w:val="000A47D4"/>
    <w:rsid w:val="000B115A"/>
    <w:rsid w:val="000B16AA"/>
    <w:rsid w:val="000C2483"/>
    <w:rsid w:val="000C3126"/>
    <w:rsid w:val="000C55C9"/>
    <w:rsid w:val="000C600E"/>
    <w:rsid w:val="000D069F"/>
    <w:rsid w:val="000D7F9A"/>
    <w:rsid w:val="00111445"/>
    <w:rsid w:val="00113E1A"/>
    <w:rsid w:val="00122369"/>
    <w:rsid w:val="00140738"/>
    <w:rsid w:val="00146725"/>
    <w:rsid w:val="00150E0F"/>
    <w:rsid w:val="00155E13"/>
    <w:rsid w:val="00157212"/>
    <w:rsid w:val="0016287D"/>
    <w:rsid w:val="0016429A"/>
    <w:rsid w:val="00174D9B"/>
    <w:rsid w:val="00182A6A"/>
    <w:rsid w:val="001A1861"/>
    <w:rsid w:val="001A5AAF"/>
    <w:rsid w:val="001B47CC"/>
    <w:rsid w:val="001D0D94"/>
    <w:rsid w:val="001D13F9"/>
    <w:rsid w:val="001F39DD"/>
    <w:rsid w:val="00200103"/>
    <w:rsid w:val="00215EE6"/>
    <w:rsid w:val="00215F9C"/>
    <w:rsid w:val="002222FC"/>
    <w:rsid w:val="00222D9B"/>
    <w:rsid w:val="00227828"/>
    <w:rsid w:val="00231117"/>
    <w:rsid w:val="00240F27"/>
    <w:rsid w:val="002512BE"/>
    <w:rsid w:val="002614A8"/>
    <w:rsid w:val="0027115D"/>
    <w:rsid w:val="00271D59"/>
    <w:rsid w:val="00275FB8"/>
    <w:rsid w:val="00294161"/>
    <w:rsid w:val="002A1ACE"/>
    <w:rsid w:val="002A4A96"/>
    <w:rsid w:val="002B2BB9"/>
    <w:rsid w:val="002B7BF8"/>
    <w:rsid w:val="002D5A8B"/>
    <w:rsid w:val="002E039C"/>
    <w:rsid w:val="002E3BED"/>
    <w:rsid w:val="002E7FF8"/>
    <w:rsid w:val="002F6115"/>
    <w:rsid w:val="00312720"/>
    <w:rsid w:val="0031675E"/>
    <w:rsid w:val="00323941"/>
    <w:rsid w:val="00327A35"/>
    <w:rsid w:val="00343AFC"/>
    <w:rsid w:val="0034745C"/>
    <w:rsid w:val="00374EA5"/>
    <w:rsid w:val="0037781D"/>
    <w:rsid w:val="0038623C"/>
    <w:rsid w:val="003952EC"/>
    <w:rsid w:val="003967DD"/>
    <w:rsid w:val="00397399"/>
    <w:rsid w:val="003A4B21"/>
    <w:rsid w:val="003A4C39"/>
    <w:rsid w:val="003A50E1"/>
    <w:rsid w:val="003B1FBC"/>
    <w:rsid w:val="003C0C20"/>
    <w:rsid w:val="003C1A23"/>
    <w:rsid w:val="003D2F1B"/>
    <w:rsid w:val="003D694F"/>
    <w:rsid w:val="003E3111"/>
    <w:rsid w:val="003F7E3E"/>
    <w:rsid w:val="00404D6D"/>
    <w:rsid w:val="004069C5"/>
    <w:rsid w:val="004071F2"/>
    <w:rsid w:val="00407855"/>
    <w:rsid w:val="00410445"/>
    <w:rsid w:val="0042333B"/>
    <w:rsid w:val="00424A28"/>
    <w:rsid w:val="00433220"/>
    <w:rsid w:val="004341D0"/>
    <w:rsid w:val="004413A1"/>
    <w:rsid w:val="00443E58"/>
    <w:rsid w:val="0047666E"/>
    <w:rsid w:val="004A028F"/>
    <w:rsid w:val="004A2E74"/>
    <w:rsid w:val="004A3359"/>
    <w:rsid w:val="004A5EE3"/>
    <w:rsid w:val="004B2ED6"/>
    <w:rsid w:val="004B5E94"/>
    <w:rsid w:val="004C16FA"/>
    <w:rsid w:val="004D299C"/>
    <w:rsid w:val="004D4388"/>
    <w:rsid w:val="004D4D5A"/>
    <w:rsid w:val="004E3FB4"/>
    <w:rsid w:val="004E4407"/>
    <w:rsid w:val="004F1BFE"/>
    <w:rsid w:val="004F214D"/>
    <w:rsid w:val="00500ADA"/>
    <w:rsid w:val="005052B1"/>
    <w:rsid w:val="00512BBA"/>
    <w:rsid w:val="00513C91"/>
    <w:rsid w:val="0053577D"/>
    <w:rsid w:val="00537367"/>
    <w:rsid w:val="00544B94"/>
    <w:rsid w:val="00544E53"/>
    <w:rsid w:val="00555277"/>
    <w:rsid w:val="00567CF0"/>
    <w:rsid w:val="00572ECA"/>
    <w:rsid w:val="00576A53"/>
    <w:rsid w:val="00582DB5"/>
    <w:rsid w:val="00584366"/>
    <w:rsid w:val="00595ECB"/>
    <w:rsid w:val="005A4F12"/>
    <w:rsid w:val="005C3B89"/>
    <w:rsid w:val="005C4F12"/>
    <w:rsid w:val="005C7A2E"/>
    <w:rsid w:val="005D1D84"/>
    <w:rsid w:val="005D67A3"/>
    <w:rsid w:val="005E0713"/>
    <w:rsid w:val="005E4D94"/>
    <w:rsid w:val="005E5051"/>
    <w:rsid w:val="005E71C8"/>
    <w:rsid w:val="005F197D"/>
    <w:rsid w:val="00624A55"/>
    <w:rsid w:val="00625F2E"/>
    <w:rsid w:val="00633A65"/>
    <w:rsid w:val="00644E5A"/>
    <w:rsid w:val="00646077"/>
    <w:rsid w:val="006523D7"/>
    <w:rsid w:val="0066214E"/>
    <w:rsid w:val="0066628E"/>
    <w:rsid w:val="006671CE"/>
    <w:rsid w:val="006753F3"/>
    <w:rsid w:val="006848BA"/>
    <w:rsid w:val="00691796"/>
    <w:rsid w:val="006A1F8A"/>
    <w:rsid w:val="006A25AC"/>
    <w:rsid w:val="006C45C0"/>
    <w:rsid w:val="006D2AFF"/>
    <w:rsid w:val="006E0274"/>
    <w:rsid w:val="006E2B9A"/>
    <w:rsid w:val="006E40F0"/>
    <w:rsid w:val="006F7B6C"/>
    <w:rsid w:val="00710CED"/>
    <w:rsid w:val="00714EA9"/>
    <w:rsid w:val="007200B6"/>
    <w:rsid w:val="00723569"/>
    <w:rsid w:val="00735566"/>
    <w:rsid w:val="007376D9"/>
    <w:rsid w:val="00755EDA"/>
    <w:rsid w:val="007578FE"/>
    <w:rsid w:val="00764998"/>
    <w:rsid w:val="00767573"/>
    <w:rsid w:val="00775303"/>
    <w:rsid w:val="00792B3D"/>
    <w:rsid w:val="0079411D"/>
    <w:rsid w:val="007A1C5E"/>
    <w:rsid w:val="007A2665"/>
    <w:rsid w:val="007A5BED"/>
    <w:rsid w:val="007B10CB"/>
    <w:rsid w:val="007B556E"/>
    <w:rsid w:val="007D3E38"/>
    <w:rsid w:val="007E4319"/>
    <w:rsid w:val="007F557B"/>
    <w:rsid w:val="007F67A0"/>
    <w:rsid w:val="008047BC"/>
    <w:rsid w:val="008065DA"/>
    <w:rsid w:val="00815E51"/>
    <w:rsid w:val="00817B8B"/>
    <w:rsid w:val="00825854"/>
    <w:rsid w:val="008409E1"/>
    <w:rsid w:val="008425EE"/>
    <w:rsid w:val="00843F94"/>
    <w:rsid w:val="0085520D"/>
    <w:rsid w:val="008755E8"/>
    <w:rsid w:val="00885170"/>
    <w:rsid w:val="00890680"/>
    <w:rsid w:val="00892E24"/>
    <w:rsid w:val="008B1013"/>
    <w:rsid w:val="008B1737"/>
    <w:rsid w:val="008C3D29"/>
    <w:rsid w:val="008C68CF"/>
    <w:rsid w:val="008D0CEC"/>
    <w:rsid w:val="008E3AD5"/>
    <w:rsid w:val="008F3D35"/>
    <w:rsid w:val="00905D88"/>
    <w:rsid w:val="00911D52"/>
    <w:rsid w:val="00914F85"/>
    <w:rsid w:val="0092396E"/>
    <w:rsid w:val="00935AE1"/>
    <w:rsid w:val="00952690"/>
    <w:rsid w:val="00954B9A"/>
    <w:rsid w:val="00967711"/>
    <w:rsid w:val="00971AD8"/>
    <w:rsid w:val="00972599"/>
    <w:rsid w:val="009740C8"/>
    <w:rsid w:val="009761CA"/>
    <w:rsid w:val="00977274"/>
    <w:rsid w:val="00984E75"/>
    <w:rsid w:val="00990667"/>
    <w:rsid w:val="0099358C"/>
    <w:rsid w:val="009C4F91"/>
    <w:rsid w:val="009C543D"/>
    <w:rsid w:val="009D47D2"/>
    <w:rsid w:val="009E2700"/>
    <w:rsid w:val="009F4106"/>
    <w:rsid w:val="009F4BA6"/>
    <w:rsid w:val="009F6A77"/>
    <w:rsid w:val="00A16D64"/>
    <w:rsid w:val="00A23917"/>
    <w:rsid w:val="00A23AED"/>
    <w:rsid w:val="00A2764C"/>
    <w:rsid w:val="00A31926"/>
    <w:rsid w:val="00A32379"/>
    <w:rsid w:val="00A50926"/>
    <w:rsid w:val="00A51C74"/>
    <w:rsid w:val="00A710DF"/>
    <w:rsid w:val="00A72A08"/>
    <w:rsid w:val="00A80C3D"/>
    <w:rsid w:val="00A9028C"/>
    <w:rsid w:val="00A97284"/>
    <w:rsid w:val="00AB05B6"/>
    <w:rsid w:val="00AC6047"/>
    <w:rsid w:val="00AC6214"/>
    <w:rsid w:val="00AC6BF9"/>
    <w:rsid w:val="00AF5DF9"/>
    <w:rsid w:val="00B00C19"/>
    <w:rsid w:val="00B052B9"/>
    <w:rsid w:val="00B10ADF"/>
    <w:rsid w:val="00B14EB1"/>
    <w:rsid w:val="00B21562"/>
    <w:rsid w:val="00B27AA5"/>
    <w:rsid w:val="00B3771C"/>
    <w:rsid w:val="00B4074D"/>
    <w:rsid w:val="00B47298"/>
    <w:rsid w:val="00B617E3"/>
    <w:rsid w:val="00BB7789"/>
    <w:rsid w:val="00BD01FD"/>
    <w:rsid w:val="00BF1569"/>
    <w:rsid w:val="00BF364F"/>
    <w:rsid w:val="00BF4FCA"/>
    <w:rsid w:val="00C10277"/>
    <w:rsid w:val="00C31929"/>
    <w:rsid w:val="00C539BB"/>
    <w:rsid w:val="00C53B8E"/>
    <w:rsid w:val="00C56286"/>
    <w:rsid w:val="00C56515"/>
    <w:rsid w:val="00C74C15"/>
    <w:rsid w:val="00CA4230"/>
    <w:rsid w:val="00CA5DEA"/>
    <w:rsid w:val="00CB28BF"/>
    <w:rsid w:val="00CB31B6"/>
    <w:rsid w:val="00CC14D8"/>
    <w:rsid w:val="00CC5AA8"/>
    <w:rsid w:val="00CC7207"/>
    <w:rsid w:val="00CC7B8D"/>
    <w:rsid w:val="00CD5993"/>
    <w:rsid w:val="00CE07F2"/>
    <w:rsid w:val="00CE42B7"/>
    <w:rsid w:val="00CE52BD"/>
    <w:rsid w:val="00CE7916"/>
    <w:rsid w:val="00CF340C"/>
    <w:rsid w:val="00CF5EA2"/>
    <w:rsid w:val="00CF7503"/>
    <w:rsid w:val="00D000B9"/>
    <w:rsid w:val="00D00128"/>
    <w:rsid w:val="00D01D83"/>
    <w:rsid w:val="00D01E3E"/>
    <w:rsid w:val="00D03BBA"/>
    <w:rsid w:val="00D10E6E"/>
    <w:rsid w:val="00D1516A"/>
    <w:rsid w:val="00D1554E"/>
    <w:rsid w:val="00D2160E"/>
    <w:rsid w:val="00D66458"/>
    <w:rsid w:val="00D73D32"/>
    <w:rsid w:val="00D747C6"/>
    <w:rsid w:val="00D75CAD"/>
    <w:rsid w:val="00D82DBC"/>
    <w:rsid w:val="00D9777A"/>
    <w:rsid w:val="00DA0730"/>
    <w:rsid w:val="00DA5AE4"/>
    <w:rsid w:val="00DC4D0D"/>
    <w:rsid w:val="00DC4F81"/>
    <w:rsid w:val="00DC676B"/>
    <w:rsid w:val="00DD05E5"/>
    <w:rsid w:val="00DD44AC"/>
    <w:rsid w:val="00E173CC"/>
    <w:rsid w:val="00E34263"/>
    <w:rsid w:val="00E34721"/>
    <w:rsid w:val="00E408FA"/>
    <w:rsid w:val="00E4317E"/>
    <w:rsid w:val="00E47512"/>
    <w:rsid w:val="00E5030B"/>
    <w:rsid w:val="00E529CB"/>
    <w:rsid w:val="00E56BB9"/>
    <w:rsid w:val="00E6100B"/>
    <w:rsid w:val="00E64758"/>
    <w:rsid w:val="00E67C7D"/>
    <w:rsid w:val="00E77032"/>
    <w:rsid w:val="00E77EB9"/>
    <w:rsid w:val="00E84D12"/>
    <w:rsid w:val="00E9742F"/>
    <w:rsid w:val="00EA798D"/>
    <w:rsid w:val="00EB2961"/>
    <w:rsid w:val="00EB758C"/>
    <w:rsid w:val="00ED1728"/>
    <w:rsid w:val="00ED4727"/>
    <w:rsid w:val="00EE63C9"/>
    <w:rsid w:val="00EE6663"/>
    <w:rsid w:val="00F0610A"/>
    <w:rsid w:val="00F41240"/>
    <w:rsid w:val="00F5271F"/>
    <w:rsid w:val="00F75771"/>
    <w:rsid w:val="00F75929"/>
    <w:rsid w:val="00F821FA"/>
    <w:rsid w:val="00F906ED"/>
    <w:rsid w:val="00F914D2"/>
    <w:rsid w:val="00F9220D"/>
    <w:rsid w:val="00F93039"/>
    <w:rsid w:val="00F94715"/>
    <w:rsid w:val="00FA2184"/>
    <w:rsid w:val="00FB454C"/>
    <w:rsid w:val="00FB6B7E"/>
    <w:rsid w:val="00FC28C9"/>
    <w:rsid w:val="00FC4044"/>
    <w:rsid w:val="00FC7C80"/>
    <w:rsid w:val="00FD547C"/>
    <w:rsid w:val="00FE205A"/>
    <w:rsid w:val="00FF55CC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B2A8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00B2A8" w:themeColor="accent1"/>
      </w:pBdr>
    </w:pPr>
    <w:rPr>
      <w:b/>
      <w:color w:val="00B2A8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00B2A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E791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71CE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B2A8" w:themeColor="accent1"/>
        <w:bottom w:val="single" w:sz="4" w:space="10" w:color="00B2A8" w:themeColor="accent1"/>
      </w:pBdr>
      <w:spacing w:before="360" w:after="360"/>
    </w:pPr>
    <w:rPr>
      <w:b/>
      <w:iCs/>
      <w:color w:val="00B2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B2A8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8C3D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4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1929"/>
    <w:rPr>
      <w:sz w:val="22"/>
    </w:rPr>
  </w:style>
  <w:style w:type="table" w:styleId="PlainTable1">
    <w:name w:val="Plain Table 1"/>
    <w:basedOn w:val="TableNormal"/>
    <w:uiPriority w:val="41"/>
    <w:rsid w:val="00D73D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001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yperlink" Target="https://www.vic.gov.au/vet-funding-contracts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image" Target="media/image5.sv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education.vic.gov.au/svt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hyperlink" Target="https://www.education.vic.gov.au/Pages/copyright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beta.idmatch.gov.au/for-organisations/business-user" TargetMode="External"/><Relationship Id="rId28" Type="http://schemas.openxmlformats.org/officeDocument/2006/relationships/hyperlink" Target="https://www.vic.gov.au/vet-funding-contracts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3.svg"/><Relationship Id="rId31" Type="http://schemas.openxmlformats.org/officeDocument/2006/relationships/hyperlink" Target="https://www.education.vic.gov.au/Pages/copyright.aspx" TargetMode="External"/><Relationship Id="rId30" Type="http://schemas.openxmlformats.org/officeDocument/2006/relationships/hyperlink" Target="https://creativecommons.org/licenses/by/4.0/" TargetMode="Externa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justice.vic.gov.au/certifiedcopies" TargetMode="External"/><Relationship Id="rId27" Type="http://schemas.openxmlformats.org/officeDocument/2006/relationships/hyperlink" Target="https://www.vic.gov.au/vet-funding-contrac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Training and Skil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B2A8"/>
      </a:accent1>
      <a:accent2>
        <a:srgbClr val="71C5E8"/>
      </a:accent2>
      <a:accent3>
        <a:srgbClr val="0071CE"/>
      </a:accent3>
      <a:accent4>
        <a:srgbClr val="86189C"/>
      </a:accent4>
      <a:accent5>
        <a:srgbClr val="00B140"/>
      </a:accent5>
      <a:accent6>
        <a:srgbClr val="53565A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 xsi:nil="true"/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e2460a2-3e09-40bc-a665-6e5b313d5e13"/>
    <ds:schemaRef ds:uri="http://schemas.microsoft.com/sharepoint/v3"/>
    <ds:schemaRef ds:uri="http://schemas.microsoft.com/Sharepoint/v3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A92B71-2939-420E-AF30-2FA1DBEB5F40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393FDF-BCC1-44AC-B0B3-58569943B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Claire Reader</cp:lastModifiedBy>
  <cp:revision>10</cp:revision>
  <cp:lastPrinted>2022-12-15T02:25:00Z</cp:lastPrinted>
  <dcterms:created xsi:type="dcterms:W3CDTF">2022-12-11T23:38:00Z</dcterms:created>
  <dcterms:modified xsi:type="dcterms:W3CDTF">2022-12-15T02:42:00Z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{b3cca25b-f07d-4239-8a3c-b7d682f9d566}</vt:lpwstr>
  </property>
  <property fmtid="{D5CDD505-2E9C-101B-9397-08002B2CF9AE}" pid="5" name="RecordPoint_ActiveItemListId">
    <vt:lpwstr>{099e913b-59b7-463a-b199-018130ffc057}</vt:lpwstr>
  </property>
  <property fmtid="{D5CDD505-2E9C-101B-9397-08002B2CF9AE}" pid="6" name="RecordPoint_ActiveItemUniqueId">
    <vt:lpwstr>{c2e6b73b-df71-4b58-895d-eb43c2fc8fdf}</vt:lpwstr>
  </property>
  <property fmtid="{D5CDD505-2E9C-101B-9397-08002B2CF9AE}" pid="7" name="RecordPoint_ActiveItemWebId">
    <vt:lpwstr>{6e2460a2-3e09-40bc-a665-6e5b313d5e13}</vt:lpwstr>
  </property>
  <property fmtid="{D5CDD505-2E9C-101B-9397-08002B2CF9AE}" pid="8" name="DET_EDRMS_RCSTaxHTField0">
    <vt:lpwstr>13.1.2 Internal Policy|ad985a07-89db-41e4-84da-e1a6cef79014</vt:lpwstr>
  </property>
  <property fmtid="{D5CDD505-2E9C-101B-9397-08002B2CF9AE}" pid="9" name="DET_EDRMS_RCS">
    <vt:lpwstr>13;#13.1.2 Internal Policy|ad985a07-89db-41e4-84da-e1a6cef79014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R20220643806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SubmissionCompleted">
    <vt:lpwstr>2022-12-15T13:43:32.6808499+11:00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ofbb8b9a280a423a91cf717fb81349cd">
    <vt:lpwstr>Education|5232e41c-5101-41fe-b638-7d41d1371531</vt:lpwstr>
  </property>
  <property fmtid="{D5CDD505-2E9C-101B-9397-08002B2CF9AE}" pid="17" name="a319977fc8504e09982f090ae1d7c602">
    <vt:lpwstr>Page|eb523acf-a821-456c-a76b-7607578309d7</vt:lpwstr>
  </property>
  <property fmtid="{D5CDD505-2E9C-101B-9397-08002B2CF9AE}" pid="18" name="DEECD_ItemType">
    <vt:lpwstr>101;#Page|eb523acf-a821-456c-a76b-7607578309d7</vt:lpwstr>
  </property>
</Properties>
</file>