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7F66" w14:textId="408DB72B" w:rsidR="00A375DA" w:rsidRPr="005A6644" w:rsidRDefault="004C039B" w:rsidP="005A6644">
      <w:pPr>
        <w:pStyle w:val="Heading1"/>
      </w:pPr>
      <w:r w:rsidRPr="00E30BD6">
        <w:t>Change in control and other significant changes</w:t>
      </w:r>
    </w:p>
    <w:p w14:paraId="7073CC9B" w14:textId="34F5475C" w:rsidR="00845F7F" w:rsidRDefault="00845F7F" w:rsidP="0041583F">
      <w:pPr>
        <w:pStyle w:val="Intro"/>
      </w:pPr>
      <w:r w:rsidRPr="00845F7F">
        <w:t xml:space="preserve">This fact sheet provides information about requirements under Skills First to notify </w:t>
      </w:r>
      <w:r w:rsidR="00DC4C5F">
        <w:t xml:space="preserve">us </w:t>
      </w:r>
      <w:r w:rsidRPr="00845F7F">
        <w:t xml:space="preserve">about a </w:t>
      </w:r>
      <w:r w:rsidR="00DC4C5F">
        <w:t>c</w:t>
      </w:r>
      <w:r w:rsidRPr="00845F7F">
        <w:t xml:space="preserve">hange in </w:t>
      </w:r>
      <w:r w:rsidR="00DC4C5F">
        <w:t>c</w:t>
      </w:r>
      <w:r w:rsidRPr="00845F7F">
        <w:t xml:space="preserve">ontrol and other significant changes </w:t>
      </w:r>
    </w:p>
    <w:p w14:paraId="7002164A" w14:textId="77777777" w:rsidR="00F66329" w:rsidRDefault="00F66329" w:rsidP="009D12D1">
      <w:pPr>
        <w:pStyle w:val="Heading2"/>
        <w:rPr>
          <w:lang w:val="en-AU"/>
        </w:rPr>
        <w:sectPr w:rsidR="00F66329" w:rsidSect="00AB30A9">
          <w:headerReference w:type="default" r:id="rId12"/>
          <w:footerReference w:type="even" r:id="rId13"/>
          <w:footerReference w:type="default" r:id="rId14"/>
          <w:pgSz w:w="11900" w:h="16840"/>
          <w:pgMar w:top="1985" w:right="1134" w:bottom="1701" w:left="1134" w:header="567" w:footer="227" w:gutter="0"/>
          <w:cols w:space="708"/>
          <w:docGrid w:linePitch="360"/>
        </w:sectPr>
      </w:pPr>
    </w:p>
    <w:p w14:paraId="0F1255FF" w14:textId="22C3DF0A" w:rsidR="00A151C3" w:rsidRDefault="00CE1C5F" w:rsidP="00EF3046">
      <w:pPr>
        <w:pStyle w:val="Heading3"/>
        <w:rPr>
          <w:rFonts w:cs="Times New Roman (Headings CS)"/>
          <w:color w:val="0071CE" w:themeColor="accent3"/>
          <w:sz w:val="32"/>
          <w:szCs w:val="26"/>
          <w:lang w:val="en-AU"/>
        </w:rPr>
      </w:pPr>
      <w:r w:rsidRPr="00A151C3">
        <w:rPr>
          <w:rFonts w:cs="Times New Roman (Headings CS)"/>
          <w:color w:val="0071CE" w:themeColor="accent3"/>
          <w:sz w:val="32"/>
          <w:szCs w:val="26"/>
          <w:lang w:val="en-AU"/>
        </w:rPr>
        <w:t>Background</w:t>
      </w:r>
      <w:r w:rsidR="00A151C3" w:rsidRPr="00A151C3">
        <w:rPr>
          <w:rFonts w:cs="Times New Roman (Headings CS)"/>
          <w:color w:val="0071CE" w:themeColor="accent3"/>
          <w:sz w:val="32"/>
          <w:szCs w:val="26"/>
          <w:lang w:val="en-AU"/>
        </w:rPr>
        <w:t xml:space="preserve"> </w:t>
      </w:r>
    </w:p>
    <w:p w14:paraId="5A95183B" w14:textId="1BA13107" w:rsidR="00757518" w:rsidRPr="00757518" w:rsidRDefault="00757518" w:rsidP="0041583F">
      <w:pPr>
        <w:pStyle w:val="Heading2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</w:pP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Under the VET Funding Contract (the </w:t>
      </w:r>
      <w:r w:rsidR="00EF3046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c</w:t>
      </w: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ontract)</w:t>
      </w:r>
      <w:r w:rsidR="004B433F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,</w:t>
      </w: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you must notify </w:t>
      </w:r>
      <w:r w:rsidR="00EC6C65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us</w:t>
      </w:r>
      <w:r w:rsidR="00EF3046"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</w:t>
      </w: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of certain events, so that we can manage the risks that may arise in different circumstances. </w:t>
      </w:r>
    </w:p>
    <w:p w14:paraId="32E14B8E" w14:textId="1155ED15" w:rsidR="00757518" w:rsidRDefault="00757518" w:rsidP="0041583F">
      <w:pPr>
        <w:pStyle w:val="Heading2"/>
        <w:spacing w:before="0"/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</w:pP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We also want to make sure that </w:t>
      </w:r>
      <w:r w:rsidR="00EC6C65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training providers don’t use </w:t>
      </w:r>
      <w:r w:rsidR="00DC4C5F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the</w:t>
      </w:r>
      <w:r w:rsidR="00EC6C65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ir</w:t>
      </w: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</w:t>
      </w:r>
      <w:r w:rsidR="00EF3046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c</w:t>
      </w: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ontract as an asset to trade with someone else without us evaluat</w:t>
      </w:r>
      <w:r w:rsidR="00DC4C5F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ing</w:t>
      </w: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them against our stringent criteria</w:t>
      </w:r>
      <w:r w:rsidR="001059E5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>.</w:t>
      </w:r>
      <w:r w:rsidRPr="00757518">
        <w:rPr>
          <w:rFonts w:asciiTheme="minorHAnsi" w:eastAsiaTheme="minorHAnsi" w:hAnsiTheme="minorHAnsi" w:cstheme="minorBidi"/>
          <w:b w:val="0"/>
          <w:color w:val="auto"/>
          <w:sz w:val="22"/>
          <w:szCs w:val="24"/>
          <w:lang w:val="en-AU"/>
        </w:rPr>
        <w:t xml:space="preserve"> </w:t>
      </w:r>
    </w:p>
    <w:p w14:paraId="3B7A3624" w14:textId="77777777" w:rsidR="00303EFD" w:rsidRDefault="00D05F50" w:rsidP="0041583F">
      <w:pPr>
        <w:pStyle w:val="Heading3"/>
        <w:rPr>
          <w:rFonts w:cs="Times New Roman (Headings CS)"/>
          <w:color w:val="0071CE" w:themeColor="accent3"/>
          <w:sz w:val="32"/>
          <w:szCs w:val="26"/>
          <w:lang w:val="en-AU"/>
        </w:rPr>
      </w:pPr>
      <w:r>
        <w:rPr>
          <w:rFonts w:cs="Times New Roman (Headings CS)"/>
          <w:color w:val="0071CE" w:themeColor="accent3"/>
          <w:sz w:val="32"/>
          <w:szCs w:val="26"/>
          <w:lang w:val="en-AU"/>
        </w:rPr>
        <w:t>C</w:t>
      </w:r>
      <w:r w:rsidR="00CE1C5F" w:rsidRPr="00621C34">
        <w:rPr>
          <w:rFonts w:cs="Times New Roman (Headings CS)"/>
          <w:color w:val="0071CE" w:themeColor="accent3"/>
          <w:sz w:val="32"/>
          <w:szCs w:val="26"/>
          <w:lang w:val="en-AU"/>
        </w:rPr>
        <w:t>hange in control</w:t>
      </w:r>
    </w:p>
    <w:p w14:paraId="0B5D76A4" w14:textId="713C9056" w:rsidR="00C84AB3" w:rsidRDefault="00723B70" w:rsidP="0041583F">
      <w:pPr>
        <w:pStyle w:val="Heading3"/>
        <w:rPr>
          <w:lang w:val="en-AU"/>
        </w:rPr>
      </w:pPr>
      <w:r w:rsidRPr="00C84AB3">
        <w:rPr>
          <w:lang w:val="en-AU"/>
        </w:rPr>
        <w:t>What control</w:t>
      </w:r>
      <w:r w:rsidR="00C84AB3" w:rsidRPr="00C84AB3">
        <w:rPr>
          <w:lang w:val="en-AU"/>
        </w:rPr>
        <w:t xml:space="preserve"> </w:t>
      </w:r>
      <w:r w:rsidR="003459B5">
        <w:rPr>
          <w:lang w:val="en-AU"/>
        </w:rPr>
        <w:t>means</w:t>
      </w:r>
    </w:p>
    <w:p w14:paraId="057FBF91" w14:textId="073A4E7F" w:rsidR="0053510B" w:rsidRPr="0053510B" w:rsidRDefault="00077C0A" w:rsidP="0041583F">
      <w:pPr>
        <w:rPr>
          <w:lang w:val="en-AU"/>
        </w:rPr>
      </w:pPr>
      <w:r>
        <w:rPr>
          <w:lang w:val="en-AU"/>
        </w:rPr>
        <w:t>I</w:t>
      </w:r>
      <w:r w:rsidR="0053510B" w:rsidRPr="0053510B">
        <w:rPr>
          <w:lang w:val="en-AU"/>
        </w:rPr>
        <w:t>n simple terms</w:t>
      </w:r>
      <w:r w:rsidR="00CA66C3">
        <w:rPr>
          <w:lang w:val="en-AU"/>
        </w:rPr>
        <w:t>,</w:t>
      </w:r>
      <w:r w:rsidR="0053510B" w:rsidRPr="0053510B">
        <w:rPr>
          <w:lang w:val="en-AU"/>
        </w:rPr>
        <w:t xml:space="preserve"> it</w:t>
      </w:r>
      <w:r w:rsidR="003C4437">
        <w:rPr>
          <w:lang w:val="en-AU"/>
        </w:rPr>
        <w:t>’s</w:t>
      </w:r>
      <w:r w:rsidR="0053510B" w:rsidRPr="0053510B">
        <w:rPr>
          <w:lang w:val="en-AU"/>
        </w:rPr>
        <w:t xml:space="preserve"> when a person (an individual or organisation) has sufficient capacity to have overall control of your </w:t>
      </w:r>
      <w:r w:rsidR="00DC4C5F">
        <w:rPr>
          <w:lang w:val="en-AU"/>
        </w:rPr>
        <w:t>organisation</w:t>
      </w:r>
      <w:r w:rsidR="0053510B" w:rsidRPr="0053510B">
        <w:rPr>
          <w:lang w:val="en-AU"/>
        </w:rPr>
        <w:t>. Control is demonstrated when a person or organisation has:</w:t>
      </w:r>
    </w:p>
    <w:p w14:paraId="10E4C47E" w14:textId="2111D722" w:rsidR="0053510B" w:rsidRDefault="0053510B" w:rsidP="00EC6C65">
      <w:pPr>
        <w:pStyle w:val="Bullet1"/>
        <w:ind w:left="397" w:hanging="284"/>
      </w:pPr>
      <w:r w:rsidRPr="0053510B">
        <w:t>legal, financial or equitable ownership (directly or indirectly) of 50 percent or more of share capital (or an equivalent ownership interest if there are no shares)</w:t>
      </w:r>
    </w:p>
    <w:p w14:paraId="0ADE1F1F" w14:textId="4476FA63" w:rsidR="00A44A4C" w:rsidRPr="00A44A4C" w:rsidRDefault="00A44A4C" w:rsidP="00EC6C65">
      <w:pPr>
        <w:pStyle w:val="Bullet1"/>
        <w:ind w:left="397" w:hanging="284"/>
      </w:pPr>
      <w:r>
        <w:t xml:space="preserve">the ability to </w:t>
      </w:r>
      <w:r w:rsidR="00506EDF">
        <w:t xml:space="preserve">cast, or </w:t>
      </w:r>
      <w:r>
        <w:t>control the casting of</w:t>
      </w:r>
      <w:r w:rsidR="00506EDF">
        <w:t>,</w:t>
      </w:r>
      <w:r>
        <w:t xml:space="preserve"> a majority of votes at a </w:t>
      </w:r>
      <w:r w:rsidR="005C515C">
        <w:t xml:space="preserve">membership </w:t>
      </w:r>
      <w:r>
        <w:t xml:space="preserve">meeting </w:t>
      </w:r>
    </w:p>
    <w:p w14:paraId="3352CCB2" w14:textId="68CD3657" w:rsidR="0053510B" w:rsidRPr="0053510B" w:rsidRDefault="0053510B" w:rsidP="00EC6C65">
      <w:pPr>
        <w:pStyle w:val="Bullet1"/>
        <w:ind w:left="397" w:hanging="284"/>
      </w:pPr>
      <w:r w:rsidRPr="0053510B">
        <w:t xml:space="preserve">significant capacity to control </w:t>
      </w:r>
      <w:r w:rsidR="003C4437">
        <w:t xml:space="preserve">in their own right </w:t>
      </w:r>
      <w:r w:rsidRPr="0053510B">
        <w:t xml:space="preserve">either: </w:t>
      </w:r>
    </w:p>
    <w:p w14:paraId="77CFD717" w14:textId="47FB4C3C" w:rsidR="0053510B" w:rsidRPr="00DA5734" w:rsidRDefault="003C4437" w:rsidP="00EB1FB2">
      <w:pPr>
        <w:pStyle w:val="Bullet2"/>
        <w:numPr>
          <w:ilvl w:val="0"/>
          <w:numId w:val="12"/>
        </w:numPr>
        <w:ind w:left="641" w:hanging="357"/>
      </w:pPr>
      <w:r>
        <w:t xml:space="preserve">the composition of the </w:t>
      </w:r>
      <w:r w:rsidR="0053510B" w:rsidRPr="0053510B">
        <w:t xml:space="preserve">board or other decision-making body (for example, the </w:t>
      </w:r>
      <w:r>
        <w:t xml:space="preserve">individual </w:t>
      </w:r>
      <w:r w:rsidR="0053510B" w:rsidRPr="0053510B">
        <w:t>right to add or remove someone)</w:t>
      </w:r>
    </w:p>
    <w:p w14:paraId="7B7B932D" w14:textId="69440FA8" w:rsidR="0053510B" w:rsidRPr="0053510B" w:rsidRDefault="0053510B" w:rsidP="0041583F">
      <w:pPr>
        <w:pStyle w:val="Bullet2"/>
        <w:numPr>
          <w:ilvl w:val="0"/>
          <w:numId w:val="12"/>
        </w:numPr>
        <w:ind w:left="641" w:hanging="357"/>
      </w:pPr>
      <w:r w:rsidRPr="0053510B">
        <w:t xml:space="preserve">decision making about financial or operating policies </w:t>
      </w:r>
      <w:r w:rsidRPr="0053510B" w:rsidDel="00071A10">
        <w:t xml:space="preserve">without </w:t>
      </w:r>
      <w:r w:rsidR="005C515C">
        <w:t>additional approval.</w:t>
      </w:r>
    </w:p>
    <w:p w14:paraId="60A019F0" w14:textId="71FD9CA9" w:rsidR="00C84AB3" w:rsidRDefault="003459B5" w:rsidP="0041583F">
      <w:pPr>
        <w:pStyle w:val="Heading3"/>
        <w:rPr>
          <w:lang w:val="en-AU"/>
        </w:rPr>
      </w:pPr>
      <w:r>
        <w:rPr>
          <w:lang w:val="en-AU"/>
        </w:rPr>
        <w:t>K</w:t>
      </w:r>
      <w:r w:rsidR="00455B90" w:rsidRPr="00455B90">
        <w:rPr>
          <w:lang w:val="en-AU"/>
        </w:rPr>
        <w:t>now</w:t>
      </w:r>
      <w:r>
        <w:rPr>
          <w:lang w:val="en-AU"/>
        </w:rPr>
        <w:t>ing</w:t>
      </w:r>
      <w:r w:rsidR="00455B90" w:rsidRPr="00455B90">
        <w:rPr>
          <w:lang w:val="en-AU"/>
        </w:rPr>
        <w:t xml:space="preserve"> who has </w:t>
      </w:r>
      <w:r w:rsidR="0041583F">
        <w:rPr>
          <w:lang w:val="en-AU"/>
        </w:rPr>
        <w:t>c</w:t>
      </w:r>
      <w:r w:rsidR="00455B90" w:rsidRPr="00455B90">
        <w:rPr>
          <w:lang w:val="en-AU"/>
        </w:rPr>
        <w:t>ontrol</w:t>
      </w:r>
    </w:p>
    <w:p w14:paraId="6BB1AA68" w14:textId="15030336" w:rsidR="008422AA" w:rsidRPr="008422AA" w:rsidRDefault="008422AA" w:rsidP="0041583F">
      <w:pPr>
        <w:rPr>
          <w:lang w:val="en-AU"/>
        </w:rPr>
      </w:pPr>
      <w:r w:rsidRPr="008422AA">
        <w:rPr>
          <w:lang w:val="en-AU"/>
        </w:rPr>
        <w:t xml:space="preserve">Whether a person </w:t>
      </w:r>
      <w:r w:rsidR="0041583F">
        <w:rPr>
          <w:lang w:val="en-AU"/>
        </w:rPr>
        <w:t>or</w:t>
      </w:r>
      <w:r w:rsidRPr="008422AA">
        <w:rPr>
          <w:lang w:val="en-AU"/>
        </w:rPr>
        <w:t xml:space="preserve"> organisation has </w:t>
      </w:r>
      <w:r w:rsidR="0041583F">
        <w:rPr>
          <w:lang w:val="en-AU"/>
        </w:rPr>
        <w:t>c</w:t>
      </w:r>
      <w:r w:rsidRPr="008422AA">
        <w:rPr>
          <w:lang w:val="en-AU"/>
        </w:rPr>
        <w:t>ontrol depend</w:t>
      </w:r>
      <w:r w:rsidR="006769D1">
        <w:rPr>
          <w:lang w:val="en-AU"/>
        </w:rPr>
        <w:t>s</w:t>
      </w:r>
      <w:r w:rsidRPr="008422AA">
        <w:rPr>
          <w:lang w:val="en-AU"/>
        </w:rPr>
        <w:t xml:space="preserve"> on </w:t>
      </w:r>
      <w:r w:rsidR="00D05F50">
        <w:rPr>
          <w:lang w:val="en-AU"/>
        </w:rPr>
        <w:t>your</w:t>
      </w:r>
      <w:r w:rsidRPr="008422AA">
        <w:rPr>
          <w:lang w:val="en-AU"/>
        </w:rPr>
        <w:t xml:space="preserve"> company structure or governance arrangements. </w:t>
      </w:r>
    </w:p>
    <w:p w14:paraId="19E341E2" w14:textId="1890CCD4" w:rsidR="008422AA" w:rsidRPr="008422AA" w:rsidRDefault="008422AA" w:rsidP="0041583F">
      <w:pPr>
        <w:rPr>
          <w:lang w:val="en-AU"/>
        </w:rPr>
      </w:pPr>
      <w:r w:rsidRPr="008422AA">
        <w:rPr>
          <w:lang w:val="en-AU"/>
        </w:rPr>
        <w:t>You</w:t>
      </w:r>
      <w:r w:rsidR="0041583F">
        <w:rPr>
          <w:lang w:val="en-AU"/>
        </w:rPr>
        <w:t>’</w:t>
      </w:r>
      <w:r w:rsidRPr="008422AA">
        <w:rPr>
          <w:lang w:val="en-AU"/>
        </w:rPr>
        <w:t xml:space="preserve">ll need to decide who meets </w:t>
      </w:r>
      <w:r w:rsidR="00AD4008">
        <w:rPr>
          <w:lang w:val="en-AU"/>
        </w:rPr>
        <w:t>the</w:t>
      </w:r>
      <w:r w:rsidR="00AD4008" w:rsidRPr="008422AA">
        <w:rPr>
          <w:lang w:val="en-AU"/>
        </w:rPr>
        <w:t xml:space="preserve"> </w:t>
      </w:r>
      <w:r w:rsidRPr="008422AA">
        <w:rPr>
          <w:lang w:val="en-AU"/>
        </w:rPr>
        <w:t>definition</w:t>
      </w:r>
      <w:r w:rsidR="00AD4008">
        <w:rPr>
          <w:lang w:val="en-AU"/>
        </w:rPr>
        <w:t xml:space="preserve"> of </w:t>
      </w:r>
      <w:r w:rsidR="0041583F">
        <w:rPr>
          <w:lang w:val="en-AU"/>
        </w:rPr>
        <w:t>c</w:t>
      </w:r>
      <w:r w:rsidR="00AD4008">
        <w:rPr>
          <w:lang w:val="en-AU"/>
        </w:rPr>
        <w:t>ontrol</w:t>
      </w:r>
      <w:r w:rsidRPr="008422AA">
        <w:rPr>
          <w:lang w:val="en-AU"/>
        </w:rPr>
        <w:t xml:space="preserve">. If in doubt, </w:t>
      </w:r>
      <w:r w:rsidR="0065170A">
        <w:rPr>
          <w:lang w:val="en-AU"/>
        </w:rPr>
        <w:t>seek</w:t>
      </w:r>
      <w:r w:rsidRPr="008422AA">
        <w:rPr>
          <w:lang w:val="en-AU"/>
        </w:rPr>
        <w:t xml:space="preserve"> legal advice about your circumstances. </w:t>
      </w:r>
    </w:p>
    <w:p w14:paraId="1A0B6756" w14:textId="281D2C99" w:rsidR="00161E95" w:rsidRDefault="00AD4008" w:rsidP="0041583F">
      <w:pPr>
        <w:rPr>
          <w:lang w:val="en-AU"/>
        </w:rPr>
      </w:pPr>
      <w:r>
        <w:rPr>
          <w:lang w:val="en-AU"/>
        </w:rPr>
        <w:t>I</w:t>
      </w:r>
      <w:r w:rsidR="008422AA" w:rsidRPr="008422AA">
        <w:rPr>
          <w:lang w:val="en-AU"/>
        </w:rPr>
        <w:t>n general:</w:t>
      </w:r>
    </w:p>
    <w:p w14:paraId="2AD4AC2F" w14:textId="68AF3AC8" w:rsidR="009C6200" w:rsidRPr="009C6200" w:rsidRDefault="009C6200" w:rsidP="0041583F">
      <w:pPr>
        <w:pStyle w:val="Bullet1"/>
        <w:ind w:left="426"/>
      </w:pPr>
      <w:r w:rsidRPr="009C6200">
        <w:t xml:space="preserve">A position or job title alone doesn’t necessarily mean a person has </w:t>
      </w:r>
      <w:r w:rsidR="0041583F">
        <w:t>c</w:t>
      </w:r>
      <w:r w:rsidRPr="009C6200">
        <w:t xml:space="preserve">ontrol – it depends on how much </w:t>
      </w:r>
      <w:r w:rsidR="00506EDF">
        <w:t>practical control they can exercise</w:t>
      </w:r>
      <w:r w:rsidR="009D25A1">
        <w:t xml:space="preserve"> by themselves</w:t>
      </w:r>
      <w:r w:rsidRPr="009C6200">
        <w:t xml:space="preserve">. Conversely, changing a person’s position title to imply a lower level of </w:t>
      </w:r>
      <w:r w:rsidR="00506EDF">
        <w:t>control</w:t>
      </w:r>
      <w:r w:rsidR="00506EDF" w:rsidRPr="009C6200">
        <w:t xml:space="preserve"> </w:t>
      </w:r>
      <w:r w:rsidR="006769D1">
        <w:t>won’t</w:t>
      </w:r>
      <w:r w:rsidRPr="009C6200">
        <w:t xml:space="preserve"> change </w:t>
      </w:r>
      <w:r w:rsidR="00077C0A">
        <w:t>whether</w:t>
      </w:r>
      <w:r w:rsidR="006769D1" w:rsidRPr="009C6200">
        <w:t xml:space="preserve"> </w:t>
      </w:r>
      <w:r w:rsidRPr="009C6200">
        <w:t xml:space="preserve">they </w:t>
      </w:r>
      <w:r w:rsidR="006769D1">
        <w:t>have</w:t>
      </w:r>
      <w:r w:rsidRPr="009C6200">
        <w:t xml:space="preserve"> </w:t>
      </w:r>
      <w:r w:rsidR="0041583F">
        <w:t>c</w:t>
      </w:r>
      <w:r w:rsidRPr="009C6200">
        <w:t>ontrol</w:t>
      </w:r>
      <w:r w:rsidR="006769D1">
        <w:t xml:space="preserve"> or not</w:t>
      </w:r>
      <w:r w:rsidRPr="009C6200">
        <w:t>.</w:t>
      </w:r>
    </w:p>
    <w:p w14:paraId="3BDE54B3" w14:textId="256EF3EF" w:rsidR="00AD4008" w:rsidRDefault="009C6200" w:rsidP="0041583F">
      <w:pPr>
        <w:pStyle w:val="Bullet1"/>
        <w:ind w:left="426"/>
      </w:pPr>
      <w:r w:rsidRPr="009C6200">
        <w:t>Individual</w:t>
      </w:r>
      <w:r w:rsidR="00AD4008">
        <w:t>s on</w:t>
      </w:r>
      <w:r w:rsidRPr="009C6200">
        <w:t xml:space="preserve"> </w:t>
      </w:r>
      <w:r w:rsidR="0041583F">
        <w:t>b</w:t>
      </w:r>
      <w:r w:rsidRPr="009C6200">
        <w:t>oard</w:t>
      </w:r>
      <w:r w:rsidR="00AD4008">
        <w:t xml:space="preserve">s, </w:t>
      </w:r>
      <w:r w:rsidRPr="009C6200">
        <w:t xml:space="preserve">committees of management or similar governance structures, or individuals who hold high level executive positions such as a CEO, usually </w:t>
      </w:r>
      <w:r w:rsidR="00AD4008">
        <w:t xml:space="preserve">don’t </w:t>
      </w:r>
      <w:r w:rsidRPr="009C6200">
        <w:t xml:space="preserve">have the level of </w:t>
      </w:r>
      <w:r w:rsidR="00506EDF">
        <w:t>control</w:t>
      </w:r>
      <w:r w:rsidR="00506EDF" w:rsidRPr="009C6200">
        <w:t xml:space="preserve"> </w:t>
      </w:r>
      <w:r w:rsidRPr="009C6200">
        <w:t xml:space="preserve">that meets the definition. </w:t>
      </w:r>
      <w:r w:rsidR="006769D1">
        <w:t>They may</w:t>
      </w:r>
      <w:r w:rsidRPr="009C6200">
        <w:t xml:space="preserve"> have voting rights or contribute to decisions, </w:t>
      </w:r>
      <w:r w:rsidR="006769D1">
        <w:t xml:space="preserve">but </w:t>
      </w:r>
      <w:r w:rsidRPr="009C6200">
        <w:t>they usually can’t make decisions entirely on their own.</w:t>
      </w:r>
    </w:p>
    <w:p w14:paraId="2EBBFA6C" w14:textId="1D90BBDB" w:rsidR="009C6200" w:rsidRPr="009C6200" w:rsidRDefault="009C6200" w:rsidP="0041583F">
      <w:pPr>
        <w:pStyle w:val="Bullet1"/>
        <w:ind w:left="426"/>
      </w:pPr>
      <w:r w:rsidRPr="009C6200">
        <w:t xml:space="preserve">In corporate environments where there are shareholders, </w:t>
      </w:r>
      <w:r w:rsidR="00A41841">
        <w:t>c</w:t>
      </w:r>
      <w:r w:rsidRPr="009C6200">
        <w:t xml:space="preserve">ontrol is usually obtained </w:t>
      </w:r>
      <w:r w:rsidR="00077C0A">
        <w:t xml:space="preserve">through </w:t>
      </w:r>
      <w:r w:rsidR="006769D1">
        <w:t>majority share</w:t>
      </w:r>
      <w:r w:rsidRPr="009C6200">
        <w:t xml:space="preserve"> ownership</w:t>
      </w:r>
      <w:r w:rsidR="00A00D24">
        <w:t>. Control would mean</w:t>
      </w:r>
      <w:r w:rsidRPr="009C6200">
        <w:t xml:space="preserve"> a person or entity </w:t>
      </w:r>
      <w:r w:rsidR="00A00D24">
        <w:t>can</w:t>
      </w:r>
      <w:r w:rsidRPr="009C6200">
        <w:t xml:space="preserve"> make major decisions in their own right</w:t>
      </w:r>
      <w:r w:rsidR="00A00D24">
        <w:t>, f</w:t>
      </w:r>
      <w:r w:rsidRPr="009C6200">
        <w:t>or example, about things like appointing or removing directors.</w:t>
      </w:r>
    </w:p>
    <w:p w14:paraId="28B5BE8A" w14:textId="77777777" w:rsidR="00B062E2" w:rsidRDefault="00B062E2" w:rsidP="00B062E2">
      <w:pPr>
        <w:pStyle w:val="Bullet1"/>
        <w:ind w:left="426"/>
      </w:pPr>
      <w:bookmarkStart w:id="0" w:name="_Hlk118888619"/>
      <w:r w:rsidRPr="009C6200">
        <w:t xml:space="preserve">Other than through </w:t>
      </w:r>
      <w:r>
        <w:t xml:space="preserve">a </w:t>
      </w:r>
      <w:r w:rsidRPr="009C6200">
        <w:t xml:space="preserve">majority </w:t>
      </w:r>
      <w:r>
        <w:t>shareholding</w:t>
      </w:r>
      <w:r w:rsidRPr="009C6200">
        <w:t xml:space="preserve">, there may be other ways a person or organisation </w:t>
      </w:r>
      <w:r>
        <w:t>has</w:t>
      </w:r>
      <w:r w:rsidRPr="009C6200">
        <w:t xml:space="preserve"> </w:t>
      </w:r>
      <w:r>
        <w:t>c</w:t>
      </w:r>
      <w:r w:rsidRPr="009C6200">
        <w:t>ontrol. For example</w:t>
      </w:r>
      <w:r>
        <w:t>:</w:t>
      </w:r>
      <w:r w:rsidRPr="009C6200">
        <w:t xml:space="preserve"> </w:t>
      </w:r>
    </w:p>
    <w:p w14:paraId="5F5B7DB6" w14:textId="77777777" w:rsidR="00B062E2" w:rsidRDefault="00B062E2" w:rsidP="00B062E2">
      <w:pPr>
        <w:pStyle w:val="Bullet1"/>
        <w:numPr>
          <w:ilvl w:val="1"/>
          <w:numId w:val="14"/>
        </w:numPr>
        <w:ind w:left="709" w:hanging="283"/>
      </w:pPr>
      <w:r>
        <w:t xml:space="preserve">having rights to company profits rather than a majority of shares </w:t>
      </w:r>
      <w:r w:rsidRPr="009C6200">
        <w:t xml:space="preserve">or </w:t>
      </w:r>
    </w:p>
    <w:p w14:paraId="53F29731" w14:textId="77777777" w:rsidR="00B062E2" w:rsidRPr="008F3B05" w:rsidRDefault="00B062E2" w:rsidP="00EC6C65">
      <w:pPr>
        <w:pStyle w:val="Bullet1"/>
        <w:numPr>
          <w:ilvl w:val="1"/>
          <w:numId w:val="14"/>
        </w:numPr>
        <w:ind w:left="709" w:hanging="283"/>
      </w:pPr>
      <w:r>
        <w:t>having</w:t>
      </w:r>
      <w:r w:rsidRPr="009C6200">
        <w:t xml:space="preserve"> agreements in place between shareholders to be able to exert a level of control or exercise proxy rights.</w:t>
      </w:r>
    </w:p>
    <w:bookmarkEnd w:id="0"/>
    <w:p w14:paraId="5F88B633" w14:textId="179144D5" w:rsidR="008F3B05" w:rsidRPr="008F3B05" w:rsidRDefault="00D05F50" w:rsidP="0041583F">
      <w:pPr>
        <w:pStyle w:val="Heading3"/>
        <w:rPr>
          <w:lang w:val="en-AU"/>
        </w:rPr>
      </w:pPr>
      <w:r>
        <w:rPr>
          <w:lang w:val="en-AU"/>
        </w:rPr>
        <w:lastRenderedPageBreak/>
        <w:t xml:space="preserve">When </w:t>
      </w:r>
      <w:r w:rsidR="009B2494">
        <w:rPr>
          <w:lang w:val="en-AU"/>
        </w:rPr>
        <w:t>c</w:t>
      </w:r>
      <w:r w:rsidR="00CE03CD" w:rsidRPr="00CE03CD">
        <w:rPr>
          <w:lang w:val="en-AU"/>
        </w:rPr>
        <w:t>ontrol</w:t>
      </w:r>
      <w:r>
        <w:rPr>
          <w:lang w:val="en-AU"/>
        </w:rPr>
        <w:t xml:space="preserve"> changes</w:t>
      </w:r>
    </w:p>
    <w:p w14:paraId="0A36A746" w14:textId="603A8528" w:rsidR="002D1B8B" w:rsidRPr="002D1B8B" w:rsidRDefault="002D1B8B" w:rsidP="0041583F">
      <w:pPr>
        <w:rPr>
          <w:lang w:val="en-AU"/>
        </w:rPr>
      </w:pPr>
      <w:r w:rsidRPr="002D1B8B">
        <w:rPr>
          <w:lang w:val="en-AU"/>
        </w:rPr>
        <w:t xml:space="preserve">A </w:t>
      </w:r>
      <w:r w:rsidR="009B2494">
        <w:rPr>
          <w:lang w:val="en-AU"/>
        </w:rPr>
        <w:t>c</w:t>
      </w:r>
      <w:r w:rsidRPr="002D1B8B">
        <w:rPr>
          <w:lang w:val="en-AU"/>
        </w:rPr>
        <w:t xml:space="preserve">hange in </w:t>
      </w:r>
      <w:r w:rsidR="009B2494">
        <w:rPr>
          <w:lang w:val="en-AU"/>
        </w:rPr>
        <w:t>c</w:t>
      </w:r>
      <w:r w:rsidRPr="002D1B8B">
        <w:rPr>
          <w:lang w:val="en-AU"/>
        </w:rPr>
        <w:t xml:space="preserve">ontrol means that any person or organisation will start to have, or will finish having, </w:t>
      </w:r>
      <w:r w:rsidR="009B2494">
        <w:rPr>
          <w:lang w:val="en-AU"/>
        </w:rPr>
        <w:t>c</w:t>
      </w:r>
      <w:r w:rsidRPr="002D1B8B">
        <w:rPr>
          <w:lang w:val="en-AU"/>
        </w:rPr>
        <w:t>ontrol over your</w:t>
      </w:r>
      <w:r w:rsidR="00685125">
        <w:rPr>
          <w:lang w:val="en-AU"/>
        </w:rPr>
        <w:t xml:space="preserve"> </w:t>
      </w:r>
      <w:r w:rsidRPr="002D1B8B">
        <w:rPr>
          <w:lang w:val="en-AU"/>
        </w:rPr>
        <w:t xml:space="preserve">training provider. </w:t>
      </w:r>
    </w:p>
    <w:p w14:paraId="65685633" w14:textId="5D574947" w:rsidR="00CE03CD" w:rsidRDefault="002D1B8B" w:rsidP="0041583F">
      <w:pPr>
        <w:rPr>
          <w:lang w:val="en-AU"/>
        </w:rPr>
      </w:pPr>
      <w:r w:rsidRPr="002D1B8B">
        <w:rPr>
          <w:lang w:val="en-AU"/>
        </w:rPr>
        <w:t>This does not include changes from transferring shares or other securities on a stock exchange.</w:t>
      </w:r>
    </w:p>
    <w:p w14:paraId="78A302A1" w14:textId="27BBBC22" w:rsidR="002D1B8B" w:rsidRDefault="00C6119C" w:rsidP="0041583F">
      <w:pPr>
        <w:pStyle w:val="Heading3"/>
        <w:rPr>
          <w:lang w:val="en-AU"/>
        </w:rPr>
      </w:pPr>
      <w:r w:rsidRPr="00C6119C">
        <w:rPr>
          <w:lang w:val="en-AU"/>
        </w:rPr>
        <w:t xml:space="preserve">When to notify </w:t>
      </w:r>
      <w:r w:rsidR="003459B5">
        <w:rPr>
          <w:lang w:val="en-AU"/>
        </w:rPr>
        <w:t xml:space="preserve">us </w:t>
      </w:r>
    </w:p>
    <w:p w14:paraId="1DA25E77" w14:textId="2A0E171B" w:rsidR="006733F5" w:rsidRPr="006733F5" w:rsidRDefault="006733F5" w:rsidP="0041583F">
      <w:pPr>
        <w:rPr>
          <w:lang w:val="en-AU"/>
        </w:rPr>
      </w:pPr>
      <w:r w:rsidRPr="006733F5">
        <w:rPr>
          <w:lang w:val="en-AU"/>
        </w:rPr>
        <w:t xml:space="preserve">You must notify us via the SVTS of any </w:t>
      </w:r>
      <w:r w:rsidR="006D4425">
        <w:rPr>
          <w:lang w:val="en-AU"/>
        </w:rPr>
        <w:t>c</w:t>
      </w:r>
      <w:r w:rsidRPr="006733F5">
        <w:rPr>
          <w:lang w:val="en-AU"/>
        </w:rPr>
        <w:t xml:space="preserve">hange in </w:t>
      </w:r>
      <w:r w:rsidR="006D4425">
        <w:rPr>
          <w:lang w:val="en-AU"/>
        </w:rPr>
        <w:t>c</w:t>
      </w:r>
      <w:r w:rsidRPr="006733F5">
        <w:rPr>
          <w:lang w:val="en-AU"/>
        </w:rPr>
        <w:t>ontrol immediately when you become aware of it, and at least 20 business days before it takes effect.</w:t>
      </w:r>
    </w:p>
    <w:p w14:paraId="7C7C87A4" w14:textId="03723E99" w:rsidR="00C6119C" w:rsidRDefault="006733F5" w:rsidP="0041583F">
      <w:pPr>
        <w:rPr>
          <w:lang w:val="en-AU"/>
        </w:rPr>
      </w:pPr>
      <w:r w:rsidRPr="006733F5">
        <w:rPr>
          <w:lang w:val="en-AU"/>
        </w:rPr>
        <w:t xml:space="preserve">When you tell us about a </w:t>
      </w:r>
      <w:r w:rsidR="006D4425">
        <w:rPr>
          <w:lang w:val="en-AU"/>
        </w:rPr>
        <w:t>c</w:t>
      </w:r>
      <w:r w:rsidRPr="006733F5">
        <w:rPr>
          <w:lang w:val="en-AU"/>
        </w:rPr>
        <w:t xml:space="preserve">hange in </w:t>
      </w:r>
      <w:r w:rsidR="006D4425">
        <w:rPr>
          <w:lang w:val="en-AU"/>
        </w:rPr>
        <w:t>c</w:t>
      </w:r>
      <w:r w:rsidRPr="006733F5">
        <w:rPr>
          <w:lang w:val="en-AU"/>
        </w:rPr>
        <w:t>ontrol, you need to:</w:t>
      </w:r>
    </w:p>
    <w:p w14:paraId="164161AA" w14:textId="0037ECF4" w:rsidR="00DE7166" w:rsidRPr="00DE7166" w:rsidRDefault="00DE7166" w:rsidP="0041583F">
      <w:pPr>
        <w:pStyle w:val="Bullet1"/>
        <w:ind w:left="426"/>
      </w:pPr>
      <w:r w:rsidRPr="00DE7166">
        <w:t xml:space="preserve">tell us when the change will take effect </w:t>
      </w:r>
    </w:p>
    <w:p w14:paraId="247DE8CA" w14:textId="50D82901" w:rsidR="00DE7166" w:rsidRPr="00520AEE" w:rsidRDefault="00DE7166" w:rsidP="0041583F">
      <w:pPr>
        <w:pStyle w:val="Bullet1"/>
        <w:ind w:left="426"/>
      </w:pPr>
      <w:r w:rsidRPr="00DE7166">
        <w:t xml:space="preserve">explain any changes it makes to the information you gave us when you first applied for your </w:t>
      </w:r>
      <w:r w:rsidR="006D4425">
        <w:t>c</w:t>
      </w:r>
      <w:r w:rsidRPr="00DE7166">
        <w:t>ontract.</w:t>
      </w:r>
    </w:p>
    <w:p w14:paraId="6C0CC26D" w14:textId="27BBED76" w:rsidR="00520AEE" w:rsidRPr="00DE7166" w:rsidRDefault="002A492A" w:rsidP="0041583F">
      <w:pPr>
        <w:pStyle w:val="Heading3"/>
        <w:rPr>
          <w:lang w:val="en-AU"/>
        </w:rPr>
      </w:pPr>
      <w:r w:rsidRPr="002A492A">
        <w:rPr>
          <w:lang w:val="en-AU"/>
        </w:rPr>
        <w:t xml:space="preserve">What happens </w:t>
      </w:r>
      <w:r w:rsidR="003459B5">
        <w:rPr>
          <w:lang w:val="en-AU"/>
        </w:rPr>
        <w:t>next</w:t>
      </w:r>
    </w:p>
    <w:p w14:paraId="78DB0F40" w14:textId="6DE09FDD" w:rsidR="00252A4C" w:rsidRPr="00252A4C" w:rsidRDefault="00252A4C" w:rsidP="0041583F">
      <w:pPr>
        <w:rPr>
          <w:lang w:val="en-AU"/>
        </w:rPr>
      </w:pPr>
      <w:r w:rsidRPr="00252A4C">
        <w:rPr>
          <w:lang w:val="en-AU"/>
        </w:rPr>
        <w:t>We</w:t>
      </w:r>
      <w:r w:rsidR="00AD4008">
        <w:rPr>
          <w:lang w:val="en-AU"/>
        </w:rPr>
        <w:t>’ll</w:t>
      </w:r>
      <w:r w:rsidRPr="00252A4C">
        <w:rPr>
          <w:lang w:val="en-AU"/>
        </w:rPr>
        <w:t xml:space="preserve"> review what you tell us and consider the circumstances. We may take no further action, or we may write back and ask you for more information.</w:t>
      </w:r>
    </w:p>
    <w:p w14:paraId="4B91B849" w14:textId="27D160C4" w:rsidR="006D4425" w:rsidRDefault="00252A4C" w:rsidP="0041583F">
      <w:pPr>
        <w:rPr>
          <w:lang w:val="en-AU"/>
        </w:rPr>
      </w:pPr>
      <w:r w:rsidRPr="00252A4C">
        <w:rPr>
          <w:lang w:val="en-AU"/>
        </w:rPr>
        <w:t xml:space="preserve">We may inform you that we don’t approve of a </w:t>
      </w:r>
      <w:r w:rsidR="009B2494">
        <w:rPr>
          <w:lang w:val="en-AU"/>
        </w:rPr>
        <w:t>c</w:t>
      </w:r>
      <w:r w:rsidRPr="00252A4C">
        <w:rPr>
          <w:lang w:val="en-AU"/>
        </w:rPr>
        <w:t xml:space="preserve">hange in </w:t>
      </w:r>
      <w:r w:rsidR="009B2494">
        <w:rPr>
          <w:lang w:val="en-AU"/>
        </w:rPr>
        <w:t>c</w:t>
      </w:r>
      <w:r w:rsidRPr="00252A4C">
        <w:rPr>
          <w:lang w:val="en-AU"/>
        </w:rPr>
        <w:t>ontrol. This doesn’t mean we</w:t>
      </w:r>
      <w:r w:rsidR="00AD4008">
        <w:rPr>
          <w:lang w:val="en-AU"/>
        </w:rPr>
        <w:t>’</w:t>
      </w:r>
      <w:r w:rsidRPr="00252A4C">
        <w:rPr>
          <w:lang w:val="en-AU"/>
        </w:rPr>
        <w:t xml:space="preserve">re making a judgement about the merits of the business decision itself. Instead, it means that we might determine that the </w:t>
      </w:r>
      <w:r w:rsidR="009B2494">
        <w:rPr>
          <w:lang w:val="en-AU"/>
        </w:rPr>
        <w:t>c</w:t>
      </w:r>
      <w:r w:rsidRPr="00252A4C">
        <w:rPr>
          <w:lang w:val="en-AU"/>
        </w:rPr>
        <w:t xml:space="preserve">hange in </w:t>
      </w:r>
      <w:r w:rsidR="009B2494">
        <w:rPr>
          <w:lang w:val="en-AU"/>
        </w:rPr>
        <w:t>c</w:t>
      </w:r>
      <w:r w:rsidRPr="00252A4C">
        <w:rPr>
          <w:lang w:val="en-AU"/>
        </w:rPr>
        <w:t xml:space="preserve">ontrol has such a significant effect that we can no longer rely on the information we used to </w:t>
      </w:r>
      <w:r w:rsidR="006D4425">
        <w:rPr>
          <w:lang w:val="en-AU"/>
        </w:rPr>
        <w:t>offer</w:t>
      </w:r>
      <w:r w:rsidRPr="00252A4C">
        <w:rPr>
          <w:lang w:val="en-AU"/>
        </w:rPr>
        <w:t xml:space="preserve"> </w:t>
      </w:r>
      <w:r w:rsidR="006D4425">
        <w:rPr>
          <w:lang w:val="en-AU"/>
        </w:rPr>
        <w:t>you</w:t>
      </w:r>
      <w:r w:rsidRPr="00252A4C">
        <w:rPr>
          <w:lang w:val="en-AU"/>
        </w:rPr>
        <w:t xml:space="preserve"> a </w:t>
      </w:r>
      <w:r w:rsidR="009B2494">
        <w:rPr>
          <w:lang w:val="en-AU"/>
        </w:rPr>
        <w:t>c</w:t>
      </w:r>
      <w:r w:rsidRPr="00252A4C">
        <w:rPr>
          <w:lang w:val="en-AU"/>
        </w:rPr>
        <w:t>ontract.</w:t>
      </w:r>
      <w:r w:rsidR="006D4425" w:rsidRPr="00252A4C" w:rsidDel="006D4425">
        <w:rPr>
          <w:lang w:val="en-AU"/>
        </w:rPr>
        <w:t xml:space="preserve"> </w:t>
      </w:r>
    </w:p>
    <w:p w14:paraId="4D453632" w14:textId="756E0555" w:rsidR="00252A4C" w:rsidRDefault="00252A4C" w:rsidP="0041583F">
      <w:pPr>
        <w:rPr>
          <w:lang w:val="en-AU"/>
        </w:rPr>
      </w:pPr>
      <w:r w:rsidRPr="00252A4C">
        <w:rPr>
          <w:lang w:val="en-AU"/>
        </w:rPr>
        <w:t>Importantly, if we do</w:t>
      </w:r>
      <w:r w:rsidR="00AD4008">
        <w:rPr>
          <w:lang w:val="en-AU"/>
        </w:rPr>
        <w:t>n’</w:t>
      </w:r>
      <w:r w:rsidRPr="00252A4C">
        <w:rPr>
          <w:lang w:val="en-AU"/>
        </w:rPr>
        <w:t xml:space="preserve">t approve the </w:t>
      </w:r>
      <w:r w:rsidR="006D4425">
        <w:rPr>
          <w:lang w:val="en-AU"/>
        </w:rPr>
        <w:t>c</w:t>
      </w:r>
      <w:r w:rsidRPr="00252A4C">
        <w:rPr>
          <w:lang w:val="en-AU"/>
        </w:rPr>
        <w:t xml:space="preserve">hange in </w:t>
      </w:r>
      <w:r w:rsidR="006D4425">
        <w:rPr>
          <w:lang w:val="en-AU"/>
        </w:rPr>
        <w:t>c</w:t>
      </w:r>
      <w:r w:rsidRPr="00252A4C">
        <w:rPr>
          <w:lang w:val="en-AU"/>
        </w:rPr>
        <w:t xml:space="preserve">ontrol, or if you don’t inform us of a </w:t>
      </w:r>
      <w:r w:rsidR="006D4425">
        <w:rPr>
          <w:lang w:val="en-AU"/>
        </w:rPr>
        <w:t>c</w:t>
      </w:r>
      <w:r w:rsidRPr="00252A4C">
        <w:rPr>
          <w:lang w:val="en-AU"/>
        </w:rPr>
        <w:t xml:space="preserve">hange in </w:t>
      </w:r>
      <w:r w:rsidR="006D4425">
        <w:rPr>
          <w:lang w:val="en-AU"/>
        </w:rPr>
        <w:t>c</w:t>
      </w:r>
      <w:r w:rsidRPr="00252A4C">
        <w:rPr>
          <w:lang w:val="en-AU"/>
        </w:rPr>
        <w:t xml:space="preserve">ontrol in the way you are required to under the </w:t>
      </w:r>
      <w:r w:rsidR="006D4425">
        <w:rPr>
          <w:lang w:val="en-AU"/>
        </w:rPr>
        <w:t>c</w:t>
      </w:r>
      <w:r w:rsidRPr="00252A4C">
        <w:rPr>
          <w:lang w:val="en-AU"/>
        </w:rPr>
        <w:t xml:space="preserve">ontract, we have the right to take enforcement action, including terminating your </w:t>
      </w:r>
      <w:r w:rsidR="006D4425">
        <w:rPr>
          <w:lang w:val="en-AU"/>
        </w:rPr>
        <w:t>c</w:t>
      </w:r>
      <w:r w:rsidRPr="00252A4C">
        <w:rPr>
          <w:lang w:val="en-AU"/>
        </w:rPr>
        <w:t>ontract.</w:t>
      </w:r>
    </w:p>
    <w:p w14:paraId="4639375C" w14:textId="23F89EAF" w:rsidR="00252A4C" w:rsidRDefault="00882BC6" w:rsidP="0041583F">
      <w:pPr>
        <w:pStyle w:val="Heading3"/>
        <w:rPr>
          <w:lang w:val="en-AU"/>
        </w:rPr>
      </w:pPr>
      <w:r w:rsidRPr="00882BC6">
        <w:rPr>
          <w:lang w:val="en-AU"/>
        </w:rPr>
        <w:t xml:space="preserve">Examples of when </w:t>
      </w:r>
      <w:r w:rsidR="006D4425">
        <w:rPr>
          <w:lang w:val="en-AU"/>
        </w:rPr>
        <w:t>you</w:t>
      </w:r>
      <w:r w:rsidRPr="00882BC6">
        <w:rPr>
          <w:lang w:val="en-AU"/>
        </w:rPr>
        <w:t xml:space="preserve"> may need to notify a </w:t>
      </w:r>
      <w:r w:rsidR="006D4425">
        <w:rPr>
          <w:lang w:val="en-AU"/>
        </w:rPr>
        <w:t>c</w:t>
      </w:r>
      <w:r w:rsidRPr="00882BC6">
        <w:rPr>
          <w:lang w:val="en-AU"/>
        </w:rPr>
        <w:t xml:space="preserve">hange in </w:t>
      </w:r>
      <w:r w:rsidR="006D4425">
        <w:rPr>
          <w:lang w:val="en-AU"/>
        </w:rPr>
        <w:t>c</w:t>
      </w:r>
      <w:r w:rsidRPr="00882BC6">
        <w:rPr>
          <w:lang w:val="en-AU"/>
        </w:rPr>
        <w:t>ontrol</w:t>
      </w:r>
    </w:p>
    <w:p w14:paraId="3825D77B" w14:textId="0FACDC3A" w:rsidR="00506B22" w:rsidRPr="00506B22" w:rsidRDefault="006D4425" w:rsidP="0041583F">
      <w:pPr>
        <w:pStyle w:val="Bullet1"/>
        <w:ind w:left="426"/>
      </w:pPr>
      <w:r>
        <w:t>You</w:t>
      </w:r>
      <w:r w:rsidR="00506B22" w:rsidRPr="00506B22">
        <w:t xml:space="preserve"> sell 50 per cent or more of </w:t>
      </w:r>
      <w:r>
        <w:t>your</w:t>
      </w:r>
      <w:r w:rsidRPr="00506B22">
        <w:t xml:space="preserve"> </w:t>
      </w:r>
      <w:r w:rsidR="00506B22" w:rsidRPr="00506B22">
        <w:t xml:space="preserve">shares (or equivalent ownership interest). </w:t>
      </w:r>
    </w:p>
    <w:p w14:paraId="1EC85AD5" w14:textId="36B5348F" w:rsidR="00506B22" w:rsidRPr="00506B22" w:rsidRDefault="00C812D9" w:rsidP="0041583F">
      <w:pPr>
        <w:pStyle w:val="Bullet1"/>
        <w:ind w:left="426"/>
      </w:pPr>
      <w:r>
        <w:br w:type="column"/>
      </w:r>
      <w:r w:rsidR="006D4425">
        <w:t>Your</w:t>
      </w:r>
      <w:r w:rsidR="00506B22" w:rsidRPr="00506B22">
        <w:t xml:space="preserve"> shareholders make a new agreement about voting rights or other control of the company. For example, a shareholder is given a proxy right or other right that gives them a majority vote on questions about the company (even if they don’t hold 50 per cent or more of the shares).</w:t>
      </w:r>
    </w:p>
    <w:p w14:paraId="51BA995C" w14:textId="60E06364" w:rsidR="00506B22" w:rsidRPr="00506B22" w:rsidRDefault="00506B22" w:rsidP="0041583F">
      <w:pPr>
        <w:pStyle w:val="Bullet1"/>
        <w:ind w:left="426"/>
      </w:pPr>
      <w:r w:rsidRPr="00506B22">
        <w:t xml:space="preserve">There is a holding company that exists between </w:t>
      </w:r>
      <w:r w:rsidR="006D4425">
        <w:t>you</w:t>
      </w:r>
      <w:r w:rsidRPr="00506B22">
        <w:t xml:space="preserve"> and </w:t>
      </w:r>
      <w:r w:rsidR="006D4425">
        <w:t>your</w:t>
      </w:r>
      <w:r w:rsidR="006D4425" w:rsidRPr="00506B22">
        <w:t xml:space="preserve"> </w:t>
      </w:r>
      <w:r w:rsidRPr="00506B22">
        <w:t>shareholders, and the shareholders of that holding company change.</w:t>
      </w:r>
    </w:p>
    <w:p w14:paraId="00BD2DDD" w14:textId="45536395" w:rsidR="00506B22" w:rsidRPr="00506B22" w:rsidRDefault="00EC6C65" w:rsidP="00EF3046">
      <w:pPr>
        <w:pStyle w:val="Heading2"/>
        <w:rPr>
          <w:lang w:val="en-AU"/>
        </w:rPr>
      </w:pPr>
      <w:r>
        <w:rPr>
          <w:lang w:val="en-AU"/>
        </w:rPr>
        <w:t>Oth</w:t>
      </w:r>
      <w:r w:rsidR="00CE1C5F" w:rsidRPr="002B0DE0">
        <w:rPr>
          <w:lang w:val="en-AU"/>
        </w:rPr>
        <w:t>er significant changes</w:t>
      </w:r>
    </w:p>
    <w:p w14:paraId="067E55F6" w14:textId="0449BB54" w:rsidR="00192C44" w:rsidRPr="00192C44" w:rsidRDefault="00192C44" w:rsidP="00EC6C65">
      <w:pPr>
        <w:rPr>
          <w:lang w:val="en-AU"/>
        </w:rPr>
      </w:pPr>
      <w:r w:rsidRPr="00192C44">
        <w:rPr>
          <w:lang w:val="en-AU"/>
        </w:rPr>
        <w:t xml:space="preserve">As well as notifying us of a </w:t>
      </w:r>
      <w:r w:rsidR="006D4425">
        <w:rPr>
          <w:lang w:val="en-AU"/>
        </w:rPr>
        <w:t>c</w:t>
      </w:r>
      <w:r w:rsidRPr="00192C44">
        <w:rPr>
          <w:lang w:val="en-AU"/>
        </w:rPr>
        <w:t xml:space="preserve">hange in </w:t>
      </w:r>
      <w:r w:rsidR="006D4425">
        <w:rPr>
          <w:lang w:val="en-AU"/>
        </w:rPr>
        <w:t>c</w:t>
      </w:r>
      <w:r w:rsidRPr="00192C44">
        <w:rPr>
          <w:lang w:val="en-AU"/>
        </w:rPr>
        <w:t>ontrol, you also need to notify us via the SVTS of any significant changes to:</w:t>
      </w:r>
    </w:p>
    <w:p w14:paraId="37B4719E" w14:textId="0790A1F0" w:rsidR="00192C44" w:rsidRPr="00192C44" w:rsidRDefault="00192C44" w:rsidP="00EC6C65">
      <w:pPr>
        <w:pStyle w:val="Bullet1"/>
        <w:ind w:left="426"/>
      </w:pPr>
      <w:r w:rsidRPr="00192C44">
        <w:t>ownership</w:t>
      </w:r>
    </w:p>
    <w:p w14:paraId="20779D88" w14:textId="18783BD6" w:rsidR="00192C44" w:rsidRPr="00192C44" w:rsidRDefault="00192C44" w:rsidP="00EC6C65">
      <w:pPr>
        <w:pStyle w:val="Bullet1"/>
        <w:ind w:left="426"/>
      </w:pPr>
      <w:r w:rsidRPr="00192C44">
        <w:t>who your CEO</w:t>
      </w:r>
      <w:r w:rsidR="00CA66C3">
        <w:t xml:space="preserve"> is</w:t>
      </w:r>
      <w:r w:rsidRPr="00192C44">
        <w:t xml:space="preserve"> (</w:t>
      </w:r>
      <w:r w:rsidR="006D4425">
        <w:t>or</w:t>
      </w:r>
      <w:r w:rsidRPr="00192C44">
        <w:t xml:space="preserve"> equivalent position to a CEO)</w:t>
      </w:r>
    </w:p>
    <w:p w14:paraId="453D6162" w14:textId="2CCF9660" w:rsidR="00192C44" w:rsidRPr="004F476C" w:rsidRDefault="00192C44" w:rsidP="00EC6C65">
      <w:pPr>
        <w:pStyle w:val="Bullet1"/>
        <w:ind w:left="426"/>
      </w:pPr>
      <w:r w:rsidRPr="00192C44">
        <w:t>your operations (including your financial viability, or if you’ve decided to stop operating as a registered training organisation in Victoria).</w:t>
      </w:r>
    </w:p>
    <w:p w14:paraId="48064159" w14:textId="2D88D850" w:rsidR="004F476C" w:rsidRPr="00192C44" w:rsidRDefault="00723B70" w:rsidP="00EC6C65">
      <w:pPr>
        <w:pStyle w:val="Heading3"/>
        <w:rPr>
          <w:lang w:val="en-AU"/>
        </w:rPr>
      </w:pPr>
      <w:r>
        <w:rPr>
          <w:lang w:val="en-AU"/>
        </w:rPr>
        <w:t>How</w:t>
      </w:r>
      <w:r w:rsidR="00A7782A" w:rsidRPr="00A7782A">
        <w:rPr>
          <w:lang w:val="en-AU"/>
        </w:rPr>
        <w:t xml:space="preserve"> a significant change </w:t>
      </w:r>
      <w:r>
        <w:rPr>
          <w:lang w:val="en-AU"/>
        </w:rPr>
        <w:t>is different to a</w:t>
      </w:r>
      <w:r w:rsidR="00A7782A" w:rsidRPr="00A7782A">
        <w:rPr>
          <w:lang w:val="en-AU"/>
        </w:rPr>
        <w:t xml:space="preserve"> </w:t>
      </w:r>
      <w:r w:rsidR="006D4425">
        <w:rPr>
          <w:lang w:val="en-AU"/>
        </w:rPr>
        <w:t>c</w:t>
      </w:r>
      <w:r w:rsidR="00A7782A" w:rsidRPr="00A7782A">
        <w:rPr>
          <w:lang w:val="en-AU"/>
        </w:rPr>
        <w:t xml:space="preserve">hange in </w:t>
      </w:r>
      <w:r w:rsidR="006D4425">
        <w:rPr>
          <w:lang w:val="en-AU"/>
        </w:rPr>
        <w:t>c</w:t>
      </w:r>
      <w:r w:rsidR="00A7782A" w:rsidRPr="00A7782A">
        <w:rPr>
          <w:lang w:val="en-AU"/>
        </w:rPr>
        <w:t>ontrol</w:t>
      </w:r>
    </w:p>
    <w:p w14:paraId="3BD820C6" w14:textId="77B0E652" w:rsidR="0025246E" w:rsidRDefault="00F80E36" w:rsidP="00EC6C65">
      <w:pPr>
        <w:rPr>
          <w:lang w:val="en-AU"/>
        </w:rPr>
      </w:pPr>
      <w:r w:rsidRPr="00F80E36">
        <w:rPr>
          <w:lang w:val="en-AU"/>
        </w:rPr>
        <w:t xml:space="preserve">A significant change is where </w:t>
      </w:r>
      <w:r w:rsidR="00C61AED">
        <w:rPr>
          <w:lang w:val="en-AU"/>
        </w:rPr>
        <w:t>it</w:t>
      </w:r>
      <w:r w:rsidRPr="00F80E36">
        <w:rPr>
          <w:lang w:val="en-AU"/>
        </w:rPr>
        <w:t xml:space="preserve"> has a substantial impact on your training provider, but it doesn’t result in any person or organisation gaining </w:t>
      </w:r>
      <w:r w:rsidR="009D25A1">
        <w:rPr>
          <w:lang w:val="en-AU"/>
        </w:rPr>
        <w:t xml:space="preserve">the </w:t>
      </w:r>
      <w:r w:rsidR="00E8197C">
        <w:rPr>
          <w:lang w:val="en-AU"/>
        </w:rPr>
        <w:t>amount</w:t>
      </w:r>
      <w:r w:rsidR="009D25A1">
        <w:rPr>
          <w:lang w:val="en-AU"/>
        </w:rPr>
        <w:t xml:space="preserve"> of practical control</w:t>
      </w:r>
      <w:r w:rsidRPr="00F80E36">
        <w:rPr>
          <w:lang w:val="en-AU"/>
        </w:rPr>
        <w:t xml:space="preserve"> that meets the </w:t>
      </w:r>
      <w:r w:rsidR="00C61AED">
        <w:rPr>
          <w:lang w:val="en-AU"/>
        </w:rPr>
        <w:t xml:space="preserve">contract </w:t>
      </w:r>
      <w:r w:rsidRPr="00F80E36">
        <w:rPr>
          <w:lang w:val="en-AU"/>
        </w:rPr>
        <w:t xml:space="preserve">definition of </w:t>
      </w:r>
      <w:r w:rsidR="006D4425">
        <w:rPr>
          <w:lang w:val="en-AU"/>
        </w:rPr>
        <w:t>c</w:t>
      </w:r>
      <w:r w:rsidRPr="00F80E36">
        <w:rPr>
          <w:lang w:val="en-AU"/>
        </w:rPr>
        <w:t>ontrol.</w:t>
      </w:r>
    </w:p>
    <w:p w14:paraId="6D6E1090" w14:textId="2A70EDF3" w:rsidR="00F80E36" w:rsidRPr="00F80E36" w:rsidRDefault="00F80E36" w:rsidP="00EC6C65">
      <w:pPr>
        <w:rPr>
          <w:lang w:val="en-AU"/>
        </w:rPr>
      </w:pPr>
      <w:r w:rsidRPr="00F80E36">
        <w:rPr>
          <w:lang w:val="en-AU"/>
        </w:rPr>
        <w:t xml:space="preserve">This may be where you make a change to your corporate structure that doesn’t result in a company or person gaining </w:t>
      </w:r>
      <w:r w:rsidR="006D4425">
        <w:rPr>
          <w:lang w:val="en-AU"/>
        </w:rPr>
        <w:t>c</w:t>
      </w:r>
      <w:r w:rsidRPr="00F80E36">
        <w:rPr>
          <w:lang w:val="en-AU"/>
        </w:rPr>
        <w:t xml:space="preserve">ontrol, but still results in them gaining a significant and new level of influence. For example, a significant change to your governance structure that might impact your ability to deliver training services. </w:t>
      </w:r>
    </w:p>
    <w:p w14:paraId="096E080D" w14:textId="0D22609D" w:rsidR="00A7782A" w:rsidRDefault="00F80E36" w:rsidP="00EC6C65">
      <w:pPr>
        <w:rPr>
          <w:lang w:val="en-AU"/>
        </w:rPr>
      </w:pPr>
      <w:r w:rsidRPr="00F80E36">
        <w:rPr>
          <w:lang w:val="en-AU"/>
        </w:rPr>
        <w:t xml:space="preserve">There may be times when a significant change in ownership is also a </w:t>
      </w:r>
      <w:r w:rsidR="002E4681">
        <w:rPr>
          <w:lang w:val="en-AU"/>
        </w:rPr>
        <w:t>c</w:t>
      </w:r>
      <w:r w:rsidRPr="00F80E36">
        <w:rPr>
          <w:lang w:val="en-AU"/>
        </w:rPr>
        <w:t xml:space="preserve">hange in </w:t>
      </w:r>
      <w:r w:rsidR="002E4681">
        <w:rPr>
          <w:lang w:val="en-AU"/>
        </w:rPr>
        <w:t>c</w:t>
      </w:r>
      <w:r w:rsidRPr="00F80E36">
        <w:rPr>
          <w:lang w:val="en-AU"/>
        </w:rPr>
        <w:t xml:space="preserve">ontrol, in which case you need to notify </w:t>
      </w:r>
      <w:r w:rsidR="002E4681">
        <w:rPr>
          <w:lang w:val="en-AU"/>
        </w:rPr>
        <w:t>us</w:t>
      </w:r>
      <w:r w:rsidRPr="00F80E36">
        <w:rPr>
          <w:lang w:val="en-AU"/>
        </w:rPr>
        <w:t xml:space="preserve"> in advance.</w:t>
      </w:r>
    </w:p>
    <w:p w14:paraId="3EDB16F0" w14:textId="16C2BEFF" w:rsidR="00F80E36" w:rsidRDefault="000876F7" w:rsidP="00EC6C65">
      <w:pPr>
        <w:pStyle w:val="Heading3"/>
        <w:rPr>
          <w:lang w:val="en-AU"/>
        </w:rPr>
      </w:pPr>
      <w:r w:rsidRPr="000876F7">
        <w:rPr>
          <w:lang w:val="en-AU"/>
        </w:rPr>
        <w:lastRenderedPageBreak/>
        <w:t>When</w:t>
      </w:r>
      <w:r w:rsidR="00D05F50">
        <w:rPr>
          <w:lang w:val="en-AU"/>
        </w:rPr>
        <w:t xml:space="preserve"> </w:t>
      </w:r>
      <w:r w:rsidRPr="000876F7">
        <w:rPr>
          <w:lang w:val="en-AU"/>
        </w:rPr>
        <w:t xml:space="preserve">to notify </w:t>
      </w:r>
      <w:r w:rsidR="00723B70">
        <w:rPr>
          <w:lang w:val="en-AU"/>
        </w:rPr>
        <w:t>us</w:t>
      </w:r>
    </w:p>
    <w:p w14:paraId="0078FC57" w14:textId="1EDD95F9" w:rsidR="00E6610C" w:rsidRPr="00E6610C" w:rsidRDefault="00E6610C" w:rsidP="00EC6C65">
      <w:pPr>
        <w:rPr>
          <w:lang w:val="en-AU"/>
        </w:rPr>
      </w:pPr>
      <w:r w:rsidRPr="00E6610C">
        <w:rPr>
          <w:lang w:val="en-AU"/>
        </w:rPr>
        <w:t xml:space="preserve">You need to tell us </w:t>
      </w:r>
      <w:r w:rsidR="00723B70">
        <w:rPr>
          <w:lang w:val="en-AU"/>
        </w:rPr>
        <w:t xml:space="preserve">about significant changes </w:t>
      </w:r>
      <w:r w:rsidRPr="00E6610C">
        <w:rPr>
          <w:lang w:val="en-AU"/>
        </w:rPr>
        <w:t>immediately.</w:t>
      </w:r>
    </w:p>
    <w:p w14:paraId="771E3667" w14:textId="67200056" w:rsidR="000876F7" w:rsidRDefault="00E6610C" w:rsidP="00EC6C65">
      <w:pPr>
        <w:rPr>
          <w:lang w:val="en-AU"/>
        </w:rPr>
      </w:pPr>
      <w:r w:rsidRPr="00E6610C">
        <w:rPr>
          <w:lang w:val="en-AU"/>
        </w:rPr>
        <w:t>If you</w:t>
      </w:r>
      <w:r w:rsidR="002E4681">
        <w:rPr>
          <w:lang w:val="en-AU"/>
        </w:rPr>
        <w:t>’</w:t>
      </w:r>
      <w:r w:rsidRPr="00E6610C">
        <w:rPr>
          <w:lang w:val="en-AU"/>
        </w:rPr>
        <w:t xml:space="preserve">re not sure whether an event </w:t>
      </w:r>
      <w:r w:rsidR="002E4681">
        <w:rPr>
          <w:lang w:val="en-AU"/>
        </w:rPr>
        <w:t>is</w:t>
      </w:r>
      <w:r w:rsidR="002E4681" w:rsidRPr="00E6610C">
        <w:rPr>
          <w:lang w:val="en-AU"/>
        </w:rPr>
        <w:t xml:space="preserve"> </w:t>
      </w:r>
      <w:r w:rsidRPr="00E6610C">
        <w:rPr>
          <w:lang w:val="en-AU"/>
        </w:rPr>
        <w:t xml:space="preserve">a significant </w:t>
      </w:r>
      <w:r w:rsidR="00F31048" w:rsidRPr="00E6610C">
        <w:rPr>
          <w:lang w:val="en-AU"/>
        </w:rPr>
        <w:t>change, submit</w:t>
      </w:r>
      <w:r w:rsidRPr="00E6610C">
        <w:rPr>
          <w:lang w:val="en-AU"/>
        </w:rPr>
        <w:t xml:space="preserve"> an enquiry via SVTS and we will tell you.</w:t>
      </w:r>
    </w:p>
    <w:p w14:paraId="7C3D6E94" w14:textId="1C5D8BB4" w:rsidR="00C46DCD" w:rsidRDefault="00C46DCD" w:rsidP="00EC6C65">
      <w:pPr>
        <w:pStyle w:val="Heading3"/>
        <w:rPr>
          <w:lang w:val="en-AU"/>
        </w:rPr>
      </w:pPr>
      <w:r w:rsidRPr="00C46DCD">
        <w:rPr>
          <w:lang w:val="en-AU"/>
        </w:rPr>
        <w:t xml:space="preserve">What happens </w:t>
      </w:r>
      <w:r w:rsidR="00723B70">
        <w:rPr>
          <w:lang w:val="en-AU"/>
        </w:rPr>
        <w:t>next</w:t>
      </w:r>
    </w:p>
    <w:p w14:paraId="4A6D14E5" w14:textId="4F8948DD" w:rsidR="00624272" w:rsidRPr="00624272" w:rsidRDefault="00624272" w:rsidP="00EC6C65">
      <w:pPr>
        <w:rPr>
          <w:lang w:val="en-AU"/>
        </w:rPr>
      </w:pPr>
      <w:r w:rsidRPr="00624272">
        <w:rPr>
          <w:lang w:val="en-AU"/>
        </w:rPr>
        <w:t>When you tell us about significant changes, we may simply note the information and use it to update our records</w:t>
      </w:r>
      <w:r w:rsidR="00EA0EC3">
        <w:rPr>
          <w:lang w:val="en-AU"/>
        </w:rPr>
        <w:t>.</w:t>
      </w:r>
    </w:p>
    <w:p w14:paraId="4C727625" w14:textId="6F32B53F" w:rsidR="00E6610C" w:rsidRDefault="00624272" w:rsidP="00EC6C65">
      <w:pPr>
        <w:rPr>
          <w:lang w:val="en-AU"/>
        </w:rPr>
      </w:pPr>
      <w:r w:rsidRPr="00624272">
        <w:rPr>
          <w:lang w:val="en-AU"/>
        </w:rPr>
        <w:t xml:space="preserve">We may consider whether the changes represent any risk from </w:t>
      </w:r>
      <w:r w:rsidR="002E4681">
        <w:rPr>
          <w:lang w:val="en-AU"/>
        </w:rPr>
        <w:t>our</w:t>
      </w:r>
      <w:r w:rsidRPr="00624272">
        <w:rPr>
          <w:lang w:val="en-AU"/>
        </w:rPr>
        <w:t xml:space="preserve"> perspective, but we don’t include a right</w:t>
      </w:r>
      <w:r w:rsidR="00723B70">
        <w:rPr>
          <w:lang w:val="en-AU"/>
        </w:rPr>
        <w:t xml:space="preserve"> under the contract</w:t>
      </w:r>
      <w:r w:rsidRPr="00624272">
        <w:rPr>
          <w:lang w:val="en-AU"/>
        </w:rPr>
        <w:t xml:space="preserve"> to not approve a significant change in the way we can if you were notifying us of a </w:t>
      </w:r>
      <w:r w:rsidR="002E4681">
        <w:rPr>
          <w:lang w:val="en-AU"/>
        </w:rPr>
        <w:t>c</w:t>
      </w:r>
      <w:r w:rsidRPr="00624272">
        <w:rPr>
          <w:lang w:val="en-AU"/>
        </w:rPr>
        <w:t xml:space="preserve">hange in </w:t>
      </w:r>
      <w:r w:rsidR="002E4681">
        <w:rPr>
          <w:lang w:val="en-AU"/>
        </w:rPr>
        <w:t>c</w:t>
      </w:r>
      <w:r w:rsidRPr="00624272">
        <w:rPr>
          <w:lang w:val="en-AU"/>
        </w:rPr>
        <w:t>ontrol.</w:t>
      </w:r>
    </w:p>
    <w:p w14:paraId="06D5E6CD" w14:textId="0D2CD39C" w:rsidR="00624272" w:rsidRDefault="00C77E24" w:rsidP="00EC6C65">
      <w:pPr>
        <w:pStyle w:val="Heading3"/>
        <w:rPr>
          <w:lang w:val="en-AU"/>
        </w:rPr>
      </w:pPr>
      <w:r w:rsidRPr="00C77E24">
        <w:rPr>
          <w:lang w:val="en-AU"/>
        </w:rPr>
        <w:t xml:space="preserve">Examples of when </w:t>
      </w:r>
      <w:r w:rsidR="002E4681">
        <w:rPr>
          <w:lang w:val="en-AU"/>
        </w:rPr>
        <w:t>you</w:t>
      </w:r>
      <w:r w:rsidRPr="00C77E24">
        <w:rPr>
          <w:lang w:val="en-AU"/>
        </w:rPr>
        <w:t xml:space="preserve"> may </w:t>
      </w:r>
      <w:r w:rsidR="00D05F50">
        <w:rPr>
          <w:lang w:val="en-AU"/>
        </w:rPr>
        <w:t xml:space="preserve">need to </w:t>
      </w:r>
      <w:r w:rsidRPr="00C77E24">
        <w:rPr>
          <w:lang w:val="en-AU"/>
        </w:rPr>
        <w:t xml:space="preserve">notify </w:t>
      </w:r>
      <w:r w:rsidR="00D05F50">
        <w:rPr>
          <w:lang w:val="en-AU"/>
        </w:rPr>
        <w:t xml:space="preserve">a </w:t>
      </w:r>
      <w:r w:rsidRPr="00C77E24">
        <w:rPr>
          <w:lang w:val="en-AU"/>
        </w:rPr>
        <w:t>significant change</w:t>
      </w:r>
    </w:p>
    <w:p w14:paraId="476FDDC3" w14:textId="517CCBAB" w:rsidR="000C147B" w:rsidRPr="000C147B" w:rsidRDefault="002E4681" w:rsidP="00EC6C65">
      <w:pPr>
        <w:pStyle w:val="Bullet1"/>
        <w:ind w:left="426"/>
      </w:pPr>
      <w:r>
        <w:t>Your</w:t>
      </w:r>
      <w:r w:rsidR="000C147B" w:rsidRPr="000C147B">
        <w:t xml:space="preserve"> CEO (or equivalent, for example a </w:t>
      </w:r>
      <w:r>
        <w:t>m</w:t>
      </w:r>
      <w:r w:rsidR="000C147B" w:rsidRPr="000C147B">
        <w:t xml:space="preserve">anaging </w:t>
      </w:r>
      <w:r>
        <w:t>d</w:t>
      </w:r>
      <w:r w:rsidR="000C147B" w:rsidRPr="000C147B">
        <w:t>irector at a Learn Local Organisation (LLO)) leaves their position and a new person is appointed to the role.</w:t>
      </w:r>
    </w:p>
    <w:p w14:paraId="299B5FE0" w14:textId="0AF8393C" w:rsidR="000C147B" w:rsidRPr="000C147B" w:rsidRDefault="002E4681" w:rsidP="00F31048">
      <w:pPr>
        <w:pStyle w:val="Bullet1"/>
        <w:ind w:left="425" w:hanging="357"/>
      </w:pPr>
      <w:r>
        <w:t>Your</w:t>
      </w:r>
      <w:r w:rsidR="000C147B" w:rsidRPr="000C147B">
        <w:t xml:space="preserve"> </w:t>
      </w:r>
      <w:r>
        <w:t>b</w:t>
      </w:r>
      <w:r w:rsidR="000C147B" w:rsidRPr="000C147B">
        <w:t xml:space="preserve">oard or </w:t>
      </w:r>
      <w:r>
        <w:t>c</w:t>
      </w:r>
      <w:r w:rsidR="000C147B" w:rsidRPr="000C147B">
        <w:t xml:space="preserve">ommittee of </w:t>
      </w:r>
      <w:r>
        <w:t>m</w:t>
      </w:r>
      <w:r w:rsidR="000C147B" w:rsidRPr="000C147B">
        <w:t xml:space="preserve">anagement decides </w:t>
      </w:r>
      <w:r w:rsidR="00B062E2">
        <w:t xml:space="preserve">to </w:t>
      </w:r>
      <w:r w:rsidR="00B062E2" w:rsidRPr="000C147B">
        <w:t>completely</w:t>
      </w:r>
      <w:r w:rsidR="000C147B" w:rsidRPr="000C147B">
        <w:t xml:space="preserve"> disband and re-form, or to establish </w:t>
      </w:r>
      <w:r>
        <w:t>a</w:t>
      </w:r>
      <w:r w:rsidR="000C147B" w:rsidRPr="000C147B">
        <w:t xml:space="preserve"> new governance model.</w:t>
      </w:r>
      <w:r w:rsidR="008D2CB3">
        <w:br w:type="column"/>
      </w:r>
    </w:p>
    <w:p w14:paraId="48B9ECA4" w14:textId="2C4DCCB5" w:rsidR="000C147B" w:rsidRPr="000C147B" w:rsidRDefault="000C147B" w:rsidP="00EC6C65">
      <w:pPr>
        <w:pStyle w:val="Bullet1"/>
        <w:ind w:left="426"/>
      </w:pPr>
      <w:r w:rsidRPr="000C147B">
        <w:t>A new owner acquires a</w:t>
      </w:r>
      <w:r w:rsidR="002E4681">
        <w:t xml:space="preserve"> number</w:t>
      </w:r>
      <w:r w:rsidRPr="000C147B">
        <w:t xml:space="preserve"> of shares that doesn’t meet the definition of </w:t>
      </w:r>
      <w:r w:rsidR="008D2CB3">
        <w:t>c</w:t>
      </w:r>
      <w:r w:rsidR="008D2CB3" w:rsidRPr="000C147B">
        <w:t>ontrol but</w:t>
      </w:r>
      <w:r w:rsidRPr="000C147B">
        <w:t xml:space="preserve"> </w:t>
      </w:r>
      <w:r w:rsidR="002E4681">
        <w:t>does give them</w:t>
      </w:r>
      <w:r w:rsidRPr="000C147B">
        <w:t xml:space="preserve"> a significant role in the company structure.</w:t>
      </w:r>
    </w:p>
    <w:p w14:paraId="1FB8285F" w14:textId="2361A279" w:rsidR="000C147B" w:rsidRPr="000C147B" w:rsidRDefault="002E4681" w:rsidP="00EC6C65">
      <w:pPr>
        <w:pStyle w:val="Bullet1"/>
        <w:ind w:left="426"/>
      </w:pPr>
      <w:r>
        <w:t>Your</w:t>
      </w:r>
      <w:r w:rsidR="000C147B" w:rsidRPr="000C147B">
        <w:t xml:space="preserve"> company structure splits its training function into a different part of the organisation under different governance arrangements.</w:t>
      </w:r>
    </w:p>
    <w:p w14:paraId="76F1815A" w14:textId="4C1A1C45" w:rsidR="000C147B" w:rsidRPr="000C147B" w:rsidRDefault="002E4681" w:rsidP="00EC6C65">
      <w:pPr>
        <w:pStyle w:val="Bullet1"/>
        <w:ind w:left="426"/>
      </w:pPr>
      <w:r>
        <w:t>You</w:t>
      </w:r>
      <w:r w:rsidRPr="000C147B">
        <w:t xml:space="preserve"> </w:t>
      </w:r>
      <w:r w:rsidR="000C147B" w:rsidRPr="000C147B">
        <w:t xml:space="preserve">experience, or expects </w:t>
      </w:r>
      <w:r>
        <w:t>to</w:t>
      </w:r>
      <w:r w:rsidR="000C147B" w:rsidRPr="000C147B">
        <w:t xml:space="preserve"> experience, a significant issue with </w:t>
      </w:r>
      <w:r>
        <w:t>your</w:t>
      </w:r>
      <w:r w:rsidRPr="000C147B">
        <w:t xml:space="preserve"> </w:t>
      </w:r>
      <w:r w:rsidR="000C147B" w:rsidRPr="000C147B">
        <w:t>financial operations.</w:t>
      </w:r>
    </w:p>
    <w:p w14:paraId="29FC466B" w14:textId="7654FED8" w:rsidR="000C147B" w:rsidRPr="000C147B" w:rsidRDefault="002E4681" w:rsidP="00EC6C65">
      <w:pPr>
        <w:pStyle w:val="Bullet1"/>
        <w:ind w:left="426"/>
      </w:pPr>
      <w:r>
        <w:t>You</w:t>
      </w:r>
      <w:r w:rsidRPr="000C147B">
        <w:t xml:space="preserve"> </w:t>
      </w:r>
      <w:r w:rsidR="000C147B" w:rsidRPr="000C147B">
        <w:t xml:space="preserve">decide </w:t>
      </w:r>
      <w:r>
        <w:t>you don’t</w:t>
      </w:r>
      <w:r w:rsidR="000C147B" w:rsidRPr="000C147B">
        <w:t xml:space="preserve"> want to continue being a registered training organisation.</w:t>
      </w:r>
    </w:p>
    <w:p w14:paraId="15BED2B2" w14:textId="77D7E701" w:rsidR="00C77E24" w:rsidRPr="000C147B" w:rsidRDefault="002E4681" w:rsidP="00746A0F">
      <w:pPr>
        <w:pStyle w:val="Bullet1"/>
        <w:spacing w:after="240"/>
        <w:ind w:left="425" w:hanging="357"/>
      </w:pPr>
      <w:r>
        <w:t>You</w:t>
      </w:r>
      <w:r w:rsidR="00B062E2">
        <w:t>’</w:t>
      </w:r>
      <w:r>
        <w:t>re</w:t>
      </w:r>
      <w:r w:rsidR="000C147B" w:rsidRPr="000C147B">
        <w:t xml:space="preserve"> a</w:t>
      </w:r>
      <w:r w:rsidR="003D78A3">
        <w:t>n</w:t>
      </w:r>
      <w:r w:rsidR="000C147B" w:rsidRPr="000C147B">
        <w:t xml:space="preserve"> LLO and decide </w:t>
      </w:r>
      <w:r>
        <w:t>to</w:t>
      </w:r>
      <w:r w:rsidRPr="000C147B">
        <w:t xml:space="preserve"> </w:t>
      </w:r>
      <w:r w:rsidR="000C147B" w:rsidRPr="000C147B">
        <w:t xml:space="preserve">give up </w:t>
      </w:r>
      <w:r w:rsidR="00B062E2">
        <w:t>your</w:t>
      </w:r>
      <w:r w:rsidR="00B062E2" w:rsidRPr="000C147B">
        <w:t xml:space="preserve"> </w:t>
      </w:r>
      <w:r w:rsidR="000C147B" w:rsidRPr="000C147B">
        <w:t xml:space="preserve">registration with the </w:t>
      </w:r>
      <w:r w:rsidR="00F31048" w:rsidRPr="00F31048">
        <w:t>Adult, Community and Further Education</w:t>
      </w:r>
      <w:r w:rsidR="00F31048">
        <w:t xml:space="preserve"> (</w:t>
      </w:r>
      <w:r w:rsidR="000C147B" w:rsidRPr="000C147B">
        <w:t>ACFE</w:t>
      </w:r>
      <w:r w:rsidR="00F31048">
        <w:t>)</w:t>
      </w:r>
      <w:r w:rsidR="000C147B" w:rsidRPr="000C147B">
        <w:t xml:space="preserve"> Board.</w:t>
      </w:r>
    </w:p>
    <w:p w14:paraId="5910BC96" w14:textId="3779DB80" w:rsidR="000C147B" w:rsidRDefault="00EC6C65" w:rsidP="00EC6C65">
      <w:pPr>
        <w:pStyle w:val="Heading2"/>
        <w:rPr>
          <w:lang w:val="en-AU"/>
        </w:rPr>
      </w:pPr>
      <w:r w:rsidRPr="00FC3440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58E67DDD" wp14:editId="12F8EAB7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323850" cy="252730"/>
            <wp:effectExtent l="0" t="0" r="0" b="0"/>
            <wp:wrapSquare wrapText="bothSides"/>
            <wp:docPr id="3" name="Picture 194">
              <a:extLst xmlns:a="http://schemas.openxmlformats.org/drawingml/2006/main">
                <a:ext uri="{FF2B5EF4-FFF2-40B4-BE49-F238E27FC236}">
                  <a16:creationId xmlns:a16="http://schemas.microsoft.com/office/drawing/2014/main" id="{6715208C-BD87-5D48-877C-F1848C7AE1F2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94">
                      <a:extLst>
                        <a:ext uri="{FF2B5EF4-FFF2-40B4-BE49-F238E27FC236}">
                          <a16:creationId xmlns:a16="http://schemas.microsoft.com/office/drawing/2014/main" id="{6715208C-BD87-5D48-877C-F1848C7AE1F2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C5F" w:rsidRPr="00B20F38">
        <w:rPr>
          <w:lang w:val="en-AU"/>
        </w:rPr>
        <w:t>Further information</w:t>
      </w:r>
    </w:p>
    <w:p w14:paraId="1A2F2C55" w14:textId="202E988A" w:rsidR="00F66329" w:rsidRPr="000553D1" w:rsidRDefault="00047111" w:rsidP="00EC6C65">
      <w:pPr>
        <w:rPr>
          <w:lang w:val="en-AU"/>
        </w:rPr>
        <w:sectPr w:rsidR="00F66329" w:rsidRPr="000553D1" w:rsidSect="00AB30A9">
          <w:type w:val="continuous"/>
          <w:pgSz w:w="11900" w:h="16840"/>
          <w:pgMar w:top="2155" w:right="1134" w:bottom="1276" w:left="1134" w:header="709" w:footer="283" w:gutter="0"/>
          <w:cols w:num="2" w:space="708"/>
          <w:docGrid w:linePitch="360"/>
        </w:sectPr>
      </w:pPr>
      <w:r w:rsidRPr="00047111">
        <w:rPr>
          <w:lang w:val="en-AU"/>
        </w:rPr>
        <w:t>Submit an enquiry v</w:t>
      </w:r>
      <w:r w:rsidRPr="00B9005B">
        <w:rPr>
          <w:lang w:val="en-AU"/>
        </w:rPr>
        <w:t xml:space="preserve">ia </w:t>
      </w:r>
      <w:hyperlink r:id="rId16" w:history="1">
        <w:r w:rsidRPr="00E30BD6">
          <w:rPr>
            <w:rStyle w:val="Hyperlink"/>
            <w:color w:val="0071CE" w:themeColor="accent3"/>
            <w:lang w:val="en-AU"/>
          </w:rPr>
          <w:t>SVTS</w:t>
        </w:r>
      </w:hyperlink>
      <w:r w:rsidR="000553D1" w:rsidRPr="00B9005B">
        <w:rPr>
          <w:lang w:val="en-AU"/>
        </w:rPr>
        <w:t>.</w:t>
      </w:r>
    </w:p>
    <w:p w14:paraId="348A0F4E" w14:textId="77777777" w:rsidR="0065170A" w:rsidRDefault="0065170A" w:rsidP="00EF3046">
      <w:pPr>
        <w:pStyle w:val="Copyrighttext"/>
        <w:spacing w:after="120"/>
      </w:pPr>
    </w:p>
    <w:p w14:paraId="2B987529" w14:textId="77777777" w:rsidR="00EC6C65" w:rsidRDefault="00EC6C65" w:rsidP="00EF3046">
      <w:pPr>
        <w:pStyle w:val="Copyrighttext"/>
        <w:spacing w:after="120"/>
      </w:pPr>
    </w:p>
    <w:p w14:paraId="52D8CF02" w14:textId="77777777" w:rsidR="00EC6C65" w:rsidRDefault="00EC6C65" w:rsidP="00EF3046">
      <w:pPr>
        <w:pStyle w:val="Copyrighttext"/>
        <w:spacing w:after="120"/>
      </w:pPr>
    </w:p>
    <w:p w14:paraId="71EE1216" w14:textId="77777777" w:rsidR="00EC6C65" w:rsidRDefault="00EC6C65" w:rsidP="00EF3046">
      <w:pPr>
        <w:pStyle w:val="Copyrighttext"/>
        <w:spacing w:after="120"/>
      </w:pPr>
    </w:p>
    <w:p w14:paraId="7C8A3B6E" w14:textId="77777777" w:rsidR="00EC6C65" w:rsidRDefault="00EC6C65" w:rsidP="00EF3046">
      <w:pPr>
        <w:pStyle w:val="Copyrighttext"/>
        <w:spacing w:after="120"/>
      </w:pPr>
    </w:p>
    <w:p w14:paraId="302E9D3F" w14:textId="77777777" w:rsidR="00EC6C65" w:rsidRDefault="00EC6C65" w:rsidP="00EF3046">
      <w:pPr>
        <w:pStyle w:val="Copyrighttext"/>
        <w:spacing w:after="120"/>
      </w:pPr>
    </w:p>
    <w:p w14:paraId="1ED4A561" w14:textId="77777777" w:rsidR="00EC6C65" w:rsidRDefault="00EC6C65" w:rsidP="00EF3046">
      <w:pPr>
        <w:pStyle w:val="Copyrighttext"/>
        <w:spacing w:after="120"/>
      </w:pPr>
    </w:p>
    <w:p w14:paraId="4F7BD778" w14:textId="77777777" w:rsidR="00EC6C65" w:rsidRDefault="00EC6C65" w:rsidP="00EF3046">
      <w:pPr>
        <w:pStyle w:val="Copyrighttext"/>
        <w:spacing w:after="120"/>
      </w:pPr>
    </w:p>
    <w:p w14:paraId="45FFD9DA" w14:textId="77777777" w:rsidR="00EC6C65" w:rsidRDefault="00EC6C65" w:rsidP="00EF3046">
      <w:pPr>
        <w:pStyle w:val="Copyrighttext"/>
        <w:spacing w:after="120"/>
      </w:pPr>
    </w:p>
    <w:p w14:paraId="7D3DB37F" w14:textId="77777777" w:rsidR="00EC6C65" w:rsidRDefault="00EC6C65" w:rsidP="00EF3046">
      <w:pPr>
        <w:pStyle w:val="Copyrighttext"/>
        <w:spacing w:after="120"/>
      </w:pPr>
    </w:p>
    <w:p w14:paraId="2A9C44D7" w14:textId="77777777" w:rsidR="00EC6C65" w:rsidRDefault="00EC6C65" w:rsidP="00EF3046">
      <w:pPr>
        <w:pStyle w:val="Copyrighttext"/>
        <w:spacing w:after="120"/>
      </w:pPr>
    </w:p>
    <w:p w14:paraId="35559C21" w14:textId="77777777" w:rsidR="00EC6C65" w:rsidRDefault="00EC6C65" w:rsidP="00EF3046">
      <w:pPr>
        <w:pStyle w:val="Copyrighttext"/>
        <w:spacing w:after="120"/>
      </w:pPr>
    </w:p>
    <w:p w14:paraId="0A0F7563" w14:textId="77777777" w:rsidR="00EC6C65" w:rsidRDefault="00EC6C65" w:rsidP="00EF3046">
      <w:pPr>
        <w:pStyle w:val="Copyrighttext"/>
        <w:spacing w:after="120"/>
      </w:pPr>
    </w:p>
    <w:p w14:paraId="22E1BAC8" w14:textId="77777777" w:rsidR="00EC6C65" w:rsidRDefault="00EC6C65" w:rsidP="00EF3046">
      <w:pPr>
        <w:pStyle w:val="Copyrighttext"/>
        <w:spacing w:after="120"/>
      </w:pPr>
    </w:p>
    <w:p w14:paraId="1E797218" w14:textId="3A24EB63" w:rsidR="00EC6C65" w:rsidRDefault="00EC6C65" w:rsidP="00EF3046">
      <w:pPr>
        <w:pStyle w:val="Copyrighttext"/>
        <w:spacing w:after="120"/>
      </w:pPr>
    </w:p>
    <w:p w14:paraId="3566F721" w14:textId="0A53A98F" w:rsidR="008D2CB3" w:rsidRDefault="008D2CB3" w:rsidP="00EF3046">
      <w:pPr>
        <w:pStyle w:val="Copyrighttext"/>
        <w:spacing w:after="120"/>
      </w:pPr>
    </w:p>
    <w:p w14:paraId="469C82AE" w14:textId="7B53E88F" w:rsidR="008D2CB3" w:rsidRDefault="008D2CB3" w:rsidP="00EF3046">
      <w:pPr>
        <w:pStyle w:val="Copyrighttext"/>
        <w:spacing w:after="120"/>
      </w:pPr>
    </w:p>
    <w:p w14:paraId="5D0DA7FD" w14:textId="77777777" w:rsidR="008D2CB3" w:rsidRDefault="008D2CB3" w:rsidP="00EF3046">
      <w:pPr>
        <w:pStyle w:val="Copyrighttext"/>
        <w:spacing w:after="120"/>
      </w:pPr>
    </w:p>
    <w:p w14:paraId="03DCFF06" w14:textId="77777777" w:rsidR="00EC6C65" w:rsidRDefault="00EC6C65" w:rsidP="00EF3046">
      <w:pPr>
        <w:pStyle w:val="Copyrighttext"/>
        <w:spacing w:after="120"/>
      </w:pPr>
    </w:p>
    <w:p w14:paraId="3950F060" w14:textId="341AD152" w:rsidR="00122369" w:rsidRPr="005E6484" w:rsidRDefault="0016287D" w:rsidP="00EF3046">
      <w:pPr>
        <w:pStyle w:val="Copyrighttext"/>
        <w:spacing w:after="120"/>
        <w:rPr>
          <w:rFonts w:cstheme="minorHAnsi"/>
        </w:rPr>
      </w:pPr>
      <w:r w:rsidRPr="005E6484">
        <w:t>© State of Victoria (Department of Education and Training)</w:t>
      </w:r>
      <w:r w:rsidR="00E77EB9" w:rsidRPr="005E6484">
        <w:t xml:space="preserve"> 20</w:t>
      </w:r>
      <w:r w:rsidR="00735566" w:rsidRPr="005E6484">
        <w:t>2</w:t>
      </w:r>
      <w:r w:rsidR="002E4681">
        <w:t>2</w:t>
      </w:r>
      <w:r w:rsidR="00E77EB9" w:rsidRPr="005E6484">
        <w:t>.</w:t>
      </w:r>
      <w:r w:rsidRPr="005E6484">
        <w:t xml:space="preserve"> </w:t>
      </w:r>
      <w:r w:rsidR="00E34721" w:rsidRPr="005E6484">
        <w:rPr>
          <w:rFonts w:cstheme="minorHAnsi"/>
        </w:rPr>
        <w:t>Except where otherwise </w:t>
      </w:r>
      <w:hyperlink r:id="rId17" w:history="1">
        <w:r w:rsidR="00E34721" w:rsidRPr="005E6484">
          <w:rPr>
            <w:rStyle w:val="Hyperlink"/>
            <w:rFonts w:cstheme="minorHAnsi"/>
            <w:color w:val="auto"/>
          </w:rPr>
          <w:t>noted,</w:t>
        </w:r>
      </w:hyperlink>
      <w:r w:rsidR="00E34721" w:rsidRPr="005E6484">
        <w:rPr>
          <w:rFonts w:cstheme="minorHAnsi"/>
        </w:rPr>
        <w:t xml:space="preserve"> material in this document is provided under a</w:t>
      </w:r>
      <w:r w:rsidR="004D4388" w:rsidRPr="005E6484">
        <w:rPr>
          <w:rFonts w:cstheme="minorHAnsi"/>
        </w:rPr>
        <w:t xml:space="preserve"> </w:t>
      </w:r>
      <w:hyperlink r:id="rId18" w:history="1">
        <w:r w:rsidR="00E34721" w:rsidRPr="005E6484">
          <w:rPr>
            <w:rStyle w:val="Hyperlink"/>
            <w:rFonts w:cstheme="minorHAnsi"/>
            <w:color w:val="auto"/>
          </w:rPr>
          <w:t>Creative Commons Attribution 4.0 International</w:t>
        </w:r>
      </w:hyperlink>
      <w:r w:rsidR="00E34721" w:rsidRPr="005E6484">
        <w:rPr>
          <w:rFonts w:cstheme="minorHAnsi"/>
        </w:rPr>
        <w:t xml:space="preserve"> Please check the full </w:t>
      </w:r>
      <w:hyperlink r:id="rId19" w:history="1">
        <w:r w:rsidR="00E34721" w:rsidRPr="005E6484">
          <w:rPr>
            <w:rStyle w:val="Hyperlink"/>
            <w:rFonts w:cstheme="minorHAnsi"/>
            <w:color w:val="auto"/>
          </w:rPr>
          <w:t>copyright notice </w:t>
        </w:r>
      </w:hyperlink>
    </w:p>
    <w:sectPr w:rsidR="00122369" w:rsidRPr="005E6484" w:rsidSect="00C87B03">
      <w:type w:val="continuous"/>
      <w:pgSz w:w="11900" w:h="16840"/>
      <w:pgMar w:top="2155" w:right="1134" w:bottom="198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79CE" w14:textId="77777777" w:rsidR="006A70E6" w:rsidRDefault="006A70E6" w:rsidP="003967DD">
      <w:pPr>
        <w:spacing w:after="0"/>
      </w:pPr>
      <w:r>
        <w:separator/>
      </w:r>
    </w:p>
  </w:endnote>
  <w:endnote w:type="continuationSeparator" w:id="0">
    <w:p w14:paraId="1A6085E1" w14:textId="77777777" w:rsidR="006A70E6" w:rsidRDefault="006A70E6" w:rsidP="003967DD">
      <w:pPr>
        <w:spacing w:after="0"/>
      </w:pPr>
      <w:r>
        <w:continuationSeparator/>
      </w:r>
    </w:p>
  </w:endnote>
  <w:endnote w:type="continuationNotice" w:id="1">
    <w:p w14:paraId="114EE159" w14:textId="77777777" w:rsidR="005A3A69" w:rsidRDefault="005A3A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Arial" w:hAnsi="Arial" w:cs="Times New Roman"/>
        <w:sz w:val="20"/>
        <w:szCs w:val="20"/>
      </w:rPr>
      <w:id w:val="-6666367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Arial" w:hAnsi="Arial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281176" w14:textId="64078FF8" w:rsidR="005B1F44" w:rsidRPr="005B1F44" w:rsidRDefault="00B64A9A" w:rsidP="005B1F44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Times New Roman"/>
                <w:sz w:val="20"/>
                <w:szCs w:val="20"/>
              </w:rPr>
            </w:pPr>
            <w:r w:rsidRPr="00B64A9A">
              <w:rPr>
                <w:rFonts w:ascii="Arial" w:eastAsia="Arial" w:hAnsi="Arial" w:cs="Times New Roman"/>
                <w:sz w:val="20"/>
                <w:szCs w:val="20"/>
              </w:rPr>
              <w:t xml:space="preserve">Page </w:t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begin"/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instrText xml:space="preserve"> PAGE </w:instrText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separate"/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t>3</w:t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end"/>
            </w:r>
            <w:r w:rsidRPr="00B64A9A">
              <w:rPr>
                <w:rFonts w:ascii="Arial" w:eastAsia="Arial" w:hAnsi="Arial" w:cs="Times New Roman"/>
                <w:sz w:val="20"/>
                <w:szCs w:val="20"/>
              </w:rPr>
              <w:t xml:space="preserve"> of </w:t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begin"/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instrText xml:space="preserve"> NUMPAGES  </w:instrText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separate"/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t>3</w:t>
            </w:r>
            <w:r w:rsidRPr="00B64A9A">
              <w:rPr>
                <w:rFonts w:ascii="Arial" w:eastAsia="Arial" w:hAnsi="Arial" w:cs="Times New Roman"/>
                <w:bCs/>
                <w:sz w:val="20"/>
                <w:szCs w:val="20"/>
              </w:rPr>
              <w:fldChar w:fldCharType="end"/>
            </w:r>
          </w:p>
          <w:p w14:paraId="479F2B09" w14:textId="040C1ED4" w:rsidR="00B64A9A" w:rsidRPr="00B64A9A" w:rsidRDefault="005B1F44" w:rsidP="005B1F44">
            <w:pPr>
              <w:tabs>
                <w:tab w:val="center" w:pos="4513"/>
                <w:tab w:val="right" w:pos="9026"/>
              </w:tabs>
              <w:rPr>
                <w:rFonts w:ascii="Arial" w:eastAsia="Arial" w:hAnsi="Arial" w:cs="Times New Roman"/>
                <w:sz w:val="20"/>
                <w:szCs w:val="20"/>
              </w:rPr>
            </w:pPr>
            <w:r w:rsidRPr="005B1F44"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Published </w:t>
            </w:r>
            <w:r w:rsidR="00B9005B" w:rsidRPr="00D32228">
              <w:rPr>
                <w:rFonts w:ascii="Arial" w:eastAsia="Arial" w:hAnsi="Arial" w:cs="Times New Roman"/>
                <w:bCs/>
                <w:sz w:val="20"/>
                <w:szCs w:val="20"/>
              </w:rPr>
              <w:t>December 202</w:t>
            </w:r>
            <w:r w:rsidR="0041583F" w:rsidRPr="00D32228">
              <w:rPr>
                <w:rFonts w:ascii="Arial" w:eastAsia="Arial" w:hAnsi="Arial" w:cs="Times New Roman"/>
                <w:bCs/>
                <w:sz w:val="20"/>
                <w:szCs w:val="20"/>
              </w:rPr>
              <w:t>2</w:t>
            </w:r>
            <w:r w:rsidR="00823E46" w:rsidRPr="005B1F44"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 </w:t>
            </w:r>
            <w:r w:rsidR="00823E46"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(version </w:t>
            </w:r>
            <w:r w:rsidR="0041583F">
              <w:rPr>
                <w:rFonts w:ascii="Arial" w:eastAsia="Arial" w:hAnsi="Arial" w:cs="Times New Roman"/>
                <w:bCs/>
                <w:sz w:val="20"/>
                <w:szCs w:val="20"/>
              </w:rPr>
              <w:t>3</w:t>
            </w:r>
            <w:r w:rsidR="00D31A68">
              <w:rPr>
                <w:rFonts w:ascii="Arial" w:eastAsia="Arial" w:hAnsi="Arial" w:cs="Times New Roman"/>
                <w:bCs/>
                <w:sz w:val="20"/>
                <w:szCs w:val="20"/>
              </w:rPr>
              <w:t>.0</w:t>
            </w:r>
            <w:r w:rsidR="00823E46">
              <w:rPr>
                <w:rFonts w:ascii="Arial" w:eastAsia="Arial" w:hAnsi="Arial" w:cs="Times New Roman"/>
                <w:bCs/>
                <w:sz w:val="20"/>
                <w:szCs w:val="20"/>
              </w:rPr>
              <w:t>)</w:t>
            </w:r>
            <w:r w:rsidR="00823E46" w:rsidRPr="005B1F44">
              <w:rPr>
                <w:rFonts w:ascii="Arial" w:eastAsia="Arial" w:hAnsi="Arial" w:cs="Times New Roman"/>
                <w:bCs/>
                <w:sz w:val="20"/>
                <w:szCs w:val="20"/>
              </w:rPr>
              <w:t xml:space="preserve">    </w:t>
            </w:r>
            <w:r w:rsidRPr="005B1F44">
              <w:rPr>
                <w:rFonts w:ascii="Arial" w:eastAsia="Arial" w:hAnsi="Arial" w:cs="Times New Roman"/>
                <w:i/>
                <w:sz w:val="20"/>
                <w:szCs w:val="20"/>
              </w:rPr>
              <w:t>This document is a guide only and subject to change</w:t>
            </w:r>
          </w:p>
        </w:sdtContent>
      </w:sdt>
    </w:sdtContent>
  </w:sdt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88F4" w14:textId="77777777" w:rsidR="006A70E6" w:rsidRDefault="006A70E6" w:rsidP="003967DD">
      <w:pPr>
        <w:spacing w:after="0"/>
      </w:pPr>
      <w:r>
        <w:separator/>
      </w:r>
    </w:p>
  </w:footnote>
  <w:footnote w:type="continuationSeparator" w:id="0">
    <w:p w14:paraId="399945E7" w14:textId="77777777" w:rsidR="006A70E6" w:rsidRDefault="006A70E6" w:rsidP="003967DD">
      <w:pPr>
        <w:spacing w:after="0"/>
      </w:pPr>
      <w:r>
        <w:continuationSeparator/>
      </w:r>
    </w:p>
  </w:footnote>
  <w:footnote w:type="continuationNotice" w:id="1">
    <w:p w14:paraId="6299B4D0" w14:textId="77777777" w:rsidR="005A3A69" w:rsidRDefault="005A3A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702F27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7"/>
          <wp:effectExtent l="0" t="0" r="635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D6144E5A"/>
    <w:lvl w:ilvl="0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60641">
    <w:abstractNumId w:val="0"/>
  </w:num>
  <w:num w:numId="2" w16cid:durableId="390351270">
    <w:abstractNumId w:val="1"/>
  </w:num>
  <w:num w:numId="3" w16cid:durableId="724566372">
    <w:abstractNumId w:val="2"/>
  </w:num>
  <w:num w:numId="4" w16cid:durableId="1698656004">
    <w:abstractNumId w:val="3"/>
  </w:num>
  <w:num w:numId="5" w16cid:durableId="1869366577">
    <w:abstractNumId w:val="4"/>
  </w:num>
  <w:num w:numId="6" w16cid:durableId="844058330">
    <w:abstractNumId w:val="9"/>
  </w:num>
  <w:num w:numId="7" w16cid:durableId="917523912">
    <w:abstractNumId w:val="5"/>
  </w:num>
  <w:num w:numId="8" w16cid:durableId="734669077">
    <w:abstractNumId w:val="6"/>
  </w:num>
  <w:num w:numId="9" w16cid:durableId="1620532104">
    <w:abstractNumId w:val="7"/>
  </w:num>
  <w:num w:numId="10" w16cid:durableId="828524875">
    <w:abstractNumId w:val="8"/>
  </w:num>
  <w:num w:numId="11" w16cid:durableId="1810243148">
    <w:abstractNumId w:val="10"/>
  </w:num>
  <w:num w:numId="12" w16cid:durableId="1609508777">
    <w:abstractNumId w:val="13"/>
  </w:num>
  <w:num w:numId="13" w16cid:durableId="524441584">
    <w:abstractNumId w:val="15"/>
  </w:num>
  <w:num w:numId="14" w16cid:durableId="1380860282">
    <w:abstractNumId w:val="16"/>
  </w:num>
  <w:num w:numId="15" w16cid:durableId="1828011966">
    <w:abstractNumId w:val="11"/>
  </w:num>
  <w:num w:numId="16" w16cid:durableId="1167019320">
    <w:abstractNumId w:val="14"/>
  </w:num>
  <w:num w:numId="17" w16cid:durableId="2056272614">
    <w:abstractNumId w:val="12"/>
  </w:num>
  <w:num w:numId="18" w16cid:durableId="428309447">
    <w:abstractNumId w:val="16"/>
  </w:num>
  <w:num w:numId="19" w16cid:durableId="1674068631">
    <w:abstractNumId w:val="16"/>
  </w:num>
  <w:num w:numId="20" w16cid:durableId="1915164979">
    <w:abstractNumId w:val="16"/>
  </w:num>
  <w:num w:numId="21" w16cid:durableId="319113116">
    <w:abstractNumId w:val="16"/>
  </w:num>
  <w:num w:numId="22" w16cid:durableId="219828599">
    <w:abstractNumId w:val="13"/>
  </w:num>
  <w:num w:numId="23" w16cid:durableId="1255821872">
    <w:abstractNumId w:val="16"/>
  </w:num>
  <w:num w:numId="24" w16cid:durableId="1073355745">
    <w:abstractNumId w:val="16"/>
  </w:num>
  <w:num w:numId="25" w16cid:durableId="1218006509">
    <w:abstractNumId w:val="16"/>
  </w:num>
  <w:num w:numId="26" w16cid:durableId="394402537">
    <w:abstractNumId w:val="16"/>
  </w:num>
  <w:num w:numId="27" w16cid:durableId="1371102416">
    <w:abstractNumId w:val="16"/>
  </w:num>
  <w:num w:numId="28" w16cid:durableId="1130627753">
    <w:abstractNumId w:val="16"/>
  </w:num>
  <w:num w:numId="29" w16cid:durableId="1969970600">
    <w:abstractNumId w:val="16"/>
  </w:num>
  <w:num w:numId="30" w16cid:durableId="1336610266">
    <w:abstractNumId w:val="16"/>
  </w:num>
  <w:num w:numId="31" w16cid:durableId="2092195297">
    <w:abstractNumId w:val="16"/>
  </w:num>
  <w:num w:numId="32" w16cid:durableId="1563366555">
    <w:abstractNumId w:val="16"/>
  </w:num>
  <w:num w:numId="33" w16cid:durableId="1467233135">
    <w:abstractNumId w:val="16"/>
  </w:num>
  <w:num w:numId="34" w16cid:durableId="1197620853">
    <w:abstractNumId w:val="16"/>
  </w:num>
  <w:num w:numId="35" w16cid:durableId="1043167847">
    <w:abstractNumId w:val="16"/>
  </w:num>
  <w:num w:numId="36" w16cid:durableId="1533953185">
    <w:abstractNumId w:val="16"/>
  </w:num>
  <w:num w:numId="37" w16cid:durableId="1093624861">
    <w:abstractNumId w:val="16"/>
  </w:num>
  <w:num w:numId="38" w16cid:durableId="518548202">
    <w:abstractNumId w:val="16"/>
  </w:num>
  <w:num w:numId="39" w16cid:durableId="989745391">
    <w:abstractNumId w:val="16"/>
  </w:num>
  <w:num w:numId="40" w16cid:durableId="1125461953">
    <w:abstractNumId w:val="16"/>
  </w:num>
  <w:num w:numId="41" w16cid:durableId="1226140835">
    <w:abstractNumId w:val="16"/>
  </w:num>
  <w:num w:numId="42" w16cid:durableId="675419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7111"/>
    <w:rsid w:val="000553D1"/>
    <w:rsid w:val="000560F8"/>
    <w:rsid w:val="000659D6"/>
    <w:rsid w:val="00071A10"/>
    <w:rsid w:val="00077C0A"/>
    <w:rsid w:val="00080DA9"/>
    <w:rsid w:val="000861DD"/>
    <w:rsid w:val="000876F7"/>
    <w:rsid w:val="000A1F25"/>
    <w:rsid w:val="000A47D4"/>
    <w:rsid w:val="000C147B"/>
    <w:rsid w:val="000C600E"/>
    <w:rsid w:val="000D7F9A"/>
    <w:rsid w:val="001059E5"/>
    <w:rsid w:val="00122369"/>
    <w:rsid w:val="00150E0F"/>
    <w:rsid w:val="00157212"/>
    <w:rsid w:val="00161E95"/>
    <w:rsid w:val="0016287D"/>
    <w:rsid w:val="001765BE"/>
    <w:rsid w:val="00192C44"/>
    <w:rsid w:val="001B469D"/>
    <w:rsid w:val="001B754F"/>
    <w:rsid w:val="001D0D94"/>
    <w:rsid w:val="001D13F9"/>
    <w:rsid w:val="001F39DD"/>
    <w:rsid w:val="00234967"/>
    <w:rsid w:val="002430BA"/>
    <w:rsid w:val="002512BE"/>
    <w:rsid w:val="0025246E"/>
    <w:rsid w:val="00252A4C"/>
    <w:rsid w:val="002614A8"/>
    <w:rsid w:val="00275FB8"/>
    <w:rsid w:val="00287397"/>
    <w:rsid w:val="002A492A"/>
    <w:rsid w:val="002A4A96"/>
    <w:rsid w:val="002B0DE0"/>
    <w:rsid w:val="002D1B8B"/>
    <w:rsid w:val="002E3BED"/>
    <w:rsid w:val="002E4681"/>
    <w:rsid w:val="002F2B5B"/>
    <w:rsid w:val="002F6115"/>
    <w:rsid w:val="00303EFD"/>
    <w:rsid w:val="00312720"/>
    <w:rsid w:val="00343AFC"/>
    <w:rsid w:val="003459B5"/>
    <w:rsid w:val="0034745C"/>
    <w:rsid w:val="003967DD"/>
    <w:rsid w:val="003A4C39"/>
    <w:rsid w:val="003C4063"/>
    <w:rsid w:val="003C4437"/>
    <w:rsid w:val="003D78A3"/>
    <w:rsid w:val="00412481"/>
    <w:rsid w:val="0041583F"/>
    <w:rsid w:val="0042333B"/>
    <w:rsid w:val="00443E58"/>
    <w:rsid w:val="00455B90"/>
    <w:rsid w:val="00481954"/>
    <w:rsid w:val="004A2E74"/>
    <w:rsid w:val="004B2ED6"/>
    <w:rsid w:val="004B433F"/>
    <w:rsid w:val="004B4E0C"/>
    <w:rsid w:val="004C039B"/>
    <w:rsid w:val="004C2417"/>
    <w:rsid w:val="004D0289"/>
    <w:rsid w:val="004D4388"/>
    <w:rsid w:val="004F476C"/>
    <w:rsid w:val="00500ADA"/>
    <w:rsid w:val="00506B22"/>
    <w:rsid w:val="00506EDF"/>
    <w:rsid w:val="00512BBA"/>
    <w:rsid w:val="00520AEE"/>
    <w:rsid w:val="0053510B"/>
    <w:rsid w:val="00555277"/>
    <w:rsid w:val="00567CF0"/>
    <w:rsid w:val="00567D5F"/>
    <w:rsid w:val="00584366"/>
    <w:rsid w:val="005A3A69"/>
    <w:rsid w:val="005A4F12"/>
    <w:rsid w:val="005A6644"/>
    <w:rsid w:val="005B1F44"/>
    <w:rsid w:val="005C515C"/>
    <w:rsid w:val="005D17C5"/>
    <w:rsid w:val="005E0713"/>
    <w:rsid w:val="005E6484"/>
    <w:rsid w:val="0060170D"/>
    <w:rsid w:val="00621C34"/>
    <w:rsid w:val="00624272"/>
    <w:rsid w:val="00624A55"/>
    <w:rsid w:val="006336CF"/>
    <w:rsid w:val="0065170A"/>
    <w:rsid w:val="006523D7"/>
    <w:rsid w:val="006671CE"/>
    <w:rsid w:val="006733F5"/>
    <w:rsid w:val="006769D1"/>
    <w:rsid w:val="00685125"/>
    <w:rsid w:val="006A1F8A"/>
    <w:rsid w:val="006A25AC"/>
    <w:rsid w:val="006A70E6"/>
    <w:rsid w:val="006C3D84"/>
    <w:rsid w:val="006C45C0"/>
    <w:rsid w:val="006D4425"/>
    <w:rsid w:val="006E2B9A"/>
    <w:rsid w:val="00710CED"/>
    <w:rsid w:val="00723B70"/>
    <w:rsid w:val="00735566"/>
    <w:rsid w:val="00746A0F"/>
    <w:rsid w:val="00757518"/>
    <w:rsid w:val="00767573"/>
    <w:rsid w:val="0079411D"/>
    <w:rsid w:val="007A76B1"/>
    <w:rsid w:val="007B556E"/>
    <w:rsid w:val="007D3E38"/>
    <w:rsid w:val="007F4DA8"/>
    <w:rsid w:val="008065DA"/>
    <w:rsid w:val="00823E46"/>
    <w:rsid w:val="008317A9"/>
    <w:rsid w:val="008422AA"/>
    <w:rsid w:val="00843182"/>
    <w:rsid w:val="00845F7F"/>
    <w:rsid w:val="00882BC6"/>
    <w:rsid w:val="00890680"/>
    <w:rsid w:val="00892E24"/>
    <w:rsid w:val="008B1737"/>
    <w:rsid w:val="008D2CB3"/>
    <w:rsid w:val="008E1FF0"/>
    <w:rsid w:val="008F3B05"/>
    <w:rsid w:val="008F3D35"/>
    <w:rsid w:val="00920726"/>
    <w:rsid w:val="00952690"/>
    <w:rsid w:val="00954B9A"/>
    <w:rsid w:val="00984E75"/>
    <w:rsid w:val="0099358C"/>
    <w:rsid w:val="009B0ABA"/>
    <w:rsid w:val="009B2494"/>
    <w:rsid w:val="009C6200"/>
    <w:rsid w:val="009D12D1"/>
    <w:rsid w:val="009D25A1"/>
    <w:rsid w:val="009F6A77"/>
    <w:rsid w:val="00A00D24"/>
    <w:rsid w:val="00A151C3"/>
    <w:rsid w:val="00A31926"/>
    <w:rsid w:val="00A375DA"/>
    <w:rsid w:val="00A41841"/>
    <w:rsid w:val="00A44A4C"/>
    <w:rsid w:val="00A710DF"/>
    <w:rsid w:val="00A7782A"/>
    <w:rsid w:val="00AB30A9"/>
    <w:rsid w:val="00AC1BDC"/>
    <w:rsid w:val="00AD4008"/>
    <w:rsid w:val="00B062E2"/>
    <w:rsid w:val="00B06DD1"/>
    <w:rsid w:val="00B14EB1"/>
    <w:rsid w:val="00B20F38"/>
    <w:rsid w:val="00B21562"/>
    <w:rsid w:val="00B64A9A"/>
    <w:rsid w:val="00B9005B"/>
    <w:rsid w:val="00BC1851"/>
    <w:rsid w:val="00BE7ED2"/>
    <w:rsid w:val="00C04B9B"/>
    <w:rsid w:val="00C16D39"/>
    <w:rsid w:val="00C46DCD"/>
    <w:rsid w:val="00C539BB"/>
    <w:rsid w:val="00C6119C"/>
    <w:rsid w:val="00C61AED"/>
    <w:rsid w:val="00C77E24"/>
    <w:rsid w:val="00C812D9"/>
    <w:rsid w:val="00C84AB3"/>
    <w:rsid w:val="00C87B03"/>
    <w:rsid w:val="00CA66C3"/>
    <w:rsid w:val="00CC5AA8"/>
    <w:rsid w:val="00CC7207"/>
    <w:rsid w:val="00CD5993"/>
    <w:rsid w:val="00CE03CD"/>
    <w:rsid w:val="00CE1C5F"/>
    <w:rsid w:val="00CE52BD"/>
    <w:rsid w:val="00CE7916"/>
    <w:rsid w:val="00D017FE"/>
    <w:rsid w:val="00D05F50"/>
    <w:rsid w:val="00D27D39"/>
    <w:rsid w:val="00D31A68"/>
    <w:rsid w:val="00D32228"/>
    <w:rsid w:val="00D562B8"/>
    <w:rsid w:val="00D9777A"/>
    <w:rsid w:val="00DA444D"/>
    <w:rsid w:val="00DA5734"/>
    <w:rsid w:val="00DC4C5F"/>
    <w:rsid w:val="00DC4D0D"/>
    <w:rsid w:val="00DC5B58"/>
    <w:rsid w:val="00DE7166"/>
    <w:rsid w:val="00E30BD6"/>
    <w:rsid w:val="00E34263"/>
    <w:rsid w:val="00E34721"/>
    <w:rsid w:val="00E4317E"/>
    <w:rsid w:val="00E5030B"/>
    <w:rsid w:val="00E6100B"/>
    <w:rsid w:val="00E64758"/>
    <w:rsid w:val="00E6610C"/>
    <w:rsid w:val="00E7003A"/>
    <w:rsid w:val="00E77EB9"/>
    <w:rsid w:val="00E80714"/>
    <w:rsid w:val="00E8197C"/>
    <w:rsid w:val="00EA0EC3"/>
    <w:rsid w:val="00EB1FB2"/>
    <w:rsid w:val="00EC6C65"/>
    <w:rsid w:val="00EF3046"/>
    <w:rsid w:val="00F0610A"/>
    <w:rsid w:val="00F31048"/>
    <w:rsid w:val="00F32B5B"/>
    <w:rsid w:val="00F5271F"/>
    <w:rsid w:val="00F66329"/>
    <w:rsid w:val="00F80E36"/>
    <w:rsid w:val="00F94715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0714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2E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B2A8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00B2A8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00B2A8" w:themeColor="accent1"/>
      </w:pBdr>
    </w:pPr>
    <w:rPr>
      <w:b/>
      <w:color w:val="00B2A8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71C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E74"/>
    <w:rPr>
      <w:rFonts w:asciiTheme="majorHAnsi" w:eastAsiaTheme="majorEastAsia" w:hAnsiTheme="majorHAnsi" w:cstheme="majorBidi"/>
      <w:b/>
      <w:color w:val="00B2A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71CE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B2A8" w:themeColor="accent1"/>
        <w:bottom w:val="single" w:sz="4" w:space="10" w:color="00B2A8" w:themeColor="accent1"/>
      </w:pBdr>
      <w:spacing w:before="360" w:after="360"/>
    </w:pPr>
    <w:rPr>
      <w:b/>
      <w:iCs/>
      <w:color w:val="00B2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B2A8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A44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A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0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creativecommons.org/licenses/by/4.0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education.vic.gov.au/Pages/copyrigh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vic.gov.au/sv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yperlink" Target="https://www.education.vic.gov.au/Pages/copyrigh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Training and Skil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B2A8"/>
      </a:accent1>
      <a:accent2>
        <a:srgbClr val="71C5E8"/>
      </a:accent2>
      <a:accent3>
        <a:srgbClr val="0071CE"/>
      </a:accent3>
      <a:accent4>
        <a:srgbClr val="86189C"/>
      </a:accent4>
      <a:accent5>
        <a:srgbClr val="00B140"/>
      </a:accent5>
      <a:accent6>
        <a:srgbClr val="53565A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9E3736-AEB0-4642-ADB5-AA70EB643776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purl.org/dc/dcmitype/"/>
    <ds:schemaRef ds:uri="http://purl.org/dc/terms/"/>
    <ds:schemaRef ds:uri="6e2460a2-3e09-40bc-a665-6e5b313d5e13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21EA6E2-0988-4C6F-8C4B-B83A296C0A9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Claire Reader</cp:lastModifiedBy>
  <cp:revision>25</cp:revision>
  <cp:lastPrinted>2022-12-02T06:04:00Z</cp:lastPrinted>
  <dcterms:created xsi:type="dcterms:W3CDTF">2022-11-08T23:05:00Z</dcterms:created>
  <dcterms:modified xsi:type="dcterms:W3CDTF">2022-12-02T06:05:00Z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{b3cca25b-f07d-4239-8a3c-b7d682f9d566}</vt:lpwstr>
  </property>
  <property fmtid="{D5CDD505-2E9C-101B-9397-08002B2CF9AE}" pid="5" name="RecordPoint_ActiveItemListId">
    <vt:lpwstr>{099e913b-59b7-463a-b199-018130ffc057}</vt:lpwstr>
  </property>
  <property fmtid="{D5CDD505-2E9C-101B-9397-08002B2CF9AE}" pid="6" name="RecordPoint_ActiveItemUniqueId">
    <vt:lpwstr>{2634659b-94f5-4f4a-b091-c6c219fd8835}</vt:lpwstr>
  </property>
  <property fmtid="{D5CDD505-2E9C-101B-9397-08002B2CF9AE}" pid="7" name="RecordPoint_ActiveItemWebId">
    <vt:lpwstr>{6e2460a2-3e09-40bc-a665-6e5b313d5e13}</vt:lpwstr>
  </property>
  <property fmtid="{D5CDD505-2E9C-101B-9397-08002B2CF9AE}" pid="8" name="DET_EDRMS_RCSTaxHTField0">
    <vt:lpwstr>13.1.2 Internal Policy|ad985a07-89db-41e4-84da-e1a6cef79014</vt:lpwstr>
  </property>
  <property fmtid="{D5CDD505-2E9C-101B-9397-08002B2CF9AE}" pid="9" name="DET_EDRMS_RCS">
    <vt:lpwstr>13;#13.1.2 Internal Policy|ad985a07-89db-41e4-84da-e1a6cef79014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R20220589120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RecordPoint_SubmissionCompleted">
    <vt:lpwstr>2022-12-02T17:06:27.7832882+11:00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ofbb8b9a280a423a91cf717fb81349cd">
    <vt:lpwstr>Education|5232e41c-5101-41fe-b638-7d41d1371531</vt:lpwstr>
  </property>
  <property fmtid="{D5CDD505-2E9C-101B-9397-08002B2CF9AE}" pid="17" name="a319977fc8504e09982f090ae1d7c602">
    <vt:lpwstr>Page|eb523acf-a821-456c-a76b-7607578309d7</vt:lpwstr>
  </property>
  <property fmtid="{D5CDD505-2E9C-101B-9397-08002B2CF9AE}" pid="18" name="DEECD_ItemType">
    <vt:lpwstr>101;#Page|eb523acf-a821-456c-a76b-7607578309d7</vt:lpwstr>
  </property>
</Properties>
</file>