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7110" w14:textId="77777777" w:rsidR="00087175" w:rsidRDefault="00087175" w:rsidP="00087175">
      <w:pPr>
        <w:pStyle w:val="Heading1"/>
        <w:spacing w:before="0"/>
        <w:rPr>
          <w:rFonts w:ascii="VIC SemiBold" w:hAnsi="VIC SemiBold"/>
          <w:lang w:val="en-AU"/>
        </w:rPr>
      </w:pPr>
    </w:p>
    <w:p w14:paraId="3E7080F5" w14:textId="698134AF" w:rsidR="00624A55" w:rsidRPr="00D73869" w:rsidRDefault="005F347C" w:rsidP="00D73869">
      <w:pPr>
        <w:pStyle w:val="Heading1"/>
      </w:pPr>
      <w:r w:rsidRPr="00D73869">
        <w:t xml:space="preserve">Who can apply for </w:t>
      </w:r>
      <w:r w:rsidR="00F11745">
        <w:t>CEW</w:t>
      </w:r>
      <w:r w:rsidR="00951FC4">
        <w:t>CB</w:t>
      </w:r>
      <w:r w:rsidRPr="00D73869">
        <w:t>F funding?</w:t>
      </w:r>
    </w:p>
    <w:p w14:paraId="51B87669" w14:textId="67F53425" w:rsidR="00087175" w:rsidRPr="00D73869" w:rsidRDefault="00087175" w:rsidP="00E306EA">
      <w:pPr>
        <w:pStyle w:val="Intro"/>
        <w:spacing w:after="0"/>
        <w:rPr>
          <w:rFonts w:cstheme="minorHAnsi"/>
          <w:b w:val="0"/>
          <w:bCs/>
          <w:color w:val="auto"/>
          <w:sz w:val="14"/>
          <w:szCs w:val="14"/>
        </w:rPr>
      </w:pPr>
    </w:p>
    <w:p w14:paraId="178AF9D9" w14:textId="73E4E4B3" w:rsidR="002B2D25" w:rsidRPr="0030380A" w:rsidRDefault="00B14F77" w:rsidP="001B129D">
      <w:pPr>
        <w:pStyle w:val="ESBodyText"/>
        <w:spacing w:before="240" w:after="240"/>
        <w:rPr>
          <w:rFonts w:asciiTheme="minorHAnsi" w:hAnsiTheme="minorHAnsi" w:cstheme="minorHAnsi"/>
          <w:sz w:val="20"/>
          <w:szCs w:val="16"/>
        </w:rPr>
      </w:pPr>
      <w:r w:rsidRPr="0030380A">
        <w:rPr>
          <w:rFonts w:asciiTheme="minorHAnsi" w:hAnsiTheme="minorHAnsi" w:cstheme="minorHAnsi"/>
          <w:sz w:val="20"/>
          <w:szCs w:val="16"/>
        </w:rPr>
        <w:t xml:space="preserve">Applications are considered from a range of organisations. There are two potential roles an organisation may have in a </w:t>
      </w:r>
      <w:r w:rsidR="00F11745">
        <w:rPr>
          <w:rFonts w:asciiTheme="minorHAnsi" w:hAnsiTheme="minorHAnsi" w:cstheme="minorHAnsi"/>
          <w:sz w:val="20"/>
          <w:szCs w:val="16"/>
        </w:rPr>
        <w:t>CEWCB</w:t>
      </w:r>
      <w:r w:rsidRPr="0030380A">
        <w:rPr>
          <w:rFonts w:asciiTheme="minorHAnsi" w:hAnsiTheme="minorHAnsi" w:cstheme="minorHAnsi"/>
          <w:sz w:val="20"/>
          <w:szCs w:val="16"/>
        </w:rPr>
        <w:t xml:space="preserve">F project – lead or partner. </w:t>
      </w:r>
      <w:r w:rsidR="006823A0" w:rsidRPr="0030380A">
        <w:rPr>
          <w:rFonts w:asciiTheme="minorHAnsi" w:hAnsiTheme="minorHAnsi" w:cstheme="minorHAnsi"/>
          <w:sz w:val="20"/>
          <w:szCs w:val="16"/>
        </w:rPr>
        <w:t>T</w:t>
      </w:r>
      <w:r w:rsidRPr="0030380A">
        <w:rPr>
          <w:rFonts w:asciiTheme="minorHAnsi" w:hAnsiTheme="minorHAnsi" w:cstheme="minorHAnsi"/>
          <w:sz w:val="20"/>
          <w:szCs w:val="16"/>
        </w:rPr>
        <w:t>he lead role will have ultimate responsibility for the project and will be signatory to the funding agreement with the Department. The table below provides a breakdown of type and requirements across both roles.</w:t>
      </w:r>
    </w:p>
    <w:tbl>
      <w:tblPr>
        <w:tblW w:w="9542"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03"/>
        <w:gridCol w:w="5615"/>
        <w:gridCol w:w="992"/>
        <w:gridCol w:w="1032"/>
      </w:tblGrid>
      <w:tr w:rsidR="001B129D" w:rsidRPr="00D73869" w14:paraId="20E59C9F" w14:textId="77777777" w:rsidTr="0030380A">
        <w:trPr>
          <w:trHeight w:val="104"/>
          <w:tblHeader/>
        </w:trPr>
        <w:tc>
          <w:tcPr>
            <w:tcW w:w="7518" w:type="dxa"/>
            <w:gridSpan w:val="2"/>
            <w:vMerge w:val="restart"/>
            <w:tcBorders>
              <w:top w:val="single" w:sz="4" w:space="0" w:color="auto"/>
              <w:left w:val="nil"/>
              <w:bottom w:val="single" w:sz="4" w:space="0" w:color="auto"/>
              <w:right w:val="single" w:sz="4" w:space="0" w:color="auto"/>
            </w:tcBorders>
            <w:shd w:val="clear" w:color="auto" w:fill="0070C0"/>
            <w:vAlign w:val="center"/>
          </w:tcPr>
          <w:p w14:paraId="4DDE2745" w14:textId="118246FD" w:rsidR="001B129D" w:rsidRPr="00D73869" w:rsidRDefault="001B129D" w:rsidP="001B129D">
            <w:pPr>
              <w:pStyle w:val="ESBodyText"/>
              <w:spacing w:after="0" w:line="240" w:lineRule="auto"/>
              <w:rPr>
                <w:rFonts w:asciiTheme="minorHAnsi" w:hAnsiTheme="minorHAnsi" w:cstheme="minorHAnsi"/>
                <w:bCs/>
                <w:caps/>
                <w:color w:val="FFFFFF" w:themeColor="background1"/>
                <w:sz w:val="20"/>
                <w:szCs w:val="20"/>
              </w:rPr>
            </w:pPr>
            <w:r w:rsidRPr="001B129D">
              <w:rPr>
                <w:rStyle w:val="Heading2Char"/>
                <w:color w:val="FFFFFF" w:themeColor="background1"/>
              </w:rPr>
              <w:t>Applicant Eligibility Requirement</w:t>
            </w:r>
            <w:r w:rsidRPr="001B129D">
              <w:rPr>
                <w:rFonts w:asciiTheme="minorHAnsi" w:hAnsiTheme="minorHAnsi" w:cstheme="minorHAnsi"/>
                <w:b/>
                <w:color w:val="FFFFFF" w:themeColor="background1"/>
                <w:sz w:val="20"/>
                <w:szCs w:val="20"/>
              </w:rPr>
              <w:t xml:space="preserve"> </w:t>
            </w:r>
          </w:p>
        </w:tc>
        <w:tc>
          <w:tcPr>
            <w:tcW w:w="2024" w:type="dxa"/>
            <w:gridSpan w:val="2"/>
            <w:tcBorders>
              <w:top w:val="single" w:sz="4" w:space="0" w:color="auto"/>
              <w:left w:val="single" w:sz="4" w:space="0" w:color="auto"/>
              <w:bottom w:val="single" w:sz="4" w:space="0" w:color="FFFFFF" w:themeColor="background1"/>
              <w:right w:val="nil"/>
            </w:tcBorders>
            <w:shd w:val="clear" w:color="auto" w:fill="0070C0"/>
          </w:tcPr>
          <w:p w14:paraId="5E954E31" w14:textId="6261B0C3" w:rsidR="001B129D" w:rsidRPr="00D73869" w:rsidRDefault="001B129D" w:rsidP="001B129D">
            <w:pPr>
              <w:pStyle w:val="ESBodyText"/>
              <w:spacing w:before="60" w:after="60" w:line="240" w:lineRule="auto"/>
              <w:jc w:val="center"/>
              <w:rPr>
                <w:rFonts w:asciiTheme="minorHAnsi" w:hAnsiTheme="minorHAnsi" w:cstheme="minorHAnsi"/>
                <w:b/>
                <w:color w:val="FFFFFF" w:themeColor="background1"/>
                <w:sz w:val="20"/>
                <w:szCs w:val="20"/>
              </w:rPr>
            </w:pPr>
            <w:r w:rsidRPr="00D73869">
              <w:rPr>
                <w:rFonts w:asciiTheme="minorHAnsi" w:hAnsiTheme="minorHAnsi" w:cstheme="minorHAnsi"/>
                <w:b/>
                <w:color w:val="FFFFFF" w:themeColor="background1"/>
                <w:sz w:val="20"/>
                <w:szCs w:val="20"/>
              </w:rPr>
              <w:t>Eligibility</w:t>
            </w:r>
          </w:p>
        </w:tc>
      </w:tr>
      <w:tr w:rsidR="0030380A" w:rsidRPr="00D73869" w14:paraId="66C825A2" w14:textId="77777777" w:rsidTr="0030380A">
        <w:trPr>
          <w:cantSplit/>
          <w:trHeight w:val="151"/>
          <w:tblHeader/>
        </w:trPr>
        <w:tc>
          <w:tcPr>
            <w:tcW w:w="7518" w:type="dxa"/>
            <w:gridSpan w:val="2"/>
            <w:vMerge/>
            <w:tcBorders>
              <w:top w:val="single" w:sz="4" w:space="0" w:color="auto"/>
              <w:left w:val="nil"/>
              <w:bottom w:val="single" w:sz="4" w:space="0" w:color="00B2A8" w:themeColor="accent1"/>
              <w:right w:val="single" w:sz="4" w:space="0" w:color="auto"/>
            </w:tcBorders>
            <w:shd w:val="clear" w:color="auto" w:fill="0070C0"/>
          </w:tcPr>
          <w:p w14:paraId="238FF207" w14:textId="77777777" w:rsidR="001B129D" w:rsidRPr="00D73869" w:rsidRDefault="001B129D" w:rsidP="007C2161">
            <w:pPr>
              <w:pStyle w:val="ESBodyText"/>
              <w:spacing w:after="0" w:line="240" w:lineRule="auto"/>
              <w:jc w:val="both"/>
              <w:rPr>
                <w:rFonts w:asciiTheme="minorHAnsi" w:hAnsiTheme="minorHAnsi" w:cstheme="minorHAnsi"/>
                <w:b/>
              </w:rPr>
            </w:pPr>
          </w:p>
        </w:tc>
        <w:tc>
          <w:tcPr>
            <w:tcW w:w="992" w:type="dxa"/>
            <w:tcBorders>
              <w:top w:val="single" w:sz="4" w:space="0" w:color="FFFFFF" w:themeColor="background1"/>
              <w:left w:val="single" w:sz="4" w:space="0" w:color="auto"/>
              <w:bottom w:val="single" w:sz="4" w:space="0" w:color="00B2A8" w:themeColor="accent1"/>
              <w:right w:val="single" w:sz="4" w:space="0" w:color="auto"/>
            </w:tcBorders>
            <w:shd w:val="clear" w:color="auto" w:fill="0070C0"/>
            <w:vAlign w:val="center"/>
          </w:tcPr>
          <w:p w14:paraId="6444BA93" w14:textId="68FA79A2" w:rsidR="001B129D" w:rsidRPr="001B129D" w:rsidRDefault="001B129D" w:rsidP="001B129D">
            <w:pPr>
              <w:pStyle w:val="ESBodyText"/>
              <w:spacing w:before="60" w:after="60" w:line="240" w:lineRule="auto"/>
              <w:jc w:val="center"/>
              <w:rPr>
                <w:rFonts w:asciiTheme="minorHAnsi" w:hAnsiTheme="minorHAnsi" w:cstheme="minorHAnsi"/>
                <w:color w:val="FFFFFF" w:themeColor="background1"/>
                <w:sz w:val="20"/>
                <w:szCs w:val="20"/>
              </w:rPr>
            </w:pPr>
            <w:r w:rsidRPr="001B129D">
              <w:rPr>
                <w:rFonts w:asciiTheme="minorHAnsi" w:hAnsiTheme="minorHAnsi" w:cstheme="minorHAnsi"/>
                <w:color w:val="FFFFFF" w:themeColor="background1"/>
                <w:sz w:val="20"/>
                <w:szCs w:val="20"/>
              </w:rPr>
              <w:t>Lead</w:t>
            </w:r>
          </w:p>
        </w:tc>
        <w:tc>
          <w:tcPr>
            <w:tcW w:w="1032" w:type="dxa"/>
            <w:tcBorders>
              <w:top w:val="single" w:sz="4" w:space="0" w:color="FFFFFF" w:themeColor="background1"/>
              <w:left w:val="single" w:sz="4" w:space="0" w:color="auto"/>
              <w:bottom w:val="single" w:sz="4" w:space="0" w:color="00B2A8" w:themeColor="accent1"/>
              <w:right w:val="nil"/>
            </w:tcBorders>
            <w:shd w:val="clear" w:color="auto" w:fill="0070C0"/>
            <w:vAlign w:val="center"/>
          </w:tcPr>
          <w:p w14:paraId="3BB696E8" w14:textId="1F6C7366" w:rsidR="001B129D" w:rsidRPr="001B129D" w:rsidRDefault="001B129D" w:rsidP="001B129D">
            <w:pPr>
              <w:pStyle w:val="ESBodyText"/>
              <w:spacing w:before="60" w:after="60" w:line="240" w:lineRule="auto"/>
              <w:jc w:val="center"/>
              <w:rPr>
                <w:rFonts w:asciiTheme="minorHAnsi" w:hAnsiTheme="minorHAnsi" w:cstheme="minorHAnsi"/>
                <w:color w:val="FFFFFF" w:themeColor="background1"/>
                <w:sz w:val="20"/>
                <w:szCs w:val="20"/>
              </w:rPr>
            </w:pPr>
            <w:r w:rsidRPr="001B129D">
              <w:rPr>
                <w:rFonts w:asciiTheme="minorHAnsi" w:hAnsiTheme="minorHAnsi" w:cstheme="minorHAnsi"/>
                <w:color w:val="FFFFFF" w:themeColor="background1"/>
                <w:sz w:val="20"/>
                <w:szCs w:val="20"/>
              </w:rPr>
              <w:t>Partner</w:t>
            </w:r>
          </w:p>
        </w:tc>
      </w:tr>
      <w:tr w:rsidR="001B129D" w:rsidRPr="00D73869" w14:paraId="2D3CE99E" w14:textId="77777777" w:rsidTr="0030380A">
        <w:trPr>
          <w:cantSplit/>
          <w:trHeight w:val="251"/>
        </w:trPr>
        <w:tc>
          <w:tcPr>
            <w:tcW w:w="9542" w:type="dxa"/>
            <w:gridSpan w:val="4"/>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29E0B999" w14:textId="371DBEFC" w:rsidR="001B129D" w:rsidRPr="00D73869" w:rsidRDefault="001B129D" w:rsidP="00251E70">
            <w:pPr>
              <w:pStyle w:val="ESBodyText"/>
              <w:spacing w:before="120" w:line="240" w:lineRule="auto"/>
              <w:rPr>
                <w:rFonts w:asciiTheme="minorHAnsi" w:hAnsiTheme="minorHAnsi" w:cstheme="minorHAnsi"/>
                <w:b/>
                <w:bCs/>
                <w:caps/>
                <w:noProof/>
                <w:color w:val="00B140" w:themeColor="accent5"/>
                <w:sz w:val="14"/>
                <w:szCs w:val="14"/>
              </w:rPr>
            </w:pPr>
            <w:r w:rsidRPr="00D73869">
              <w:rPr>
                <w:rFonts w:asciiTheme="minorHAnsi" w:hAnsiTheme="minorHAnsi" w:cstheme="minorHAnsi"/>
                <w:b/>
                <w:bCs/>
                <w:caps/>
                <w:color w:val="FFFFFF" w:themeColor="background1"/>
                <w:sz w:val="24"/>
                <w:szCs w:val="24"/>
              </w:rPr>
              <w:t>Training Provider</w:t>
            </w:r>
          </w:p>
        </w:tc>
      </w:tr>
      <w:tr w:rsidR="001B129D" w:rsidRPr="00D73869" w14:paraId="2BA30AA2" w14:textId="77777777" w:rsidTr="0030380A">
        <w:trPr>
          <w:cantSplit/>
          <w:trHeight w:val="251"/>
        </w:trPr>
        <w:tc>
          <w:tcPr>
            <w:tcW w:w="1903" w:type="dxa"/>
            <w:tcBorders>
              <w:top w:val="single" w:sz="4" w:space="0" w:color="FFFFFF" w:themeColor="background1"/>
              <w:left w:val="single" w:sz="4" w:space="0" w:color="00B2A8" w:themeColor="accent1"/>
              <w:bottom w:val="single" w:sz="4" w:space="0" w:color="00B2A8" w:themeColor="accent1"/>
              <w:right w:val="single" w:sz="4" w:space="0" w:color="00B2A8" w:themeColor="accent1"/>
            </w:tcBorders>
            <w:shd w:val="clear" w:color="auto" w:fill="E5F3FF"/>
            <w:vAlign w:val="center"/>
          </w:tcPr>
          <w:p w14:paraId="10C50C55" w14:textId="010C04FB" w:rsidR="001B129D" w:rsidRPr="001B129D" w:rsidRDefault="001B129D" w:rsidP="00D73869">
            <w:pPr>
              <w:pStyle w:val="ESBodyText"/>
              <w:spacing w:before="60" w:after="60" w:line="240" w:lineRule="auto"/>
              <w:rPr>
                <w:rFonts w:asciiTheme="minorHAnsi" w:hAnsiTheme="minorHAnsi" w:cstheme="minorHAnsi"/>
                <w:bCs/>
                <w:sz w:val="20"/>
                <w:szCs w:val="20"/>
              </w:rPr>
            </w:pPr>
            <w:r w:rsidRPr="001B129D">
              <w:rPr>
                <w:rFonts w:asciiTheme="minorHAnsi" w:hAnsiTheme="minorHAnsi" w:cstheme="minorHAnsi"/>
                <w:sz w:val="20"/>
                <w:szCs w:val="20"/>
              </w:rPr>
              <w:t xml:space="preserve">Skills First Contract holders including </w:t>
            </w:r>
          </w:p>
        </w:tc>
        <w:tc>
          <w:tcPr>
            <w:tcW w:w="5615" w:type="dxa"/>
            <w:tcBorders>
              <w:top w:val="single" w:sz="4" w:space="0" w:color="FFFFFF" w:themeColor="background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7276C9F4" w14:textId="3958524F" w:rsidR="001B129D" w:rsidRPr="001B129D" w:rsidRDefault="001B129D" w:rsidP="00961D03">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TAFEs, dual sector (vocational arm only), Learn Locals and Registered Training Providers delivering in Victoria</w:t>
            </w:r>
          </w:p>
        </w:tc>
        <w:tc>
          <w:tcPr>
            <w:tcW w:w="992" w:type="dxa"/>
            <w:tcBorders>
              <w:top w:val="single" w:sz="4" w:space="0" w:color="FFFFFF" w:themeColor="background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22E94DE" w14:textId="0A4FEEB2"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3784D3AB" wp14:editId="7DB91904">
                  <wp:extent cx="152331" cy="174546"/>
                  <wp:effectExtent l="0" t="0" r="635"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1">
                            <a:extLst>
                              <a:ext uri="{96DAC541-7B7A-43D3-8B79-37D633B846F1}">
                                <asvg:svgBlip xmlns:asvg="http://schemas.microsoft.com/office/drawing/2016/SVG/main" r:embed="rId12"/>
                              </a:ext>
                            </a:extLst>
                          </a:blip>
                          <a:stretch>
                            <a:fillRect/>
                          </a:stretch>
                        </pic:blipFill>
                        <pic:spPr>
                          <a:xfrm>
                            <a:off x="0" y="0"/>
                            <a:ext cx="160243" cy="183612"/>
                          </a:xfrm>
                          <a:prstGeom prst="rect">
                            <a:avLst/>
                          </a:prstGeom>
                        </pic:spPr>
                      </pic:pic>
                    </a:graphicData>
                  </a:graphic>
                </wp:inline>
              </w:drawing>
            </w:r>
          </w:p>
        </w:tc>
        <w:tc>
          <w:tcPr>
            <w:tcW w:w="1032" w:type="dxa"/>
            <w:tcBorders>
              <w:top w:val="single" w:sz="4" w:space="0" w:color="FFFFFF" w:themeColor="background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6011F2F8" w14:textId="5EBFC312"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18D62C68" wp14:editId="6B7263AD">
                  <wp:extent cx="152331" cy="174546"/>
                  <wp:effectExtent l="0" t="0" r="635"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1">
                            <a:extLst>
                              <a:ext uri="{96DAC541-7B7A-43D3-8B79-37D633B846F1}">
                                <asvg:svgBlip xmlns:asvg="http://schemas.microsoft.com/office/drawing/2016/SVG/main" r:embed="rId12"/>
                              </a:ext>
                            </a:extLst>
                          </a:blip>
                          <a:stretch>
                            <a:fillRect/>
                          </a:stretch>
                        </pic:blipFill>
                        <pic:spPr>
                          <a:xfrm>
                            <a:off x="0" y="0"/>
                            <a:ext cx="160243" cy="183612"/>
                          </a:xfrm>
                          <a:prstGeom prst="rect">
                            <a:avLst/>
                          </a:prstGeom>
                        </pic:spPr>
                      </pic:pic>
                    </a:graphicData>
                  </a:graphic>
                </wp:inline>
              </w:drawing>
            </w:r>
          </w:p>
        </w:tc>
      </w:tr>
      <w:tr w:rsidR="001B129D" w:rsidRPr="00D73869" w14:paraId="0544EFBF" w14:textId="77777777" w:rsidTr="0030380A">
        <w:trPr>
          <w:trHeight w:val="52"/>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0E143CA7" w14:textId="2AD7660B" w:rsidR="001B129D" w:rsidRPr="001B129D" w:rsidRDefault="001B129D" w:rsidP="007C2161">
            <w:pPr>
              <w:pStyle w:val="ESBodyText"/>
              <w:spacing w:after="0" w:line="240" w:lineRule="auto"/>
              <w:rPr>
                <w:rFonts w:asciiTheme="minorHAnsi" w:hAnsiTheme="minorHAnsi" w:cstheme="minorHAnsi"/>
                <w:sz w:val="20"/>
                <w:szCs w:val="20"/>
              </w:rPr>
            </w:pPr>
            <w:r w:rsidRPr="001B129D">
              <w:rPr>
                <w:rFonts w:asciiTheme="minorHAnsi" w:hAnsiTheme="minorHAnsi" w:cstheme="minorHAnsi"/>
                <w:sz w:val="20"/>
                <w:szCs w:val="20"/>
              </w:rPr>
              <w:t xml:space="preserve">Training providers </w:t>
            </w:r>
            <w:r w:rsidRPr="0030380A">
              <w:rPr>
                <w:rFonts w:asciiTheme="minorHAnsi" w:hAnsiTheme="minorHAnsi" w:cstheme="minorHAnsi"/>
                <w:b/>
                <w:bCs/>
                <w:sz w:val="20"/>
                <w:szCs w:val="20"/>
              </w:rPr>
              <w:t xml:space="preserve">without </w:t>
            </w:r>
            <w:r w:rsidRPr="001B129D">
              <w:rPr>
                <w:rFonts w:asciiTheme="minorHAnsi" w:hAnsiTheme="minorHAnsi" w:cstheme="minorHAnsi"/>
                <w:sz w:val="20"/>
                <w:szCs w:val="20"/>
              </w:rPr>
              <w:t>a Skills First Contract</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396796EE" w14:textId="6DC298C9" w:rsidR="001B129D" w:rsidRPr="001B129D" w:rsidRDefault="001B129D" w:rsidP="00961D03">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Learn Locals with ACFE Board Registration and Registered Training Providers registered with the Australian Skills Quality Authority or the Victorian Registration and Qualifications authority delivering in Victoria</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615EE25" w14:textId="01A330B1"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ajorHAnsi" w:hAnsiTheme="majorHAnsi" w:cstheme="majorHAnsi"/>
                <w:bCs/>
                <w:caps/>
                <w:sz w:val="24"/>
                <w:szCs w:val="24"/>
              </w:rPr>
              <w:t>X</w:t>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25DD86F" w14:textId="5EDE8166"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191712C7" wp14:editId="25382546">
                  <wp:extent cx="152331" cy="174546"/>
                  <wp:effectExtent l="0" t="0" r="635"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1">
                            <a:extLst>
                              <a:ext uri="{96DAC541-7B7A-43D3-8B79-37D633B846F1}">
                                <asvg:svgBlip xmlns:asvg="http://schemas.microsoft.com/office/drawing/2016/SVG/main" r:embed="rId12"/>
                              </a:ext>
                            </a:extLst>
                          </a:blip>
                          <a:stretch>
                            <a:fillRect/>
                          </a:stretch>
                        </pic:blipFill>
                        <pic:spPr>
                          <a:xfrm>
                            <a:off x="0" y="0"/>
                            <a:ext cx="160243" cy="183612"/>
                          </a:xfrm>
                          <a:prstGeom prst="rect">
                            <a:avLst/>
                          </a:prstGeom>
                        </pic:spPr>
                      </pic:pic>
                    </a:graphicData>
                  </a:graphic>
                </wp:inline>
              </w:drawing>
            </w:r>
          </w:p>
        </w:tc>
      </w:tr>
      <w:tr w:rsidR="001B129D" w:rsidRPr="00D73869" w14:paraId="18105151" w14:textId="77777777" w:rsidTr="0030380A">
        <w:trPr>
          <w:cantSplit/>
          <w:trHeight w:val="233"/>
        </w:trPr>
        <w:tc>
          <w:tcPr>
            <w:tcW w:w="9542" w:type="dxa"/>
            <w:gridSpan w:val="4"/>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574BF55A" w14:textId="59E70833" w:rsidR="001B129D" w:rsidRPr="001B129D" w:rsidRDefault="001B129D" w:rsidP="001B129D">
            <w:pPr>
              <w:pStyle w:val="ESBodyText"/>
              <w:spacing w:before="120" w:line="240" w:lineRule="auto"/>
              <w:rPr>
                <w:rFonts w:asciiTheme="minorHAnsi" w:hAnsiTheme="minorHAnsi" w:cstheme="minorHAnsi"/>
                <w:b/>
                <w:bCs/>
                <w:caps/>
                <w:noProof/>
                <w:color w:val="FFFFFF" w:themeColor="background1"/>
                <w:sz w:val="24"/>
                <w:szCs w:val="24"/>
              </w:rPr>
            </w:pPr>
            <w:r w:rsidRPr="001B129D">
              <w:rPr>
                <w:rFonts w:asciiTheme="minorHAnsi" w:hAnsiTheme="minorHAnsi" w:cstheme="minorHAnsi"/>
                <w:b/>
                <w:bCs/>
                <w:caps/>
                <w:noProof/>
                <w:color w:val="FFFFFF" w:themeColor="background1"/>
                <w:sz w:val="24"/>
                <w:szCs w:val="24"/>
              </w:rPr>
              <w:t>industry</w:t>
            </w:r>
          </w:p>
        </w:tc>
      </w:tr>
      <w:tr w:rsidR="001B129D" w:rsidRPr="00D73869" w14:paraId="013402CA" w14:textId="77777777" w:rsidTr="0030380A">
        <w:trPr>
          <w:cantSplit/>
          <w:trHeight w:val="233"/>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2A56A39E" w14:textId="77777777" w:rsidR="001B129D" w:rsidRPr="001B129D" w:rsidRDefault="001B129D" w:rsidP="00D73869">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 xml:space="preserve">Union, Peak Body and Industry Association </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58CF9FAA" w14:textId="79C9EBFC" w:rsidR="001B129D" w:rsidRPr="001B129D" w:rsidRDefault="001B129D" w:rsidP="00961D03">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Current operation and member interests in Victoria</w:t>
            </w:r>
            <w:r w:rsidR="00FF5D9E" w:rsidRPr="00FF5D9E">
              <w:rPr>
                <w:rStyle w:val="FootnoteReference"/>
                <w:rFonts w:asciiTheme="minorHAnsi" w:hAnsiTheme="minorHAnsi" w:cstheme="minorHAnsi"/>
                <w:color w:val="auto"/>
                <w:sz w:val="18"/>
                <w:szCs w:val="18"/>
              </w:rPr>
              <w:footnoteReference w:id="1"/>
            </w:r>
          </w:p>
          <w:p w14:paraId="302D3099" w14:textId="500D0C39" w:rsidR="001B129D" w:rsidRPr="001B129D" w:rsidRDefault="00166CEE" w:rsidP="00961D03">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 xml:space="preserve">Related to the </w:t>
            </w:r>
            <w:r>
              <w:rPr>
                <w:rFonts w:asciiTheme="minorHAnsi" w:hAnsiTheme="minorHAnsi" w:cstheme="minorHAnsi"/>
                <w:sz w:val="20"/>
                <w:szCs w:val="20"/>
              </w:rPr>
              <w:t xml:space="preserve">clean economy </w:t>
            </w:r>
            <w:r w:rsidRPr="0047391B">
              <w:rPr>
                <w:rFonts w:asciiTheme="minorHAnsi" w:hAnsiTheme="minorHAnsi" w:cstheme="minorHAnsi"/>
                <w:sz w:val="20"/>
                <w:szCs w:val="20"/>
              </w:rPr>
              <w:t>local industry/ sector</w:t>
            </w:r>
            <w:r>
              <w:rPr>
                <w:rFonts w:asciiTheme="minorHAnsi" w:hAnsiTheme="minorHAnsi" w:cstheme="minorHAnsi"/>
                <w:sz w:val="20"/>
                <w:szCs w:val="20"/>
              </w:rPr>
              <w:t xml:space="preserve"> identified</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50AE3061" w14:textId="77777777" w:rsidR="001B129D" w:rsidRPr="00D73869" w:rsidRDefault="001B129D" w:rsidP="00D25552">
            <w:pPr>
              <w:pStyle w:val="ESBodyText"/>
              <w:spacing w:after="0" w:line="240" w:lineRule="auto"/>
              <w:jc w:val="center"/>
              <w:rPr>
                <w:rFonts w:asciiTheme="minorHAnsi" w:hAnsiTheme="minorHAnsi" w:cstheme="minorHAnsi"/>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7BC2A9C1" wp14:editId="75F7452D">
                  <wp:extent cx="152331" cy="174546"/>
                  <wp:effectExtent l="0" t="0" r="635" b="0"/>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1">
                            <a:extLst>
                              <a:ext uri="{96DAC541-7B7A-43D3-8B79-37D633B846F1}">
                                <asvg:svgBlip xmlns:asvg="http://schemas.microsoft.com/office/drawing/2016/SVG/main" r:embed="rId12"/>
                              </a:ext>
                            </a:extLst>
                          </a:blip>
                          <a:stretch>
                            <a:fillRect/>
                          </a:stretch>
                        </pic:blipFill>
                        <pic:spPr>
                          <a:xfrm>
                            <a:off x="0" y="0"/>
                            <a:ext cx="160243" cy="183612"/>
                          </a:xfrm>
                          <a:prstGeom prst="rect">
                            <a:avLst/>
                          </a:prstGeom>
                        </pic:spPr>
                      </pic:pic>
                    </a:graphicData>
                  </a:graphic>
                </wp:inline>
              </w:drawing>
            </w:r>
          </w:p>
          <w:p w14:paraId="4582C810" w14:textId="0ACBEA21"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0CDF3DA7" w14:textId="3AC8A7A0"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3ED3882E" wp14:editId="541C2B7F">
                  <wp:extent cx="152331" cy="174546"/>
                  <wp:effectExtent l="0" t="0" r="635" b="0"/>
                  <wp:docPr id="45" name="Graphic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1">
                            <a:extLst>
                              <a:ext uri="{96DAC541-7B7A-43D3-8B79-37D633B846F1}">
                                <asvg:svgBlip xmlns:asvg="http://schemas.microsoft.com/office/drawing/2016/SVG/main" r:embed="rId12"/>
                              </a:ext>
                            </a:extLst>
                          </a:blip>
                          <a:stretch>
                            <a:fillRect/>
                          </a:stretch>
                        </pic:blipFill>
                        <pic:spPr>
                          <a:xfrm>
                            <a:off x="0" y="0"/>
                            <a:ext cx="160243" cy="183612"/>
                          </a:xfrm>
                          <a:prstGeom prst="rect">
                            <a:avLst/>
                          </a:prstGeom>
                        </pic:spPr>
                      </pic:pic>
                    </a:graphicData>
                  </a:graphic>
                </wp:inline>
              </w:drawing>
            </w:r>
          </w:p>
          <w:p w14:paraId="6B4CED2F" w14:textId="6695D3F8"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p>
        </w:tc>
      </w:tr>
      <w:tr w:rsidR="001B129D" w:rsidRPr="00D73869" w14:paraId="2E4E6C82" w14:textId="77777777" w:rsidTr="0030380A">
        <w:trPr>
          <w:cantSplit/>
          <w:trHeight w:val="918"/>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2D938E7F" w14:textId="77777777" w:rsidR="001B129D" w:rsidRPr="001B129D" w:rsidRDefault="001B129D" w:rsidP="007C2161">
            <w:pPr>
              <w:pStyle w:val="ESBodyText"/>
              <w:spacing w:after="0" w:line="240" w:lineRule="auto"/>
              <w:rPr>
                <w:rFonts w:asciiTheme="minorHAnsi" w:hAnsiTheme="minorHAnsi" w:cstheme="minorHAnsi"/>
                <w:bCs/>
                <w:sz w:val="20"/>
                <w:szCs w:val="20"/>
              </w:rPr>
            </w:pPr>
            <w:r w:rsidRPr="001B129D">
              <w:rPr>
                <w:rFonts w:asciiTheme="minorHAnsi" w:hAnsiTheme="minorHAnsi" w:cstheme="minorHAnsi"/>
                <w:bCs/>
                <w:sz w:val="20"/>
                <w:szCs w:val="20"/>
              </w:rPr>
              <w:t>Individual business</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10CE69D1" w14:textId="77777777" w:rsidR="001B129D" w:rsidRPr="001B129D" w:rsidRDefault="001B129D" w:rsidP="00961D03">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Have an Australian Business Number (ABN); and</w:t>
            </w:r>
          </w:p>
          <w:p w14:paraId="59BE3BEF" w14:textId="77777777" w:rsidR="001B129D" w:rsidRPr="001B129D" w:rsidRDefault="001B129D" w:rsidP="00961D03">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Registered for Goods and Services Tax (GST); and</w:t>
            </w:r>
          </w:p>
          <w:p w14:paraId="3606D5FF" w14:textId="3706D750" w:rsidR="001B129D" w:rsidRDefault="001B129D" w:rsidP="00961D03">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Have main operation</w:t>
            </w:r>
            <w:r w:rsidR="0030380A">
              <w:rPr>
                <w:rFonts w:asciiTheme="minorHAnsi" w:hAnsiTheme="minorHAnsi" w:cstheme="minorHAnsi"/>
                <w:sz w:val="20"/>
                <w:szCs w:val="20"/>
              </w:rPr>
              <w:t>s</w:t>
            </w:r>
            <w:r w:rsidRPr="001B129D">
              <w:rPr>
                <w:rFonts w:asciiTheme="minorHAnsi" w:hAnsiTheme="minorHAnsi" w:cstheme="minorHAnsi"/>
                <w:sz w:val="20"/>
                <w:szCs w:val="20"/>
              </w:rPr>
              <w:t xml:space="preserve"> in Victoria</w:t>
            </w:r>
            <w:r w:rsidR="00F61BE5">
              <w:rPr>
                <w:rFonts w:asciiTheme="minorHAnsi" w:hAnsiTheme="minorHAnsi" w:cstheme="minorHAnsi"/>
                <w:sz w:val="20"/>
                <w:szCs w:val="20"/>
              </w:rPr>
              <w:t>; and</w:t>
            </w:r>
          </w:p>
          <w:p w14:paraId="720E24D3" w14:textId="3F4C5C45" w:rsidR="00B87CAC" w:rsidRPr="001B129D" w:rsidRDefault="00B87CAC" w:rsidP="00961D03">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 xml:space="preserve">Related to the </w:t>
            </w:r>
            <w:r>
              <w:rPr>
                <w:rFonts w:asciiTheme="minorHAnsi" w:hAnsiTheme="minorHAnsi" w:cstheme="minorHAnsi"/>
                <w:sz w:val="20"/>
                <w:szCs w:val="20"/>
              </w:rPr>
              <w:t xml:space="preserve">clean economy </w:t>
            </w:r>
            <w:r w:rsidRPr="0047391B">
              <w:rPr>
                <w:rFonts w:asciiTheme="minorHAnsi" w:hAnsiTheme="minorHAnsi" w:cstheme="minorHAnsi"/>
                <w:sz w:val="20"/>
                <w:szCs w:val="20"/>
              </w:rPr>
              <w:t>local industry/ sector</w:t>
            </w:r>
            <w:r>
              <w:rPr>
                <w:rFonts w:asciiTheme="minorHAnsi" w:hAnsiTheme="minorHAnsi" w:cstheme="minorHAnsi"/>
                <w:sz w:val="20"/>
                <w:szCs w:val="20"/>
              </w:rPr>
              <w:t xml:space="preserve"> identified</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23A7AD2A" w14:textId="1BFDE57A" w:rsidR="001B129D" w:rsidRPr="00D73869" w:rsidRDefault="001B129D" w:rsidP="00D25552">
            <w:pPr>
              <w:pStyle w:val="ESBodyText"/>
              <w:spacing w:after="0" w:line="240" w:lineRule="auto"/>
              <w:jc w:val="center"/>
              <w:rPr>
                <w:rFonts w:asciiTheme="minorHAnsi" w:hAnsiTheme="minorHAnsi" w:cstheme="minorHAnsi"/>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765948D1" wp14:editId="5A4B6F69">
                  <wp:extent cx="152331" cy="174546"/>
                  <wp:effectExtent l="0" t="0" r="635" b="0"/>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1">
                            <a:extLst>
                              <a:ext uri="{96DAC541-7B7A-43D3-8B79-37D633B846F1}">
                                <asvg:svgBlip xmlns:asvg="http://schemas.microsoft.com/office/drawing/2016/SVG/main" r:embed="rId12"/>
                              </a:ext>
                            </a:extLst>
                          </a:blip>
                          <a:stretch>
                            <a:fillRect/>
                          </a:stretch>
                        </pic:blipFill>
                        <pic:spPr>
                          <a:xfrm>
                            <a:off x="0" y="0"/>
                            <a:ext cx="160243" cy="183612"/>
                          </a:xfrm>
                          <a:prstGeom prst="rect">
                            <a:avLst/>
                          </a:prstGeom>
                        </pic:spPr>
                      </pic:pic>
                    </a:graphicData>
                  </a:graphic>
                </wp:inline>
              </w:drawing>
            </w:r>
          </w:p>
          <w:p w14:paraId="72AAD722" w14:textId="4320EA5A"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color w:val="0070C0"/>
                <w:sz w:val="14"/>
                <w:szCs w:val="14"/>
              </w:rPr>
              <w:t>Conditional</w:t>
            </w:r>
            <w:r w:rsidRPr="00FF5D9E">
              <w:rPr>
                <w:rStyle w:val="FootnoteReference"/>
                <w:rFonts w:asciiTheme="minorHAnsi" w:hAnsiTheme="minorHAnsi" w:cstheme="minorHAnsi"/>
                <w:color w:val="0071CE" w:themeColor="accent3"/>
                <w:sz w:val="16"/>
                <w:szCs w:val="16"/>
              </w:rPr>
              <w:footnoteReference w:id="2"/>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1F0C1A01" w14:textId="6EDDFCDF"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553AE1EF" wp14:editId="4EFA6F75">
                  <wp:extent cx="152331" cy="174546"/>
                  <wp:effectExtent l="0" t="0" r="635" b="0"/>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1">
                            <a:extLst>
                              <a:ext uri="{96DAC541-7B7A-43D3-8B79-37D633B846F1}">
                                <asvg:svgBlip xmlns:asvg="http://schemas.microsoft.com/office/drawing/2016/SVG/main" r:embed="rId12"/>
                              </a:ext>
                            </a:extLst>
                          </a:blip>
                          <a:stretch>
                            <a:fillRect/>
                          </a:stretch>
                        </pic:blipFill>
                        <pic:spPr>
                          <a:xfrm>
                            <a:off x="0" y="0"/>
                            <a:ext cx="160243" cy="183612"/>
                          </a:xfrm>
                          <a:prstGeom prst="rect">
                            <a:avLst/>
                          </a:prstGeom>
                        </pic:spPr>
                      </pic:pic>
                    </a:graphicData>
                  </a:graphic>
                </wp:inline>
              </w:drawing>
            </w:r>
          </w:p>
        </w:tc>
      </w:tr>
      <w:tr w:rsidR="001B129D" w:rsidRPr="00D73869" w14:paraId="0F8E866E" w14:textId="77777777" w:rsidTr="0030380A">
        <w:trPr>
          <w:cantSplit/>
          <w:trHeight w:val="233"/>
        </w:trPr>
        <w:tc>
          <w:tcPr>
            <w:tcW w:w="1903" w:type="dxa"/>
            <w:tcBorders>
              <w:top w:val="single" w:sz="4" w:space="0" w:color="00B2A8" w:themeColor="accent1"/>
              <w:left w:val="single" w:sz="4" w:space="0" w:color="FFFFFF" w:themeColor="background1"/>
              <w:bottom w:val="single" w:sz="4" w:space="0" w:color="00B2A8" w:themeColor="accent1"/>
              <w:right w:val="single" w:sz="4" w:space="0" w:color="00B2A8" w:themeColor="accent1"/>
            </w:tcBorders>
            <w:shd w:val="clear" w:color="auto" w:fill="00B2A8" w:themeFill="accent1"/>
            <w:vAlign w:val="center"/>
          </w:tcPr>
          <w:p w14:paraId="3DB5922D" w14:textId="094CEE4E" w:rsidR="001B129D" w:rsidRPr="001B129D" w:rsidRDefault="001B129D" w:rsidP="001B129D">
            <w:pPr>
              <w:pStyle w:val="ESBodyText"/>
              <w:spacing w:before="120" w:line="240" w:lineRule="auto"/>
              <w:rPr>
                <w:rFonts w:asciiTheme="minorHAnsi" w:hAnsiTheme="minorHAnsi" w:cstheme="minorHAnsi"/>
                <w:b/>
                <w:color w:val="FFFFFF" w:themeColor="background1"/>
                <w:sz w:val="24"/>
                <w:szCs w:val="24"/>
              </w:rPr>
            </w:pPr>
            <w:r w:rsidRPr="001B129D">
              <w:rPr>
                <w:rFonts w:asciiTheme="minorHAnsi" w:hAnsiTheme="minorHAnsi" w:cstheme="minorHAnsi"/>
                <w:b/>
                <w:color w:val="FFFFFF" w:themeColor="background1"/>
                <w:sz w:val="24"/>
                <w:szCs w:val="24"/>
              </w:rPr>
              <w:t>OTHER</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79B5A81A" w14:textId="77777777" w:rsidR="001B129D" w:rsidRPr="001B129D" w:rsidRDefault="001B129D" w:rsidP="00961D03">
            <w:pPr>
              <w:pStyle w:val="ESBodyText"/>
              <w:spacing w:before="60" w:after="60" w:line="240" w:lineRule="auto"/>
              <w:rPr>
                <w:rFonts w:asciiTheme="minorHAnsi" w:hAnsiTheme="minorHAnsi" w:cstheme="minorHAnsi"/>
                <w:color w:val="FFFFFF" w:themeColor="background1"/>
                <w:sz w:val="24"/>
                <w:szCs w:val="24"/>
              </w:rPr>
            </w:pP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48FEF2E4" w14:textId="77777777" w:rsidR="001B129D" w:rsidRPr="001B129D" w:rsidRDefault="001B129D" w:rsidP="00D25552">
            <w:pPr>
              <w:pStyle w:val="ESBodyText"/>
              <w:spacing w:after="0" w:line="240" w:lineRule="auto"/>
              <w:jc w:val="center"/>
              <w:rPr>
                <w:rFonts w:asciiTheme="majorHAnsi" w:hAnsiTheme="majorHAnsi" w:cstheme="majorHAnsi"/>
                <w:bCs/>
                <w:caps/>
                <w:color w:val="FFFFFF" w:themeColor="background1"/>
                <w:sz w:val="24"/>
                <w:szCs w:val="24"/>
              </w:rPr>
            </w:pP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77B901FF" w14:textId="77777777" w:rsidR="001B129D" w:rsidRPr="001B129D" w:rsidRDefault="001B129D" w:rsidP="00D25552">
            <w:pPr>
              <w:pStyle w:val="ESBodyText"/>
              <w:spacing w:after="0" w:line="240" w:lineRule="auto"/>
              <w:jc w:val="center"/>
              <w:rPr>
                <w:rFonts w:asciiTheme="minorHAnsi" w:hAnsiTheme="minorHAnsi" w:cstheme="minorHAnsi"/>
                <w:b/>
                <w:bCs/>
                <w:caps/>
                <w:noProof/>
                <w:color w:val="FFFFFF" w:themeColor="background1"/>
                <w:sz w:val="24"/>
                <w:szCs w:val="24"/>
              </w:rPr>
            </w:pPr>
          </w:p>
        </w:tc>
      </w:tr>
      <w:tr w:rsidR="001B129D" w:rsidRPr="00D73869" w14:paraId="00F64185" w14:textId="77777777" w:rsidTr="0030380A">
        <w:trPr>
          <w:cantSplit/>
          <w:trHeight w:val="233"/>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17A12C04" w14:textId="4EB7FE5C" w:rsidR="001B129D" w:rsidRPr="001B129D" w:rsidRDefault="001B129D" w:rsidP="007C2161">
            <w:pPr>
              <w:pStyle w:val="ESBodyText"/>
              <w:spacing w:after="0" w:line="240" w:lineRule="auto"/>
              <w:rPr>
                <w:rFonts w:asciiTheme="minorHAnsi" w:hAnsiTheme="minorHAnsi" w:cstheme="minorHAnsi"/>
                <w:bCs/>
                <w:sz w:val="20"/>
                <w:szCs w:val="20"/>
              </w:rPr>
            </w:pPr>
            <w:r w:rsidRPr="001B129D">
              <w:rPr>
                <w:rFonts w:asciiTheme="minorHAnsi" w:hAnsiTheme="minorHAnsi" w:cstheme="minorHAnsi"/>
                <w:bCs/>
                <w:sz w:val="20"/>
                <w:szCs w:val="20"/>
              </w:rPr>
              <w:t xml:space="preserve">Tertiary education providers </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1D224735" w14:textId="1562143B" w:rsidR="001B129D" w:rsidRPr="001B129D" w:rsidRDefault="001B129D" w:rsidP="001B129D">
            <w:pPr>
              <w:pStyle w:val="ESBodyText"/>
              <w:spacing w:before="60" w:after="60" w:line="240" w:lineRule="auto"/>
              <w:rPr>
                <w:rFonts w:asciiTheme="minorHAnsi" w:hAnsiTheme="minorHAnsi" w:cstheme="minorHAnsi"/>
                <w:sz w:val="20"/>
                <w:szCs w:val="20"/>
              </w:rPr>
            </w:pPr>
            <w:r w:rsidRPr="001B129D">
              <w:rPr>
                <w:rFonts w:asciiTheme="minorHAnsi" w:hAnsiTheme="minorHAnsi" w:cstheme="minorHAnsi"/>
                <w:sz w:val="20"/>
                <w:szCs w:val="20"/>
              </w:rPr>
              <w:t xml:space="preserve">Victorian based universities including the tertiary arm of dual sectors. </w:t>
            </w:r>
          </w:p>
          <w:p w14:paraId="4712871B" w14:textId="354AEC04" w:rsidR="001B129D" w:rsidRPr="001B129D" w:rsidRDefault="001B129D" w:rsidP="00961D03">
            <w:pPr>
              <w:pStyle w:val="ESBodyText"/>
              <w:spacing w:before="60" w:after="60" w:line="240" w:lineRule="auto"/>
              <w:rPr>
                <w:rFonts w:asciiTheme="minorHAnsi" w:hAnsiTheme="minorHAnsi" w:cstheme="minorHAnsi"/>
                <w:sz w:val="20"/>
                <w:szCs w:val="20"/>
              </w:rPr>
            </w:pP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CD60242" w14:textId="06F0C553" w:rsidR="001B129D" w:rsidRPr="00D73869" w:rsidRDefault="001B129D" w:rsidP="00D25552">
            <w:pPr>
              <w:pStyle w:val="ESBodyText"/>
              <w:spacing w:after="0" w:line="240" w:lineRule="auto"/>
              <w:jc w:val="center"/>
              <w:rPr>
                <w:rFonts w:asciiTheme="majorHAnsi" w:hAnsiTheme="majorHAnsi" w:cstheme="majorHAnsi"/>
                <w:b/>
                <w:caps/>
                <w:color w:val="00B140" w:themeColor="accent5"/>
                <w:sz w:val="32"/>
                <w:szCs w:val="32"/>
              </w:rPr>
            </w:pPr>
            <w:r w:rsidRPr="00D73869">
              <w:rPr>
                <w:rFonts w:asciiTheme="majorHAnsi" w:hAnsiTheme="majorHAnsi" w:cstheme="majorHAnsi"/>
                <w:bCs/>
                <w:caps/>
                <w:sz w:val="24"/>
                <w:szCs w:val="24"/>
              </w:rPr>
              <w:t>X</w:t>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9216396" w14:textId="246A092B"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12EE715E" wp14:editId="607FE635">
                  <wp:extent cx="152331" cy="174546"/>
                  <wp:effectExtent l="0" t="0" r="635" b="0"/>
                  <wp:docPr id="46" name="Graphic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1">
                            <a:extLst>
                              <a:ext uri="{96DAC541-7B7A-43D3-8B79-37D633B846F1}">
                                <asvg:svgBlip xmlns:asvg="http://schemas.microsoft.com/office/drawing/2016/SVG/main" r:embed="rId12"/>
                              </a:ext>
                            </a:extLst>
                          </a:blip>
                          <a:stretch>
                            <a:fillRect/>
                          </a:stretch>
                        </pic:blipFill>
                        <pic:spPr>
                          <a:xfrm>
                            <a:off x="0" y="0"/>
                            <a:ext cx="160243" cy="183612"/>
                          </a:xfrm>
                          <a:prstGeom prst="rect">
                            <a:avLst/>
                          </a:prstGeom>
                        </pic:spPr>
                      </pic:pic>
                    </a:graphicData>
                  </a:graphic>
                </wp:inline>
              </w:drawing>
            </w:r>
          </w:p>
        </w:tc>
      </w:tr>
      <w:tr w:rsidR="001B129D" w:rsidRPr="00D73869" w14:paraId="625C4EEC" w14:textId="77777777" w:rsidTr="0030380A">
        <w:trPr>
          <w:cantSplit/>
          <w:trHeight w:val="170"/>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3FD4598C" w14:textId="77777777" w:rsidR="001B129D" w:rsidRPr="001B129D" w:rsidRDefault="001B129D" w:rsidP="007C2161">
            <w:pPr>
              <w:pStyle w:val="ESBodyText"/>
              <w:spacing w:after="0" w:line="240" w:lineRule="auto"/>
              <w:rPr>
                <w:rFonts w:asciiTheme="minorHAnsi" w:hAnsiTheme="minorHAnsi" w:cstheme="minorHAnsi"/>
                <w:sz w:val="20"/>
                <w:szCs w:val="20"/>
              </w:rPr>
            </w:pPr>
            <w:r w:rsidRPr="001B129D">
              <w:rPr>
                <w:rFonts w:asciiTheme="minorHAnsi" w:hAnsiTheme="minorHAnsi" w:cstheme="minorHAnsi"/>
                <w:sz w:val="20"/>
                <w:szCs w:val="20"/>
              </w:rPr>
              <w:t>Local Government</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07C2E58" w14:textId="78332A02" w:rsidR="001B129D" w:rsidRPr="001B129D" w:rsidRDefault="007D3706" w:rsidP="00961D03">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 xml:space="preserve">Provide goods and services to local community members </w:t>
            </w:r>
            <w:r>
              <w:rPr>
                <w:rFonts w:asciiTheme="minorHAnsi" w:hAnsiTheme="minorHAnsi" w:cstheme="minorHAnsi"/>
                <w:sz w:val="20"/>
                <w:szCs w:val="20"/>
              </w:rPr>
              <w:t>in the clean economy sector identified</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02B516A4" w14:textId="24BD45BE" w:rsidR="001B129D" w:rsidRPr="00D73869" w:rsidRDefault="001B129D" w:rsidP="00D25552">
            <w:pPr>
              <w:pStyle w:val="ESBodyText"/>
              <w:spacing w:after="0" w:line="240" w:lineRule="auto"/>
              <w:jc w:val="center"/>
              <w:rPr>
                <w:rFonts w:asciiTheme="minorHAnsi" w:hAnsiTheme="minorHAnsi" w:cstheme="minorHAnsi"/>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0C2960A5" wp14:editId="2A6D4C85">
                  <wp:extent cx="152331" cy="174546"/>
                  <wp:effectExtent l="0" t="0" r="635" b="0"/>
                  <wp:docPr id="41" name="Graphic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1">
                            <a:extLst>
                              <a:ext uri="{96DAC541-7B7A-43D3-8B79-37D633B846F1}">
                                <asvg:svgBlip xmlns:asvg="http://schemas.microsoft.com/office/drawing/2016/SVG/main" r:embed="rId12"/>
                              </a:ext>
                            </a:extLst>
                          </a:blip>
                          <a:stretch>
                            <a:fillRect/>
                          </a:stretch>
                        </pic:blipFill>
                        <pic:spPr>
                          <a:xfrm>
                            <a:off x="0" y="0"/>
                            <a:ext cx="160243" cy="183612"/>
                          </a:xfrm>
                          <a:prstGeom prst="rect">
                            <a:avLst/>
                          </a:prstGeom>
                        </pic:spPr>
                      </pic:pic>
                    </a:graphicData>
                  </a:graphic>
                </wp:inline>
              </w:drawing>
            </w:r>
          </w:p>
          <w:p w14:paraId="783250AA" w14:textId="60CB6738"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color w:val="0070C0"/>
                <w:sz w:val="14"/>
                <w:szCs w:val="14"/>
              </w:rPr>
              <w:t>Conditional</w:t>
            </w:r>
            <w:r w:rsidRPr="00FF5D9E">
              <w:rPr>
                <w:rStyle w:val="FootnoteReference"/>
                <w:rFonts w:asciiTheme="minorHAnsi" w:hAnsiTheme="minorHAnsi" w:cstheme="minorHAnsi"/>
                <w:color w:val="0071CE" w:themeColor="accent3"/>
                <w:sz w:val="16"/>
                <w:szCs w:val="16"/>
              </w:rPr>
              <w:footnoteReference w:id="3"/>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3D4D87B7" w14:textId="590C77A0" w:rsidR="001B129D" w:rsidRPr="00D73869" w:rsidRDefault="001B129D" w:rsidP="00D25552">
            <w:pPr>
              <w:pStyle w:val="ESBodyText"/>
              <w:spacing w:after="0" w:line="240" w:lineRule="auto"/>
              <w:jc w:val="center"/>
              <w:rPr>
                <w:rFonts w:asciiTheme="minorHAnsi" w:hAnsiTheme="minorHAnsi" w:cstheme="minorHAnsi"/>
                <w:b/>
                <w:caps/>
                <w:color w:val="00B140" w:themeColor="accent5"/>
                <w:sz w:val="14"/>
                <w:szCs w:val="14"/>
              </w:rPr>
            </w:pPr>
            <w:r w:rsidRPr="00D73869">
              <w:rPr>
                <w:rFonts w:asciiTheme="minorHAnsi" w:hAnsiTheme="minorHAnsi" w:cstheme="minorHAnsi"/>
                <w:b/>
                <w:bCs/>
                <w:caps/>
                <w:noProof/>
                <w:color w:val="00B140" w:themeColor="accent5"/>
                <w:sz w:val="14"/>
                <w:szCs w:val="14"/>
              </w:rPr>
              <w:drawing>
                <wp:inline distT="0" distB="0" distL="0" distR="0" wp14:anchorId="4E56122F" wp14:editId="570485D7">
                  <wp:extent cx="152331" cy="174546"/>
                  <wp:effectExtent l="0" t="0" r="635" b="0"/>
                  <wp:docPr id="42" name="Graphic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1">
                            <a:extLst>
                              <a:ext uri="{96DAC541-7B7A-43D3-8B79-37D633B846F1}">
                                <asvg:svgBlip xmlns:asvg="http://schemas.microsoft.com/office/drawing/2016/SVG/main" r:embed="rId12"/>
                              </a:ext>
                            </a:extLst>
                          </a:blip>
                          <a:stretch>
                            <a:fillRect/>
                          </a:stretch>
                        </pic:blipFill>
                        <pic:spPr>
                          <a:xfrm>
                            <a:off x="0" y="0"/>
                            <a:ext cx="160243" cy="183612"/>
                          </a:xfrm>
                          <a:prstGeom prst="rect">
                            <a:avLst/>
                          </a:prstGeom>
                        </pic:spPr>
                      </pic:pic>
                    </a:graphicData>
                  </a:graphic>
                </wp:inline>
              </w:drawing>
            </w:r>
          </w:p>
        </w:tc>
      </w:tr>
      <w:tr w:rsidR="001B129D" w:rsidRPr="00D73869" w14:paraId="55F65B46" w14:textId="77777777" w:rsidTr="0030380A">
        <w:trPr>
          <w:cantSplit/>
          <w:trHeight w:val="170"/>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35BAB3C2" w14:textId="77777777" w:rsidR="001B129D" w:rsidRPr="001B129D" w:rsidRDefault="001B129D" w:rsidP="007C2161">
            <w:pPr>
              <w:pStyle w:val="ESBodyText"/>
              <w:spacing w:after="0" w:line="240" w:lineRule="auto"/>
              <w:rPr>
                <w:rFonts w:asciiTheme="minorHAnsi" w:hAnsiTheme="minorHAnsi" w:cstheme="minorHAnsi"/>
                <w:bCs/>
                <w:sz w:val="20"/>
                <w:szCs w:val="20"/>
              </w:rPr>
            </w:pPr>
            <w:r w:rsidRPr="001B129D">
              <w:rPr>
                <w:rFonts w:asciiTheme="minorHAnsi" w:hAnsiTheme="minorHAnsi" w:cstheme="minorHAnsi"/>
                <w:bCs/>
                <w:sz w:val="20"/>
                <w:szCs w:val="20"/>
              </w:rPr>
              <w:t>Regional Body</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68EDBB6" w14:textId="3BACF4F7" w:rsidR="001B129D" w:rsidRPr="001B129D" w:rsidRDefault="00C8565A" w:rsidP="007C2161">
            <w:pPr>
              <w:pStyle w:val="ESBodyText"/>
              <w:spacing w:after="0" w:line="240" w:lineRule="auto"/>
              <w:rPr>
                <w:rFonts w:asciiTheme="minorHAnsi" w:hAnsiTheme="minorHAnsi" w:cstheme="minorHAnsi"/>
                <w:sz w:val="20"/>
                <w:szCs w:val="20"/>
              </w:rPr>
            </w:pPr>
            <w:r w:rsidRPr="0047391B">
              <w:rPr>
                <w:rFonts w:asciiTheme="minorHAnsi" w:hAnsiTheme="minorHAnsi" w:cstheme="minorHAnsi"/>
                <w:sz w:val="20"/>
                <w:szCs w:val="20"/>
              </w:rPr>
              <w:t xml:space="preserve">Formal alliance of government, business and community representatives working together to address local </w:t>
            </w:r>
            <w:r>
              <w:rPr>
                <w:rFonts w:asciiTheme="minorHAnsi" w:hAnsiTheme="minorHAnsi" w:cstheme="minorHAnsi"/>
                <w:sz w:val="20"/>
                <w:szCs w:val="20"/>
              </w:rPr>
              <w:t xml:space="preserve">clean economy </w:t>
            </w:r>
            <w:r w:rsidRPr="0047391B">
              <w:rPr>
                <w:rFonts w:asciiTheme="minorHAnsi" w:hAnsiTheme="minorHAnsi" w:cstheme="minorHAnsi"/>
                <w:sz w:val="20"/>
                <w:szCs w:val="20"/>
              </w:rPr>
              <w:t>issues</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437F18EA" w14:textId="77777777" w:rsidR="001B129D" w:rsidRPr="00D73869" w:rsidRDefault="001B129D" w:rsidP="007C2161">
            <w:pPr>
              <w:pStyle w:val="ESBodyText"/>
              <w:spacing w:after="0" w:line="240" w:lineRule="auto"/>
              <w:jc w:val="center"/>
              <w:rPr>
                <w:rFonts w:asciiTheme="minorHAnsi" w:hAnsiTheme="minorHAnsi" w:cstheme="minorHAnsi"/>
                <w:color w:val="00B140" w:themeColor="accent5"/>
                <w:sz w:val="12"/>
                <w:szCs w:val="12"/>
              </w:rPr>
            </w:pPr>
          </w:p>
          <w:p w14:paraId="7DEB944F" w14:textId="221470A7" w:rsidR="001B129D" w:rsidRPr="00D73869" w:rsidRDefault="001B129D" w:rsidP="007C2161">
            <w:pPr>
              <w:pStyle w:val="ESBodyText"/>
              <w:spacing w:after="0" w:line="240" w:lineRule="auto"/>
              <w:jc w:val="center"/>
              <w:rPr>
                <w:rFonts w:asciiTheme="minorHAnsi" w:hAnsiTheme="minorHAnsi" w:cstheme="minorHAnsi"/>
                <w:color w:val="00B140" w:themeColor="accent5"/>
                <w:sz w:val="12"/>
                <w:szCs w:val="12"/>
              </w:rPr>
            </w:pPr>
            <w:r w:rsidRPr="00D73869">
              <w:rPr>
                <w:rFonts w:asciiTheme="minorHAnsi" w:hAnsiTheme="minorHAnsi" w:cstheme="minorHAnsi"/>
                <w:b/>
                <w:bCs/>
                <w:caps/>
                <w:noProof/>
                <w:color w:val="00B140" w:themeColor="accent5"/>
                <w:sz w:val="14"/>
                <w:szCs w:val="14"/>
              </w:rPr>
              <w:drawing>
                <wp:inline distT="0" distB="0" distL="0" distR="0" wp14:anchorId="05327503" wp14:editId="7BBFAC5C">
                  <wp:extent cx="152331" cy="174546"/>
                  <wp:effectExtent l="0" t="0" r="635" b="0"/>
                  <wp:docPr id="43" name="Graphic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1">
                            <a:extLst>
                              <a:ext uri="{96DAC541-7B7A-43D3-8B79-37D633B846F1}">
                                <asvg:svgBlip xmlns:asvg="http://schemas.microsoft.com/office/drawing/2016/SVG/main" r:embed="rId12"/>
                              </a:ext>
                            </a:extLst>
                          </a:blip>
                          <a:stretch>
                            <a:fillRect/>
                          </a:stretch>
                        </pic:blipFill>
                        <pic:spPr>
                          <a:xfrm>
                            <a:off x="0" y="0"/>
                            <a:ext cx="160243" cy="183612"/>
                          </a:xfrm>
                          <a:prstGeom prst="rect">
                            <a:avLst/>
                          </a:prstGeom>
                        </pic:spPr>
                      </pic:pic>
                    </a:graphicData>
                  </a:graphic>
                </wp:inline>
              </w:drawing>
            </w:r>
          </w:p>
          <w:p w14:paraId="51A58998" w14:textId="7643B817" w:rsidR="001B129D" w:rsidRPr="00D73869" w:rsidRDefault="001B129D" w:rsidP="007C2161">
            <w:pPr>
              <w:pStyle w:val="ESBodyText"/>
              <w:spacing w:after="0" w:line="240" w:lineRule="auto"/>
              <w:jc w:val="center"/>
              <w:rPr>
                <w:rFonts w:asciiTheme="minorHAnsi" w:hAnsiTheme="minorHAnsi" w:cstheme="minorHAnsi"/>
                <w:b/>
                <w:caps/>
                <w:color w:val="00B140" w:themeColor="accent5"/>
              </w:rPr>
            </w:pPr>
            <w:r w:rsidRPr="00FF5D9E">
              <w:rPr>
                <w:rFonts w:asciiTheme="minorHAnsi" w:hAnsiTheme="minorHAnsi" w:cstheme="minorHAnsi"/>
                <w:color w:val="0070C0"/>
                <w:sz w:val="14"/>
                <w:szCs w:val="14"/>
              </w:rPr>
              <w:t>Condition</w:t>
            </w:r>
            <w:r w:rsidRPr="00FF5D9E">
              <w:rPr>
                <w:rFonts w:asciiTheme="minorHAnsi" w:hAnsiTheme="minorHAnsi" w:cstheme="minorHAnsi"/>
                <w:color w:val="0071CE" w:themeColor="accent3"/>
                <w:sz w:val="14"/>
                <w:szCs w:val="14"/>
              </w:rPr>
              <w:t>al</w:t>
            </w:r>
            <w:r w:rsidRPr="00FF5D9E">
              <w:rPr>
                <w:rStyle w:val="FootnoteReference"/>
                <w:rFonts w:asciiTheme="minorHAnsi" w:hAnsiTheme="minorHAnsi" w:cstheme="minorHAnsi"/>
                <w:color w:val="0071CE" w:themeColor="accent3"/>
                <w:sz w:val="18"/>
              </w:rPr>
              <w:footnoteReference w:id="4"/>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48072A80" w14:textId="0C284A15" w:rsidR="001B129D" w:rsidRPr="00D73869" w:rsidRDefault="001B129D" w:rsidP="00256686">
            <w:pPr>
              <w:pStyle w:val="ESBodyText"/>
              <w:spacing w:after="0" w:line="240" w:lineRule="auto"/>
              <w:jc w:val="center"/>
              <w:rPr>
                <w:rFonts w:asciiTheme="minorHAnsi" w:hAnsiTheme="minorHAnsi" w:cstheme="minorHAnsi"/>
                <w:b/>
                <w:caps/>
                <w:color w:val="00B140" w:themeColor="accent5"/>
                <w:sz w:val="40"/>
                <w:szCs w:val="40"/>
              </w:rPr>
            </w:pPr>
            <w:r w:rsidRPr="00D73869">
              <w:rPr>
                <w:rFonts w:asciiTheme="minorHAnsi" w:hAnsiTheme="minorHAnsi" w:cstheme="minorHAnsi"/>
                <w:b/>
                <w:bCs/>
                <w:caps/>
                <w:noProof/>
                <w:color w:val="00B140" w:themeColor="accent5"/>
                <w:sz w:val="14"/>
                <w:szCs w:val="14"/>
              </w:rPr>
              <w:drawing>
                <wp:inline distT="0" distB="0" distL="0" distR="0" wp14:anchorId="00AEADB2" wp14:editId="484A43A1">
                  <wp:extent cx="152331" cy="174546"/>
                  <wp:effectExtent l="0" t="0" r="635" b="0"/>
                  <wp:docPr id="44" name="Graphic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1">
                            <a:extLst>
                              <a:ext uri="{96DAC541-7B7A-43D3-8B79-37D633B846F1}">
                                <asvg:svgBlip xmlns:asvg="http://schemas.microsoft.com/office/drawing/2016/SVG/main" r:embed="rId12"/>
                              </a:ext>
                            </a:extLst>
                          </a:blip>
                          <a:stretch>
                            <a:fillRect/>
                          </a:stretch>
                        </pic:blipFill>
                        <pic:spPr>
                          <a:xfrm>
                            <a:off x="0" y="0"/>
                            <a:ext cx="160243" cy="183612"/>
                          </a:xfrm>
                          <a:prstGeom prst="rect">
                            <a:avLst/>
                          </a:prstGeom>
                        </pic:spPr>
                      </pic:pic>
                    </a:graphicData>
                  </a:graphic>
                </wp:inline>
              </w:drawing>
            </w:r>
          </w:p>
        </w:tc>
      </w:tr>
      <w:tr w:rsidR="001B129D" w:rsidRPr="00D73869" w14:paraId="48CB9DA6" w14:textId="77777777" w:rsidTr="0030380A">
        <w:trPr>
          <w:cantSplit/>
          <w:trHeight w:val="503"/>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2D29A179" w14:textId="77777777" w:rsidR="001B129D" w:rsidRPr="001B129D" w:rsidRDefault="001B129D" w:rsidP="007C2161">
            <w:pPr>
              <w:pStyle w:val="ESBodyText"/>
              <w:spacing w:after="0" w:line="240" w:lineRule="auto"/>
              <w:rPr>
                <w:rFonts w:asciiTheme="minorHAnsi" w:hAnsiTheme="minorHAnsi" w:cstheme="minorHAnsi"/>
                <w:sz w:val="20"/>
                <w:szCs w:val="20"/>
              </w:rPr>
            </w:pPr>
            <w:r w:rsidRPr="001B129D">
              <w:rPr>
                <w:rFonts w:asciiTheme="minorHAnsi" w:hAnsiTheme="minorHAnsi" w:cstheme="minorHAnsi"/>
                <w:sz w:val="20"/>
                <w:szCs w:val="20"/>
              </w:rPr>
              <w:t>State Government</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31247520" w14:textId="77777777" w:rsidR="001B129D" w:rsidRPr="001B129D" w:rsidRDefault="001B129D" w:rsidP="007C2161">
            <w:pPr>
              <w:pStyle w:val="ESBodyText"/>
              <w:spacing w:after="0" w:line="240" w:lineRule="auto"/>
              <w:rPr>
                <w:rFonts w:asciiTheme="minorHAnsi" w:hAnsiTheme="minorHAnsi" w:cstheme="minorHAnsi"/>
                <w:sz w:val="20"/>
                <w:szCs w:val="20"/>
              </w:rPr>
            </w:pPr>
            <w:r w:rsidRPr="001B129D">
              <w:rPr>
                <w:rFonts w:asciiTheme="minorHAnsi" w:hAnsiTheme="minorHAnsi" w:cstheme="minorHAnsi"/>
                <w:sz w:val="20"/>
                <w:szCs w:val="20"/>
              </w:rPr>
              <w:t>N/A</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EAE221E" w14:textId="5CBB0441" w:rsidR="001B129D" w:rsidRPr="00D73869" w:rsidRDefault="001B129D" w:rsidP="007C2161">
            <w:pPr>
              <w:pStyle w:val="ESBodyText"/>
              <w:spacing w:after="0" w:line="240" w:lineRule="auto"/>
              <w:jc w:val="center"/>
              <w:rPr>
                <w:rFonts w:asciiTheme="majorHAnsi" w:hAnsiTheme="majorHAnsi" w:cstheme="majorHAnsi"/>
                <w:b/>
                <w:caps/>
                <w:color w:val="00B140" w:themeColor="accent5"/>
                <w:sz w:val="40"/>
                <w:szCs w:val="40"/>
              </w:rPr>
            </w:pPr>
            <w:r w:rsidRPr="00D73869">
              <w:rPr>
                <w:rFonts w:asciiTheme="majorHAnsi" w:hAnsiTheme="majorHAnsi" w:cstheme="majorHAnsi"/>
                <w:bCs/>
                <w:caps/>
                <w:sz w:val="24"/>
                <w:szCs w:val="24"/>
              </w:rPr>
              <w:t>X</w:t>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95FBC67" w14:textId="5709D142" w:rsidR="001B129D" w:rsidRPr="00D73869" w:rsidRDefault="001B129D" w:rsidP="007C2161">
            <w:pPr>
              <w:pStyle w:val="ESBodyText"/>
              <w:spacing w:after="0" w:line="240" w:lineRule="auto"/>
              <w:jc w:val="center"/>
              <w:rPr>
                <w:rFonts w:asciiTheme="minorHAnsi" w:hAnsiTheme="minorHAnsi" w:cstheme="minorHAnsi"/>
                <w:b/>
                <w:caps/>
                <w:color w:val="00B140" w:themeColor="accent5"/>
                <w:sz w:val="40"/>
                <w:szCs w:val="40"/>
              </w:rPr>
            </w:pPr>
            <w:r w:rsidRPr="00D73869">
              <w:rPr>
                <w:rFonts w:asciiTheme="minorHAnsi" w:hAnsiTheme="minorHAnsi" w:cstheme="minorHAnsi"/>
                <w:b/>
                <w:bCs/>
                <w:caps/>
                <w:noProof/>
                <w:color w:val="00B140" w:themeColor="accent5"/>
                <w:sz w:val="14"/>
                <w:szCs w:val="14"/>
              </w:rPr>
              <w:drawing>
                <wp:inline distT="0" distB="0" distL="0" distR="0" wp14:anchorId="2EADA9D8" wp14:editId="57598747">
                  <wp:extent cx="152331" cy="174546"/>
                  <wp:effectExtent l="0" t="0" r="635"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1">
                            <a:extLst>
                              <a:ext uri="{96DAC541-7B7A-43D3-8B79-37D633B846F1}">
                                <asvg:svgBlip xmlns:asvg="http://schemas.microsoft.com/office/drawing/2016/SVG/main" r:embed="rId12"/>
                              </a:ext>
                            </a:extLst>
                          </a:blip>
                          <a:stretch>
                            <a:fillRect/>
                          </a:stretch>
                        </pic:blipFill>
                        <pic:spPr>
                          <a:xfrm>
                            <a:off x="0" y="0"/>
                            <a:ext cx="160243" cy="183612"/>
                          </a:xfrm>
                          <a:prstGeom prst="rect">
                            <a:avLst/>
                          </a:prstGeom>
                        </pic:spPr>
                      </pic:pic>
                    </a:graphicData>
                  </a:graphic>
                </wp:inline>
              </w:drawing>
            </w:r>
          </w:p>
        </w:tc>
      </w:tr>
    </w:tbl>
    <w:p w14:paraId="0D2D485C" w14:textId="77777777" w:rsidR="002B2D25" w:rsidRPr="00B14F77" w:rsidRDefault="002B2D25" w:rsidP="00B234AE">
      <w:pPr>
        <w:pStyle w:val="ESHeading3"/>
        <w:tabs>
          <w:tab w:val="left" w:pos="4111"/>
        </w:tabs>
        <w:spacing w:before="0" w:after="0"/>
        <w:rPr>
          <w:rFonts w:ascii="VIC" w:hAnsi="VIC" w:cstheme="minorHAnsi"/>
          <w:b w:val="0"/>
          <w:bCs/>
          <w:color w:val="auto"/>
          <w:sz w:val="20"/>
          <w:szCs w:val="20"/>
        </w:rPr>
      </w:pPr>
    </w:p>
    <w:sectPr w:rsidR="002B2D25" w:rsidRPr="00B14F77" w:rsidSect="00B234AE">
      <w:headerReference w:type="default" r:id="rId13"/>
      <w:footerReference w:type="even" r:id="rId14"/>
      <w:footerReference w:type="default" r:id="rId15"/>
      <w:pgSz w:w="11900" w:h="16840"/>
      <w:pgMar w:top="1135" w:right="560" w:bottom="851" w:left="993" w:header="709"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6D58" w14:textId="77777777" w:rsidR="002F4F32" w:rsidRDefault="002F4F32" w:rsidP="003967DD">
      <w:pPr>
        <w:spacing w:after="0"/>
      </w:pPr>
      <w:r>
        <w:separator/>
      </w:r>
    </w:p>
  </w:endnote>
  <w:endnote w:type="continuationSeparator" w:id="0">
    <w:p w14:paraId="4CE8F22A" w14:textId="77777777" w:rsidR="002F4F32" w:rsidRDefault="002F4F3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IC SemiBold">
    <w:altName w:val="Calibri"/>
    <w:panose1 w:val="00000000000000000000"/>
    <w:charset w:val="00"/>
    <w:family w:val="modern"/>
    <w:notTrueType/>
    <w:pitch w:val="variable"/>
    <w:sig w:usb0="00000007" w:usb1="00000000" w:usb2="00000000" w:usb3="00000000" w:csb0="00000093" w:csb1="00000000"/>
  </w:font>
  <w:font w:name="VIC Light">
    <w:altName w:val="Calibri"/>
    <w:panose1 w:val="00000000000000000000"/>
    <w:charset w:val="00"/>
    <w:family w:val="modern"/>
    <w:notTrueType/>
    <w:pitch w:val="variable"/>
    <w:sig w:usb0="00000007" w:usb1="00000000" w:usb2="00000000" w:usb3="00000000" w:csb0="00000093" w:csb1="00000000"/>
  </w:font>
  <w:font w:name="VIC">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275E" w14:textId="77777777" w:rsidR="002F4F32" w:rsidRDefault="002F4F32" w:rsidP="003967DD">
      <w:pPr>
        <w:spacing w:after="0"/>
      </w:pPr>
      <w:r>
        <w:separator/>
      </w:r>
    </w:p>
  </w:footnote>
  <w:footnote w:type="continuationSeparator" w:id="0">
    <w:p w14:paraId="6A7ED8AF" w14:textId="77777777" w:rsidR="002F4F32" w:rsidRDefault="002F4F32" w:rsidP="003967DD">
      <w:pPr>
        <w:spacing w:after="0"/>
      </w:pPr>
      <w:r>
        <w:continuationSeparator/>
      </w:r>
    </w:p>
  </w:footnote>
  <w:footnote w:id="1">
    <w:p w14:paraId="526F14A9" w14:textId="77D292DD" w:rsidR="00FF5D9E" w:rsidRPr="00FF5D9E" w:rsidRDefault="00FF5D9E">
      <w:pPr>
        <w:pStyle w:val="FootnoteText"/>
        <w:rPr>
          <w:lang w:val="en-AU"/>
        </w:rPr>
      </w:pPr>
      <w:r w:rsidRPr="0030325B">
        <w:rPr>
          <w:rStyle w:val="FootnoteReference"/>
          <w:color w:val="auto"/>
        </w:rPr>
        <w:footnoteRef/>
      </w:r>
      <w:r w:rsidRPr="0030325B">
        <w:t xml:space="preserve"> </w:t>
      </w:r>
      <w:r w:rsidRPr="0030325B">
        <w:rPr>
          <w:rFonts w:asciiTheme="minorHAnsi" w:hAnsiTheme="minorHAnsi" w:cstheme="minorHAnsi"/>
          <w:sz w:val="14"/>
          <w:szCs w:val="12"/>
        </w:rPr>
        <w:t>W</w:t>
      </w:r>
      <w:r w:rsidRPr="00D73869">
        <w:rPr>
          <w:rFonts w:asciiTheme="minorHAnsi" w:hAnsiTheme="minorHAnsi" w:cstheme="minorHAnsi"/>
          <w:sz w:val="14"/>
          <w:szCs w:val="12"/>
        </w:rPr>
        <w:t xml:space="preserve">here a Union, Industry Association or Peak Body is the lead or partner, there is a requirement </w:t>
      </w:r>
      <w:r>
        <w:rPr>
          <w:rFonts w:asciiTheme="minorHAnsi" w:hAnsiTheme="minorHAnsi" w:cstheme="minorHAnsi"/>
          <w:sz w:val="14"/>
          <w:szCs w:val="12"/>
        </w:rPr>
        <w:t>to have a minimum of one financial employer group on the projects’ steering committee.</w:t>
      </w:r>
    </w:p>
  </w:footnote>
  <w:footnote w:id="2">
    <w:p w14:paraId="630F2703" w14:textId="77777777" w:rsidR="001B129D" w:rsidRPr="00D73869" w:rsidRDefault="001B129D" w:rsidP="002B2D25">
      <w:pPr>
        <w:pStyle w:val="FootnoteText"/>
        <w:spacing w:after="0"/>
        <w:rPr>
          <w:rFonts w:asciiTheme="minorHAnsi" w:hAnsiTheme="minorHAnsi" w:cstheme="minorHAnsi"/>
          <w:sz w:val="14"/>
          <w:szCs w:val="12"/>
        </w:rPr>
      </w:pPr>
      <w:r w:rsidRPr="00D73869">
        <w:rPr>
          <w:rStyle w:val="FootnoteReference"/>
          <w:rFonts w:asciiTheme="minorHAnsi" w:hAnsiTheme="minorHAnsi" w:cstheme="minorHAnsi"/>
          <w:color w:val="auto"/>
          <w:sz w:val="14"/>
          <w:szCs w:val="12"/>
        </w:rPr>
        <w:footnoteRef/>
      </w:r>
      <w:r w:rsidRPr="00D73869">
        <w:rPr>
          <w:rFonts w:asciiTheme="minorHAnsi" w:hAnsiTheme="minorHAnsi" w:cstheme="minorHAnsi"/>
          <w:sz w:val="14"/>
          <w:szCs w:val="12"/>
        </w:rPr>
        <w:t xml:space="preserve"> Individual businesses (including not-for-profit </w:t>
      </w:r>
      <w:proofErr w:type="spellStart"/>
      <w:r w:rsidRPr="00D73869">
        <w:rPr>
          <w:rFonts w:asciiTheme="minorHAnsi" w:hAnsiTheme="minorHAnsi" w:cstheme="minorHAnsi"/>
          <w:sz w:val="14"/>
          <w:szCs w:val="12"/>
        </w:rPr>
        <w:t>organisations</w:t>
      </w:r>
      <w:proofErr w:type="spellEnd"/>
      <w:r w:rsidRPr="00D73869">
        <w:rPr>
          <w:rFonts w:asciiTheme="minorHAnsi" w:hAnsiTheme="minorHAnsi" w:cstheme="minorHAnsi"/>
          <w:sz w:val="14"/>
          <w:szCs w:val="12"/>
        </w:rPr>
        <w:t xml:space="preserve">) able to demonstrate ongoing trading in Victoria for at least three consecutive years can be a Project lead. In addition, those not-for-profit </w:t>
      </w:r>
      <w:proofErr w:type="spellStart"/>
      <w:r w:rsidRPr="00D73869">
        <w:rPr>
          <w:rFonts w:asciiTheme="minorHAnsi" w:hAnsiTheme="minorHAnsi" w:cstheme="minorHAnsi"/>
          <w:sz w:val="14"/>
          <w:szCs w:val="12"/>
        </w:rPr>
        <w:t>organisations</w:t>
      </w:r>
      <w:proofErr w:type="spellEnd"/>
      <w:r w:rsidRPr="00D73869">
        <w:rPr>
          <w:rFonts w:asciiTheme="minorHAnsi" w:hAnsiTheme="minorHAnsi" w:cstheme="minorHAnsi"/>
          <w:sz w:val="14"/>
          <w:szCs w:val="12"/>
        </w:rPr>
        <w:t xml:space="preserve"> that have an ABN but are not registered for GST can also be a Project Lead.  </w:t>
      </w:r>
    </w:p>
  </w:footnote>
  <w:footnote w:id="3">
    <w:p w14:paraId="5758862A" w14:textId="77777777" w:rsidR="001B129D" w:rsidRPr="00D73869" w:rsidRDefault="001B129D" w:rsidP="002B2D25">
      <w:pPr>
        <w:pStyle w:val="FootnoteText"/>
        <w:rPr>
          <w:rFonts w:asciiTheme="minorHAnsi" w:hAnsiTheme="minorHAnsi" w:cstheme="minorHAnsi"/>
          <w:sz w:val="14"/>
          <w:szCs w:val="12"/>
        </w:rPr>
      </w:pPr>
      <w:r w:rsidRPr="00D73869">
        <w:rPr>
          <w:rStyle w:val="FootnoteReference"/>
          <w:rFonts w:asciiTheme="minorHAnsi" w:hAnsiTheme="minorHAnsi" w:cstheme="minorHAnsi"/>
          <w:color w:val="auto"/>
          <w:sz w:val="14"/>
          <w:szCs w:val="12"/>
        </w:rPr>
        <w:footnoteRef/>
      </w:r>
      <w:r w:rsidRPr="00D73869">
        <w:rPr>
          <w:rFonts w:asciiTheme="minorHAnsi" w:hAnsiTheme="minorHAnsi" w:cstheme="minorHAnsi"/>
          <w:sz w:val="14"/>
          <w:szCs w:val="12"/>
        </w:rPr>
        <w:t xml:space="preserve"> Local Government (service delivery arm only) is eligible to be the lead. Where the service delivery arm of Local Government is the lead, the partnership may be required to include additional industry representation.</w:t>
      </w:r>
    </w:p>
  </w:footnote>
  <w:footnote w:id="4">
    <w:p w14:paraId="7A1FDE8F" w14:textId="77777777" w:rsidR="001B129D" w:rsidRPr="005651D3" w:rsidRDefault="001B129D" w:rsidP="002B2D25">
      <w:pPr>
        <w:pStyle w:val="FootnoteText"/>
        <w:rPr>
          <w:rFonts w:ascii="VIC Light" w:hAnsi="VIC Light"/>
          <w:color w:val="00B140" w:themeColor="accent5"/>
          <w:sz w:val="16"/>
          <w:szCs w:val="14"/>
        </w:rPr>
      </w:pPr>
      <w:r w:rsidRPr="00D73869">
        <w:rPr>
          <w:rStyle w:val="FootnoteReference"/>
          <w:rFonts w:asciiTheme="minorHAnsi" w:hAnsiTheme="minorHAnsi" w:cstheme="minorHAnsi"/>
          <w:color w:val="auto"/>
          <w:sz w:val="14"/>
          <w:szCs w:val="12"/>
        </w:rPr>
        <w:footnoteRef/>
      </w:r>
      <w:r w:rsidRPr="00D73869">
        <w:rPr>
          <w:rFonts w:asciiTheme="minorHAnsi" w:hAnsiTheme="minorHAnsi" w:cstheme="minorHAnsi"/>
          <w:sz w:val="14"/>
          <w:szCs w:val="12"/>
        </w:rPr>
        <w:t xml:space="preserve"> Where a Regional Body is the </w:t>
      </w:r>
      <w:proofErr w:type="gramStart"/>
      <w:r w:rsidRPr="00D73869">
        <w:rPr>
          <w:rFonts w:asciiTheme="minorHAnsi" w:hAnsiTheme="minorHAnsi" w:cstheme="minorHAnsi"/>
          <w:sz w:val="14"/>
          <w:szCs w:val="12"/>
        </w:rPr>
        <w:t>lead</w:t>
      </w:r>
      <w:proofErr w:type="gramEnd"/>
      <w:r w:rsidRPr="00D73869">
        <w:rPr>
          <w:rFonts w:asciiTheme="minorHAnsi" w:hAnsiTheme="minorHAnsi" w:cstheme="minorHAnsi"/>
          <w:sz w:val="14"/>
          <w:szCs w:val="12"/>
        </w:rPr>
        <w:t xml:space="preserve"> the partnership must include at least one Victorian TAFE Institute.</w:t>
      </w:r>
      <w:r w:rsidRPr="00E306EA">
        <w:rPr>
          <w:rFonts w:ascii="VIC Light" w:hAnsi="VIC Light" w:cs="Calibri"/>
          <w:sz w:val="14"/>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C31A2"/>
    <w:multiLevelType w:val="hybridMultilevel"/>
    <w:tmpl w:val="86E6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2D2341"/>
    <w:multiLevelType w:val="hybridMultilevel"/>
    <w:tmpl w:val="67D0E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9F1FD9"/>
    <w:multiLevelType w:val="hybridMultilevel"/>
    <w:tmpl w:val="0B32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1"/>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56641"/>
    <w:rsid w:val="00080DA9"/>
    <w:rsid w:val="000861DD"/>
    <w:rsid w:val="00087175"/>
    <w:rsid w:val="000A47D4"/>
    <w:rsid w:val="000C2034"/>
    <w:rsid w:val="000C600E"/>
    <w:rsid w:val="000D7F9A"/>
    <w:rsid w:val="00122369"/>
    <w:rsid w:val="00136A44"/>
    <w:rsid w:val="00150E0F"/>
    <w:rsid w:val="00157212"/>
    <w:rsid w:val="0016287D"/>
    <w:rsid w:val="00166CEE"/>
    <w:rsid w:val="001B129D"/>
    <w:rsid w:val="001D0D94"/>
    <w:rsid w:val="001D13F9"/>
    <w:rsid w:val="001F39DD"/>
    <w:rsid w:val="00232650"/>
    <w:rsid w:val="00232D42"/>
    <w:rsid w:val="00246144"/>
    <w:rsid w:val="002512BE"/>
    <w:rsid w:val="00251E70"/>
    <w:rsid w:val="00256686"/>
    <w:rsid w:val="002614A8"/>
    <w:rsid w:val="00275FB8"/>
    <w:rsid w:val="00286A7C"/>
    <w:rsid w:val="002A4A96"/>
    <w:rsid w:val="002B2D25"/>
    <w:rsid w:val="002D4598"/>
    <w:rsid w:val="002E3BED"/>
    <w:rsid w:val="002F4F32"/>
    <w:rsid w:val="002F6115"/>
    <w:rsid w:val="0030325B"/>
    <w:rsid w:val="0030380A"/>
    <w:rsid w:val="00312720"/>
    <w:rsid w:val="00343AFC"/>
    <w:rsid w:val="0034745C"/>
    <w:rsid w:val="003617F2"/>
    <w:rsid w:val="003967DD"/>
    <w:rsid w:val="003A4C39"/>
    <w:rsid w:val="003B14DC"/>
    <w:rsid w:val="003B6642"/>
    <w:rsid w:val="003D2858"/>
    <w:rsid w:val="0040053B"/>
    <w:rsid w:val="0042333B"/>
    <w:rsid w:val="00443E58"/>
    <w:rsid w:val="00450EA8"/>
    <w:rsid w:val="004A2E74"/>
    <w:rsid w:val="004B2ED6"/>
    <w:rsid w:val="004B7FE0"/>
    <w:rsid w:val="004D4388"/>
    <w:rsid w:val="00500ADA"/>
    <w:rsid w:val="00512BBA"/>
    <w:rsid w:val="00520725"/>
    <w:rsid w:val="00555277"/>
    <w:rsid w:val="00567CF0"/>
    <w:rsid w:val="00584366"/>
    <w:rsid w:val="00587C4A"/>
    <w:rsid w:val="005A4F12"/>
    <w:rsid w:val="005B3FBE"/>
    <w:rsid w:val="005E0713"/>
    <w:rsid w:val="005F347C"/>
    <w:rsid w:val="00624A55"/>
    <w:rsid w:val="00631610"/>
    <w:rsid w:val="006523D7"/>
    <w:rsid w:val="006671CE"/>
    <w:rsid w:val="006823A0"/>
    <w:rsid w:val="006A1F8A"/>
    <w:rsid w:val="006A25AC"/>
    <w:rsid w:val="006C45C0"/>
    <w:rsid w:val="006E2B9A"/>
    <w:rsid w:val="00710CED"/>
    <w:rsid w:val="00735566"/>
    <w:rsid w:val="00767573"/>
    <w:rsid w:val="007B556E"/>
    <w:rsid w:val="007D3706"/>
    <w:rsid w:val="007D3E38"/>
    <w:rsid w:val="008065DA"/>
    <w:rsid w:val="00890680"/>
    <w:rsid w:val="00892E24"/>
    <w:rsid w:val="008B1737"/>
    <w:rsid w:val="008F3D35"/>
    <w:rsid w:val="00951FC4"/>
    <w:rsid w:val="00952690"/>
    <w:rsid w:val="00954B9A"/>
    <w:rsid w:val="00961D03"/>
    <w:rsid w:val="00984E75"/>
    <w:rsid w:val="0099358C"/>
    <w:rsid w:val="009F09B9"/>
    <w:rsid w:val="009F6A77"/>
    <w:rsid w:val="00A01149"/>
    <w:rsid w:val="00A31926"/>
    <w:rsid w:val="00A710DF"/>
    <w:rsid w:val="00AC1820"/>
    <w:rsid w:val="00B14EB1"/>
    <w:rsid w:val="00B14F77"/>
    <w:rsid w:val="00B21562"/>
    <w:rsid w:val="00B234AE"/>
    <w:rsid w:val="00B67863"/>
    <w:rsid w:val="00B87CAC"/>
    <w:rsid w:val="00BA05BC"/>
    <w:rsid w:val="00C37460"/>
    <w:rsid w:val="00C475A7"/>
    <w:rsid w:val="00C539BB"/>
    <w:rsid w:val="00C8565A"/>
    <w:rsid w:val="00CC5AA8"/>
    <w:rsid w:val="00CC7207"/>
    <w:rsid w:val="00CD5993"/>
    <w:rsid w:val="00CE52BD"/>
    <w:rsid w:val="00CE7916"/>
    <w:rsid w:val="00D15C34"/>
    <w:rsid w:val="00D25552"/>
    <w:rsid w:val="00D73869"/>
    <w:rsid w:val="00D9777A"/>
    <w:rsid w:val="00DC4D0D"/>
    <w:rsid w:val="00E306EA"/>
    <w:rsid w:val="00E34263"/>
    <w:rsid w:val="00E34721"/>
    <w:rsid w:val="00E4317E"/>
    <w:rsid w:val="00E5030B"/>
    <w:rsid w:val="00E6100B"/>
    <w:rsid w:val="00E64758"/>
    <w:rsid w:val="00E77EB9"/>
    <w:rsid w:val="00ED68FE"/>
    <w:rsid w:val="00ED7B84"/>
    <w:rsid w:val="00F0610A"/>
    <w:rsid w:val="00F11745"/>
    <w:rsid w:val="00F37358"/>
    <w:rsid w:val="00F5271F"/>
    <w:rsid w:val="00F61BE5"/>
    <w:rsid w:val="00F94715"/>
    <w:rsid w:val="00FF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customStyle="1" w:styleId="ESHeading3">
    <w:name w:val="ES_Heading 3"/>
    <w:basedOn w:val="Heading3"/>
    <w:qFormat/>
    <w:rsid w:val="00B14F77"/>
    <w:pPr>
      <w:keepNext w:val="0"/>
      <w:keepLines w:val="0"/>
      <w:spacing w:before="240" w:line="240" w:lineRule="atLeast"/>
    </w:pPr>
    <w:rPr>
      <w:rFonts w:ascii="Calibri" w:eastAsiaTheme="minorEastAsia" w:hAnsi="Calibri" w:cs="Arial"/>
      <w:color w:val="000000" w:themeColor="text1"/>
      <w:szCs w:val="18"/>
      <w:lang w:val="en-AU"/>
    </w:rPr>
  </w:style>
  <w:style w:type="paragraph" w:customStyle="1" w:styleId="ESBodyText">
    <w:name w:val="ES_Body Text"/>
    <w:basedOn w:val="Normal"/>
    <w:link w:val="ESBodyTextChar"/>
    <w:qFormat/>
    <w:rsid w:val="002B2D25"/>
    <w:pPr>
      <w:spacing w:line="240" w:lineRule="atLeast"/>
    </w:pPr>
    <w:rPr>
      <w:rFonts w:ascii="Calibri" w:eastAsiaTheme="minorEastAsia" w:hAnsi="Calibri" w:cs="Arial"/>
      <w:szCs w:val="18"/>
      <w:lang w:val="en-AU"/>
    </w:rPr>
  </w:style>
  <w:style w:type="character" w:styleId="FootnoteReference">
    <w:name w:val="footnote reference"/>
    <w:basedOn w:val="DefaultParagraphFont"/>
    <w:uiPriority w:val="99"/>
    <w:unhideWhenUsed/>
    <w:rsid w:val="002B2D25"/>
    <w:rPr>
      <w:color w:val="AF272F"/>
      <w:sz w:val="13"/>
      <w:szCs w:val="13"/>
      <w:vertAlign w:val="superscript"/>
    </w:rPr>
  </w:style>
  <w:style w:type="character" w:customStyle="1" w:styleId="ESBodyTextChar">
    <w:name w:val="ES_Body Text Char"/>
    <w:link w:val="ESBodyText"/>
    <w:rsid w:val="002B2D25"/>
    <w:rPr>
      <w:rFonts w:ascii="Calibri" w:eastAsiaTheme="minorEastAsia" w:hAnsi="Calibri" w:cs="Arial"/>
      <w:sz w:val="22"/>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Clean Economy Workforce Capacity Building Fund, Clean Economy, fund, building</DEECD_Keywords>
    <PublishingExpirationDate xmlns="http://schemas.microsoft.com/sharepoint/v3" xsi:nil="true"/>
    <DEECD_Description xmlns="http://schemas.microsoft.com/sharepoint/v3">The Clean Economy Workforce Capacity Building Fund accepts applications from a range of organisations. There are two potential roles an organisation may have in a CEWCBF project: lead or partner.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A6279-6DCD-4852-ACBB-0171493B2C56}"/>
</file>

<file path=customXml/itemProps2.xml><?xml version="1.0" encoding="utf-8"?>
<ds:datastoreItem xmlns:ds="http://schemas.openxmlformats.org/officeDocument/2006/customXml" ds:itemID="{803D72E2-31F5-4C8A-9077-91155E1718E5}">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8340ccf1-19cc-436c-918b-8d6c0cc500c3"/>
    <ds:schemaRef ds:uri="http://schemas.microsoft.com/office/infopath/2007/PartnerControls"/>
    <ds:schemaRef ds:uri="http://schemas.openxmlformats.org/package/2006/metadata/core-properties"/>
    <ds:schemaRef ds:uri="a4d111d9-cc5d-4643-80f0-3277e17f73ba"/>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can apply for the Clean Economy Workforce Capacity Building Fund</dc:title>
  <dc:subject/>
  <dc:creator>Isabel Lim</dc:creator>
  <cp:keywords/>
  <dc:description/>
  <cp:lastModifiedBy>Lisa Shadforth</cp:lastModifiedBy>
  <cp:revision>2</cp:revision>
  <dcterms:created xsi:type="dcterms:W3CDTF">2021-10-01T00:22:00Z</dcterms:created>
  <dcterms:modified xsi:type="dcterms:W3CDTF">2021-10-01T00:22:00Z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{702d8416-5cfb-418e-b259-4c75e5c77461}</vt:lpwstr>
  </property>
  <property fmtid="{D5CDD505-2E9C-101B-9397-08002B2CF9AE}" pid="5" name="RecordPoint_ActiveItemListId">
    <vt:lpwstr>{a4d111d9-cc5d-4643-80f0-3277e17f73ba}</vt:lpwstr>
  </property>
  <property fmtid="{D5CDD505-2E9C-101B-9397-08002B2CF9AE}" pid="6" name="RecordPoint_ActiveItemUniqueId">
    <vt:lpwstr>{90ff8c15-fdff-4de6-bb9d-c3cd7ccda979}</vt:lpwstr>
  </property>
  <property fmtid="{D5CDD505-2E9C-101B-9397-08002B2CF9AE}" pid="7" name="RecordPoint_ActiveItemWebId">
    <vt:lpwstr>{fe52b685-c948-476c-96f3-ee2e5c65d09b}</vt:lpwstr>
  </property>
  <property fmtid="{D5CDD505-2E9C-101B-9397-08002B2CF9AE}" pid="8" name="DET_EDRMS_RCS">
    <vt:lpwstr>3;#1.2.2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R20211836777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2021-09-03T09:57:33.9672400+10:00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y fmtid="{D5CDD505-2E9C-101B-9397-08002B2CF9AE}" pid="20" name="lf325da747e242898db023622dd7f876">
    <vt:lpwstr/>
  </property>
  <property fmtid="{D5CDD505-2E9C-101B-9397-08002B2CF9AE}" pid="21" name="ma09474bef6b487d93431ac28330710e">
    <vt:lpwstr/>
  </property>
</Properties>
</file>