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31F26" w14:textId="03DFB458" w:rsidR="0072105C" w:rsidRPr="0055253C" w:rsidRDefault="0055253C" w:rsidP="0055253C">
      <w:pPr>
        <w:pStyle w:val="Heading1"/>
        <w:spacing w:before="0"/>
        <w:jc w:val="right"/>
        <w:rPr>
          <w:rFonts w:ascii="VIC SemiBold" w:hAnsi="VIC SemiBold"/>
          <w:sz w:val="44"/>
          <w:szCs w:val="30"/>
          <w:lang w:val="en-AU"/>
        </w:rPr>
      </w:pPr>
      <w:r>
        <w:rPr>
          <w:rFonts w:ascii="VIC SemiBold" w:hAnsi="VIC SemiBold"/>
          <w:color w:val="00857D" w:themeColor="accent1" w:themeShade="BF"/>
          <w:sz w:val="44"/>
          <w:szCs w:val="30"/>
          <w:lang w:val="en-AU"/>
        </w:rPr>
        <w:t>Clean Economy Workforce Capacity Building</w:t>
      </w:r>
      <w:r w:rsidR="005011C4" w:rsidRPr="00251189">
        <w:rPr>
          <w:rFonts w:ascii="VIC SemiBold" w:hAnsi="VIC SemiBold"/>
          <w:color w:val="00857D" w:themeColor="accent1" w:themeShade="BF"/>
          <w:sz w:val="44"/>
          <w:szCs w:val="30"/>
          <w:lang w:val="en-AU"/>
        </w:rPr>
        <w:t xml:space="preserve"> Fund (</w:t>
      </w:r>
      <w:r>
        <w:rPr>
          <w:rFonts w:ascii="VIC SemiBold" w:hAnsi="VIC SemiBold"/>
          <w:color w:val="00857D" w:themeColor="accent1" w:themeShade="BF"/>
          <w:sz w:val="44"/>
          <w:szCs w:val="30"/>
          <w:lang w:val="en-AU"/>
        </w:rPr>
        <w:t>CEWCBF</w:t>
      </w:r>
      <w:r w:rsidR="005011C4" w:rsidRPr="00251189">
        <w:rPr>
          <w:rFonts w:ascii="VIC SemiBold" w:hAnsi="VIC SemiBold"/>
          <w:color w:val="00857D" w:themeColor="accent1" w:themeShade="BF"/>
          <w:sz w:val="44"/>
          <w:szCs w:val="30"/>
          <w:lang w:val="en-AU"/>
        </w:rPr>
        <w:t>)</w:t>
      </w:r>
      <w:r>
        <w:rPr>
          <w:rFonts w:ascii="VIC SemiBold" w:hAnsi="VIC SemiBold"/>
          <w:color w:val="00857D" w:themeColor="accent1" w:themeShade="BF"/>
          <w:sz w:val="44"/>
          <w:szCs w:val="30"/>
          <w:lang w:val="en-AU"/>
        </w:rPr>
        <w:t xml:space="preserve"> - </w:t>
      </w:r>
      <w:r w:rsidR="00681404" w:rsidRPr="0055253C">
        <w:rPr>
          <w:rFonts w:ascii="VIC Medium" w:hAnsi="VIC Medium"/>
          <w:b w:val="0"/>
          <w:color w:val="00857D" w:themeColor="accent1" w:themeShade="BF"/>
          <w:lang w:val="en-AU"/>
        </w:rPr>
        <w:t>Frequently Asked Questions</w:t>
      </w:r>
    </w:p>
    <w:p w14:paraId="0F6A4166" w14:textId="3D9C4B81" w:rsidR="007E3707" w:rsidRDefault="007E3707" w:rsidP="00E66796">
      <w:pPr>
        <w:rPr>
          <w:rFonts w:ascii="VIC" w:hAnsi="VIC"/>
          <w:lang w:val="en-AU"/>
        </w:rPr>
      </w:pPr>
      <w:r>
        <w:rPr>
          <w:rFonts w:ascii="VIC" w:hAnsi="VIC"/>
          <w:noProof/>
          <w:lang w:val="en-AU"/>
        </w:rPr>
        <mc:AlternateContent>
          <mc:Choice Requires="wps">
            <w:drawing>
              <wp:anchor distT="0" distB="0" distL="114300" distR="114300" simplePos="0" relativeHeight="251658240" behindDoc="0" locked="0" layoutInCell="1" allowOverlap="1" wp14:anchorId="300976FF" wp14:editId="47E02118">
                <wp:simplePos x="0" y="0"/>
                <wp:positionH relativeFrom="column">
                  <wp:posOffset>-5715</wp:posOffset>
                </wp:positionH>
                <wp:positionV relativeFrom="paragraph">
                  <wp:posOffset>83185</wp:posOffset>
                </wp:positionV>
                <wp:extent cx="6153150" cy="9525"/>
                <wp:effectExtent l="0" t="0" r="19050"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3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42158" id="Straight Connector 1" o:spid="_x0000_s1026" alt="&quot;&quot;"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45pt,6.55pt" to="48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" strokecolor="#00b2a8 [3204]" strokeweight=".5pt">
                <v:stroke joinstyle="miter"/>
              </v:line>
            </w:pict>
          </mc:Fallback>
        </mc:AlternateContent>
      </w:r>
    </w:p>
    <w:p w14:paraId="1A7F9F65" w14:textId="746CDA5F" w:rsidR="009D586A" w:rsidRPr="00251189" w:rsidRDefault="000900F0" w:rsidP="00E763FF">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 xml:space="preserve">What is the </w:t>
      </w:r>
      <w:r w:rsidR="00A85EF0">
        <w:rPr>
          <w:rFonts w:ascii="VIC Medium" w:eastAsiaTheme="majorEastAsia" w:hAnsi="VIC Medium" w:cstheme="majorBidi"/>
          <w:b w:val="0"/>
          <w:bCs/>
          <w:color w:val="00857D" w:themeColor="accent1" w:themeShade="BF"/>
          <w:sz w:val="26"/>
          <w:szCs w:val="26"/>
          <w:lang w:val="en-AU"/>
        </w:rPr>
        <w:t>Clean Economy Workforce Capacity Building</w:t>
      </w:r>
      <w:r w:rsidR="001E68FD" w:rsidRPr="00251189">
        <w:rPr>
          <w:rFonts w:ascii="VIC Medium" w:eastAsiaTheme="majorEastAsia" w:hAnsi="VIC Medium" w:cstheme="majorBidi"/>
          <w:b w:val="0"/>
          <w:bCs/>
          <w:color w:val="00857D" w:themeColor="accent1" w:themeShade="BF"/>
          <w:sz w:val="26"/>
          <w:szCs w:val="26"/>
          <w:lang w:val="en-AU"/>
        </w:rPr>
        <w:t xml:space="preserve"> </w:t>
      </w:r>
      <w:r w:rsidR="00A85EF0">
        <w:rPr>
          <w:rFonts w:ascii="VIC Medium" w:eastAsiaTheme="majorEastAsia" w:hAnsi="VIC Medium" w:cstheme="majorBidi"/>
          <w:b w:val="0"/>
          <w:bCs/>
          <w:color w:val="00857D" w:themeColor="accent1" w:themeShade="BF"/>
          <w:sz w:val="26"/>
          <w:szCs w:val="26"/>
          <w:lang w:val="en-AU"/>
        </w:rPr>
        <w:t>F</w:t>
      </w:r>
      <w:r w:rsidR="001E68FD" w:rsidRPr="00251189">
        <w:rPr>
          <w:rFonts w:ascii="VIC Medium" w:eastAsiaTheme="majorEastAsia" w:hAnsi="VIC Medium" w:cstheme="majorBidi"/>
          <w:b w:val="0"/>
          <w:bCs/>
          <w:color w:val="00857D" w:themeColor="accent1" w:themeShade="BF"/>
          <w:sz w:val="26"/>
          <w:szCs w:val="26"/>
          <w:lang w:val="en-AU"/>
        </w:rPr>
        <w:t>und?</w:t>
      </w:r>
    </w:p>
    <w:p w14:paraId="542F5F7E" w14:textId="5C1A768F" w:rsidR="004C0F1E" w:rsidRPr="004C0F1E" w:rsidRDefault="00641E94" w:rsidP="004C0F1E">
      <w:pPr>
        <w:ind w:left="-5" w:right="11"/>
        <w:rPr>
          <w:rFonts w:ascii="VIC" w:hAnsi="VIC"/>
          <w:sz w:val="20"/>
          <w:szCs w:val="20"/>
          <w:lang w:val="en-AU"/>
        </w:rPr>
      </w:pPr>
      <w:r>
        <w:rPr>
          <w:rFonts w:ascii="VIC" w:hAnsi="VIC"/>
          <w:sz w:val="20"/>
          <w:szCs w:val="20"/>
          <w:lang w:val="en-AU"/>
        </w:rPr>
        <w:t>The Fund seeks t</w:t>
      </w:r>
      <w:r w:rsidR="004C0F1E" w:rsidRPr="004C0F1E">
        <w:rPr>
          <w:rFonts w:ascii="VIC" w:hAnsi="VIC"/>
          <w:sz w:val="20"/>
          <w:szCs w:val="20"/>
          <w:lang w:val="en-AU"/>
        </w:rPr>
        <w:t xml:space="preserve">o create partnerships between the Victorian TAFE and training sector and industry, to build workforce capacity and to develop and deliver training that supports the Victorian Government’s commitment to achieve net zero emission by 2050. </w:t>
      </w:r>
    </w:p>
    <w:p w14:paraId="66287FBD" w14:textId="4C4A420A" w:rsidR="00F15B79" w:rsidRDefault="001A2BB2" w:rsidP="00F15B79">
      <w:pPr>
        <w:spacing w:before="240" w:after="240"/>
        <w:rPr>
          <w:rFonts w:ascii="VIC" w:eastAsia="Arial" w:hAnsi="VIC" w:cs="Arial"/>
          <w:color w:val="000000" w:themeColor="text1"/>
          <w:kern w:val="24"/>
          <w:sz w:val="20"/>
          <w:szCs w:val="20"/>
          <w:lang w:val="en-AU" w:eastAsia="en-AU"/>
        </w:rPr>
      </w:pPr>
      <w:r>
        <w:rPr>
          <w:rFonts w:ascii="VIC" w:eastAsia="Arial" w:hAnsi="VIC" w:cs="Arial"/>
          <w:color w:val="000000" w:themeColor="text1"/>
          <w:kern w:val="24"/>
          <w:sz w:val="20"/>
          <w:szCs w:val="20"/>
          <w:lang w:val="en-AU" w:eastAsia="en-AU"/>
        </w:rPr>
        <w:t>The Fund</w:t>
      </w:r>
      <w:r w:rsidR="00197EF3" w:rsidRPr="00197EF3">
        <w:rPr>
          <w:rFonts w:ascii="VIC" w:eastAsia="Arial" w:hAnsi="VIC" w:cs="Arial"/>
          <w:color w:val="000000" w:themeColor="text1"/>
          <w:kern w:val="24"/>
          <w:sz w:val="20"/>
          <w:szCs w:val="20"/>
          <w:lang w:val="en-AU" w:eastAsia="en-AU"/>
        </w:rPr>
        <w:t xml:space="preserve"> is designed to:</w:t>
      </w:r>
    </w:p>
    <w:p w14:paraId="06BA93DB" w14:textId="77777777" w:rsidR="00180ACE" w:rsidRPr="00180ACE" w:rsidRDefault="00180ACE" w:rsidP="00180ACE">
      <w:pPr>
        <w:pStyle w:val="ListParagraph"/>
        <w:numPr>
          <w:ilvl w:val="0"/>
          <w:numId w:val="30"/>
        </w:numPr>
        <w:spacing w:after="100"/>
        <w:rPr>
          <w:rFonts w:ascii="VIC" w:hAnsi="VIC" w:cstheme="minorHAnsi"/>
          <w:sz w:val="20"/>
          <w:szCs w:val="20"/>
        </w:rPr>
      </w:pPr>
      <w:r w:rsidRPr="00180ACE">
        <w:rPr>
          <w:rFonts w:ascii="VIC" w:hAnsi="VIC" w:cstheme="minorHAnsi"/>
          <w:sz w:val="20"/>
          <w:szCs w:val="20"/>
        </w:rPr>
        <w:t xml:space="preserve">Improve the efficiency, flexibility and responsiveness of the training and TAFE system in meeting clean economy industry skill needs and business training requirements. </w:t>
      </w:r>
    </w:p>
    <w:p w14:paraId="3EC6E5AA" w14:textId="77777777" w:rsidR="00180ACE" w:rsidRPr="00180ACE" w:rsidRDefault="00180ACE" w:rsidP="00180ACE">
      <w:pPr>
        <w:pStyle w:val="ListParagraph"/>
        <w:numPr>
          <w:ilvl w:val="0"/>
          <w:numId w:val="30"/>
        </w:numPr>
        <w:spacing w:after="100"/>
        <w:rPr>
          <w:rFonts w:ascii="VIC" w:hAnsi="VIC" w:cstheme="minorHAnsi"/>
          <w:sz w:val="20"/>
          <w:szCs w:val="20"/>
        </w:rPr>
      </w:pPr>
      <w:r w:rsidRPr="00180ACE">
        <w:rPr>
          <w:rFonts w:ascii="VIC" w:hAnsi="VIC" w:cstheme="minorHAnsi"/>
          <w:sz w:val="20"/>
          <w:szCs w:val="20"/>
        </w:rPr>
        <w:t xml:space="preserve">Encourage partnerships between industry bodies, businesses, </w:t>
      </w:r>
      <w:proofErr w:type="gramStart"/>
      <w:r w:rsidRPr="00180ACE">
        <w:rPr>
          <w:rFonts w:ascii="VIC" w:hAnsi="VIC" w:cstheme="minorHAnsi"/>
          <w:sz w:val="20"/>
          <w:szCs w:val="20"/>
        </w:rPr>
        <w:t>TAFEs</w:t>
      </w:r>
      <w:proofErr w:type="gramEnd"/>
      <w:r w:rsidRPr="00180ACE">
        <w:rPr>
          <w:rFonts w:ascii="VIC" w:hAnsi="VIC" w:cstheme="minorHAnsi"/>
          <w:sz w:val="20"/>
          <w:szCs w:val="20"/>
        </w:rPr>
        <w:t xml:space="preserve"> and training organisations to improve workforce productivity through clean economy focused training programs.</w:t>
      </w:r>
    </w:p>
    <w:p w14:paraId="6F6591EE" w14:textId="77777777" w:rsidR="00180ACE" w:rsidRPr="00180ACE" w:rsidRDefault="00180ACE" w:rsidP="00180ACE">
      <w:pPr>
        <w:pStyle w:val="ListParagraph"/>
        <w:numPr>
          <w:ilvl w:val="0"/>
          <w:numId w:val="30"/>
        </w:numPr>
        <w:spacing w:after="100"/>
        <w:rPr>
          <w:rFonts w:ascii="VIC" w:hAnsi="VIC" w:cstheme="minorHAnsi"/>
          <w:sz w:val="20"/>
          <w:szCs w:val="20"/>
        </w:rPr>
      </w:pPr>
      <w:r w:rsidRPr="00180ACE">
        <w:rPr>
          <w:rFonts w:ascii="VIC" w:hAnsi="VIC" w:cstheme="minorHAnsi"/>
          <w:sz w:val="20"/>
          <w:szCs w:val="20"/>
        </w:rPr>
        <w:t xml:space="preserve">Build industry productivity and contribute to broader environmental, </w:t>
      </w:r>
      <w:proofErr w:type="gramStart"/>
      <w:r w:rsidRPr="00180ACE">
        <w:rPr>
          <w:rFonts w:ascii="VIC" w:hAnsi="VIC" w:cstheme="minorHAnsi"/>
          <w:sz w:val="20"/>
          <w:szCs w:val="20"/>
        </w:rPr>
        <w:t>social</w:t>
      </w:r>
      <w:proofErr w:type="gramEnd"/>
      <w:r w:rsidRPr="00180ACE">
        <w:rPr>
          <w:rFonts w:ascii="VIC" w:hAnsi="VIC" w:cstheme="minorHAnsi"/>
          <w:sz w:val="20"/>
          <w:szCs w:val="20"/>
        </w:rPr>
        <w:t xml:space="preserve"> and economic gains in Victorian Government priority clean economy areas in the workforce.</w:t>
      </w:r>
    </w:p>
    <w:p w14:paraId="269C5C3C" w14:textId="77777777" w:rsidR="00180ACE" w:rsidRPr="00180ACE" w:rsidRDefault="00180ACE" w:rsidP="00180ACE">
      <w:pPr>
        <w:pStyle w:val="ListParagraph"/>
        <w:numPr>
          <w:ilvl w:val="0"/>
          <w:numId w:val="30"/>
        </w:numPr>
        <w:spacing w:after="100"/>
        <w:rPr>
          <w:rFonts w:ascii="VIC" w:hAnsi="VIC" w:cstheme="minorHAnsi"/>
          <w:sz w:val="20"/>
          <w:szCs w:val="20"/>
        </w:rPr>
      </w:pPr>
      <w:r w:rsidRPr="00180ACE">
        <w:rPr>
          <w:rFonts w:ascii="VIC" w:hAnsi="VIC" w:cstheme="minorHAnsi"/>
          <w:sz w:val="20"/>
          <w:szCs w:val="20"/>
        </w:rPr>
        <w:t xml:space="preserve">Provide opportunities to transfer and scale deliverables to support the design, </w:t>
      </w:r>
      <w:proofErr w:type="gramStart"/>
      <w:r w:rsidRPr="00180ACE">
        <w:rPr>
          <w:rFonts w:ascii="VIC" w:hAnsi="VIC" w:cstheme="minorHAnsi"/>
          <w:sz w:val="20"/>
          <w:szCs w:val="20"/>
        </w:rPr>
        <w:t>adoption</w:t>
      </w:r>
      <w:proofErr w:type="gramEnd"/>
      <w:r w:rsidRPr="00180ACE">
        <w:rPr>
          <w:rFonts w:ascii="VIC" w:hAnsi="VIC" w:cstheme="minorHAnsi"/>
          <w:sz w:val="20"/>
          <w:szCs w:val="20"/>
        </w:rPr>
        <w:t xml:space="preserve"> and implementation of clean economy workforce skills across the wider training and TAFE system. </w:t>
      </w:r>
    </w:p>
    <w:p w14:paraId="578B3E8A" w14:textId="77777777" w:rsidR="00180ACE" w:rsidRPr="00180ACE" w:rsidRDefault="00180ACE" w:rsidP="00180ACE">
      <w:pPr>
        <w:pStyle w:val="ListParagraph"/>
        <w:numPr>
          <w:ilvl w:val="0"/>
          <w:numId w:val="30"/>
        </w:numPr>
        <w:spacing w:after="100"/>
        <w:rPr>
          <w:rFonts w:ascii="VIC" w:hAnsi="VIC" w:cstheme="minorHAnsi"/>
          <w:sz w:val="20"/>
          <w:szCs w:val="20"/>
        </w:rPr>
      </w:pPr>
      <w:r w:rsidRPr="00180ACE">
        <w:rPr>
          <w:rFonts w:ascii="VIC" w:hAnsi="VIC" w:cstheme="minorHAnsi"/>
          <w:sz w:val="20"/>
          <w:szCs w:val="20"/>
        </w:rPr>
        <w:t>Provide investment support to areas of focus and opportunity in clean economy workforce sectors delivering on the Victorian Government’s commitment to achieve net zero emissions by 2050.</w:t>
      </w:r>
    </w:p>
    <w:p w14:paraId="4161C6B7" w14:textId="69615FE4" w:rsidR="000E2742" w:rsidRPr="00251189" w:rsidRDefault="000E2742" w:rsidP="000E2742">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 xml:space="preserve">What is </w:t>
      </w:r>
      <w:r w:rsidR="00392C85">
        <w:rPr>
          <w:rFonts w:ascii="VIC Medium" w:eastAsiaTheme="majorEastAsia" w:hAnsi="VIC Medium" w:cstheme="majorBidi"/>
          <w:b w:val="0"/>
          <w:bCs/>
          <w:color w:val="00857D" w:themeColor="accent1" w:themeShade="BF"/>
          <w:sz w:val="26"/>
          <w:szCs w:val="26"/>
          <w:lang w:val="en-AU"/>
        </w:rPr>
        <w:t>the clean economy</w:t>
      </w:r>
      <w:r w:rsidRPr="00251189">
        <w:rPr>
          <w:rFonts w:ascii="VIC Medium" w:eastAsiaTheme="majorEastAsia" w:hAnsi="VIC Medium" w:cstheme="majorBidi"/>
          <w:b w:val="0"/>
          <w:bCs/>
          <w:color w:val="00857D" w:themeColor="accent1" w:themeShade="BF"/>
          <w:sz w:val="26"/>
          <w:szCs w:val="26"/>
          <w:lang w:val="en-AU"/>
        </w:rPr>
        <w:t>?</w:t>
      </w:r>
    </w:p>
    <w:p w14:paraId="72EAA05D" w14:textId="3595EB64" w:rsidR="001A2BB2" w:rsidRPr="001A2BB2" w:rsidRDefault="001A2BB2" w:rsidP="001A2BB2">
      <w:pPr>
        <w:spacing w:before="240" w:after="240"/>
        <w:rPr>
          <w:rFonts w:ascii="VIC" w:eastAsia="Arial" w:hAnsi="VIC" w:cs="Arial"/>
          <w:color w:val="000000" w:themeColor="text1"/>
          <w:kern w:val="24"/>
          <w:sz w:val="20"/>
          <w:szCs w:val="20"/>
          <w:lang w:val="en-AU" w:eastAsia="en-AU"/>
        </w:rPr>
      </w:pPr>
      <w:r w:rsidRPr="001A2BB2">
        <w:rPr>
          <w:rFonts w:ascii="VIC" w:eastAsia="Arial" w:hAnsi="VIC" w:cs="Arial"/>
          <w:color w:val="000000" w:themeColor="text1"/>
          <w:kern w:val="24"/>
          <w:sz w:val="20"/>
          <w:szCs w:val="20"/>
          <w:lang w:val="en-AU" w:eastAsia="en-AU"/>
        </w:rPr>
        <w:t>The Fund defines the clean economy as:</w:t>
      </w:r>
    </w:p>
    <w:p w14:paraId="3FD8A6BF" w14:textId="0DEA5C7B" w:rsidR="00997483" w:rsidRPr="001A2BB2" w:rsidRDefault="00997483" w:rsidP="001A2BB2">
      <w:pPr>
        <w:pStyle w:val="ListParagraph"/>
        <w:numPr>
          <w:ilvl w:val="0"/>
          <w:numId w:val="30"/>
        </w:numPr>
        <w:spacing w:after="100"/>
        <w:rPr>
          <w:rFonts w:ascii="VIC" w:hAnsi="VIC" w:cstheme="minorHAnsi"/>
          <w:sz w:val="20"/>
          <w:szCs w:val="20"/>
        </w:rPr>
      </w:pPr>
      <w:r w:rsidRPr="001A2BB2">
        <w:rPr>
          <w:rFonts w:ascii="VIC" w:hAnsi="VIC" w:cstheme="minorHAnsi"/>
          <w:sz w:val="20"/>
          <w:szCs w:val="20"/>
        </w:rPr>
        <w:t>The sectors of the Victorian economy that directly contribute to climate change adaptation and mitigation and include, but not limited to:</w:t>
      </w:r>
    </w:p>
    <w:p w14:paraId="7581B0D2" w14:textId="77777777" w:rsidR="00997483" w:rsidRPr="00305C9F" w:rsidRDefault="00997483" w:rsidP="00305C9F">
      <w:pPr>
        <w:pStyle w:val="ListParagraph"/>
        <w:numPr>
          <w:ilvl w:val="1"/>
          <w:numId w:val="30"/>
        </w:numPr>
        <w:spacing w:after="100"/>
        <w:ind w:left="709"/>
        <w:rPr>
          <w:rFonts w:ascii="VIC" w:hAnsi="VIC" w:cstheme="minorHAnsi"/>
          <w:sz w:val="20"/>
          <w:szCs w:val="20"/>
        </w:rPr>
      </w:pPr>
      <w:r w:rsidRPr="00305C9F">
        <w:rPr>
          <w:rFonts w:ascii="VIC" w:hAnsi="VIC" w:cstheme="minorHAnsi"/>
          <w:sz w:val="20"/>
          <w:szCs w:val="20"/>
        </w:rPr>
        <w:t xml:space="preserve">renewable energy (such as solar, wind, hydroelectricity, bioenergy and green hydrogen), energy efficiency and demand management, energy transmission and storage </w:t>
      </w:r>
      <w:proofErr w:type="gramStart"/>
      <w:r w:rsidRPr="00305C9F">
        <w:rPr>
          <w:rFonts w:ascii="VIC" w:hAnsi="VIC" w:cstheme="minorHAnsi"/>
          <w:sz w:val="20"/>
          <w:szCs w:val="20"/>
        </w:rPr>
        <w:t>technologies;</w:t>
      </w:r>
      <w:proofErr w:type="gramEnd"/>
      <w:r w:rsidRPr="00305C9F">
        <w:rPr>
          <w:rFonts w:ascii="VIC" w:hAnsi="VIC" w:cstheme="minorHAnsi"/>
          <w:sz w:val="20"/>
          <w:szCs w:val="20"/>
        </w:rPr>
        <w:t xml:space="preserve">  </w:t>
      </w:r>
    </w:p>
    <w:p w14:paraId="0B69546A" w14:textId="77777777" w:rsidR="00997483" w:rsidRPr="00305C9F" w:rsidRDefault="00997483" w:rsidP="00305C9F">
      <w:pPr>
        <w:pStyle w:val="ListParagraph"/>
        <w:numPr>
          <w:ilvl w:val="1"/>
          <w:numId w:val="30"/>
        </w:numPr>
        <w:spacing w:after="100"/>
        <w:ind w:left="709"/>
        <w:rPr>
          <w:rFonts w:ascii="VIC" w:hAnsi="VIC" w:cstheme="minorHAnsi"/>
          <w:sz w:val="20"/>
          <w:szCs w:val="20"/>
        </w:rPr>
      </w:pPr>
      <w:r w:rsidRPr="00305C9F">
        <w:rPr>
          <w:rFonts w:ascii="VIC" w:hAnsi="VIC" w:cstheme="minorHAnsi"/>
          <w:sz w:val="20"/>
          <w:szCs w:val="20"/>
        </w:rPr>
        <w:t>the use of circular economy practices (particularly in material usage and material efficiency including waste management</w:t>
      </w:r>
      <w:proofErr w:type="gramStart"/>
      <w:r w:rsidRPr="00305C9F">
        <w:rPr>
          <w:rFonts w:ascii="VIC" w:hAnsi="VIC" w:cstheme="minorHAnsi"/>
          <w:sz w:val="20"/>
          <w:szCs w:val="20"/>
        </w:rPr>
        <w:t>);</w:t>
      </w:r>
      <w:proofErr w:type="gramEnd"/>
      <w:r w:rsidRPr="00305C9F">
        <w:rPr>
          <w:rFonts w:ascii="VIC" w:hAnsi="VIC" w:cstheme="minorHAnsi"/>
          <w:sz w:val="20"/>
          <w:szCs w:val="20"/>
        </w:rPr>
        <w:t xml:space="preserve"> </w:t>
      </w:r>
    </w:p>
    <w:p w14:paraId="62D81E2E" w14:textId="77777777" w:rsidR="00997483" w:rsidRPr="00305C9F" w:rsidRDefault="00997483" w:rsidP="00305C9F">
      <w:pPr>
        <w:pStyle w:val="ListParagraph"/>
        <w:numPr>
          <w:ilvl w:val="1"/>
          <w:numId w:val="30"/>
        </w:numPr>
        <w:spacing w:after="100"/>
        <w:ind w:left="709"/>
        <w:rPr>
          <w:rFonts w:ascii="VIC" w:hAnsi="VIC" w:cstheme="minorHAnsi"/>
          <w:sz w:val="20"/>
          <w:szCs w:val="20"/>
        </w:rPr>
      </w:pPr>
      <w:r w:rsidRPr="00305C9F">
        <w:rPr>
          <w:rFonts w:ascii="VIC" w:hAnsi="VIC" w:cstheme="minorHAnsi"/>
          <w:sz w:val="20"/>
          <w:szCs w:val="20"/>
        </w:rPr>
        <w:t>other zero emission economic activity (</w:t>
      </w:r>
      <w:proofErr w:type="gramStart"/>
      <w:r w:rsidRPr="00305C9F">
        <w:rPr>
          <w:rFonts w:ascii="VIC" w:hAnsi="VIC" w:cstheme="minorHAnsi"/>
          <w:sz w:val="20"/>
          <w:szCs w:val="20"/>
        </w:rPr>
        <w:t>e.g.</w:t>
      </w:r>
      <w:proofErr w:type="gramEnd"/>
      <w:r w:rsidRPr="00305C9F">
        <w:rPr>
          <w:rFonts w:ascii="VIC" w:hAnsi="VIC" w:cstheme="minorHAnsi"/>
          <w:sz w:val="20"/>
          <w:szCs w:val="20"/>
        </w:rPr>
        <w:t xml:space="preserve"> transport and agriculture); and </w:t>
      </w:r>
    </w:p>
    <w:p w14:paraId="180AA2FB" w14:textId="77777777" w:rsidR="00997483" w:rsidRPr="00305C9F" w:rsidRDefault="00997483" w:rsidP="00305C9F">
      <w:pPr>
        <w:pStyle w:val="ListParagraph"/>
        <w:numPr>
          <w:ilvl w:val="1"/>
          <w:numId w:val="30"/>
        </w:numPr>
        <w:spacing w:after="100"/>
        <w:ind w:left="709"/>
        <w:rPr>
          <w:rFonts w:ascii="VIC" w:hAnsi="VIC" w:cstheme="minorHAnsi"/>
          <w:sz w:val="20"/>
          <w:szCs w:val="20"/>
        </w:rPr>
      </w:pPr>
      <w:r w:rsidRPr="00305C9F">
        <w:rPr>
          <w:rFonts w:ascii="VIC" w:hAnsi="VIC" w:cstheme="minorHAnsi"/>
          <w:sz w:val="20"/>
          <w:szCs w:val="20"/>
        </w:rPr>
        <w:t>other climate change adaptation and mitigation activity (</w:t>
      </w:r>
      <w:proofErr w:type="gramStart"/>
      <w:r w:rsidRPr="00305C9F">
        <w:rPr>
          <w:rFonts w:ascii="VIC" w:hAnsi="VIC" w:cstheme="minorHAnsi"/>
          <w:sz w:val="20"/>
          <w:szCs w:val="20"/>
        </w:rPr>
        <w:t>e.g.</w:t>
      </w:r>
      <w:proofErr w:type="gramEnd"/>
      <w:r w:rsidRPr="00305C9F">
        <w:rPr>
          <w:rFonts w:ascii="VIC" w:hAnsi="VIC" w:cstheme="minorHAnsi"/>
          <w:sz w:val="20"/>
          <w:szCs w:val="20"/>
        </w:rPr>
        <w:t xml:space="preserve"> carbon capture and storage, hydrogen).</w:t>
      </w:r>
    </w:p>
    <w:p w14:paraId="6B1B299C" w14:textId="77777777" w:rsidR="00997483" w:rsidRPr="001A2BB2" w:rsidRDefault="00997483" w:rsidP="001A2BB2">
      <w:pPr>
        <w:pStyle w:val="ListParagraph"/>
        <w:numPr>
          <w:ilvl w:val="0"/>
          <w:numId w:val="30"/>
        </w:numPr>
        <w:spacing w:after="100"/>
        <w:rPr>
          <w:rFonts w:ascii="VIC" w:hAnsi="VIC" w:cstheme="minorHAnsi"/>
          <w:sz w:val="20"/>
          <w:szCs w:val="20"/>
        </w:rPr>
      </w:pPr>
      <w:r w:rsidRPr="001A2BB2">
        <w:rPr>
          <w:rFonts w:ascii="VIC" w:hAnsi="VIC" w:cstheme="minorHAnsi"/>
          <w:sz w:val="20"/>
          <w:szCs w:val="20"/>
        </w:rPr>
        <w:t>Key sectors of the Victorian economy impacted by climate change and the transition towards a clean economy such as construction, manufacturing, agriculture, forestry, food and fibre, tourism.</w:t>
      </w:r>
    </w:p>
    <w:p w14:paraId="030F39AD" w14:textId="0C1828E1" w:rsidR="00997483" w:rsidRDefault="00997483" w:rsidP="001A2BB2">
      <w:pPr>
        <w:pStyle w:val="ListParagraph"/>
        <w:numPr>
          <w:ilvl w:val="0"/>
          <w:numId w:val="30"/>
        </w:numPr>
        <w:spacing w:after="100"/>
        <w:rPr>
          <w:rFonts w:ascii="VIC" w:hAnsi="VIC" w:cstheme="minorHAnsi"/>
          <w:sz w:val="20"/>
          <w:szCs w:val="20"/>
        </w:rPr>
      </w:pPr>
      <w:r w:rsidRPr="001A2BB2">
        <w:rPr>
          <w:rFonts w:ascii="VIC" w:hAnsi="VIC" w:cstheme="minorHAnsi"/>
          <w:sz w:val="20"/>
          <w:szCs w:val="20"/>
        </w:rPr>
        <w:t>Key sectors of the Victorian economy that will be drivers of the transition towards a clean economy and in addressing climate change (</w:t>
      </w:r>
      <w:proofErr w:type="gramStart"/>
      <w:r w:rsidRPr="001A2BB2">
        <w:rPr>
          <w:rFonts w:ascii="VIC" w:hAnsi="VIC" w:cstheme="minorHAnsi"/>
          <w:sz w:val="20"/>
          <w:szCs w:val="20"/>
        </w:rPr>
        <w:t>e.g.</w:t>
      </w:r>
      <w:proofErr w:type="gramEnd"/>
      <w:r w:rsidRPr="001A2BB2">
        <w:rPr>
          <w:rFonts w:ascii="VIC" w:hAnsi="VIC" w:cstheme="minorHAnsi"/>
          <w:sz w:val="20"/>
          <w:szCs w:val="20"/>
        </w:rPr>
        <w:t xml:space="preserve"> design and innovation).</w:t>
      </w:r>
    </w:p>
    <w:p w14:paraId="42854A8B" w14:textId="51A93590" w:rsidR="00E45FE2" w:rsidRPr="00251189" w:rsidRDefault="00E45FE2" w:rsidP="00E45FE2">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 xml:space="preserve">Who is eligible to apply for </w:t>
      </w:r>
      <w:r w:rsidR="00F35275">
        <w:rPr>
          <w:rFonts w:ascii="VIC Medium" w:eastAsiaTheme="majorEastAsia" w:hAnsi="VIC Medium" w:cstheme="majorBidi"/>
          <w:b w:val="0"/>
          <w:bCs/>
          <w:color w:val="00857D" w:themeColor="accent1" w:themeShade="BF"/>
          <w:sz w:val="26"/>
          <w:szCs w:val="26"/>
          <w:lang w:val="en-AU"/>
        </w:rPr>
        <w:t>CEWCBF</w:t>
      </w:r>
      <w:r w:rsidR="007B48C0" w:rsidRPr="00251189">
        <w:rPr>
          <w:rFonts w:ascii="VIC Medium" w:eastAsiaTheme="majorEastAsia" w:hAnsi="VIC Medium" w:cstheme="majorBidi"/>
          <w:b w:val="0"/>
          <w:bCs/>
          <w:color w:val="00857D" w:themeColor="accent1" w:themeShade="BF"/>
          <w:sz w:val="26"/>
          <w:szCs w:val="26"/>
          <w:lang w:val="en-AU"/>
        </w:rPr>
        <w:t>?</w:t>
      </w:r>
    </w:p>
    <w:p w14:paraId="7EFB2CB4" w14:textId="77777777" w:rsidR="00173B85" w:rsidRPr="00173B85" w:rsidRDefault="00173B85" w:rsidP="00173B85">
      <w:pPr>
        <w:pStyle w:val="paragraph"/>
        <w:spacing w:before="0" w:beforeAutospacing="0" w:after="120" w:afterAutospacing="0"/>
        <w:textAlignment w:val="baseline"/>
        <w:rPr>
          <w:rStyle w:val="normaltextrun"/>
          <w:rFonts w:ascii="VIC" w:hAnsi="VIC" w:cstheme="minorHAnsi"/>
          <w:sz w:val="20"/>
          <w:szCs w:val="20"/>
        </w:rPr>
      </w:pPr>
      <w:r w:rsidRPr="00173B85">
        <w:rPr>
          <w:rStyle w:val="normaltextrun"/>
          <w:rFonts w:ascii="VIC" w:hAnsi="VIC" w:cstheme="minorHAnsi"/>
          <w:sz w:val="20"/>
          <w:szCs w:val="20"/>
        </w:rPr>
        <w:t xml:space="preserve">Applications are considered from a range of organisations including TAFE and Registered Training Organisations (RTOs), universities, industry, employers, unions, peak </w:t>
      </w:r>
      <w:proofErr w:type="gramStart"/>
      <w:r w:rsidRPr="00173B85">
        <w:rPr>
          <w:rStyle w:val="normaltextrun"/>
          <w:rFonts w:ascii="VIC" w:hAnsi="VIC" w:cstheme="minorHAnsi"/>
          <w:sz w:val="20"/>
          <w:szCs w:val="20"/>
        </w:rPr>
        <w:t>bodies</w:t>
      </w:r>
      <w:proofErr w:type="gramEnd"/>
      <w:r w:rsidRPr="00173B85">
        <w:rPr>
          <w:rStyle w:val="normaltextrun"/>
          <w:rFonts w:ascii="VIC" w:hAnsi="VIC" w:cstheme="minorHAnsi"/>
          <w:sz w:val="20"/>
          <w:szCs w:val="20"/>
        </w:rPr>
        <w:t xml:space="preserve"> and industry associations. </w:t>
      </w:r>
    </w:p>
    <w:p w14:paraId="04EEE470" w14:textId="492D9D5B" w:rsidR="00173B85" w:rsidRPr="00173B85" w:rsidRDefault="00173B85" w:rsidP="00173B85">
      <w:pPr>
        <w:pStyle w:val="paragraph"/>
        <w:spacing w:before="0" w:beforeAutospacing="0" w:after="0" w:afterAutospacing="0"/>
        <w:textAlignment w:val="baseline"/>
        <w:rPr>
          <w:rStyle w:val="normaltextrun"/>
          <w:rFonts w:ascii="VIC" w:hAnsi="VIC" w:cstheme="minorHAnsi"/>
          <w:sz w:val="20"/>
          <w:szCs w:val="20"/>
        </w:rPr>
      </w:pPr>
      <w:r w:rsidRPr="00173B85">
        <w:rPr>
          <w:rStyle w:val="normaltextrun"/>
          <w:rFonts w:ascii="VIC" w:hAnsi="VIC" w:cstheme="minorHAnsi"/>
          <w:sz w:val="20"/>
          <w:szCs w:val="20"/>
        </w:rPr>
        <w:t xml:space="preserve">There are two potential roles an organisation may have in a </w:t>
      </w:r>
      <w:r w:rsidR="00F40E3A">
        <w:rPr>
          <w:rStyle w:val="normaltextrun"/>
          <w:rFonts w:ascii="VIC" w:hAnsi="VIC" w:cstheme="minorHAnsi"/>
          <w:sz w:val="20"/>
          <w:szCs w:val="20"/>
        </w:rPr>
        <w:t>CEWCBF</w:t>
      </w:r>
      <w:r w:rsidRPr="00173B85">
        <w:rPr>
          <w:rStyle w:val="normaltextrun"/>
          <w:rFonts w:ascii="VIC" w:hAnsi="VIC" w:cstheme="minorHAnsi"/>
          <w:sz w:val="20"/>
          <w:szCs w:val="20"/>
        </w:rPr>
        <w:t xml:space="preserve"> project – lead or partner. </w:t>
      </w:r>
      <w:r w:rsidRPr="00450506">
        <w:rPr>
          <w:rStyle w:val="normaltextrun"/>
          <w:rFonts w:ascii="VIC" w:hAnsi="VIC" w:cstheme="minorHAnsi"/>
          <w:sz w:val="20"/>
          <w:szCs w:val="20"/>
        </w:rPr>
        <w:t>Conditions</w:t>
      </w:r>
      <w:r w:rsidRPr="00173B85">
        <w:rPr>
          <w:rStyle w:val="normaltextrun"/>
          <w:rFonts w:ascii="VIC" w:hAnsi="VIC" w:cstheme="minorHAnsi"/>
          <w:sz w:val="20"/>
          <w:szCs w:val="20"/>
        </w:rPr>
        <w:t xml:space="preserve"> may apply. </w:t>
      </w:r>
    </w:p>
    <w:p w14:paraId="5BBE57A8" w14:textId="51A15E85" w:rsidR="00173B85" w:rsidRDefault="0060110B" w:rsidP="00173B85">
      <w:pPr>
        <w:pStyle w:val="paragraph"/>
        <w:spacing w:before="0" w:beforeAutospacing="0" w:after="0" w:afterAutospacing="0"/>
        <w:textAlignment w:val="baseline"/>
        <w:rPr>
          <w:rStyle w:val="Hyperlink"/>
          <w:rFonts w:ascii="VIC" w:hAnsi="VIC" w:cstheme="minorHAnsi"/>
          <w:sz w:val="20"/>
          <w:szCs w:val="20"/>
        </w:rPr>
      </w:pPr>
      <w:r>
        <w:rPr>
          <w:rStyle w:val="normaltextrun"/>
          <w:rFonts w:ascii="VIC" w:hAnsi="VIC" w:cstheme="minorHAnsi"/>
          <w:sz w:val="20"/>
          <w:szCs w:val="20"/>
        </w:rPr>
        <w:t xml:space="preserve">For full details refer to the </w:t>
      </w:r>
      <w:r w:rsidR="003D30C8">
        <w:rPr>
          <w:rStyle w:val="normaltextrun"/>
          <w:rFonts w:ascii="VIC" w:hAnsi="VIC" w:cstheme="minorHAnsi"/>
          <w:sz w:val="20"/>
          <w:szCs w:val="20"/>
        </w:rPr>
        <w:t>CEWCBF</w:t>
      </w:r>
      <w:r>
        <w:rPr>
          <w:rStyle w:val="normaltextrun"/>
          <w:rFonts w:ascii="VIC" w:hAnsi="VIC" w:cstheme="minorHAnsi"/>
          <w:sz w:val="20"/>
          <w:szCs w:val="20"/>
        </w:rPr>
        <w:t xml:space="preserve"> </w:t>
      </w:r>
      <w:hyperlink r:id="rId11" w:history="1">
        <w:r w:rsidR="00173B85" w:rsidRPr="007A7F76">
          <w:rPr>
            <w:rStyle w:val="Hyperlink"/>
            <w:rFonts w:ascii="VIC" w:hAnsi="VIC" w:cstheme="minorHAnsi"/>
            <w:sz w:val="20"/>
            <w:szCs w:val="20"/>
          </w:rPr>
          <w:t>website</w:t>
        </w:r>
      </w:hyperlink>
      <w:r w:rsidR="007A7F76">
        <w:rPr>
          <w:rFonts w:ascii="VIC" w:hAnsi="VIC" w:cstheme="minorHAnsi"/>
          <w:sz w:val="20"/>
          <w:szCs w:val="20"/>
        </w:rPr>
        <w:t>.</w:t>
      </w:r>
    </w:p>
    <w:p w14:paraId="407EDC87" w14:textId="6145D773" w:rsidR="007F22E3" w:rsidRPr="00251189" w:rsidRDefault="007F22E3" w:rsidP="007F22E3">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Can an RTO applica</w:t>
      </w:r>
      <w:r w:rsidR="00E80B15">
        <w:rPr>
          <w:rFonts w:ascii="VIC Medium" w:eastAsiaTheme="majorEastAsia" w:hAnsi="VIC Medium" w:cstheme="majorBidi"/>
          <w:b w:val="0"/>
          <w:bCs/>
          <w:color w:val="00857D" w:themeColor="accent1" w:themeShade="BF"/>
          <w:sz w:val="26"/>
          <w:szCs w:val="26"/>
          <w:lang w:val="en-AU"/>
        </w:rPr>
        <w:t>nt</w:t>
      </w:r>
      <w:r w:rsidRPr="00251189">
        <w:rPr>
          <w:rFonts w:ascii="VIC Medium" w:eastAsiaTheme="majorEastAsia" w:hAnsi="VIC Medium" w:cstheme="majorBidi"/>
          <w:b w:val="0"/>
          <w:bCs/>
          <w:color w:val="00857D" w:themeColor="accent1" w:themeShade="BF"/>
          <w:sz w:val="26"/>
          <w:szCs w:val="26"/>
          <w:lang w:val="en-AU"/>
        </w:rPr>
        <w:t xml:space="preserve"> partner with another Education Sector</w:t>
      </w:r>
      <w:r w:rsidR="00E80B15">
        <w:rPr>
          <w:rFonts w:ascii="VIC Medium" w:eastAsiaTheme="majorEastAsia" w:hAnsi="VIC Medium" w:cstheme="majorBidi"/>
          <w:b w:val="0"/>
          <w:bCs/>
          <w:color w:val="00857D" w:themeColor="accent1" w:themeShade="BF"/>
          <w:sz w:val="26"/>
          <w:szCs w:val="26"/>
          <w:lang w:val="en-AU"/>
        </w:rPr>
        <w:t xml:space="preserve"> organisation?</w:t>
      </w:r>
    </w:p>
    <w:p w14:paraId="250FCCD6" w14:textId="40DDC447" w:rsidR="00567FFB" w:rsidRDefault="00567FFB" w:rsidP="00567FFB">
      <w:pPr>
        <w:rPr>
          <w:rFonts w:ascii="VIC" w:hAnsi="VIC"/>
          <w:sz w:val="20"/>
          <w:szCs w:val="20"/>
          <w:lang w:val="en-AU"/>
        </w:rPr>
      </w:pPr>
      <w:r w:rsidRPr="00567FFB">
        <w:rPr>
          <w:rFonts w:ascii="VIC" w:hAnsi="VIC"/>
          <w:sz w:val="20"/>
          <w:szCs w:val="20"/>
          <w:lang w:val="en-AU"/>
        </w:rPr>
        <w:t xml:space="preserve">Yes, if the Lead </w:t>
      </w:r>
      <w:r w:rsidR="00E80B15">
        <w:rPr>
          <w:rFonts w:ascii="VIC" w:hAnsi="VIC"/>
          <w:sz w:val="20"/>
          <w:szCs w:val="20"/>
          <w:lang w:val="en-AU"/>
        </w:rPr>
        <w:t xml:space="preserve">organisation </w:t>
      </w:r>
      <w:r w:rsidRPr="00567FFB">
        <w:rPr>
          <w:rFonts w:ascii="VIC" w:hAnsi="VIC"/>
          <w:sz w:val="20"/>
          <w:szCs w:val="20"/>
          <w:lang w:val="en-AU"/>
        </w:rPr>
        <w:t>has a Skills First contract.</w:t>
      </w:r>
    </w:p>
    <w:p w14:paraId="7DAC21B0" w14:textId="1A8076BB" w:rsidR="00567FFB" w:rsidRDefault="00567FFB" w:rsidP="00567FFB">
      <w:pPr>
        <w:pStyle w:val="paragraph"/>
        <w:spacing w:before="0" w:beforeAutospacing="0" w:after="0" w:afterAutospacing="0"/>
        <w:textAlignment w:val="baseline"/>
        <w:rPr>
          <w:rStyle w:val="Hyperlink"/>
          <w:rFonts w:ascii="VIC" w:hAnsi="VIC" w:cstheme="minorHAnsi"/>
          <w:sz w:val="20"/>
          <w:szCs w:val="20"/>
        </w:rPr>
      </w:pPr>
      <w:r>
        <w:rPr>
          <w:rStyle w:val="normaltextrun"/>
          <w:rFonts w:ascii="VIC" w:hAnsi="VIC" w:cstheme="minorHAnsi"/>
          <w:sz w:val="20"/>
          <w:szCs w:val="20"/>
        </w:rPr>
        <w:t xml:space="preserve">For full details refer to the </w:t>
      </w:r>
      <w:r w:rsidR="00E80B15">
        <w:rPr>
          <w:rStyle w:val="normaltextrun"/>
          <w:rFonts w:ascii="VIC" w:hAnsi="VIC" w:cstheme="minorHAnsi"/>
          <w:sz w:val="20"/>
          <w:szCs w:val="20"/>
        </w:rPr>
        <w:t xml:space="preserve">CEWCBF </w:t>
      </w:r>
      <w:hyperlink r:id="rId12" w:history="1">
        <w:r w:rsidR="00E80B15" w:rsidRPr="007A7F76">
          <w:rPr>
            <w:rStyle w:val="Hyperlink"/>
            <w:rFonts w:ascii="VIC" w:hAnsi="VIC" w:cstheme="minorHAnsi"/>
            <w:sz w:val="20"/>
            <w:szCs w:val="20"/>
          </w:rPr>
          <w:t>website</w:t>
        </w:r>
      </w:hyperlink>
      <w:r w:rsidR="007A7F76">
        <w:rPr>
          <w:rStyle w:val="normaltextrun"/>
          <w:rFonts w:ascii="VIC" w:hAnsi="VIC" w:cstheme="minorHAnsi"/>
          <w:sz w:val="20"/>
          <w:szCs w:val="20"/>
        </w:rPr>
        <w:t>.</w:t>
      </w:r>
    </w:p>
    <w:p w14:paraId="6F07148C" w14:textId="77777777" w:rsidR="00567FFB" w:rsidRPr="00567FFB" w:rsidRDefault="00567FFB" w:rsidP="00567FFB">
      <w:pPr>
        <w:rPr>
          <w:rFonts w:ascii="VIC" w:hAnsi="VIC"/>
          <w:sz w:val="20"/>
          <w:szCs w:val="20"/>
          <w:lang w:val="en-AU"/>
        </w:rPr>
      </w:pPr>
    </w:p>
    <w:p w14:paraId="6E9DF8F9" w14:textId="77777777" w:rsidR="00550952" w:rsidRPr="00251189" w:rsidRDefault="00550952" w:rsidP="00550952">
      <w:pPr>
        <w:pStyle w:val="ESHeading3"/>
        <w:rPr>
          <w:rFonts w:ascii="VIC" w:eastAsiaTheme="majorEastAsia" w:hAnsi="VIC" w:cstheme="majorBidi"/>
          <w:b w:val="0"/>
          <w:bCs/>
          <w:color w:val="00857D" w:themeColor="accent1" w:themeShade="BF"/>
          <w:sz w:val="26"/>
          <w:szCs w:val="26"/>
          <w:lang w:val="en-AU"/>
        </w:rPr>
      </w:pPr>
      <w:r w:rsidRPr="00251189">
        <w:rPr>
          <w:rFonts w:ascii="VIC" w:eastAsiaTheme="majorEastAsia" w:hAnsi="VIC" w:cstheme="majorBidi"/>
          <w:b w:val="0"/>
          <w:bCs/>
          <w:color w:val="00857D" w:themeColor="accent1" w:themeShade="BF"/>
          <w:sz w:val="26"/>
          <w:szCs w:val="26"/>
          <w:lang w:val="en-AU"/>
        </w:rPr>
        <w:t>What does the funding look like?</w:t>
      </w:r>
    </w:p>
    <w:p w14:paraId="6E7EAEF2" w14:textId="69BF9BA1" w:rsidR="00130654" w:rsidRDefault="00550952" w:rsidP="00130654">
      <w:pPr>
        <w:tabs>
          <w:tab w:val="left" w:pos="0"/>
        </w:tabs>
        <w:contextualSpacing/>
        <w:rPr>
          <w:rFonts w:ascii="VIC" w:hAnsi="VIC"/>
          <w:sz w:val="20"/>
          <w:szCs w:val="22"/>
          <w:lang w:val="en-AU"/>
        </w:rPr>
      </w:pPr>
      <w:r w:rsidRPr="00550952">
        <w:rPr>
          <w:rFonts w:ascii="VIC" w:hAnsi="VIC"/>
          <w:sz w:val="20"/>
          <w:szCs w:val="22"/>
          <w:lang w:val="en-AU"/>
        </w:rPr>
        <w:t>The Fund is administered through the payment of a grant</w:t>
      </w:r>
      <w:r w:rsidR="007314F6">
        <w:rPr>
          <w:rFonts w:ascii="VIC" w:hAnsi="VIC"/>
          <w:sz w:val="20"/>
          <w:szCs w:val="22"/>
          <w:lang w:val="en-AU"/>
        </w:rPr>
        <w:t>.</w:t>
      </w:r>
      <w:r w:rsidRPr="00550952">
        <w:rPr>
          <w:rFonts w:ascii="VIC" w:hAnsi="VIC"/>
          <w:sz w:val="20"/>
          <w:szCs w:val="22"/>
          <w:lang w:val="en-AU"/>
        </w:rPr>
        <w:t xml:space="preserve"> </w:t>
      </w:r>
      <w:r w:rsidR="008B6D8B">
        <w:rPr>
          <w:rFonts w:ascii="VIC" w:hAnsi="VIC"/>
          <w:sz w:val="20"/>
          <w:szCs w:val="22"/>
          <w:lang w:val="en-AU"/>
        </w:rPr>
        <w:t>Funding of up to $</w:t>
      </w:r>
      <w:r w:rsidR="00294213">
        <w:rPr>
          <w:rFonts w:ascii="VIC" w:hAnsi="VIC"/>
          <w:sz w:val="20"/>
          <w:szCs w:val="22"/>
          <w:lang w:val="en-AU"/>
        </w:rPr>
        <w:t>1</w:t>
      </w:r>
      <w:r w:rsidR="008B6D8B">
        <w:rPr>
          <w:rFonts w:ascii="VIC" w:hAnsi="VIC"/>
          <w:sz w:val="20"/>
          <w:szCs w:val="22"/>
          <w:lang w:val="en-AU"/>
        </w:rPr>
        <w:t>mil</w:t>
      </w:r>
      <w:r w:rsidR="00811B15">
        <w:rPr>
          <w:rFonts w:ascii="VIC" w:hAnsi="VIC"/>
          <w:sz w:val="20"/>
          <w:szCs w:val="22"/>
          <w:lang w:val="en-AU"/>
        </w:rPr>
        <w:t>lion</w:t>
      </w:r>
      <w:r w:rsidR="008B6D8B">
        <w:rPr>
          <w:rFonts w:ascii="VIC" w:hAnsi="VIC"/>
          <w:sz w:val="20"/>
          <w:szCs w:val="22"/>
          <w:lang w:val="en-AU"/>
        </w:rPr>
        <w:t xml:space="preserve"> </w:t>
      </w:r>
      <w:r w:rsidR="00893C76">
        <w:rPr>
          <w:rFonts w:ascii="VIC" w:hAnsi="VIC"/>
          <w:sz w:val="20"/>
          <w:szCs w:val="22"/>
          <w:lang w:val="en-AU"/>
        </w:rPr>
        <w:t xml:space="preserve">is available </w:t>
      </w:r>
      <w:r w:rsidR="008B6D8B">
        <w:rPr>
          <w:rFonts w:ascii="VIC" w:hAnsi="VIC"/>
          <w:sz w:val="20"/>
          <w:szCs w:val="22"/>
          <w:lang w:val="en-AU"/>
        </w:rPr>
        <w:t xml:space="preserve">across </w:t>
      </w:r>
      <w:r w:rsidR="00294213">
        <w:rPr>
          <w:rFonts w:ascii="VIC" w:hAnsi="VIC"/>
          <w:sz w:val="20"/>
          <w:szCs w:val="22"/>
          <w:lang w:val="en-AU"/>
        </w:rPr>
        <w:t>three</w:t>
      </w:r>
      <w:r w:rsidR="008B6D8B">
        <w:rPr>
          <w:rFonts w:ascii="VIC" w:hAnsi="VIC"/>
          <w:sz w:val="20"/>
          <w:szCs w:val="22"/>
          <w:lang w:val="en-AU"/>
        </w:rPr>
        <w:t xml:space="preserve"> categories</w:t>
      </w:r>
      <w:r w:rsidR="00893C76">
        <w:rPr>
          <w:rFonts w:ascii="VIC" w:hAnsi="VIC"/>
          <w:sz w:val="20"/>
          <w:szCs w:val="22"/>
          <w:lang w:val="en-AU"/>
        </w:rPr>
        <w:t xml:space="preserve">, </w:t>
      </w:r>
      <w:r w:rsidR="00855970">
        <w:rPr>
          <w:rFonts w:ascii="VIC" w:hAnsi="VIC"/>
          <w:sz w:val="20"/>
          <w:szCs w:val="22"/>
          <w:lang w:val="en-AU"/>
        </w:rPr>
        <w:t xml:space="preserve">for collaboration between </w:t>
      </w:r>
      <w:r w:rsidR="00763B81">
        <w:rPr>
          <w:rFonts w:ascii="VIC" w:hAnsi="VIC"/>
          <w:sz w:val="20"/>
          <w:szCs w:val="22"/>
          <w:lang w:val="en-AU"/>
        </w:rPr>
        <w:t xml:space="preserve">industry and training providers </w:t>
      </w:r>
      <w:r w:rsidR="004A457F">
        <w:rPr>
          <w:rFonts w:ascii="VIC" w:hAnsi="VIC"/>
          <w:sz w:val="20"/>
          <w:szCs w:val="22"/>
          <w:lang w:val="en-AU"/>
        </w:rPr>
        <w:t xml:space="preserve">to deliver innovation in </w:t>
      </w:r>
      <w:r w:rsidR="00AD11E1" w:rsidRPr="004E2E56">
        <w:rPr>
          <w:rFonts w:ascii="VIC" w:hAnsi="VIC"/>
          <w:sz w:val="20"/>
          <w:szCs w:val="22"/>
          <w:lang w:val="en-AU"/>
        </w:rPr>
        <w:t>clean economy training and workforce development.</w:t>
      </w:r>
      <w:r w:rsidR="00130654">
        <w:rPr>
          <w:rFonts w:ascii="VIC" w:hAnsi="VIC"/>
          <w:sz w:val="20"/>
          <w:szCs w:val="22"/>
          <w:lang w:val="en-AU"/>
        </w:rPr>
        <w:t xml:space="preserve"> </w:t>
      </w:r>
    </w:p>
    <w:p w14:paraId="722E7E34" w14:textId="1DB6801D" w:rsidR="00744D66" w:rsidRPr="00251189" w:rsidRDefault="00744D66" w:rsidP="00744D66">
      <w:pPr>
        <w:pStyle w:val="ESHeading3"/>
        <w:rPr>
          <w:rFonts w:ascii="VIC" w:eastAsiaTheme="majorEastAsia" w:hAnsi="VIC" w:cstheme="majorBidi"/>
          <w:b w:val="0"/>
          <w:bCs/>
          <w:color w:val="00857D" w:themeColor="accent1" w:themeShade="BF"/>
          <w:sz w:val="26"/>
          <w:szCs w:val="26"/>
          <w:lang w:val="en-AU"/>
        </w:rPr>
      </w:pPr>
      <w:r w:rsidRPr="0079468F">
        <w:rPr>
          <w:rFonts w:ascii="VIC" w:eastAsiaTheme="majorEastAsia" w:hAnsi="VIC" w:cstheme="majorBidi"/>
          <w:b w:val="0"/>
          <w:bCs/>
          <w:color w:val="00857D" w:themeColor="accent1" w:themeShade="BF"/>
          <w:sz w:val="26"/>
          <w:szCs w:val="26"/>
          <w:lang w:val="en-AU"/>
        </w:rPr>
        <w:t xml:space="preserve">How do I apply for funding under </w:t>
      </w:r>
      <w:r w:rsidR="00B872E7" w:rsidRPr="0079468F">
        <w:rPr>
          <w:rFonts w:ascii="VIC" w:eastAsiaTheme="majorEastAsia" w:hAnsi="VIC" w:cstheme="majorBidi"/>
          <w:b w:val="0"/>
          <w:bCs/>
          <w:color w:val="00857D" w:themeColor="accent1" w:themeShade="BF"/>
          <w:sz w:val="26"/>
          <w:szCs w:val="26"/>
          <w:lang w:val="en-AU"/>
        </w:rPr>
        <w:t>CEWCBF</w:t>
      </w:r>
      <w:r w:rsidR="00D52E89" w:rsidRPr="0079468F">
        <w:rPr>
          <w:rFonts w:ascii="VIC" w:eastAsiaTheme="majorEastAsia" w:hAnsi="VIC" w:cstheme="majorBidi"/>
          <w:b w:val="0"/>
          <w:bCs/>
          <w:color w:val="00857D" w:themeColor="accent1" w:themeShade="BF"/>
          <w:sz w:val="26"/>
          <w:szCs w:val="26"/>
          <w:lang w:val="en-AU"/>
        </w:rPr>
        <w:t>?</w:t>
      </w:r>
    </w:p>
    <w:p w14:paraId="033420A6" w14:textId="4EE0C62C" w:rsidR="00586EFB" w:rsidRPr="009C7918" w:rsidRDefault="00586EFB" w:rsidP="00586EFB">
      <w:pPr>
        <w:rPr>
          <w:rFonts w:ascii="VIC" w:hAnsi="VIC"/>
          <w:sz w:val="20"/>
          <w:szCs w:val="22"/>
          <w:lang w:val="en-AU"/>
        </w:rPr>
      </w:pPr>
      <w:r w:rsidRPr="009C7918">
        <w:rPr>
          <w:rFonts w:ascii="VIC" w:hAnsi="VIC"/>
          <w:sz w:val="20"/>
          <w:szCs w:val="22"/>
          <w:lang w:val="en-AU"/>
        </w:rPr>
        <w:t xml:space="preserve">Before being given approval to proceed in developing </w:t>
      </w:r>
      <w:r w:rsidR="00D52E89">
        <w:rPr>
          <w:rFonts w:ascii="VIC" w:hAnsi="VIC"/>
          <w:sz w:val="20"/>
          <w:szCs w:val="22"/>
          <w:lang w:val="en-AU"/>
        </w:rPr>
        <w:t xml:space="preserve">a </w:t>
      </w:r>
      <w:r w:rsidR="00B872E7">
        <w:rPr>
          <w:rFonts w:ascii="VIC" w:hAnsi="VIC"/>
          <w:sz w:val="20"/>
          <w:szCs w:val="22"/>
          <w:lang w:val="en-AU"/>
        </w:rPr>
        <w:t>CEWCBF</w:t>
      </w:r>
      <w:r w:rsidRPr="009C7918">
        <w:rPr>
          <w:rFonts w:ascii="VIC" w:hAnsi="VIC"/>
          <w:sz w:val="20"/>
          <w:szCs w:val="22"/>
          <w:lang w:val="en-AU"/>
        </w:rPr>
        <w:t xml:space="preserve"> application, you need to prepare an Expression of Interest (EOI) to provide evidence there is a need for th</w:t>
      </w:r>
      <w:r>
        <w:rPr>
          <w:rFonts w:ascii="VIC" w:hAnsi="VIC"/>
          <w:sz w:val="20"/>
          <w:szCs w:val="22"/>
          <w:lang w:val="en-AU"/>
        </w:rPr>
        <w:t>e</w:t>
      </w:r>
      <w:r w:rsidRPr="009C7918">
        <w:rPr>
          <w:rFonts w:ascii="VIC" w:hAnsi="VIC"/>
          <w:sz w:val="20"/>
          <w:szCs w:val="22"/>
          <w:lang w:val="en-AU"/>
        </w:rPr>
        <w:t xml:space="preserve"> proposal.  </w:t>
      </w:r>
    </w:p>
    <w:p w14:paraId="504B13CF" w14:textId="77777777" w:rsidR="00450506" w:rsidRPr="00450506" w:rsidRDefault="00450506" w:rsidP="00450506">
      <w:pPr>
        <w:spacing w:after="160" w:line="256" w:lineRule="auto"/>
        <w:rPr>
          <w:rFonts w:ascii="VIC" w:hAnsi="VIC" w:cstheme="minorHAnsi"/>
          <w:sz w:val="20"/>
          <w:szCs w:val="20"/>
        </w:rPr>
      </w:pPr>
      <w:r w:rsidRPr="00450506">
        <w:rPr>
          <w:rFonts w:ascii="VIC" w:hAnsi="VIC" w:cstheme="minorHAnsi"/>
          <w:sz w:val="20"/>
          <w:szCs w:val="20"/>
        </w:rPr>
        <w:t xml:space="preserve">The Department encourages early submission of EOIs to allow those invited to proceed to a full application, to have ample time to complete their applications. </w:t>
      </w:r>
    </w:p>
    <w:p w14:paraId="69BC1213" w14:textId="57417FF5" w:rsidR="00586EFB" w:rsidRPr="00450506" w:rsidRDefault="00450506" w:rsidP="00450506">
      <w:pPr>
        <w:tabs>
          <w:tab w:val="left" w:pos="426"/>
        </w:tabs>
        <w:spacing w:after="240"/>
        <w:jc w:val="both"/>
        <w:rPr>
          <w:rFonts w:ascii="VIC" w:hAnsi="VIC"/>
          <w:sz w:val="20"/>
          <w:szCs w:val="20"/>
        </w:rPr>
      </w:pPr>
      <w:r w:rsidRPr="00450506">
        <w:rPr>
          <w:rFonts w:ascii="VIC" w:hAnsi="VIC" w:cstheme="minorHAnsi"/>
          <w:sz w:val="20"/>
          <w:szCs w:val="20"/>
        </w:rPr>
        <w:t xml:space="preserve">Lodge your EOI as soon as possible at this </w:t>
      </w:r>
      <w:hyperlink r:id="rId13" w:history="1">
        <w:r w:rsidRPr="0098081E">
          <w:rPr>
            <w:rStyle w:val="Hyperlink"/>
            <w:rFonts w:ascii="VIC" w:hAnsi="VIC" w:cstheme="minorHAnsi"/>
            <w:b/>
            <w:bCs/>
            <w:sz w:val="20"/>
            <w:szCs w:val="20"/>
          </w:rPr>
          <w:t>link</w:t>
        </w:r>
      </w:hyperlink>
      <w:r w:rsidRPr="00450506">
        <w:rPr>
          <w:rFonts w:ascii="VIC" w:hAnsi="VIC" w:cstheme="minorHAnsi"/>
          <w:sz w:val="20"/>
          <w:szCs w:val="20"/>
        </w:rPr>
        <w:t>.</w:t>
      </w:r>
    </w:p>
    <w:p w14:paraId="310A90B7" w14:textId="2A3F464D" w:rsidR="001C7D3C" w:rsidRPr="00B40E4B" w:rsidRDefault="001C7D3C" w:rsidP="004A457F">
      <w:pPr>
        <w:pStyle w:val="ESHeading3"/>
        <w:rPr>
          <w:rFonts w:ascii="VIC" w:hAnsi="VIC"/>
          <w:b w:val="0"/>
          <w:bCs/>
          <w:szCs w:val="20"/>
        </w:rPr>
      </w:pPr>
      <w:r w:rsidRPr="00B40E4B">
        <w:rPr>
          <w:rFonts w:ascii="VIC" w:hAnsi="VIC"/>
          <w:b w:val="0"/>
          <w:bCs/>
          <w:szCs w:val="20"/>
          <w:lang w:val="en-AU"/>
        </w:rPr>
        <w:t xml:space="preserve">Refer to </w:t>
      </w:r>
      <w:r w:rsidR="004A457F" w:rsidRPr="00450506">
        <w:rPr>
          <w:rFonts w:ascii="VIC" w:eastAsiaTheme="minorHAnsi" w:hAnsi="VIC" w:cstheme="minorBidi"/>
          <w:b w:val="0"/>
          <w:bCs/>
          <w:color w:val="auto"/>
          <w:szCs w:val="20"/>
          <w:lang w:val="en-GB"/>
        </w:rPr>
        <w:t xml:space="preserve">the </w:t>
      </w:r>
      <w:r w:rsidR="00450506">
        <w:rPr>
          <w:rFonts w:ascii="VIC" w:eastAsiaTheme="minorHAnsi" w:hAnsi="VIC" w:cstheme="minorBidi"/>
          <w:b w:val="0"/>
          <w:bCs/>
          <w:color w:val="auto"/>
          <w:szCs w:val="20"/>
          <w:u w:val="single"/>
          <w:lang w:val="en-GB"/>
        </w:rPr>
        <w:t xml:space="preserve">fund </w:t>
      </w:r>
      <w:r w:rsidR="004A457F" w:rsidRPr="00E86DE2">
        <w:rPr>
          <w:rFonts w:ascii="VIC" w:eastAsiaTheme="minorHAnsi" w:hAnsi="VIC" w:cstheme="minorBidi"/>
          <w:b w:val="0"/>
          <w:bCs/>
          <w:color w:val="auto"/>
          <w:szCs w:val="20"/>
          <w:u w:val="single"/>
          <w:lang w:val="en-GB"/>
        </w:rPr>
        <w:t>guidelines</w:t>
      </w:r>
      <w:r w:rsidR="004A457F" w:rsidRPr="00B40E4B">
        <w:rPr>
          <w:rFonts w:ascii="VIC" w:eastAsiaTheme="minorHAnsi" w:hAnsi="VIC" w:cstheme="minorBidi"/>
          <w:b w:val="0"/>
          <w:bCs/>
          <w:color w:val="auto"/>
          <w:szCs w:val="20"/>
          <w:lang w:val="en-GB"/>
        </w:rPr>
        <w:t xml:space="preserve"> </w:t>
      </w:r>
      <w:r w:rsidR="007A7F76">
        <w:rPr>
          <w:rFonts w:ascii="VIC" w:hAnsi="VIC"/>
          <w:b w:val="0"/>
          <w:bCs/>
          <w:szCs w:val="20"/>
        </w:rPr>
        <w:t xml:space="preserve">on the CEWCBF </w:t>
      </w:r>
      <w:hyperlink r:id="rId14" w:history="1">
        <w:r w:rsidR="007A7F76" w:rsidRPr="007A7F76">
          <w:rPr>
            <w:rStyle w:val="Hyperlink"/>
            <w:rFonts w:ascii="VIC" w:hAnsi="VIC"/>
            <w:b w:val="0"/>
            <w:bCs/>
            <w:szCs w:val="20"/>
          </w:rPr>
          <w:t>website</w:t>
        </w:r>
      </w:hyperlink>
      <w:r w:rsidR="007A7F76">
        <w:rPr>
          <w:rFonts w:ascii="VIC" w:hAnsi="VIC"/>
          <w:b w:val="0"/>
          <w:bCs/>
          <w:szCs w:val="20"/>
        </w:rPr>
        <w:t xml:space="preserve"> for </w:t>
      </w:r>
      <w:r w:rsidR="00B46E66" w:rsidRPr="00B40E4B">
        <w:rPr>
          <w:rFonts w:ascii="VIC" w:hAnsi="VIC"/>
          <w:b w:val="0"/>
          <w:bCs/>
          <w:szCs w:val="20"/>
        </w:rPr>
        <w:t xml:space="preserve">full details on how to apply. </w:t>
      </w:r>
    </w:p>
    <w:p w14:paraId="65E8C86B" w14:textId="6B4415AD" w:rsidR="00E26A36" w:rsidRDefault="00E26A36" w:rsidP="00A31FDC">
      <w:pPr>
        <w:pStyle w:val="ESHeading3"/>
        <w:rPr>
          <w:rFonts w:ascii="VIC Medium" w:eastAsiaTheme="majorEastAsia" w:hAnsi="VIC Medium" w:cstheme="majorBidi"/>
          <w:b w:val="0"/>
          <w:bCs/>
          <w:color w:val="00857D" w:themeColor="accent1" w:themeShade="BF"/>
          <w:sz w:val="26"/>
          <w:szCs w:val="26"/>
          <w:lang w:val="en-AU"/>
        </w:rPr>
      </w:pPr>
      <w:r>
        <w:rPr>
          <w:rFonts w:ascii="VIC Medium" w:eastAsiaTheme="majorEastAsia" w:hAnsi="VIC Medium" w:cstheme="majorBidi"/>
          <w:b w:val="0"/>
          <w:bCs/>
          <w:color w:val="00857D" w:themeColor="accent1" w:themeShade="BF"/>
          <w:sz w:val="26"/>
          <w:szCs w:val="26"/>
          <w:lang w:val="en-AU"/>
        </w:rPr>
        <w:t xml:space="preserve">When do </w:t>
      </w:r>
      <w:r w:rsidR="008B5740">
        <w:rPr>
          <w:rFonts w:ascii="VIC Medium" w:eastAsiaTheme="majorEastAsia" w:hAnsi="VIC Medium" w:cstheme="majorBidi"/>
          <w:b w:val="0"/>
          <w:bCs/>
          <w:color w:val="00857D" w:themeColor="accent1" w:themeShade="BF"/>
          <w:sz w:val="26"/>
          <w:szCs w:val="26"/>
          <w:lang w:val="en-AU"/>
        </w:rPr>
        <w:t>EOIs close?</w:t>
      </w:r>
    </w:p>
    <w:p w14:paraId="30E8E950" w14:textId="100AEDEE" w:rsidR="00983C76" w:rsidRPr="007A7AA8" w:rsidRDefault="00983C76" w:rsidP="00983C76">
      <w:pPr>
        <w:rPr>
          <w:rFonts w:ascii="VIC" w:hAnsi="VIC"/>
          <w:sz w:val="20"/>
          <w:szCs w:val="22"/>
          <w:lang w:val="en-AU"/>
        </w:rPr>
      </w:pPr>
      <w:r w:rsidRPr="007A7AA8">
        <w:rPr>
          <w:rFonts w:ascii="VIC" w:hAnsi="VIC"/>
          <w:sz w:val="20"/>
          <w:szCs w:val="22"/>
          <w:lang w:val="en-AU"/>
        </w:rPr>
        <w:t xml:space="preserve">EOIs </w:t>
      </w:r>
      <w:r w:rsidR="007901A0">
        <w:rPr>
          <w:rFonts w:ascii="VIC" w:hAnsi="VIC"/>
          <w:sz w:val="20"/>
          <w:szCs w:val="22"/>
          <w:lang w:val="en-AU"/>
        </w:rPr>
        <w:t xml:space="preserve">are open from </w:t>
      </w:r>
      <w:r w:rsidR="001347B1" w:rsidRPr="001347B1">
        <w:rPr>
          <w:rFonts w:ascii="VIC" w:hAnsi="VIC"/>
          <w:b/>
          <w:bCs/>
          <w:sz w:val="20"/>
          <w:szCs w:val="22"/>
          <w:lang w:val="en-AU"/>
        </w:rPr>
        <w:t>25</w:t>
      </w:r>
      <w:r w:rsidR="007901A0" w:rsidRPr="001347B1">
        <w:rPr>
          <w:rFonts w:ascii="VIC" w:hAnsi="VIC"/>
          <w:b/>
          <w:bCs/>
          <w:sz w:val="20"/>
          <w:szCs w:val="22"/>
          <w:lang w:val="en-AU"/>
        </w:rPr>
        <w:t xml:space="preserve"> October 2021</w:t>
      </w:r>
      <w:r w:rsidR="007901A0">
        <w:rPr>
          <w:rFonts w:ascii="VIC" w:hAnsi="VIC"/>
          <w:sz w:val="20"/>
          <w:szCs w:val="22"/>
          <w:lang w:val="en-AU"/>
        </w:rPr>
        <w:t xml:space="preserve"> and close at</w:t>
      </w:r>
      <w:r w:rsidRPr="007A7AA8">
        <w:rPr>
          <w:rFonts w:ascii="VIC" w:hAnsi="VIC"/>
          <w:sz w:val="20"/>
          <w:szCs w:val="22"/>
          <w:lang w:val="en-AU"/>
        </w:rPr>
        <w:t xml:space="preserve"> </w:t>
      </w:r>
      <w:r w:rsidRPr="001347B1">
        <w:rPr>
          <w:rFonts w:ascii="VIC" w:hAnsi="VIC"/>
          <w:b/>
          <w:bCs/>
          <w:sz w:val="20"/>
          <w:szCs w:val="22"/>
          <w:lang w:val="en-AU"/>
        </w:rPr>
        <w:t>Midnight, 19 November 2021</w:t>
      </w:r>
      <w:r w:rsidRPr="007A7AA8">
        <w:rPr>
          <w:rFonts w:ascii="VIC" w:hAnsi="VIC"/>
          <w:sz w:val="20"/>
          <w:szCs w:val="22"/>
          <w:lang w:val="en-AU"/>
        </w:rPr>
        <w:t xml:space="preserve">. </w:t>
      </w:r>
      <w:r w:rsidR="007901A0">
        <w:rPr>
          <w:rFonts w:ascii="VIC" w:hAnsi="VIC"/>
          <w:sz w:val="20"/>
          <w:szCs w:val="22"/>
          <w:lang w:val="en-AU"/>
        </w:rPr>
        <w:t xml:space="preserve">The Department encourages early submission of EOIs to allow those invited to proceed to a full application, to have ample time to complete the application form. </w:t>
      </w:r>
    </w:p>
    <w:p w14:paraId="4781D20B" w14:textId="55E43781" w:rsidR="007F447A" w:rsidRPr="00251189" w:rsidRDefault="007F447A" w:rsidP="00A31FDC">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When do</w:t>
      </w:r>
      <w:r w:rsidR="007A7AA8">
        <w:rPr>
          <w:rFonts w:ascii="VIC Medium" w:eastAsiaTheme="majorEastAsia" w:hAnsi="VIC Medium" w:cstheme="majorBidi"/>
          <w:b w:val="0"/>
          <w:bCs/>
          <w:color w:val="00857D" w:themeColor="accent1" w:themeShade="BF"/>
          <w:sz w:val="26"/>
          <w:szCs w:val="26"/>
          <w:lang w:val="en-AU"/>
        </w:rPr>
        <w:t xml:space="preserve"> full applications </w:t>
      </w:r>
      <w:r w:rsidR="00A31FDC" w:rsidRPr="00251189">
        <w:rPr>
          <w:rFonts w:ascii="VIC Medium" w:eastAsiaTheme="majorEastAsia" w:hAnsi="VIC Medium" w:cstheme="majorBidi"/>
          <w:b w:val="0"/>
          <w:bCs/>
          <w:color w:val="00857D" w:themeColor="accent1" w:themeShade="BF"/>
          <w:sz w:val="26"/>
          <w:szCs w:val="26"/>
          <w:lang w:val="en-AU"/>
        </w:rPr>
        <w:t>close?</w:t>
      </w:r>
    </w:p>
    <w:p w14:paraId="40B74DC2" w14:textId="4F03DBAF" w:rsidR="00A31FDC" w:rsidRDefault="00ED07E9" w:rsidP="007E301C">
      <w:pPr>
        <w:tabs>
          <w:tab w:val="left" w:pos="0"/>
        </w:tabs>
        <w:rPr>
          <w:rFonts w:ascii="VIC" w:hAnsi="VIC"/>
          <w:sz w:val="20"/>
          <w:szCs w:val="20"/>
        </w:rPr>
      </w:pPr>
      <w:r>
        <w:rPr>
          <w:rFonts w:ascii="VIC" w:hAnsi="VIC"/>
          <w:sz w:val="20"/>
          <w:szCs w:val="20"/>
        </w:rPr>
        <w:t>If your</w:t>
      </w:r>
      <w:r w:rsidR="0048511C">
        <w:rPr>
          <w:rFonts w:ascii="VIC" w:hAnsi="VIC"/>
          <w:sz w:val="20"/>
          <w:szCs w:val="20"/>
        </w:rPr>
        <w:t xml:space="preserve"> EOI</w:t>
      </w:r>
      <w:r>
        <w:rPr>
          <w:rFonts w:ascii="VIC" w:hAnsi="VIC"/>
          <w:sz w:val="20"/>
          <w:szCs w:val="20"/>
        </w:rPr>
        <w:t xml:space="preserve"> has been approved to proceed to </w:t>
      </w:r>
      <w:r w:rsidR="00E426E6">
        <w:rPr>
          <w:rFonts w:ascii="VIC" w:hAnsi="VIC"/>
          <w:sz w:val="20"/>
          <w:szCs w:val="20"/>
        </w:rPr>
        <w:t xml:space="preserve">a full </w:t>
      </w:r>
      <w:r>
        <w:rPr>
          <w:rFonts w:ascii="VIC" w:hAnsi="VIC"/>
          <w:sz w:val="20"/>
          <w:szCs w:val="20"/>
        </w:rPr>
        <w:t>application</w:t>
      </w:r>
      <w:r w:rsidR="00F852C7">
        <w:rPr>
          <w:rFonts w:ascii="VIC" w:hAnsi="VIC"/>
          <w:sz w:val="20"/>
          <w:szCs w:val="20"/>
        </w:rPr>
        <w:t>, your</w:t>
      </w:r>
      <w:r w:rsidR="0048511C">
        <w:rPr>
          <w:rFonts w:ascii="VIC" w:hAnsi="VIC"/>
          <w:sz w:val="20"/>
          <w:szCs w:val="20"/>
        </w:rPr>
        <w:t xml:space="preserve"> </w:t>
      </w:r>
      <w:r w:rsidR="008554B7">
        <w:rPr>
          <w:rFonts w:ascii="VIC" w:hAnsi="VIC"/>
          <w:sz w:val="20"/>
          <w:szCs w:val="20"/>
        </w:rPr>
        <w:t xml:space="preserve">application </w:t>
      </w:r>
      <w:r w:rsidR="00A31FDC" w:rsidRPr="00202F30">
        <w:rPr>
          <w:rFonts w:ascii="VIC" w:hAnsi="VIC"/>
          <w:sz w:val="20"/>
          <w:szCs w:val="20"/>
        </w:rPr>
        <w:t xml:space="preserve">must be submitted via the Department’s portal by </w:t>
      </w:r>
      <w:r w:rsidR="00F852C7" w:rsidRPr="001347B1">
        <w:rPr>
          <w:rFonts w:ascii="VIC" w:hAnsi="VIC"/>
          <w:b/>
          <w:bCs/>
          <w:sz w:val="20"/>
          <w:szCs w:val="20"/>
        </w:rPr>
        <w:t>M</w:t>
      </w:r>
      <w:r w:rsidR="00A31FDC" w:rsidRPr="001347B1">
        <w:rPr>
          <w:rFonts w:ascii="VIC" w:hAnsi="VIC"/>
          <w:b/>
          <w:bCs/>
          <w:sz w:val="20"/>
          <w:szCs w:val="20"/>
        </w:rPr>
        <w:t xml:space="preserve">idnight, </w:t>
      </w:r>
      <w:r w:rsidR="00F852C7" w:rsidRPr="001347B1">
        <w:rPr>
          <w:rFonts w:ascii="VIC" w:hAnsi="VIC"/>
          <w:b/>
          <w:bCs/>
          <w:sz w:val="20"/>
          <w:szCs w:val="20"/>
        </w:rPr>
        <w:t>3</w:t>
      </w:r>
      <w:r w:rsidR="00A31FDC" w:rsidRPr="001347B1">
        <w:rPr>
          <w:rFonts w:ascii="VIC" w:hAnsi="VIC"/>
          <w:b/>
          <w:bCs/>
          <w:sz w:val="20"/>
          <w:szCs w:val="20"/>
        </w:rPr>
        <w:t xml:space="preserve"> </w:t>
      </w:r>
      <w:r w:rsidR="00F852C7" w:rsidRPr="001347B1">
        <w:rPr>
          <w:rFonts w:ascii="VIC" w:hAnsi="VIC"/>
          <w:b/>
          <w:bCs/>
          <w:sz w:val="20"/>
          <w:szCs w:val="20"/>
        </w:rPr>
        <w:t>December</w:t>
      </w:r>
      <w:r w:rsidR="00A31FDC" w:rsidRPr="001347B1">
        <w:rPr>
          <w:rFonts w:ascii="VIC" w:hAnsi="VIC"/>
          <w:b/>
          <w:bCs/>
          <w:sz w:val="20"/>
          <w:szCs w:val="20"/>
        </w:rPr>
        <w:t xml:space="preserve"> 2021</w:t>
      </w:r>
      <w:r w:rsidR="00A31FDC" w:rsidRPr="00202F30">
        <w:rPr>
          <w:rFonts w:ascii="VIC" w:hAnsi="VIC"/>
          <w:sz w:val="20"/>
          <w:szCs w:val="20"/>
        </w:rPr>
        <w:t>.</w:t>
      </w:r>
    </w:p>
    <w:p w14:paraId="5072E8F4" w14:textId="19E6C583" w:rsidR="00A92CB2" w:rsidRPr="00251189" w:rsidRDefault="00A92CB2" w:rsidP="00AF0099">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 xml:space="preserve">Will </w:t>
      </w:r>
      <w:r w:rsidR="00280511">
        <w:rPr>
          <w:rFonts w:ascii="VIC Medium" w:eastAsiaTheme="majorEastAsia" w:hAnsi="VIC Medium" w:cstheme="majorBidi"/>
          <w:b w:val="0"/>
          <w:bCs/>
          <w:color w:val="00857D" w:themeColor="accent1" w:themeShade="BF"/>
          <w:sz w:val="26"/>
          <w:szCs w:val="26"/>
          <w:lang w:val="en-AU"/>
        </w:rPr>
        <w:t xml:space="preserve">there </w:t>
      </w:r>
      <w:r w:rsidR="00A05940">
        <w:rPr>
          <w:rFonts w:ascii="VIC Medium" w:eastAsiaTheme="majorEastAsia" w:hAnsi="VIC Medium" w:cstheme="majorBidi"/>
          <w:b w:val="0"/>
          <w:bCs/>
          <w:color w:val="00857D" w:themeColor="accent1" w:themeShade="BF"/>
          <w:sz w:val="26"/>
          <w:szCs w:val="26"/>
          <w:lang w:val="en-AU"/>
        </w:rPr>
        <w:t>be future rounds of the Fund</w:t>
      </w:r>
      <w:r w:rsidR="00AF0099" w:rsidRPr="00251189">
        <w:rPr>
          <w:rFonts w:ascii="VIC Medium" w:eastAsiaTheme="majorEastAsia" w:hAnsi="VIC Medium" w:cstheme="majorBidi"/>
          <w:b w:val="0"/>
          <w:bCs/>
          <w:color w:val="00857D" w:themeColor="accent1" w:themeShade="BF"/>
          <w:sz w:val="26"/>
          <w:szCs w:val="26"/>
          <w:lang w:val="en-AU"/>
        </w:rPr>
        <w:t>?</w:t>
      </w:r>
    </w:p>
    <w:p w14:paraId="01B3B636" w14:textId="37E692A2" w:rsidR="00AF0099" w:rsidRPr="00C905FE" w:rsidRDefault="00C905FE" w:rsidP="00C905FE">
      <w:pPr>
        <w:tabs>
          <w:tab w:val="left" w:pos="0"/>
        </w:tabs>
        <w:rPr>
          <w:rFonts w:ascii="VIC" w:hAnsi="VIC"/>
          <w:sz w:val="20"/>
          <w:szCs w:val="20"/>
        </w:rPr>
      </w:pPr>
      <w:r w:rsidRPr="00C905FE">
        <w:rPr>
          <w:rFonts w:ascii="VIC" w:hAnsi="VIC"/>
          <w:sz w:val="20"/>
          <w:szCs w:val="20"/>
        </w:rPr>
        <w:t>This is a limited grant program. Funds will be allocated in this one round.</w:t>
      </w:r>
    </w:p>
    <w:p w14:paraId="41265B57" w14:textId="2B6B2CD5" w:rsidR="004C7D9E" w:rsidRPr="00251189" w:rsidRDefault="004C7D9E" w:rsidP="004C7D9E">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What kind of budget do I need to provide?</w:t>
      </w:r>
    </w:p>
    <w:p w14:paraId="778ADF56" w14:textId="0E9199D7" w:rsidR="004C7D9E" w:rsidRPr="004C7D9E" w:rsidRDefault="00852CF0" w:rsidP="004C7D9E">
      <w:pPr>
        <w:tabs>
          <w:tab w:val="left" w:pos="0"/>
        </w:tabs>
        <w:rPr>
          <w:rFonts w:ascii="VIC" w:hAnsi="VIC"/>
          <w:sz w:val="20"/>
          <w:szCs w:val="22"/>
          <w:lang w:val="en-AU"/>
        </w:rPr>
      </w:pPr>
      <w:r>
        <w:rPr>
          <w:rFonts w:ascii="VIC" w:hAnsi="VIC"/>
          <w:sz w:val="20"/>
          <w:szCs w:val="22"/>
          <w:lang w:val="en-AU"/>
        </w:rPr>
        <w:t>A</w:t>
      </w:r>
      <w:r w:rsidR="004C7D9E" w:rsidRPr="00852CF0">
        <w:rPr>
          <w:rFonts w:ascii="VIC" w:hAnsi="VIC"/>
          <w:sz w:val="20"/>
          <w:szCs w:val="22"/>
          <w:lang w:val="en-AU"/>
        </w:rPr>
        <w:t xml:space="preserve"> budget </w:t>
      </w:r>
      <w:r>
        <w:rPr>
          <w:rFonts w:ascii="VIC" w:hAnsi="VIC"/>
          <w:sz w:val="20"/>
          <w:szCs w:val="22"/>
          <w:lang w:val="en-AU"/>
        </w:rPr>
        <w:t xml:space="preserve">is required </w:t>
      </w:r>
      <w:r w:rsidR="004C7D9E" w:rsidRPr="00852CF0">
        <w:rPr>
          <w:rFonts w:ascii="VIC" w:hAnsi="VIC"/>
          <w:sz w:val="20"/>
          <w:szCs w:val="22"/>
          <w:lang w:val="en-AU"/>
        </w:rPr>
        <w:t>to be attached</w:t>
      </w:r>
      <w:r>
        <w:rPr>
          <w:rFonts w:ascii="VIC" w:hAnsi="VIC"/>
          <w:sz w:val="20"/>
          <w:szCs w:val="22"/>
          <w:lang w:val="en-AU"/>
        </w:rPr>
        <w:t xml:space="preserve"> to your online application</w:t>
      </w:r>
      <w:r w:rsidR="004C7D9E" w:rsidRPr="00852CF0">
        <w:rPr>
          <w:rFonts w:ascii="VIC" w:hAnsi="VIC"/>
          <w:sz w:val="20"/>
          <w:szCs w:val="22"/>
          <w:lang w:val="en-AU"/>
        </w:rPr>
        <w:t xml:space="preserve">, as well as a rationale explaining how this demonstrates value for money. </w:t>
      </w:r>
    </w:p>
    <w:p w14:paraId="25A6D211" w14:textId="55B19073" w:rsidR="004C7D9E" w:rsidRDefault="004C7D9E" w:rsidP="004C7D9E">
      <w:pPr>
        <w:tabs>
          <w:tab w:val="left" w:pos="0"/>
        </w:tabs>
        <w:rPr>
          <w:rFonts w:ascii="VIC" w:hAnsi="VIC"/>
          <w:sz w:val="20"/>
          <w:szCs w:val="22"/>
          <w:lang w:val="en-AU"/>
        </w:rPr>
      </w:pPr>
      <w:r w:rsidRPr="004C7D9E">
        <w:rPr>
          <w:rFonts w:ascii="VIC" w:hAnsi="VIC"/>
          <w:sz w:val="20"/>
          <w:szCs w:val="22"/>
          <w:lang w:val="en-AU"/>
        </w:rPr>
        <w:t xml:space="preserve">The budget template is provided when you receive your link to the </w:t>
      </w:r>
      <w:r w:rsidR="00B76A13">
        <w:rPr>
          <w:rFonts w:ascii="VIC" w:hAnsi="VIC"/>
          <w:sz w:val="20"/>
          <w:szCs w:val="22"/>
          <w:lang w:val="en-AU"/>
        </w:rPr>
        <w:t>CEWCBF</w:t>
      </w:r>
      <w:r w:rsidR="00201EF5">
        <w:rPr>
          <w:rFonts w:ascii="VIC" w:hAnsi="VIC"/>
          <w:sz w:val="20"/>
          <w:szCs w:val="22"/>
          <w:lang w:val="en-AU"/>
        </w:rPr>
        <w:t xml:space="preserve"> </w:t>
      </w:r>
      <w:r w:rsidRPr="004C7D9E">
        <w:rPr>
          <w:rFonts w:ascii="VIC" w:hAnsi="VIC"/>
          <w:sz w:val="20"/>
          <w:szCs w:val="22"/>
          <w:lang w:val="en-AU"/>
        </w:rPr>
        <w:t xml:space="preserve">online </w:t>
      </w:r>
      <w:r w:rsidR="00394A7A">
        <w:rPr>
          <w:rFonts w:ascii="VIC" w:hAnsi="VIC"/>
          <w:sz w:val="20"/>
          <w:szCs w:val="22"/>
          <w:lang w:val="en-AU"/>
        </w:rPr>
        <w:t>a</w:t>
      </w:r>
      <w:r w:rsidRPr="004C7D9E">
        <w:rPr>
          <w:rFonts w:ascii="VIC" w:hAnsi="VIC"/>
          <w:sz w:val="20"/>
          <w:szCs w:val="22"/>
          <w:lang w:val="en-AU"/>
        </w:rPr>
        <w:t>pplication. Each line item of expenditure and income is considered by the assessors</w:t>
      </w:r>
      <w:r w:rsidR="004B70C4">
        <w:rPr>
          <w:rFonts w:ascii="VIC" w:hAnsi="VIC"/>
          <w:sz w:val="20"/>
          <w:szCs w:val="22"/>
          <w:lang w:val="en-AU"/>
        </w:rPr>
        <w:t>,</w:t>
      </w:r>
      <w:r w:rsidRPr="004C7D9E">
        <w:rPr>
          <w:rFonts w:ascii="VIC" w:hAnsi="VIC"/>
          <w:sz w:val="20"/>
          <w:szCs w:val="22"/>
          <w:lang w:val="en-AU"/>
        </w:rPr>
        <w:t xml:space="preserve"> so please ensure it is clear what is included and why. </w:t>
      </w:r>
    </w:p>
    <w:p w14:paraId="7262B125" w14:textId="77777777" w:rsidR="00AD0371" w:rsidRDefault="00AD0371" w:rsidP="00AD0371">
      <w:pPr>
        <w:pStyle w:val="ESHeading3"/>
        <w:rPr>
          <w:rFonts w:ascii="VIC Medium" w:eastAsiaTheme="majorEastAsia" w:hAnsi="VIC Medium" w:cstheme="majorBidi"/>
          <w:b w:val="0"/>
          <w:bCs/>
          <w:color w:val="00857D" w:themeColor="accent1" w:themeShade="BF"/>
          <w:sz w:val="26"/>
          <w:szCs w:val="26"/>
          <w:lang w:val="en-AU"/>
        </w:rPr>
      </w:pPr>
      <w:r>
        <w:rPr>
          <w:rFonts w:ascii="VIC Medium" w:eastAsiaTheme="majorEastAsia" w:hAnsi="VIC Medium" w:cstheme="majorBidi"/>
          <w:b w:val="0"/>
          <w:bCs/>
          <w:color w:val="00857D" w:themeColor="accent1" w:themeShade="BF"/>
          <w:sz w:val="26"/>
          <w:szCs w:val="26"/>
          <w:lang w:val="en-AU"/>
        </w:rPr>
        <w:t>Do project applicants have to provide a funding contribution?</w:t>
      </w:r>
    </w:p>
    <w:p w14:paraId="4F32DC64" w14:textId="7A31B64A" w:rsidR="00AD0371" w:rsidRPr="0038034F" w:rsidRDefault="00AD0371" w:rsidP="00AD0371">
      <w:pPr>
        <w:rPr>
          <w:rFonts w:ascii="VIC" w:hAnsi="VIC"/>
          <w:sz w:val="20"/>
          <w:szCs w:val="20"/>
          <w:lang w:val="en-AU"/>
        </w:rPr>
      </w:pPr>
      <w:r w:rsidRPr="0038034F">
        <w:rPr>
          <w:rFonts w:ascii="VIC" w:hAnsi="VIC"/>
          <w:sz w:val="20"/>
          <w:szCs w:val="20"/>
          <w:lang w:val="en-AU"/>
        </w:rPr>
        <w:t>Applica</w:t>
      </w:r>
      <w:r>
        <w:rPr>
          <w:rFonts w:ascii="VIC" w:hAnsi="VIC"/>
          <w:sz w:val="20"/>
          <w:szCs w:val="20"/>
          <w:lang w:val="en-AU"/>
        </w:rPr>
        <w:t xml:space="preserve">nts </w:t>
      </w:r>
      <w:r w:rsidR="008C7FD8" w:rsidRPr="050760E7">
        <w:rPr>
          <w:rFonts w:ascii="VIC" w:eastAsia="VIC" w:hAnsi="VIC" w:cs="VIC"/>
          <w:sz w:val="20"/>
          <w:szCs w:val="20"/>
          <w:lang w:val="en-AU"/>
        </w:rPr>
        <w:t>don’t have to provide a funding contribution</w:t>
      </w:r>
      <w:r w:rsidR="050760E7" w:rsidRPr="050760E7">
        <w:rPr>
          <w:rFonts w:ascii="VIC" w:eastAsia="VIC" w:hAnsi="VIC" w:cs="VIC"/>
          <w:sz w:val="20"/>
          <w:szCs w:val="20"/>
          <w:lang w:val="en-AU"/>
        </w:rPr>
        <w:t xml:space="preserve">. The Department aims to maximise the benefits of the Fund and </w:t>
      </w:r>
      <w:r w:rsidR="008C7FD8" w:rsidRPr="050760E7">
        <w:rPr>
          <w:rFonts w:ascii="VIC" w:eastAsia="VIC" w:hAnsi="VIC" w:cs="VIC"/>
          <w:sz w:val="20"/>
          <w:szCs w:val="20"/>
          <w:lang w:val="en-AU"/>
        </w:rPr>
        <w:t xml:space="preserve">in-kind </w:t>
      </w:r>
      <w:r w:rsidR="00F93ECA" w:rsidRPr="050760E7">
        <w:rPr>
          <w:rFonts w:ascii="VIC" w:eastAsia="VIC" w:hAnsi="VIC" w:cs="VIC"/>
          <w:sz w:val="20"/>
          <w:szCs w:val="20"/>
          <w:lang w:val="en-AU"/>
        </w:rPr>
        <w:t xml:space="preserve">and </w:t>
      </w:r>
      <w:r w:rsidR="050760E7" w:rsidRPr="050760E7">
        <w:rPr>
          <w:rFonts w:ascii="VIC" w:eastAsia="VIC" w:hAnsi="VIC" w:cs="VIC"/>
          <w:sz w:val="20"/>
          <w:szCs w:val="20"/>
          <w:lang w:val="en-AU"/>
        </w:rPr>
        <w:t xml:space="preserve">financial </w:t>
      </w:r>
      <w:r w:rsidR="00F93ECA" w:rsidRPr="050760E7">
        <w:rPr>
          <w:rFonts w:ascii="VIC" w:eastAsia="VIC" w:hAnsi="VIC" w:cs="VIC"/>
          <w:sz w:val="20"/>
          <w:szCs w:val="20"/>
          <w:lang w:val="en-AU"/>
        </w:rPr>
        <w:t xml:space="preserve">contributions can be </w:t>
      </w:r>
      <w:r w:rsidR="00A24E9E" w:rsidRPr="050760E7">
        <w:rPr>
          <w:rFonts w:ascii="VIC" w:eastAsia="VIC" w:hAnsi="VIC" w:cs="VIC"/>
          <w:sz w:val="20"/>
          <w:szCs w:val="20"/>
          <w:lang w:val="en-AU"/>
        </w:rPr>
        <w:t>made</w:t>
      </w:r>
      <w:r w:rsidR="00A24E9E">
        <w:rPr>
          <w:rFonts w:ascii="VIC" w:hAnsi="VIC"/>
          <w:sz w:val="20"/>
          <w:szCs w:val="20"/>
          <w:lang w:val="en-AU"/>
        </w:rPr>
        <w:t xml:space="preserve"> and</w:t>
      </w:r>
      <w:r w:rsidR="00F93ECA" w:rsidRPr="050760E7">
        <w:rPr>
          <w:rFonts w:ascii="VIC" w:eastAsia="VIC" w:hAnsi="VIC" w:cs="VIC"/>
          <w:sz w:val="20"/>
          <w:szCs w:val="20"/>
          <w:lang w:val="en-AU"/>
        </w:rPr>
        <w:t xml:space="preserve"> </w:t>
      </w:r>
      <w:r w:rsidR="050760E7" w:rsidRPr="050760E7">
        <w:rPr>
          <w:rFonts w:ascii="VIC" w:eastAsia="VIC" w:hAnsi="VIC" w:cs="VIC"/>
          <w:sz w:val="20"/>
          <w:szCs w:val="20"/>
          <w:lang w:val="en-AU"/>
        </w:rPr>
        <w:t>should</w:t>
      </w:r>
      <w:r w:rsidR="004D1382" w:rsidRPr="050760E7">
        <w:rPr>
          <w:rFonts w:ascii="VIC" w:eastAsia="VIC" w:hAnsi="VIC" w:cs="VIC"/>
          <w:sz w:val="20"/>
          <w:szCs w:val="20"/>
          <w:lang w:val="en-AU"/>
        </w:rPr>
        <w:t xml:space="preserve"> be </w:t>
      </w:r>
      <w:r w:rsidR="005420FE" w:rsidRPr="050760E7">
        <w:rPr>
          <w:rFonts w:ascii="VIC" w:eastAsia="VIC" w:hAnsi="VIC" w:cs="VIC"/>
          <w:sz w:val="20"/>
          <w:szCs w:val="20"/>
          <w:lang w:val="en-AU"/>
        </w:rPr>
        <w:t xml:space="preserve">reflected in the budget accompanying the application. </w:t>
      </w:r>
      <w:r w:rsidR="050760E7" w:rsidRPr="050760E7">
        <w:rPr>
          <w:rFonts w:ascii="VIC" w:eastAsia="VIC" w:hAnsi="VIC" w:cs="VIC"/>
          <w:sz w:val="20"/>
          <w:szCs w:val="20"/>
          <w:lang w:val="en-AU"/>
        </w:rPr>
        <w:t xml:space="preserve">  </w:t>
      </w:r>
      <w:r w:rsidR="008C7FD8">
        <w:rPr>
          <w:rFonts w:ascii="VIC" w:hAnsi="VIC"/>
          <w:sz w:val="20"/>
          <w:szCs w:val="20"/>
          <w:lang w:val="en-AU"/>
        </w:rPr>
        <w:t xml:space="preserve"> </w:t>
      </w:r>
    </w:p>
    <w:p w14:paraId="13FFA867" w14:textId="2973F4C5" w:rsidR="00392B7F" w:rsidRPr="00251189" w:rsidRDefault="00392B7F" w:rsidP="00392B7F">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 xml:space="preserve">What </w:t>
      </w:r>
      <w:r w:rsidR="008E0545">
        <w:rPr>
          <w:rFonts w:ascii="VIC Medium" w:eastAsiaTheme="majorEastAsia" w:hAnsi="VIC Medium" w:cstheme="majorBidi"/>
          <w:b w:val="0"/>
          <w:bCs/>
          <w:color w:val="00857D" w:themeColor="accent1" w:themeShade="BF"/>
          <w:sz w:val="26"/>
          <w:szCs w:val="26"/>
          <w:lang w:val="en-AU"/>
        </w:rPr>
        <w:t xml:space="preserve">doesn’t </w:t>
      </w:r>
      <w:r w:rsidRPr="00251189">
        <w:rPr>
          <w:rFonts w:ascii="VIC Medium" w:eastAsiaTheme="majorEastAsia" w:hAnsi="VIC Medium" w:cstheme="majorBidi"/>
          <w:b w:val="0"/>
          <w:bCs/>
          <w:color w:val="00857D" w:themeColor="accent1" w:themeShade="BF"/>
          <w:sz w:val="26"/>
          <w:szCs w:val="26"/>
          <w:lang w:val="en-AU"/>
        </w:rPr>
        <w:t>the program fund</w:t>
      </w:r>
      <w:r w:rsidR="008E0545">
        <w:rPr>
          <w:rFonts w:ascii="VIC Medium" w:eastAsiaTheme="majorEastAsia" w:hAnsi="VIC Medium" w:cstheme="majorBidi"/>
          <w:b w:val="0"/>
          <w:bCs/>
          <w:color w:val="00857D" w:themeColor="accent1" w:themeShade="BF"/>
          <w:sz w:val="26"/>
          <w:szCs w:val="26"/>
          <w:lang w:val="en-AU"/>
        </w:rPr>
        <w:t>?</w:t>
      </w:r>
    </w:p>
    <w:p w14:paraId="7F0B5C53" w14:textId="5EC537D7" w:rsidR="00392B7F" w:rsidRPr="00392B7F" w:rsidRDefault="00E359F4" w:rsidP="00392B7F">
      <w:pPr>
        <w:pStyle w:val="ESHeading3"/>
        <w:rPr>
          <w:rFonts w:ascii="VIC" w:eastAsiaTheme="majorEastAsia" w:hAnsi="VIC" w:cstheme="majorBidi"/>
          <w:b w:val="0"/>
          <w:bCs/>
          <w:color w:val="auto"/>
          <w:szCs w:val="20"/>
          <w:lang w:val="en-AU"/>
        </w:rPr>
      </w:pPr>
      <w:r>
        <w:rPr>
          <w:rFonts w:ascii="VIC" w:eastAsiaTheme="majorEastAsia" w:hAnsi="VIC" w:cstheme="majorBidi"/>
          <w:b w:val="0"/>
          <w:bCs/>
          <w:color w:val="auto"/>
          <w:szCs w:val="20"/>
          <w:lang w:val="en-AU"/>
        </w:rPr>
        <w:t>P</w:t>
      </w:r>
      <w:r w:rsidR="00392B7F" w:rsidRPr="00392B7F">
        <w:rPr>
          <w:rFonts w:ascii="VIC" w:eastAsiaTheme="majorEastAsia" w:hAnsi="VIC" w:cstheme="majorBidi"/>
          <w:b w:val="0"/>
          <w:bCs/>
          <w:color w:val="auto"/>
          <w:szCs w:val="20"/>
          <w:lang w:val="en-AU"/>
        </w:rPr>
        <w:t xml:space="preserve">roject activities are </w:t>
      </w:r>
      <w:proofErr w:type="gramStart"/>
      <w:r w:rsidR="00392B7F" w:rsidRPr="00392B7F">
        <w:rPr>
          <w:rFonts w:ascii="VIC" w:eastAsiaTheme="majorEastAsia" w:hAnsi="VIC" w:cstheme="majorBidi"/>
          <w:b w:val="0"/>
          <w:bCs/>
          <w:color w:val="auto"/>
          <w:szCs w:val="20"/>
          <w:lang w:val="en-AU"/>
        </w:rPr>
        <w:t>broad,</w:t>
      </w:r>
      <w:proofErr w:type="gramEnd"/>
      <w:r w:rsidR="00392B7F" w:rsidRPr="00392B7F">
        <w:rPr>
          <w:rFonts w:ascii="VIC" w:eastAsiaTheme="majorEastAsia" w:hAnsi="VIC" w:cstheme="majorBidi"/>
          <w:b w:val="0"/>
          <w:bCs/>
          <w:color w:val="auto"/>
          <w:szCs w:val="20"/>
          <w:lang w:val="en-AU"/>
        </w:rPr>
        <w:t xml:space="preserve"> however the following will not be considered for funding:</w:t>
      </w:r>
    </w:p>
    <w:p w14:paraId="1CB3DCE8" w14:textId="77777777" w:rsidR="000203F6" w:rsidRPr="00E3682C" w:rsidRDefault="000203F6" w:rsidP="00E3682C">
      <w:pPr>
        <w:pStyle w:val="ESHeading3"/>
        <w:numPr>
          <w:ilvl w:val="0"/>
          <w:numId w:val="34"/>
        </w:numPr>
        <w:spacing w:before="0" w:after="0"/>
        <w:ind w:left="714" w:hanging="357"/>
        <w:rPr>
          <w:rFonts w:ascii="VIC" w:eastAsiaTheme="majorEastAsia" w:hAnsi="VIC" w:cstheme="majorBidi"/>
          <w:b w:val="0"/>
          <w:bCs/>
          <w:color w:val="auto"/>
          <w:szCs w:val="20"/>
          <w:lang w:val="en-AU"/>
        </w:rPr>
      </w:pPr>
      <w:r w:rsidRPr="00E3682C">
        <w:rPr>
          <w:rFonts w:ascii="VIC" w:eastAsiaTheme="majorEastAsia" w:hAnsi="VIC" w:cstheme="majorBidi"/>
          <w:b w:val="0"/>
          <w:bCs/>
          <w:color w:val="auto"/>
          <w:szCs w:val="20"/>
          <w:lang w:val="en-AU"/>
        </w:rPr>
        <w:t>ongoing funding</w:t>
      </w:r>
    </w:p>
    <w:p w14:paraId="3B2E7B36" w14:textId="77777777" w:rsidR="000203F6" w:rsidRPr="00E3682C" w:rsidRDefault="000203F6" w:rsidP="00E3682C">
      <w:pPr>
        <w:pStyle w:val="ESHeading3"/>
        <w:numPr>
          <w:ilvl w:val="0"/>
          <w:numId w:val="34"/>
        </w:numPr>
        <w:spacing w:before="0" w:after="0"/>
        <w:ind w:left="714" w:hanging="357"/>
        <w:rPr>
          <w:rFonts w:ascii="VIC" w:eastAsiaTheme="majorEastAsia" w:hAnsi="VIC" w:cstheme="majorBidi"/>
          <w:b w:val="0"/>
          <w:bCs/>
          <w:color w:val="auto"/>
          <w:szCs w:val="20"/>
          <w:lang w:val="en-AU"/>
        </w:rPr>
      </w:pPr>
      <w:r w:rsidRPr="00E3682C">
        <w:rPr>
          <w:rFonts w:ascii="VIC" w:eastAsiaTheme="majorEastAsia" w:hAnsi="VIC" w:cstheme="majorBidi"/>
          <w:b w:val="0"/>
          <w:bCs/>
          <w:color w:val="auto"/>
          <w:szCs w:val="20"/>
          <w:lang w:val="en-AU"/>
        </w:rPr>
        <w:t>existing initiatives</w:t>
      </w:r>
    </w:p>
    <w:p w14:paraId="013992AC" w14:textId="77777777" w:rsidR="000203F6" w:rsidRPr="00E3682C" w:rsidRDefault="000203F6" w:rsidP="00E3682C">
      <w:pPr>
        <w:pStyle w:val="ESHeading3"/>
        <w:numPr>
          <w:ilvl w:val="0"/>
          <w:numId w:val="34"/>
        </w:numPr>
        <w:spacing w:before="0" w:after="0"/>
        <w:ind w:left="714" w:hanging="357"/>
        <w:rPr>
          <w:rFonts w:ascii="VIC" w:eastAsiaTheme="majorEastAsia" w:hAnsi="VIC" w:cstheme="majorBidi"/>
          <w:b w:val="0"/>
          <w:bCs/>
          <w:color w:val="auto"/>
          <w:szCs w:val="20"/>
          <w:lang w:val="en-AU"/>
        </w:rPr>
      </w:pPr>
      <w:r w:rsidRPr="00E3682C">
        <w:rPr>
          <w:rFonts w:ascii="VIC" w:eastAsiaTheme="majorEastAsia" w:hAnsi="VIC" w:cstheme="majorBidi"/>
          <w:b w:val="0"/>
          <w:bCs/>
          <w:color w:val="auto"/>
          <w:szCs w:val="20"/>
          <w:lang w:val="en-AU"/>
        </w:rPr>
        <w:t xml:space="preserve">ongoing training delivery </w:t>
      </w:r>
    </w:p>
    <w:p w14:paraId="18BC91F9" w14:textId="77777777" w:rsidR="000203F6" w:rsidRPr="00E3682C" w:rsidRDefault="000203F6" w:rsidP="00E3682C">
      <w:pPr>
        <w:pStyle w:val="ESHeading3"/>
        <w:numPr>
          <w:ilvl w:val="0"/>
          <w:numId w:val="34"/>
        </w:numPr>
        <w:spacing w:before="0" w:after="0"/>
        <w:ind w:left="714" w:hanging="357"/>
        <w:rPr>
          <w:rFonts w:ascii="VIC" w:eastAsiaTheme="majorEastAsia" w:hAnsi="VIC" w:cstheme="majorBidi"/>
          <w:b w:val="0"/>
          <w:bCs/>
          <w:color w:val="auto"/>
          <w:szCs w:val="20"/>
          <w:lang w:val="en-AU"/>
        </w:rPr>
      </w:pPr>
      <w:r w:rsidRPr="00E3682C">
        <w:rPr>
          <w:rFonts w:ascii="VIC" w:eastAsiaTheme="majorEastAsia" w:hAnsi="VIC" w:cstheme="majorBidi"/>
          <w:b w:val="0"/>
          <w:bCs/>
          <w:color w:val="auto"/>
          <w:szCs w:val="20"/>
          <w:lang w:val="en-AU"/>
        </w:rPr>
        <w:t xml:space="preserve">business as usual activity </w:t>
      </w:r>
    </w:p>
    <w:p w14:paraId="1538CDDC" w14:textId="77777777" w:rsidR="000203F6" w:rsidRPr="00E3682C" w:rsidRDefault="000203F6" w:rsidP="00E3682C">
      <w:pPr>
        <w:pStyle w:val="ESHeading3"/>
        <w:numPr>
          <w:ilvl w:val="0"/>
          <w:numId w:val="34"/>
        </w:numPr>
        <w:spacing w:before="0" w:after="0"/>
        <w:ind w:left="714" w:hanging="357"/>
        <w:rPr>
          <w:rFonts w:ascii="VIC" w:eastAsiaTheme="majorEastAsia" w:hAnsi="VIC" w:cstheme="majorBidi"/>
          <w:b w:val="0"/>
          <w:bCs/>
          <w:color w:val="auto"/>
          <w:szCs w:val="20"/>
          <w:lang w:val="en-AU"/>
        </w:rPr>
      </w:pPr>
      <w:r w:rsidRPr="00E3682C">
        <w:rPr>
          <w:rFonts w:ascii="VIC" w:eastAsiaTheme="majorEastAsia" w:hAnsi="VIC" w:cstheme="majorBidi"/>
          <w:b w:val="0"/>
          <w:bCs/>
          <w:color w:val="auto"/>
          <w:szCs w:val="20"/>
          <w:lang w:val="en-AU"/>
        </w:rPr>
        <w:t xml:space="preserve">travel and accommodation </w:t>
      </w:r>
    </w:p>
    <w:p w14:paraId="3F3E2C14" w14:textId="77777777" w:rsidR="000203F6" w:rsidRPr="00E3682C" w:rsidRDefault="000203F6" w:rsidP="00E3682C">
      <w:pPr>
        <w:pStyle w:val="ESHeading3"/>
        <w:numPr>
          <w:ilvl w:val="0"/>
          <w:numId w:val="34"/>
        </w:numPr>
        <w:spacing w:before="0" w:after="0"/>
        <w:ind w:left="714" w:hanging="357"/>
        <w:rPr>
          <w:rFonts w:ascii="VIC" w:eastAsiaTheme="majorEastAsia" w:hAnsi="VIC" w:cstheme="majorBidi"/>
          <w:b w:val="0"/>
          <w:bCs/>
          <w:color w:val="auto"/>
          <w:szCs w:val="20"/>
          <w:lang w:val="en-AU"/>
        </w:rPr>
      </w:pPr>
      <w:r w:rsidRPr="00E3682C">
        <w:rPr>
          <w:rFonts w:ascii="VIC" w:eastAsiaTheme="majorEastAsia" w:hAnsi="VIC" w:cstheme="majorBidi"/>
          <w:b w:val="0"/>
          <w:bCs/>
          <w:color w:val="auto"/>
          <w:szCs w:val="20"/>
          <w:lang w:val="en-AU"/>
        </w:rPr>
        <w:t>capital works</w:t>
      </w:r>
    </w:p>
    <w:p w14:paraId="20E179BC" w14:textId="4EFC1290" w:rsidR="000203F6" w:rsidRDefault="000203F6" w:rsidP="00E3682C">
      <w:pPr>
        <w:pStyle w:val="ESHeading3"/>
        <w:numPr>
          <w:ilvl w:val="0"/>
          <w:numId w:val="34"/>
        </w:numPr>
        <w:spacing w:before="0" w:after="0"/>
        <w:ind w:left="714" w:hanging="357"/>
        <w:rPr>
          <w:rFonts w:ascii="VIC" w:eastAsiaTheme="majorEastAsia" w:hAnsi="VIC" w:cstheme="majorBidi"/>
          <w:b w:val="0"/>
          <w:bCs/>
          <w:color w:val="auto"/>
          <w:szCs w:val="20"/>
          <w:lang w:val="en-AU"/>
        </w:rPr>
      </w:pPr>
      <w:r w:rsidRPr="00E3682C">
        <w:rPr>
          <w:rFonts w:ascii="VIC" w:eastAsiaTheme="majorEastAsia" w:hAnsi="VIC" w:cstheme="majorBidi"/>
          <w:b w:val="0"/>
          <w:bCs/>
          <w:color w:val="auto"/>
          <w:szCs w:val="20"/>
          <w:lang w:val="en-AU"/>
        </w:rPr>
        <w:t>research</w:t>
      </w:r>
    </w:p>
    <w:p w14:paraId="73AEE999" w14:textId="77777777" w:rsidR="00A24E9E" w:rsidRDefault="00A24E9E" w:rsidP="00FB2222">
      <w:pPr>
        <w:pStyle w:val="ESHeading3"/>
        <w:rPr>
          <w:rFonts w:ascii="VIC" w:eastAsiaTheme="majorEastAsia" w:hAnsi="VIC" w:cstheme="majorBidi"/>
          <w:b w:val="0"/>
          <w:bCs/>
          <w:color w:val="00857D" w:themeColor="accent1" w:themeShade="BF"/>
          <w:sz w:val="26"/>
          <w:szCs w:val="26"/>
          <w:lang w:val="en-AU"/>
        </w:rPr>
      </w:pPr>
    </w:p>
    <w:p w14:paraId="135E6F6D" w14:textId="602B2ECA" w:rsidR="00FB2222" w:rsidRPr="00251189" w:rsidRDefault="00FB2222" w:rsidP="00FB2222">
      <w:pPr>
        <w:pStyle w:val="ESHeading3"/>
        <w:rPr>
          <w:rFonts w:ascii="VIC" w:eastAsiaTheme="majorEastAsia" w:hAnsi="VIC" w:cstheme="majorBidi"/>
          <w:b w:val="0"/>
          <w:bCs/>
          <w:color w:val="00857D" w:themeColor="accent1" w:themeShade="BF"/>
          <w:sz w:val="26"/>
          <w:szCs w:val="26"/>
          <w:lang w:val="en-AU"/>
        </w:rPr>
      </w:pPr>
      <w:r w:rsidRPr="00251189">
        <w:rPr>
          <w:rFonts w:ascii="VIC" w:eastAsiaTheme="majorEastAsia" w:hAnsi="VIC" w:cstheme="majorBidi"/>
          <w:b w:val="0"/>
          <w:bCs/>
          <w:color w:val="00857D" w:themeColor="accent1" w:themeShade="BF"/>
          <w:sz w:val="26"/>
          <w:szCs w:val="26"/>
          <w:lang w:val="en-AU"/>
        </w:rPr>
        <w:t>Can projects test non-accredited training?</w:t>
      </w:r>
    </w:p>
    <w:p w14:paraId="28E5740D" w14:textId="77777777" w:rsidR="00FB2222" w:rsidRPr="001368EA" w:rsidRDefault="00FB2222" w:rsidP="00FB2222">
      <w:pPr>
        <w:pStyle w:val="ESHeading3"/>
        <w:rPr>
          <w:rFonts w:ascii="VIC" w:eastAsiaTheme="majorEastAsia" w:hAnsi="VIC" w:cstheme="majorBidi"/>
          <w:b w:val="0"/>
          <w:bCs/>
          <w:color w:val="auto"/>
          <w:szCs w:val="20"/>
          <w:lang w:val="en-AU"/>
        </w:rPr>
      </w:pPr>
      <w:r w:rsidRPr="001368EA">
        <w:rPr>
          <w:rFonts w:ascii="VIC" w:eastAsiaTheme="majorEastAsia" w:hAnsi="VIC" w:cstheme="majorBidi"/>
          <w:b w:val="0"/>
          <w:bCs/>
          <w:color w:val="auto"/>
          <w:szCs w:val="20"/>
          <w:lang w:val="en-AU"/>
        </w:rPr>
        <w:t>Yes</w:t>
      </w:r>
    </w:p>
    <w:p w14:paraId="252717EF" w14:textId="08E9418A" w:rsidR="00FB617C" w:rsidRPr="00251189" w:rsidRDefault="00FB617C" w:rsidP="00FB617C">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Is there a cap amount ($) for each project?</w:t>
      </w:r>
    </w:p>
    <w:p w14:paraId="7784043A" w14:textId="71E2697E" w:rsidR="00EF090B" w:rsidRDefault="00EF090B" w:rsidP="00FB617C">
      <w:pPr>
        <w:pStyle w:val="ESHeading3"/>
        <w:rPr>
          <w:rFonts w:ascii="VIC" w:eastAsiaTheme="minorHAnsi" w:hAnsi="VIC" w:cstheme="minorBidi"/>
          <w:b w:val="0"/>
          <w:color w:val="auto"/>
          <w:szCs w:val="22"/>
          <w:lang w:val="en-AU"/>
        </w:rPr>
      </w:pPr>
      <w:r w:rsidRPr="00DA6B6A">
        <w:rPr>
          <w:rFonts w:ascii="VIC" w:eastAsiaTheme="minorHAnsi" w:hAnsi="VIC" w:cstheme="minorBidi"/>
          <w:b w:val="0"/>
          <w:color w:val="auto"/>
          <w:szCs w:val="22"/>
          <w:lang w:val="en-AU"/>
        </w:rPr>
        <w:t>Funding of up to $</w:t>
      </w:r>
      <w:r w:rsidR="005D1EB5">
        <w:rPr>
          <w:rFonts w:ascii="VIC" w:eastAsiaTheme="minorHAnsi" w:hAnsi="VIC" w:cstheme="minorBidi"/>
          <w:b w:val="0"/>
          <w:color w:val="auto"/>
          <w:szCs w:val="22"/>
          <w:lang w:val="en-AU"/>
        </w:rPr>
        <w:t>1</w:t>
      </w:r>
      <w:r w:rsidRPr="00DA6B6A">
        <w:rPr>
          <w:rFonts w:ascii="VIC" w:eastAsiaTheme="minorHAnsi" w:hAnsi="VIC" w:cstheme="minorBidi"/>
          <w:b w:val="0"/>
          <w:color w:val="auto"/>
          <w:szCs w:val="22"/>
          <w:lang w:val="en-AU"/>
        </w:rPr>
        <w:t xml:space="preserve"> million is available </w:t>
      </w:r>
      <w:r w:rsidR="002D4DD9">
        <w:rPr>
          <w:rFonts w:ascii="VIC" w:eastAsiaTheme="minorHAnsi" w:hAnsi="VIC" w:cstheme="minorBidi"/>
          <w:b w:val="0"/>
          <w:color w:val="auto"/>
          <w:szCs w:val="22"/>
          <w:lang w:val="en-AU"/>
        </w:rPr>
        <w:t xml:space="preserve">for each project. </w:t>
      </w:r>
    </w:p>
    <w:p w14:paraId="6308B7D4" w14:textId="3D898384" w:rsidR="00CE4E42" w:rsidRPr="00251189" w:rsidRDefault="00CE4E42" w:rsidP="00CE4E42">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 xml:space="preserve">Is there a </w:t>
      </w:r>
      <w:r>
        <w:rPr>
          <w:rFonts w:ascii="VIC Medium" w:eastAsiaTheme="majorEastAsia" w:hAnsi="VIC Medium" w:cstheme="majorBidi"/>
          <w:b w:val="0"/>
          <w:bCs/>
          <w:color w:val="00857D" w:themeColor="accent1" w:themeShade="BF"/>
          <w:sz w:val="26"/>
          <w:szCs w:val="26"/>
          <w:lang w:val="en-AU"/>
        </w:rPr>
        <w:t xml:space="preserve">time limit on when </w:t>
      </w:r>
      <w:r w:rsidRPr="00251189">
        <w:rPr>
          <w:rFonts w:ascii="VIC Medium" w:eastAsiaTheme="majorEastAsia" w:hAnsi="VIC Medium" w:cstheme="majorBidi"/>
          <w:b w:val="0"/>
          <w:bCs/>
          <w:color w:val="00857D" w:themeColor="accent1" w:themeShade="BF"/>
          <w:sz w:val="26"/>
          <w:szCs w:val="26"/>
          <w:lang w:val="en-AU"/>
        </w:rPr>
        <w:t>project</w:t>
      </w:r>
      <w:r w:rsidR="00EA0D9F">
        <w:rPr>
          <w:rFonts w:ascii="VIC Medium" w:eastAsiaTheme="majorEastAsia" w:hAnsi="VIC Medium" w:cstheme="majorBidi"/>
          <w:b w:val="0"/>
          <w:bCs/>
          <w:color w:val="00857D" w:themeColor="accent1" w:themeShade="BF"/>
          <w:sz w:val="26"/>
          <w:szCs w:val="26"/>
          <w:lang w:val="en-AU"/>
        </w:rPr>
        <w:t>s are to be completed</w:t>
      </w:r>
      <w:r w:rsidRPr="00251189">
        <w:rPr>
          <w:rFonts w:ascii="VIC Medium" w:eastAsiaTheme="majorEastAsia" w:hAnsi="VIC Medium" w:cstheme="majorBidi"/>
          <w:b w:val="0"/>
          <w:bCs/>
          <w:color w:val="00857D" w:themeColor="accent1" w:themeShade="BF"/>
          <w:sz w:val="26"/>
          <w:szCs w:val="26"/>
          <w:lang w:val="en-AU"/>
        </w:rPr>
        <w:t>?</w:t>
      </w:r>
    </w:p>
    <w:p w14:paraId="7E5A234A" w14:textId="65713529" w:rsidR="00CE4E42" w:rsidRPr="003D1EF9" w:rsidRDefault="003D1EF9" w:rsidP="003D1EF9">
      <w:pPr>
        <w:rPr>
          <w:rFonts w:ascii="VIC" w:hAnsi="VIC"/>
          <w:sz w:val="20"/>
          <w:szCs w:val="20"/>
          <w:lang w:val="en-AU"/>
        </w:rPr>
      </w:pPr>
      <w:r w:rsidRPr="003D1EF9">
        <w:rPr>
          <w:rFonts w:ascii="VIC" w:hAnsi="VIC"/>
          <w:sz w:val="20"/>
          <w:szCs w:val="20"/>
          <w:lang w:val="en-AU"/>
        </w:rPr>
        <w:t>Funded projects are expected to be completed within 18 months of a grant being awarded.</w:t>
      </w:r>
      <w:r w:rsidR="00151DA2">
        <w:rPr>
          <w:rFonts w:ascii="VIC" w:hAnsi="VIC"/>
          <w:sz w:val="20"/>
          <w:szCs w:val="20"/>
          <w:lang w:val="en-AU"/>
        </w:rPr>
        <w:t xml:space="preserve"> All projects must be completed by 31 </w:t>
      </w:r>
      <w:proofErr w:type="gramStart"/>
      <w:r w:rsidR="00151DA2">
        <w:rPr>
          <w:rFonts w:ascii="VIC" w:hAnsi="VIC"/>
          <w:sz w:val="20"/>
          <w:szCs w:val="20"/>
          <w:lang w:val="en-AU"/>
        </w:rPr>
        <w:t>December,</w:t>
      </w:r>
      <w:proofErr w:type="gramEnd"/>
      <w:r w:rsidR="00151DA2">
        <w:rPr>
          <w:rFonts w:ascii="VIC" w:hAnsi="VIC"/>
          <w:sz w:val="20"/>
          <w:szCs w:val="20"/>
          <w:lang w:val="en-AU"/>
        </w:rPr>
        <w:t xml:space="preserve"> 2023. </w:t>
      </w:r>
    </w:p>
    <w:p w14:paraId="186E2E0D" w14:textId="19878085" w:rsidR="00CE4E42" w:rsidRPr="00251189" w:rsidRDefault="00CE4E42" w:rsidP="00CE4E42">
      <w:pPr>
        <w:pStyle w:val="ESHeading3"/>
        <w:rPr>
          <w:rFonts w:ascii="VIC" w:eastAsiaTheme="majorEastAsia" w:hAnsi="VIC" w:cstheme="majorBidi"/>
          <w:b w:val="0"/>
          <w:bCs/>
          <w:color w:val="00857D" w:themeColor="accent1" w:themeShade="BF"/>
          <w:sz w:val="26"/>
          <w:szCs w:val="26"/>
          <w:lang w:val="en-AU"/>
        </w:rPr>
      </w:pPr>
      <w:r w:rsidRPr="00251189">
        <w:rPr>
          <w:rFonts w:ascii="VIC" w:eastAsiaTheme="majorEastAsia" w:hAnsi="VIC" w:cstheme="majorBidi"/>
          <w:b w:val="0"/>
          <w:bCs/>
          <w:color w:val="00857D" w:themeColor="accent1" w:themeShade="BF"/>
          <w:sz w:val="26"/>
          <w:szCs w:val="26"/>
          <w:lang w:val="en-AU"/>
        </w:rPr>
        <w:t>Can I submit multiple applications for a range of projects?</w:t>
      </w:r>
    </w:p>
    <w:p w14:paraId="55E97AB1" w14:textId="7A81B2F2" w:rsidR="00CE4E42" w:rsidRDefault="006A373E" w:rsidP="00CE4E42">
      <w:pPr>
        <w:rPr>
          <w:rFonts w:ascii="VIC Medium" w:eastAsiaTheme="majorEastAsia" w:hAnsi="VIC Medium" w:cstheme="majorBidi"/>
          <w:b/>
          <w:bCs/>
          <w:color w:val="00B2A8" w:themeColor="accent1"/>
          <w:sz w:val="26"/>
          <w:szCs w:val="26"/>
          <w:lang w:val="en-AU"/>
        </w:rPr>
      </w:pPr>
      <w:r>
        <w:rPr>
          <w:rFonts w:ascii="VIC" w:hAnsi="VIC"/>
          <w:sz w:val="20"/>
          <w:szCs w:val="20"/>
          <w:lang w:val="en-AU"/>
        </w:rPr>
        <w:t>No</w:t>
      </w:r>
      <w:r w:rsidR="001745D7">
        <w:rPr>
          <w:rFonts w:ascii="VIC" w:hAnsi="VIC"/>
          <w:sz w:val="20"/>
          <w:szCs w:val="20"/>
          <w:lang w:val="en-AU"/>
        </w:rPr>
        <w:t>,</w:t>
      </w:r>
      <w:r w:rsidR="00CE4E42" w:rsidRPr="003C5FDA">
        <w:rPr>
          <w:rFonts w:ascii="VIC" w:hAnsi="VIC"/>
          <w:sz w:val="20"/>
          <w:szCs w:val="20"/>
          <w:lang w:val="en-AU"/>
        </w:rPr>
        <w:t xml:space="preserve"> yo</w:t>
      </w:r>
      <w:r w:rsidR="00CE4E42">
        <w:rPr>
          <w:rFonts w:ascii="VIC" w:hAnsi="VIC"/>
          <w:sz w:val="20"/>
          <w:szCs w:val="20"/>
          <w:lang w:val="en-AU"/>
        </w:rPr>
        <w:t xml:space="preserve">u are </w:t>
      </w:r>
      <w:r>
        <w:rPr>
          <w:rFonts w:ascii="VIC" w:hAnsi="VIC"/>
          <w:sz w:val="20"/>
          <w:szCs w:val="20"/>
          <w:lang w:val="en-AU"/>
        </w:rPr>
        <w:t xml:space="preserve">not </w:t>
      </w:r>
      <w:r w:rsidR="00CE4E42">
        <w:rPr>
          <w:rFonts w:ascii="VIC" w:hAnsi="VIC"/>
          <w:sz w:val="20"/>
          <w:szCs w:val="20"/>
          <w:lang w:val="en-AU"/>
        </w:rPr>
        <w:t>able to submit multiple</w:t>
      </w:r>
      <w:r>
        <w:rPr>
          <w:rFonts w:ascii="VIC" w:hAnsi="VIC"/>
          <w:sz w:val="20"/>
          <w:szCs w:val="20"/>
          <w:lang w:val="en-AU"/>
        </w:rPr>
        <w:t xml:space="preserve"> applications, as the program has limited funding and the Department is seeking to support a range of </w:t>
      </w:r>
      <w:r w:rsidR="002907D6">
        <w:rPr>
          <w:rFonts w:ascii="VIC" w:hAnsi="VIC"/>
          <w:sz w:val="20"/>
          <w:szCs w:val="20"/>
          <w:lang w:val="en-AU"/>
        </w:rPr>
        <w:t xml:space="preserve">diverse </w:t>
      </w:r>
      <w:r>
        <w:rPr>
          <w:rFonts w:ascii="VIC" w:hAnsi="VIC"/>
          <w:sz w:val="20"/>
          <w:szCs w:val="20"/>
          <w:lang w:val="en-AU"/>
        </w:rPr>
        <w:t>applicants</w:t>
      </w:r>
      <w:r w:rsidR="002907D6">
        <w:rPr>
          <w:rFonts w:ascii="VIC" w:hAnsi="VIC"/>
          <w:sz w:val="20"/>
          <w:szCs w:val="20"/>
          <w:lang w:val="en-AU"/>
        </w:rPr>
        <w:t xml:space="preserve"> delivering clean economy focused skills development and training</w:t>
      </w:r>
      <w:r>
        <w:rPr>
          <w:rFonts w:ascii="VIC" w:hAnsi="VIC"/>
          <w:sz w:val="20"/>
          <w:szCs w:val="20"/>
          <w:lang w:val="en-AU"/>
        </w:rPr>
        <w:t xml:space="preserve">. </w:t>
      </w:r>
    </w:p>
    <w:p w14:paraId="442C2F4B" w14:textId="7E9AEA75" w:rsidR="008516E6" w:rsidRPr="00251189" w:rsidRDefault="008516E6" w:rsidP="008516E6">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 xml:space="preserve">How </w:t>
      </w:r>
      <w:r w:rsidR="007D7EE2">
        <w:rPr>
          <w:rFonts w:ascii="VIC Medium" w:eastAsiaTheme="majorEastAsia" w:hAnsi="VIC Medium" w:cstheme="majorBidi"/>
          <w:b w:val="0"/>
          <w:bCs/>
          <w:color w:val="00857D" w:themeColor="accent1" w:themeShade="BF"/>
          <w:sz w:val="26"/>
          <w:szCs w:val="26"/>
          <w:lang w:val="en-AU"/>
        </w:rPr>
        <w:t>are</w:t>
      </w:r>
      <w:r w:rsidRPr="00251189">
        <w:rPr>
          <w:rFonts w:ascii="VIC Medium" w:eastAsiaTheme="majorEastAsia" w:hAnsi="VIC Medium" w:cstheme="majorBidi"/>
          <w:b w:val="0"/>
          <w:bCs/>
          <w:color w:val="00857D" w:themeColor="accent1" w:themeShade="BF"/>
          <w:sz w:val="26"/>
          <w:szCs w:val="26"/>
          <w:lang w:val="en-AU"/>
        </w:rPr>
        <w:t xml:space="preserve"> the assessment criteria weighted?</w:t>
      </w:r>
    </w:p>
    <w:p w14:paraId="6E1F3027" w14:textId="77777777" w:rsidR="008516E6" w:rsidRDefault="008516E6" w:rsidP="008516E6">
      <w:pPr>
        <w:spacing w:line="240" w:lineRule="atLeast"/>
        <w:jc w:val="both"/>
        <w:rPr>
          <w:rFonts w:ascii="VIC" w:hAnsi="VIC" w:cstheme="minorHAnsi"/>
          <w:sz w:val="20"/>
          <w:szCs w:val="20"/>
        </w:rPr>
      </w:pPr>
      <w:r w:rsidRPr="00F04367">
        <w:rPr>
          <w:rFonts w:ascii="VIC" w:hAnsi="VIC" w:cstheme="minorHAnsi"/>
          <w:sz w:val="20"/>
          <w:szCs w:val="20"/>
        </w:rPr>
        <w:t xml:space="preserve">Applications for grant funding will be assessed against the eligibility and assessment criteria.  </w:t>
      </w:r>
    </w:p>
    <w:p w14:paraId="3D873530" w14:textId="77777777" w:rsidR="008516E6" w:rsidRPr="007477F3" w:rsidRDefault="008516E6" w:rsidP="008516E6">
      <w:pPr>
        <w:pStyle w:val="ESBodyText"/>
        <w:numPr>
          <w:ilvl w:val="0"/>
          <w:numId w:val="31"/>
        </w:numPr>
        <w:spacing w:after="60"/>
        <w:jc w:val="both"/>
        <w:rPr>
          <w:rFonts w:ascii="VIC" w:hAnsi="VIC" w:cstheme="minorHAnsi"/>
          <w:sz w:val="20"/>
          <w:szCs w:val="20"/>
        </w:rPr>
      </w:pPr>
      <w:r w:rsidRPr="007477F3">
        <w:rPr>
          <w:rFonts w:ascii="VIC" w:hAnsi="VIC" w:cstheme="minorHAnsi"/>
          <w:sz w:val="20"/>
          <w:szCs w:val="20"/>
        </w:rPr>
        <w:t>Clean Economy Workforce Skills Impact and Innovation - 45%</w:t>
      </w:r>
    </w:p>
    <w:p w14:paraId="0710575F" w14:textId="77777777" w:rsidR="008516E6" w:rsidRPr="007477F3" w:rsidRDefault="008516E6" w:rsidP="008516E6">
      <w:pPr>
        <w:pStyle w:val="ESBodyText"/>
        <w:numPr>
          <w:ilvl w:val="0"/>
          <w:numId w:val="31"/>
        </w:numPr>
        <w:spacing w:after="60"/>
        <w:jc w:val="both"/>
        <w:rPr>
          <w:rFonts w:ascii="VIC" w:hAnsi="VIC" w:cstheme="minorHAnsi"/>
          <w:sz w:val="20"/>
          <w:szCs w:val="20"/>
        </w:rPr>
      </w:pPr>
      <w:r w:rsidRPr="007477F3">
        <w:rPr>
          <w:rFonts w:ascii="VIC" w:hAnsi="VIC" w:cstheme="minorHAnsi"/>
          <w:sz w:val="20"/>
          <w:szCs w:val="20"/>
        </w:rPr>
        <w:t xml:space="preserve">Governance - 10% </w:t>
      </w:r>
    </w:p>
    <w:p w14:paraId="18F47E54" w14:textId="77777777" w:rsidR="008516E6" w:rsidRPr="007477F3" w:rsidRDefault="008516E6" w:rsidP="008516E6">
      <w:pPr>
        <w:pStyle w:val="ESBodyText"/>
        <w:numPr>
          <w:ilvl w:val="0"/>
          <w:numId w:val="31"/>
        </w:numPr>
        <w:spacing w:after="60"/>
        <w:jc w:val="both"/>
        <w:rPr>
          <w:rFonts w:ascii="VIC" w:hAnsi="VIC" w:cstheme="minorHAnsi"/>
          <w:sz w:val="20"/>
          <w:szCs w:val="20"/>
        </w:rPr>
      </w:pPr>
      <w:r w:rsidRPr="007477F3">
        <w:rPr>
          <w:rFonts w:ascii="VIC" w:hAnsi="VIC" w:cstheme="minorHAnsi"/>
          <w:sz w:val="20"/>
          <w:szCs w:val="20"/>
        </w:rPr>
        <w:t>Partnerships – 10%</w:t>
      </w:r>
    </w:p>
    <w:p w14:paraId="769F136F" w14:textId="77777777" w:rsidR="008516E6" w:rsidRPr="007477F3" w:rsidRDefault="008516E6" w:rsidP="008516E6">
      <w:pPr>
        <w:pStyle w:val="ESBodyText"/>
        <w:numPr>
          <w:ilvl w:val="0"/>
          <w:numId w:val="31"/>
        </w:numPr>
        <w:spacing w:after="60"/>
        <w:jc w:val="both"/>
        <w:rPr>
          <w:rFonts w:ascii="VIC" w:hAnsi="VIC" w:cstheme="minorHAnsi"/>
          <w:sz w:val="20"/>
          <w:szCs w:val="20"/>
        </w:rPr>
      </w:pPr>
      <w:r w:rsidRPr="007477F3">
        <w:rPr>
          <w:rFonts w:ascii="VIC" w:hAnsi="VIC" w:cstheme="minorHAnsi"/>
          <w:sz w:val="20"/>
          <w:szCs w:val="20"/>
        </w:rPr>
        <w:t>Capability and Capacity – 25%</w:t>
      </w:r>
    </w:p>
    <w:p w14:paraId="4FB98EFF" w14:textId="77777777" w:rsidR="008516E6" w:rsidRPr="007477F3" w:rsidRDefault="008516E6" w:rsidP="008516E6">
      <w:pPr>
        <w:pStyle w:val="ESBodyText"/>
        <w:numPr>
          <w:ilvl w:val="0"/>
          <w:numId w:val="31"/>
        </w:numPr>
        <w:ind w:left="1434" w:hanging="357"/>
        <w:jc w:val="both"/>
        <w:rPr>
          <w:rFonts w:ascii="VIC" w:hAnsi="VIC" w:cstheme="minorHAnsi"/>
          <w:sz w:val="20"/>
          <w:szCs w:val="20"/>
        </w:rPr>
      </w:pPr>
      <w:r w:rsidRPr="007477F3">
        <w:rPr>
          <w:rFonts w:ascii="VIC" w:hAnsi="VIC" w:cstheme="minorHAnsi"/>
          <w:sz w:val="20"/>
          <w:szCs w:val="20"/>
        </w:rPr>
        <w:t>Sustainability, transferability, and sharing of best practice – 10%</w:t>
      </w:r>
    </w:p>
    <w:p w14:paraId="1CAFA847" w14:textId="77777777" w:rsidR="008516E6" w:rsidRPr="00251189" w:rsidRDefault="008516E6" w:rsidP="008516E6">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How will grants be assessed?</w:t>
      </w:r>
    </w:p>
    <w:p w14:paraId="19D764E4" w14:textId="0E1A61F3" w:rsidR="008516E6" w:rsidRDefault="008516E6" w:rsidP="008516E6">
      <w:pPr>
        <w:spacing w:after="240"/>
        <w:rPr>
          <w:rFonts w:ascii="VIC" w:hAnsi="VIC"/>
          <w:sz w:val="20"/>
          <w:szCs w:val="20"/>
          <w:lang w:val="en-AU"/>
        </w:rPr>
      </w:pPr>
      <w:r w:rsidRPr="00C74F8D">
        <w:rPr>
          <w:rFonts w:ascii="VIC" w:hAnsi="VIC"/>
          <w:sz w:val="20"/>
          <w:szCs w:val="20"/>
          <w:lang w:val="en-AU"/>
        </w:rPr>
        <w:t xml:space="preserve">The Fund has a dedicated panel to assess submissions. The panel is made up of DET representatives and includes a dedicated Chair. Submissions will be assessed against the </w:t>
      </w:r>
      <w:r w:rsidRPr="00C74F8D">
        <w:rPr>
          <w:rFonts w:ascii="VIC" w:hAnsi="VIC" w:cstheme="minorHAnsi"/>
          <w:sz w:val="20"/>
          <w:szCs w:val="20"/>
        </w:rPr>
        <w:t>program’s eligibility and assessment criteria</w:t>
      </w:r>
      <w:r w:rsidRPr="00C74F8D">
        <w:rPr>
          <w:rFonts w:ascii="VIC" w:hAnsi="VIC"/>
          <w:sz w:val="20"/>
          <w:szCs w:val="20"/>
          <w:lang w:val="en-AU"/>
        </w:rPr>
        <w:t>.</w:t>
      </w:r>
    </w:p>
    <w:p w14:paraId="252C56A2" w14:textId="32446605" w:rsidR="00FA1606" w:rsidRDefault="0000058F" w:rsidP="00AB4307">
      <w:pPr>
        <w:pStyle w:val="ESHeading3"/>
        <w:rPr>
          <w:rFonts w:ascii="VIC Medium" w:eastAsiaTheme="majorEastAsia" w:hAnsi="VIC Medium" w:cstheme="majorBidi"/>
          <w:b w:val="0"/>
          <w:bCs/>
          <w:color w:val="00857D" w:themeColor="accent1" w:themeShade="BF"/>
          <w:sz w:val="26"/>
          <w:szCs w:val="26"/>
          <w:lang w:val="en-AU"/>
        </w:rPr>
      </w:pPr>
      <w:r w:rsidRPr="0000058F">
        <w:rPr>
          <w:rFonts w:ascii="VIC Medium" w:eastAsiaTheme="majorEastAsia" w:hAnsi="VIC Medium" w:cstheme="majorBidi"/>
          <w:b w:val="0"/>
          <w:bCs/>
          <w:color w:val="00857D" w:themeColor="accent1" w:themeShade="BF"/>
          <w:sz w:val="26"/>
          <w:szCs w:val="26"/>
          <w:lang w:val="en-AU"/>
        </w:rPr>
        <w:t>W</w:t>
      </w:r>
      <w:r w:rsidRPr="0000058F">
        <w:rPr>
          <w:rFonts w:ascii="VIC Medium" w:eastAsiaTheme="majorEastAsia" w:hAnsi="VIC Medium" w:cstheme="majorBidi"/>
          <w:b w:val="0"/>
          <w:bCs/>
          <w:color w:val="00857D" w:themeColor="accent1" w:themeShade="BF"/>
          <w:sz w:val="26"/>
          <w:szCs w:val="26"/>
          <w:lang w:val="en-AU"/>
        </w:rPr>
        <w:t>hen will funding be made available to successful applicants</w:t>
      </w:r>
      <w:r w:rsidR="00AB4307" w:rsidRPr="00AB4307">
        <w:rPr>
          <w:rFonts w:ascii="VIC Medium" w:eastAsiaTheme="majorEastAsia" w:hAnsi="VIC Medium" w:cstheme="majorBidi"/>
          <w:b w:val="0"/>
          <w:bCs/>
          <w:color w:val="00857D" w:themeColor="accent1" w:themeShade="BF"/>
          <w:sz w:val="26"/>
          <w:szCs w:val="26"/>
          <w:lang w:val="en-AU"/>
        </w:rPr>
        <w:t>?</w:t>
      </w:r>
    </w:p>
    <w:p w14:paraId="4F714129" w14:textId="706751FB" w:rsidR="00811E7E" w:rsidRDefault="00811E7E" w:rsidP="00811E7E">
      <w:pPr>
        <w:spacing w:after="240"/>
        <w:rPr>
          <w:rFonts w:ascii="VIC" w:hAnsi="VIC"/>
          <w:sz w:val="20"/>
          <w:szCs w:val="20"/>
          <w:lang w:val="en-AU"/>
        </w:rPr>
      </w:pPr>
      <w:r>
        <w:rPr>
          <w:rFonts w:ascii="VIC" w:hAnsi="VIC"/>
          <w:sz w:val="20"/>
          <w:szCs w:val="20"/>
          <w:lang w:val="en-AU"/>
        </w:rPr>
        <w:t>Successful applicants are likely to be notified in February – March 2022</w:t>
      </w:r>
      <w:r w:rsidRPr="00C74F8D">
        <w:rPr>
          <w:rFonts w:ascii="VIC" w:hAnsi="VIC"/>
          <w:sz w:val="20"/>
          <w:szCs w:val="20"/>
          <w:lang w:val="en-AU"/>
        </w:rPr>
        <w:t>.</w:t>
      </w:r>
      <w:r>
        <w:rPr>
          <w:rFonts w:ascii="VIC" w:hAnsi="VIC"/>
          <w:sz w:val="20"/>
          <w:szCs w:val="20"/>
          <w:lang w:val="en-AU"/>
        </w:rPr>
        <w:t xml:space="preserve"> Funding will be made available to successful applicants from March to June 2022 </w:t>
      </w:r>
      <w:r w:rsidRPr="00811E7E">
        <w:rPr>
          <w:rFonts w:ascii="VIC" w:hAnsi="VIC"/>
          <w:sz w:val="20"/>
          <w:szCs w:val="20"/>
          <w:lang w:val="en-AU"/>
        </w:rPr>
        <w:t>if they meet the contracting and project establishment requirements.</w:t>
      </w:r>
    </w:p>
    <w:p w14:paraId="21E767B8" w14:textId="18CAD193" w:rsidR="003E6EA7" w:rsidRPr="00251189" w:rsidRDefault="003E6EA7" w:rsidP="003E6EA7">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What kind of reporting is required if my application for funding is successful?</w:t>
      </w:r>
    </w:p>
    <w:p w14:paraId="06D2DE45" w14:textId="65D7B07E" w:rsidR="00ED7B38" w:rsidRDefault="003E6EA7" w:rsidP="003E6EA7">
      <w:pPr>
        <w:tabs>
          <w:tab w:val="left" w:pos="0"/>
        </w:tabs>
        <w:rPr>
          <w:rFonts w:ascii="VIC" w:hAnsi="VIC"/>
          <w:sz w:val="20"/>
          <w:szCs w:val="22"/>
          <w:lang w:val="en-AU"/>
        </w:rPr>
      </w:pPr>
      <w:r w:rsidRPr="003E6EA7">
        <w:rPr>
          <w:rFonts w:ascii="VIC" w:hAnsi="VIC"/>
          <w:sz w:val="20"/>
          <w:szCs w:val="22"/>
          <w:lang w:val="en-AU"/>
        </w:rPr>
        <w:t xml:space="preserve">Regular milestone reports </w:t>
      </w:r>
      <w:r w:rsidR="00BA6849">
        <w:rPr>
          <w:rFonts w:ascii="VIC" w:hAnsi="VIC"/>
          <w:sz w:val="20"/>
          <w:szCs w:val="22"/>
          <w:lang w:val="en-AU"/>
        </w:rPr>
        <w:t>relating</w:t>
      </w:r>
      <w:r w:rsidRPr="003E6EA7">
        <w:rPr>
          <w:rFonts w:ascii="VIC" w:hAnsi="VIC"/>
          <w:sz w:val="20"/>
          <w:szCs w:val="22"/>
          <w:lang w:val="en-AU"/>
        </w:rPr>
        <w:t xml:space="preserve"> to the application activities and budget line items will need to be completed throughout the project.  </w:t>
      </w:r>
    </w:p>
    <w:p w14:paraId="4582D403" w14:textId="496EF8D3" w:rsidR="003E6EA7" w:rsidRPr="003E6EA7" w:rsidRDefault="0059091D" w:rsidP="003E6EA7">
      <w:pPr>
        <w:tabs>
          <w:tab w:val="left" w:pos="0"/>
        </w:tabs>
        <w:rPr>
          <w:rFonts w:ascii="VIC" w:hAnsi="VIC"/>
          <w:sz w:val="20"/>
          <w:szCs w:val="22"/>
          <w:lang w:val="en-AU"/>
        </w:rPr>
      </w:pPr>
      <w:r>
        <w:rPr>
          <w:rFonts w:ascii="VIC" w:hAnsi="VIC"/>
          <w:sz w:val="20"/>
          <w:szCs w:val="22"/>
          <w:lang w:val="en-AU"/>
        </w:rPr>
        <w:t>Successful applicants will also be required to attend a</w:t>
      </w:r>
      <w:r w:rsidR="00ED7B38">
        <w:rPr>
          <w:rFonts w:ascii="VIC" w:hAnsi="VIC"/>
          <w:sz w:val="20"/>
          <w:szCs w:val="22"/>
          <w:lang w:val="en-AU"/>
        </w:rPr>
        <w:t>n annual meeting and final outcomes meeting</w:t>
      </w:r>
      <w:r>
        <w:rPr>
          <w:rFonts w:ascii="VIC" w:hAnsi="VIC"/>
          <w:sz w:val="20"/>
          <w:szCs w:val="22"/>
          <w:lang w:val="en-AU"/>
        </w:rPr>
        <w:t xml:space="preserve">. </w:t>
      </w:r>
    </w:p>
    <w:p w14:paraId="470C4C95" w14:textId="5D70441D" w:rsidR="003E6EA7" w:rsidRPr="003E6EA7" w:rsidRDefault="003E6EA7" w:rsidP="003E6EA7">
      <w:pPr>
        <w:tabs>
          <w:tab w:val="left" w:pos="0"/>
        </w:tabs>
        <w:contextualSpacing/>
        <w:rPr>
          <w:rFonts w:ascii="VIC" w:hAnsi="VIC"/>
          <w:sz w:val="20"/>
          <w:szCs w:val="22"/>
          <w:lang w:val="en-AU"/>
        </w:rPr>
      </w:pPr>
      <w:r w:rsidRPr="003E6EA7">
        <w:rPr>
          <w:rFonts w:ascii="VIC" w:hAnsi="VIC"/>
          <w:sz w:val="20"/>
          <w:szCs w:val="22"/>
          <w:lang w:val="en-AU"/>
        </w:rPr>
        <w:t xml:space="preserve">A financial acquittal </w:t>
      </w:r>
      <w:r w:rsidR="001F6A66" w:rsidRPr="003E6EA7">
        <w:rPr>
          <w:rFonts w:ascii="VIC" w:hAnsi="VIC"/>
          <w:sz w:val="20"/>
          <w:szCs w:val="22"/>
          <w:lang w:val="en-AU"/>
        </w:rPr>
        <w:t>is required</w:t>
      </w:r>
      <w:r w:rsidR="001F6A66">
        <w:rPr>
          <w:rFonts w:ascii="VIC" w:hAnsi="VIC"/>
          <w:sz w:val="20"/>
          <w:szCs w:val="22"/>
          <w:lang w:val="en-AU"/>
        </w:rPr>
        <w:t xml:space="preserve"> </w:t>
      </w:r>
      <w:r w:rsidR="001F6A66" w:rsidRPr="007A3CF2">
        <w:rPr>
          <w:rFonts w:ascii="VIC" w:hAnsi="VIC"/>
          <w:sz w:val="20"/>
          <w:szCs w:val="22"/>
          <w:lang w:val="en-AU"/>
        </w:rPr>
        <w:t>with a final milestone report</w:t>
      </w:r>
      <w:r w:rsidR="001F6A66">
        <w:rPr>
          <w:rFonts w:ascii="VIC" w:hAnsi="VIC"/>
          <w:sz w:val="20"/>
          <w:szCs w:val="22"/>
          <w:lang w:val="en-AU"/>
        </w:rPr>
        <w:t xml:space="preserve">. For </w:t>
      </w:r>
      <w:r w:rsidR="004B3EF3">
        <w:rPr>
          <w:rFonts w:ascii="VIC" w:hAnsi="VIC"/>
          <w:sz w:val="20"/>
          <w:szCs w:val="22"/>
          <w:lang w:val="en-AU"/>
        </w:rPr>
        <w:t xml:space="preserve">projects under $1million this must be </w:t>
      </w:r>
      <w:r w:rsidRPr="003E6EA7">
        <w:rPr>
          <w:rFonts w:ascii="VIC" w:hAnsi="VIC"/>
          <w:sz w:val="20"/>
          <w:szCs w:val="22"/>
          <w:lang w:val="en-AU"/>
        </w:rPr>
        <w:t>signed by the Chief Financial Office</w:t>
      </w:r>
      <w:r w:rsidR="00ED7B38">
        <w:rPr>
          <w:rFonts w:ascii="VIC" w:hAnsi="VIC"/>
          <w:sz w:val="20"/>
          <w:szCs w:val="22"/>
          <w:lang w:val="en-AU"/>
        </w:rPr>
        <w:t>r</w:t>
      </w:r>
      <w:r w:rsidR="004B3EF3">
        <w:rPr>
          <w:rFonts w:ascii="VIC" w:hAnsi="VIC"/>
          <w:sz w:val="20"/>
          <w:szCs w:val="22"/>
          <w:lang w:val="en-AU"/>
        </w:rPr>
        <w:t xml:space="preserve">, and </w:t>
      </w:r>
      <w:r w:rsidR="0059091D">
        <w:rPr>
          <w:rFonts w:ascii="VIC" w:hAnsi="VIC"/>
          <w:sz w:val="20"/>
          <w:szCs w:val="22"/>
          <w:lang w:val="en-AU"/>
        </w:rPr>
        <w:t xml:space="preserve">for projects </w:t>
      </w:r>
      <w:r w:rsidR="004B3EF3">
        <w:rPr>
          <w:rFonts w:ascii="VIC" w:hAnsi="VIC"/>
          <w:sz w:val="20"/>
          <w:szCs w:val="22"/>
          <w:lang w:val="en-AU"/>
        </w:rPr>
        <w:t>equal to</w:t>
      </w:r>
      <w:r w:rsidR="0059091D">
        <w:rPr>
          <w:rFonts w:ascii="VIC" w:hAnsi="VIC"/>
          <w:sz w:val="20"/>
          <w:szCs w:val="22"/>
          <w:lang w:val="en-AU"/>
        </w:rPr>
        <w:t xml:space="preserve"> $1m</w:t>
      </w:r>
      <w:r w:rsidR="00BE08B8">
        <w:rPr>
          <w:rFonts w:ascii="VIC" w:hAnsi="VIC"/>
          <w:sz w:val="20"/>
          <w:szCs w:val="22"/>
          <w:lang w:val="en-AU"/>
        </w:rPr>
        <w:t>illion</w:t>
      </w:r>
      <w:r w:rsidR="00585730">
        <w:rPr>
          <w:rFonts w:ascii="VIC" w:hAnsi="VIC"/>
          <w:sz w:val="20"/>
          <w:szCs w:val="22"/>
          <w:lang w:val="en-AU"/>
        </w:rPr>
        <w:t xml:space="preserve"> </w:t>
      </w:r>
      <w:r w:rsidR="003E5D22">
        <w:rPr>
          <w:rFonts w:ascii="VIC" w:hAnsi="VIC"/>
          <w:sz w:val="20"/>
          <w:szCs w:val="22"/>
          <w:lang w:val="en-AU"/>
        </w:rPr>
        <w:t xml:space="preserve">it must be </w:t>
      </w:r>
      <w:r w:rsidR="00966384">
        <w:rPr>
          <w:rFonts w:ascii="VIC" w:hAnsi="VIC"/>
          <w:sz w:val="20"/>
          <w:szCs w:val="22"/>
          <w:lang w:val="en-AU"/>
        </w:rPr>
        <w:t xml:space="preserve">signed by </w:t>
      </w:r>
      <w:r w:rsidR="00B74B89">
        <w:rPr>
          <w:rFonts w:ascii="VIC" w:hAnsi="VIC"/>
          <w:sz w:val="20"/>
          <w:szCs w:val="22"/>
          <w:lang w:val="en-AU"/>
        </w:rPr>
        <w:t>an independent Financial Auditor</w:t>
      </w:r>
      <w:r w:rsidRPr="003E6EA7">
        <w:rPr>
          <w:rFonts w:ascii="VIC" w:hAnsi="VIC"/>
          <w:sz w:val="20"/>
          <w:szCs w:val="22"/>
          <w:lang w:val="en-AU"/>
        </w:rPr>
        <w:t xml:space="preserve">. </w:t>
      </w:r>
    </w:p>
    <w:p w14:paraId="7384CC81" w14:textId="5FC1F85A" w:rsidR="00AA1424" w:rsidRPr="00251189" w:rsidRDefault="00AA1424" w:rsidP="00921233">
      <w:pPr>
        <w:pStyle w:val="ESHeading3"/>
        <w:rPr>
          <w:rFonts w:ascii="VIC Medium" w:eastAsiaTheme="majorEastAsia" w:hAnsi="VIC Medium" w:cstheme="majorBidi"/>
          <w:b w:val="0"/>
          <w:bCs/>
          <w:color w:val="00857D" w:themeColor="accent1" w:themeShade="BF"/>
          <w:sz w:val="26"/>
          <w:szCs w:val="26"/>
          <w:lang w:val="en-AU"/>
        </w:rPr>
      </w:pPr>
      <w:r w:rsidRPr="00251189">
        <w:rPr>
          <w:rFonts w:ascii="VIC Medium" w:eastAsiaTheme="majorEastAsia" w:hAnsi="VIC Medium" w:cstheme="majorBidi"/>
          <w:b w:val="0"/>
          <w:bCs/>
          <w:color w:val="00857D" w:themeColor="accent1" w:themeShade="BF"/>
          <w:sz w:val="26"/>
          <w:szCs w:val="26"/>
          <w:lang w:val="en-AU"/>
        </w:rPr>
        <w:t>Where do I go for more information?</w:t>
      </w:r>
    </w:p>
    <w:p w14:paraId="73FDCEE0" w14:textId="7B5C159B" w:rsidR="00A25EA4" w:rsidRPr="00D0494B" w:rsidRDefault="00AA1424" w:rsidP="00A25EA4">
      <w:pPr>
        <w:pStyle w:val="ESHeading3"/>
        <w:rPr>
          <w:rFonts w:ascii="VIC" w:eastAsiaTheme="majorEastAsia" w:hAnsi="VIC" w:cstheme="majorBidi"/>
          <w:b w:val="0"/>
          <w:bCs/>
          <w:color w:val="0071CE" w:themeColor="accent3"/>
          <w:szCs w:val="20"/>
          <w:lang w:val="en-AU"/>
        </w:rPr>
      </w:pPr>
      <w:r w:rsidRPr="00D0494B">
        <w:rPr>
          <w:rFonts w:ascii="VIC" w:eastAsiaTheme="minorHAnsi" w:hAnsi="VIC" w:cstheme="minorBidi"/>
          <w:b w:val="0"/>
          <w:bCs/>
          <w:szCs w:val="22"/>
          <w:lang w:val="en-AU"/>
        </w:rPr>
        <w:t>All questions</w:t>
      </w:r>
      <w:r w:rsidR="008D1E11" w:rsidRPr="00D0494B">
        <w:rPr>
          <w:rFonts w:ascii="VIC" w:eastAsiaTheme="minorHAnsi" w:hAnsi="VIC" w:cstheme="minorBidi"/>
          <w:b w:val="0"/>
          <w:bCs/>
          <w:szCs w:val="22"/>
          <w:lang w:val="en-AU"/>
        </w:rPr>
        <w:t xml:space="preserve"> </w:t>
      </w:r>
      <w:r w:rsidRPr="00D0494B">
        <w:rPr>
          <w:rFonts w:ascii="VIC" w:eastAsiaTheme="minorHAnsi" w:hAnsi="VIC" w:cstheme="minorBidi"/>
          <w:b w:val="0"/>
          <w:bCs/>
          <w:szCs w:val="22"/>
          <w:lang w:val="en-AU"/>
        </w:rPr>
        <w:t xml:space="preserve">relating to </w:t>
      </w:r>
      <w:r w:rsidR="0061394E">
        <w:rPr>
          <w:rFonts w:ascii="VIC" w:eastAsiaTheme="minorHAnsi" w:hAnsi="VIC" w:cstheme="minorBidi"/>
          <w:b w:val="0"/>
          <w:bCs/>
          <w:szCs w:val="22"/>
          <w:lang w:val="en-AU"/>
        </w:rPr>
        <w:t>CEWCBF</w:t>
      </w:r>
      <w:r w:rsidR="008D1E11" w:rsidRPr="00D0494B">
        <w:rPr>
          <w:rFonts w:ascii="VIC" w:eastAsiaTheme="minorHAnsi" w:hAnsi="VIC" w:cstheme="minorBidi"/>
          <w:b w:val="0"/>
          <w:bCs/>
          <w:szCs w:val="22"/>
          <w:lang w:val="en-AU"/>
        </w:rPr>
        <w:t xml:space="preserve"> </w:t>
      </w:r>
      <w:r w:rsidRPr="00D0494B">
        <w:rPr>
          <w:rFonts w:ascii="VIC" w:eastAsiaTheme="minorHAnsi" w:hAnsi="VIC" w:cstheme="minorBidi"/>
          <w:b w:val="0"/>
          <w:bCs/>
          <w:szCs w:val="22"/>
          <w:lang w:val="en-AU"/>
        </w:rPr>
        <w:t xml:space="preserve">should be directed to </w:t>
      </w:r>
      <w:r w:rsidR="00A624A7" w:rsidRPr="00D0494B">
        <w:rPr>
          <w:rFonts w:ascii="VIC" w:eastAsiaTheme="minorHAnsi" w:hAnsi="VIC" w:cstheme="minorBidi"/>
          <w:b w:val="0"/>
          <w:bCs/>
          <w:szCs w:val="22"/>
          <w:lang w:val="en-AU"/>
        </w:rPr>
        <w:t xml:space="preserve">the </w:t>
      </w:r>
      <w:r w:rsidR="00E0629F">
        <w:rPr>
          <w:rFonts w:ascii="VIC" w:eastAsiaTheme="minorHAnsi" w:hAnsi="VIC" w:cstheme="minorBidi"/>
          <w:b w:val="0"/>
          <w:bCs/>
          <w:szCs w:val="22"/>
          <w:lang w:val="en-AU"/>
        </w:rPr>
        <w:t>CEWCBF</w:t>
      </w:r>
      <w:r w:rsidR="00A624A7" w:rsidRPr="00D0494B">
        <w:rPr>
          <w:rFonts w:ascii="VIC" w:eastAsiaTheme="minorHAnsi" w:hAnsi="VIC" w:cstheme="minorBidi"/>
          <w:b w:val="0"/>
          <w:bCs/>
          <w:szCs w:val="22"/>
          <w:lang w:val="en-AU"/>
        </w:rPr>
        <w:t xml:space="preserve"> Team at </w:t>
      </w:r>
      <w:hyperlink r:id="rId15" w:history="1">
        <w:r w:rsidR="00E0629F" w:rsidRPr="00E0629F">
          <w:rPr>
            <w:rStyle w:val="Hyperlink"/>
            <w:rFonts w:ascii="VIC" w:eastAsia="Times New Roman" w:hAnsi="VIC"/>
            <w:b w:val="0"/>
            <w:bCs/>
            <w:szCs w:val="20"/>
          </w:rPr>
          <w:t>clean.economy.workforce.fund@education.vic.gov.au</w:t>
        </w:r>
      </w:hyperlink>
      <w:r w:rsidR="00A25EA4" w:rsidRPr="00E86DE2">
        <w:rPr>
          <w:rFonts w:ascii="VIC" w:eastAsiaTheme="minorHAnsi" w:hAnsi="VIC" w:cstheme="minorBidi"/>
          <w:b w:val="0"/>
          <w:bCs/>
          <w:color w:val="auto"/>
          <w:szCs w:val="22"/>
          <w:lang w:val="en-AU"/>
        </w:rPr>
        <w:t xml:space="preserve"> or visit the website at </w:t>
      </w:r>
      <w:hyperlink r:id="rId16" w:history="1">
        <w:r w:rsidR="00B00697" w:rsidRPr="007A7F76">
          <w:rPr>
            <w:rStyle w:val="Hyperlink"/>
            <w:rFonts w:ascii="VIC" w:eastAsiaTheme="minorHAnsi" w:hAnsi="VIC" w:cstheme="minorBidi"/>
            <w:b w:val="0"/>
            <w:bCs/>
            <w:szCs w:val="20"/>
            <w:lang w:val="en-GB"/>
          </w:rPr>
          <w:t>Clean Economy Workforce Capacity Building Fund</w:t>
        </w:r>
      </w:hyperlink>
      <w:r w:rsidR="00A25EA4" w:rsidRPr="00E86DE2">
        <w:rPr>
          <w:rFonts w:ascii="VIC" w:eastAsiaTheme="minorHAnsi" w:hAnsi="VIC" w:cstheme="minorBidi"/>
          <w:b w:val="0"/>
          <w:bCs/>
          <w:color w:val="auto"/>
          <w:szCs w:val="20"/>
          <w:u w:val="single"/>
          <w:lang w:val="en-GB"/>
        </w:rPr>
        <w:t xml:space="preserve"> </w:t>
      </w:r>
    </w:p>
    <w:p w14:paraId="314802AD" w14:textId="6AF659A3" w:rsidR="00324BC2" w:rsidRDefault="00324BC2" w:rsidP="00A624A7">
      <w:pPr>
        <w:pStyle w:val="ESBodyText"/>
        <w:rPr>
          <w:rFonts w:ascii="VIC" w:hAnsi="VIC"/>
          <w:sz w:val="20"/>
          <w:szCs w:val="22"/>
          <w:lang w:val="en-AU"/>
        </w:rPr>
      </w:pPr>
    </w:p>
    <w:sectPr w:rsidR="00324BC2" w:rsidSect="00561622">
      <w:headerReference w:type="default" r:id="rId17"/>
      <w:footerReference w:type="even" r:id="rId18"/>
      <w:footerReference w:type="default" r:id="rId19"/>
      <w:pgSz w:w="11900" w:h="16840"/>
      <w:pgMar w:top="1701"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921D" w14:textId="77777777" w:rsidR="00E6636D" w:rsidRDefault="00E6636D" w:rsidP="003967DD">
      <w:pPr>
        <w:spacing w:after="0"/>
      </w:pPr>
      <w:r>
        <w:separator/>
      </w:r>
    </w:p>
  </w:endnote>
  <w:endnote w:type="continuationSeparator" w:id="0">
    <w:p w14:paraId="12F1A44D" w14:textId="77777777" w:rsidR="00E6636D" w:rsidRDefault="00E6636D" w:rsidP="003967DD">
      <w:pPr>
        <w:spacing w:after="0"/>
      </w:pPr>
      <w:r>
        <w:continuationSeparator/>
      </w:r>
    </w:p>
  </w:endnote>
  <w:endnote w:type="continuationNotice" w:id="1">
    <w:p w14:paraId="13772710" w14:textId="77777777" w:rsidR="001B2E97" w:rsidRDefault="001B2E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IC SemiBold">
    <w:altName w:val="Calibri"/>
    <w:panose1 w:val="00000000000000000000"/>
    <w:charset w:val="00"/>
    <w:family w:val="modern"/>
    <w:notTrueType/>
    <w:pitch w:val="variable"/>
    <w:sig w:usb0="00000007" w:usb1="00000000" w:usb2="00000000" w:usb3="00000000" w:csb0="00000093" w:csb1="00000000"/>
  </w:font>
  <w:font w:name="VIC Medium">
    <w:altName w:val="Calibri"/>
    <w:panose1 w:val="00000000000000000000"/>
    <w:charset w:val="00"/>
    <w:family w:val="modern"/>
    <w:notTrueType/>
    <w:pitch w:val="variable"/>
    <w:sig w:usb0="00000007" w:usb1="00000000" w:usb2="00000000" w:usb3="00000000" w:csb0="00000093" w:csb1="00000000"/>
  </w:font>
  <w:font w:name="VIC">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5063" w14:textId="77777777" w:rsidR="00E6636D" w:rsidRDefault="00E6636D" w:rsidP="003967DD">
      <w:pPr>
        <w:spacing w:after="0"/>
      </w:pPr>
      <w:r>
        <w:separator/>
      </w:r>
    </w:p>
  </w:footnote>
  <w:footnote w:type="continuationSeparator" w:id="0">
    <w:p w14:paraId="6B227428" w14:textId="77777777" w:rsidR="00E6636D" w:rsidRDefault="00E6636D" w:rsidP="003967DD">
      <w:pPr>
        <w:spacing w:after="0"/>
      </w:pPr>
      <w:r>
        <w:continuationSeparator/>
      </w:r>
    </w:p>
  </w:footnote>
  <w:footnote w:type="continuationNotice" w:id="1">
    <w:p w14:paraId="18430DF5" w14:textId="77777777" w:rsidR="001B2E97" w:rsidRDefault="001B2E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F7A0D"/>
    <w:multiLevelType w:val="hybridMultilevel"/>
    <w:tmpl w:val="299A52CA"/>
    <w:lvl w:ilvl="0" w:tplc="AEBA9A60">
      <w:start w:val="1"/>
      <w:numFmt w:val="bullet"/>
      <w:lvlText w:val=""/>
      <w:lvlJc w:val="left"/>
      <w:pPr>
        <w:ind w:left="720" w:hanging="360"/>
      </w:pPr>
      <w:rPr>
        <w:rFonts w:ascii="Symbol" w:hAnsi="Symbol"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AB0308"/>
    <w:multiLevelType w:val="hybridMultilevel"/>
    <w:tmpl w:val="D2D266EC"/>
    <w:lvl w:ilvl="0" w:tplc="0C090005">
      <w:start w:val="1"/>
      <w:numFmt w:val="bullet"/>
      <w:lvlText w:val=""/>
      <w:lvlJc w:val="left"/>
      <w:pPr>
        <w:ind w:left="720" w:hanging="360"/>
      </w:pPr>
      <w:rPr>
        <w:rFonts w:ascii="Wingdings" w:hAnsi="Wingdings"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A553F5"/>
    <w:multiLevelType w:val="hybridMultilevel"/>
    <w:tmpl w:val="88360208"/>
    <w:lvl w:ilvl="0" w:tplc="5A48D464">
      <w:start w:val="1"/>
      <w:numFmt w:val="bullet"/>
      <w:lvlText w:val=""/>
      <w:lvlJc w:val="left"/>
      <w:pPr>
        <w:ind w:left="360" w:hanging="360"/>
      </w:pPr>
      <w:rPr>
        <w:rFonts w:ascii="Wingdings" w:hAnsi="Wingdings" w:hint="default"/>
        <w:b/>
        <w:color w:val="00B2A8"/>
        <w:sz w:val="28"/>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5F421D"/>
    <w:multiLevelType w:val="hybridMultilevel"/>
    <w:tmpl w:val="1834D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7E2DAC"/>
    <w:multiLevelType w:val="hybridMultilevel"/>
    <w:tmpl w:val="ADCAA8C8"/>
    <w:lvl w:ilvl="0" w:tplc="95ECF69E">
      <w:start w:val="1"/>
      <w:numFmt w:val="bullet"/>
      <w:lvlText w:val=""/>
      <w:lvlJc w:val="left"/>
      <w:pPr>
        <w:tabs>
          <w:tab w:val="num" w:pos="720"/>
        </w:tabs>
        <w:ind w:left="720" w:hanging="360"/>
      </w:pPr>
      <w:rPr>
        <w:rFonts w:ascii="Symbol" w:hAnsi="Symbol" w:hint="default"/>
      </w:rPr>
    </w:lvl>
    <w:lvl w:ilvl="1" w:tplc="CA5CC39A" w:tentative="1">
      <w:start w:val="1"/>
      <w:numFmt w:val="bullet"/>
      <w:lvlText w:val=""/>
      <w:lvlJc w:val="left"/>
      <w:pPr>
        <w:tabs>
          <w:tab w:val="num" w:pos="1440"/>
        </w:tabs>
        <w:ind w:left="1440" w:hanging="360"/>
      </w:pPr>
      <w:rPr>
        <w:rFonts w:ascii="Symbol" w:hAnsi="Symbol" w:hint="default"/>
      </w:rPr>
    </w:lvl>
    <w:lvl w:ilvl="2" w:tplc="7ADE023A" w:tentative="1">
      <w:start w:val="1"/>
      <w:numFmt w:val="bullet"/>
      <w:lvlText w:val=""/>
      <w:lvlJc w:val="left"/>
      <w:pPr>
        <w:tabs>
          <w:tab w:val="num" w:pos="2160"/>
        </w:tabs>
        <w:ind w:left="2160" w:hanging="360"/>
      </w:pPr>
      <w:rPr>
        <w:rFonts w:ascii="Symbol" w:hAnsi="Symbol" w:hint="default"/>
      </w:rPr>
    </w:lvl>
    <w:lvl w:ilvl="3" w:tplc="C8CE1F62" w:tentative="1">
      <w:start w:val="1"/>
      <w:numFmt w:val="bullet"/>
      <w:lvlText w:val=""/>
      <w:lvlJc w:val="left"/>
      <w:pPr>
        <w:tabs>
          <w:tab w:val="num" w:pos="2880"/>
        </w:tabs>
        <w:ind w:left="2880" w:hanging="360"/>
      </w:pPr>
      <w:rPr>
        <w:rFonts w:ascii="Symbol" w:hAnsi="Symbol" w:hint="default"/>
      </w:rPr>
    </w:lvl>
    <w:lvl w:ilvl="4" w:tplc="792C2926" w:tentative="1">
      <w:start w:val="1"/>
      <w:numFmt w:val="bullet"/>
      <w:lvlText w:val=""/>
      <w:lvlJc w:val="left"/>
      <w:pPr>
        <w:tabs>
          <w:tab w:val="num" w:pos="3600"/>
        </w:tabs>
        <w:ind w:left="3600" w:hanging="360"/>
      </w:pPr>
      <w:rPr>
        <w:rFonts w:ascii="Symbol" w:hAnsi="Symbol" w:hint="default"/>
      </w:rPr>
    </w:lvl>
    <w:lvl w:ilvl="5" w:tplc="0B7031D4" w:tentative="1">
      <w:start w:val="1"/>
      <w:numFmt w:val="bullet"/>
      <w:lvlText w:val=""/>
      <w:lvlJc w:val="left"/>
      <w:pPr>
        <w:tabs>
          <w:tab w:val="num" w:pos="4320"/>
        </w:tabs>
        <w:ind w:left="4320" w:hanging="360"/>
      </w:pPr>
      <w:rPr>
        <w:rFonts w:ascii="Symbol" w:hAnsi="Symbol" w:hint="default"/>
      </w:rPr>
    </w:lvl>
    <w:lvl w:ilvl="6" w:tplc="F446C222" w:tentative="1">
      <w:start w:val="1"/>
      <w:numFmt w:val="bullet"/>
      <w:lvlText w:val=""/>
      <w:lvlJc w:val="left"/>
      <w:pPr>
        <w:tabs>
          <w:tab w:val="num" w:pos="5040"/>
        </w:tabs>
        <w:ind w:left="5040" w:hanging="360"/>
      </w:pPr>
      <w:rPr>
        <w:rFonts w:ascii="Symbol" w:hAnsi="Symbol" w:hint="default"/>
      </w:rPr>
    </w:lvl>
    <w:lvl w:ilvl="7" w:tplc="4634B818" w:tentative="1">
      <w:start w:val="1"/>
      <w:numFmt w:val="bullet"/>
      <w:lvlText w:val=""/>
      <w:lvlJc w:val="left"/>
      <w:pPr>
        <w:tabs>
          <w:tab w:val="num" w:pos="5760"/>
        </w:tabs>
        <w:ind w:left="5760" w:hanging="360"/>
      </w:pPr>
      <w:rPr>
        <w:rFonts w:ascii="Symbol" w:hAnsi="Symbol" w:hint="default"/>
      </w:rPr>
    </w:lvl>
    <w:lvl w:ilvl="8" w:tplc="E7DA238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A15487B"/>
    <w:multiLevelType w:val="hybridMultilevel"/>
    <w:tmpl w:val="9390A490"/>
    <w:lvl w:ilvl="0" w:tplc="5A48D464">
      <w:start w:val="1"/>
      <w:numFmt w:val="bullet"/>
      <w:lvlText w:val=""/>
      <w:lvlJc w:val="left"/>
      <w:pPr>
        <w:ind w:left="360" w:hanging="360"/>
      </w:pPr>
      <w:rPr>
        <w:rFonts w:ascii="Wingdings" w:hAnsi="Wingdings" w:hint="default"/>
        <w:b/>
        <w:color w:val="00B2A8"/>
        <w:sz w:val="28"/>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B651E52"/>
    <w:multiLevelType w:val="hybridMultilevel"/>
    <w:tmpl w:val="2F8C5402"/>
    <w:lvl w:ilvl="0" w:tplc="0C090005">
      <w:start w:val="1"/>
      <w:numFmt w:val="bullet"/>
      <w:lvlText w:val=""/>
      <w:lvlJc w:val="left"/>
      <w:pPr>
        <w:ind w:left="720" w:hanging="360"/>
      </w:pPr>
      <w:rPr>
        <w:rFonts w:ascii="Wingdings" w:hAnsi="Wingdings"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972DF8"/>
    <w:multiLevelType w:val="hybridMultilevel"/>
    <w:tmpl w:val="E962193A"/>
    <w:lvl w:ilvl="0" w:tplc="AEBA9A60">
      <w:start w:val="1"/>
      <w:numFmt w:val="bullet"/>
      <w:lvlText w:val=""/>
      <w:lvlJc w:val="left"/>
      <w:pPr>
        <w:ind w:left="720" w:hanging="360"/>
      </w:pPr>
      <w:rPr>
        <w:rFonts w:ascii="Symbol" w:hAnsi="Symbol"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64514E"/>
    <w:multiLevelType w:val="hybridMultilevel"/>
    <w:tmpl w:val="BB8A1EC8"/>
    <w:lvl w:ilvl="0" w:tplc="4F4ECCEA">
      <w:start w:val="1"/>
      <w:numFmt w:val="bullet"/>
      <w:lvlText w:val=""/>
      <w:lvlJc w:val="left"/>
      <w:pPr>
        <w:tabs>
          <w:tab w:val="num" w:pos="720"/>
        </w:tabs>
        <w:ind w:left="720" w:hanging="360"/>
      </w:pPr>
      <w:rPr>
        <w:rFonts w:ascii="Wingdings" w:hAnsi="Wingdings" w:hint="default"/>
      </w:rPr>
    </w:lvl>
    <w:lvl w:ilvl="1" w:tplc="C0C4C274" w:tentative="1">
      <w:start w:val="1"/>
      <w:numFmt w:val="bullet"/>
      <w:lvlText w:val=""/>
      <w:lvlJc w:val="left"/>
      <w:pPr>
        <w:tabs>
          <w:tab w:val="num" w:pos="1440"/>
        </w:tabs>
        <w:ind w:left="1440" w:hanging="360"/>
      </w:pPr>
      <w:rPr>
        <w:rFonts w:ascii="Wingdings" w:hAnsi="Wingdings" w:hint="default"/>
      </w:rPr>
    </w:lvl>
    <w:lvl w:ilvl="2" w:tplc="62D63B8A" w:tentative="1">
      <w:start w:val="1"/>
      <w:numFmt w:val="bullet"/>
      <w:lvlText w:val=""/>
      <w:lvlJc w:val="left"/>
      <w:pPr>
        <w:tabs>
          <w:tab w:val="num" w:pos="2160"/>
        </w:tabs>
        <w:ind w:left="2160" w:hanging="360"/>
      </w:pPr>
      <w:rPr>
        <w:rFonts w:ascii="Wingdings" w:hAnsi="Wingdings" w:hint="default"/>
      </w:rPr>
    </w:lvl>
    <w:lvl w:ilvl="3" w:tplc="A7CCEAC0">
      <w:start w:val="1"/>
      <w:numFmt w:val="bullet"/>
      <w:lvlText w:val=""/>
      <w:lvlJc w:val="left"/>
      <w:pPr>
        <w:tabs>
          <w:tab w:val="num" w:pos="2880"/>
        </w:tabs>
        <w:ind w:left="2880" w:hanging="360"/>
      </w:pPr>
      <w:rPr>
        <w:rFonts w:ascii="Wingdings" w:hAnsi="Wingdings" w:hint="default"/>
      </w:rPr>
    </w:lvl>
    <w:lvl w:ilvl="4" w:tplc="675EE046" w:tentative="1">
      <w:start w:val="1"/>
      <w:numFmt w:val="bullet"/>
      <w:lvlText w:val=""/>
      <w:lvlJc w:val="left"/>
      <w:pPr>
        <w:tabs>
          <w:tab w:val="num" w:pos="3600"/>
        </w:tabs>
        <w:ind w:left="3600" w:hanging="360"/>
      </w:pPr>
      <w:rPr>
        <w:rFonts w:ascii="Wingdings" w:hAnsi="Wingdings" w:hint="default"/>
      </w:rPr>
    </w:lvl>
    <w:lvl w:ilvl="5" w:tplc="9B7C5B98" w:tentative="1">
      <w:start w:val="1"/>
      <w:numFmt w:val="bullet"/>
      <w:lvlText w:val=""/>
      <w:lvlJc w:val="left"/>
      <w:pPr>
        <w:tabs>
          <w:tab w:val="num" w:pos="4320"/>
        </w:tabs>
        <w:ind w:left="4320" w:hanging="360"/>
      </w:pPr>
      <w:rPr>
        <w:rFonts w:ascii="Wingdings" w:hAnsi="Wingdings" w:hint="default"/>
      </w:rPr>
    </w:lvl>
    <w:lvl w:ilvl="6" w:tplc="3258E40C" w:tentative="1">
      <w:start w:val="1"/>
      <w:numFmt w:val="bullet"/>
      <w:lvlText w:val=""/>
      <w:lvlJc w:val="left"/>
      <w:pPr>
        <w:tabs>
          <w:tab w:val="num" w:pos="5040"/>
        </w:tabs>
        <w:ind w:left="5040" w:hanging="360"/>
      </w:pPr>
      <w:rPr>
        <w:rFonts w:ascii="Wingdings" w:hAnsi="Wingdings" w:hint="default"/>
      </w:rPr>
    </w:lvl>
    <w:lvl w:ilvl="7" w:tplc="1DC46DB6" w:tentative="1">
      <w:start w:val="1"/>
      <w:numFmt w:val="bullet"/>
      <w:lvlText w:val=""/>
      <w:lvlJc w:val="left"/>
      <w:pPr>
        <w:tabs>
          <w:tab w:val="num" w:pos="5760"/>
        </w:tabs>
        <w:ind w:left="5760" w:hanging="360"/>
      </w:pPr>
      <w:rPr>
        <w:rFonts w:ascii="Wingdings" w:hAnsi="Wingdings" w:hint="default"/>
      </w:rPr>
    </w:lvl>
    <w:lvl w:ilvl="8" w:tplc="652CE2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775496"/>
    <w:multiLevelType w:val="hybridMultilevel"/>
    <w:tmpl w:val="850EF2E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EF5903"/>
    <w:multiLevelType w:val="hybridMultilevel"/>
    <w:tmpl w:val="4EF0C450"/>
    <w:lvl w:ilvl="0" w:tplc="5A48D464">
      <w:start w:val="1"/>
      <w:numFmt w:val="bullet"/>
      <w:lvlText w:val=""/>
      <w:lvlJc w:val="left"/>
      <w:pPr>
        <w:ind w:left="360" w:hanging="360"/>
      </w:pPr>
      <w:rPr>
        <w:rFonts w:ascii="Wingdings" w:hAnsi="Wingdings" w:hint="default"/>
        <w:b/>
        <w:color w:val="00B2A8"/>
        <w:sz w:val="28"/>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F135FD"/>
    <w:multiLevelType w:val="hybridMultilevel"/>
    <w:tmpl w:val="D5581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F40F4"/>
    <w:multiLevelType w:val="hybridMultilevel"/>
    <w:tmpl w:val="D5E8C258"/>
    <w:lvl w:ilvl="0" w:tplc="2C02AFC2">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15:restartNumberingAfterBreak="0">
    <w:nsid w:val="5CF20383"/>
    <w:multiLevelType w:val="hybridMultilevel"/>
    <w:tmpl w:val="AB3A541A"/>
    <w:lvl w:ilvl="0" w:tplc="0C090005">
      <w:start w:val="1"/>
      <w:numFmt w:val="bullet"/>
      <w:lvlText w:val=""/>
      <w:lvlJc w:val="left"/>
      <w:pPr>
        <w:ind w:left="720" w:hanging="360"/>
      </w:pPr>
      <w:rPr>
        <w:rFonts w:ascii="Wingdings" w:hAnsi="Wingdings"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737394"/>
    <w:multiLevelType w:val="hybridMultilevel"/>
    <w:tmpl w:val="ADBA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E380F"/>
    <w:multiLevelType w:val="hybridMultilevel"/>
    <w:tmpl w:val="F8E88616"/>
    <w:lvl w:ilvl="0" w:tplc="588C4C70">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8D15C0F"/>
    <w:multiLevelType w:val="hybridMultilevel"/>
    <w:tmpl w:val="0CB61432"/>
    <w:lvl w:ilvl="0" w:tplc="AEBA9A60">
      <w:start w:val="1"/>
      <w:numFmt w:val="bullet"/>
      <w:lvlText w:val=""/>
      <w:lvlJc w:val="left"/>
      <w:pPr>
        <w:ind w:left="720" w:hanging="360"/>
      </w:pPr>
      <w:rPr>
        <w:rFonts w:ascii="Symbol" w:hAnsi="Symbol"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063336"/>
    <w:multiLevelType w:val="hybridMultilevel"/>
    <w:tmpl w:val="9698C146"/>
    <w:lvl w:ilvl="0" w:tplc="AEBA9A60">
      <w:start w:val="1"/>
      <w:numFmt w:val="bullet"/>
      <w:lvlText w:val=""/>
      <w:lvlJc w:val="left"/>
      <w:pPr>
        <w:ind w:left="720" w:hanging="360"/>
      </w:pPr>
      <w:rPr>
        <w:rFonts w:ascii="Symbol" w:hAnsi="Symbol"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6C718D"/>
    <w:multiLevelType w:val="hybridMultilevel"/>
    <w:tmpl w:val="4F2E23A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B455A6B"/>
    <w:multiLevelType w:val="hybridMultilevel"/>
    <w:tmpl w:val="0EE02AF6"/>
    <w:lvl w:ilvl="0" w:tplc="0C090005">
      <w:start w:val="1"/>
      <w:numFmt w:val="bullet"/>
      <w:lvlText w:val=""/>
      <w:lvlJc w:val="left"/>
      <w:pPr>
        <w:ind w:left="720" w:hanging="360"/>
      </w:pPr>
      <w:rPr>
        <w:rFonts w:ascii="Wingdings" w:hAnsi="Wingdings"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0341CA"/>
    <w:multiLevelType w:val="hybridMultilevel"/>
    <w:tmpl w:val="143A3A1E"/>
    <w:lvl w:ilvl="0" w:tplc="0C090005">
      <w:start w:val="1"/>
      <w:numFmt w:val="bullet"/>
      <w:lvlText w:val=""/>
      <w:lvlJc w:val="left"/>
      <w:pPr>
        <w:ind w:left="720" w:hanging="360"/>
      </w:pPr>
      <w:rPr>
        <w:rFonts w:ascii="Wingdings" w:hAnsi="Wingdings" w:hint="default"/>
        <w:b/>
        <w:color w:val="00B2A8" w:themeColor="accent1"/>
        <w:sz w:val="2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1"/>
  </w:num>
  <w:num w:numId="15">
    <w:abstractNumId w:val="21"/>
  </w:num>
  <w:num w:numId="16">
    <w:abstractNumId w:val="25"/>
  </w:num>
  <w:num w:numId="17">
    <w:abstractNumId w:val="22"/>
  </w:num>
  <w:num w:numId="18">
    <w:abstractNumId w:val="20"/>
  </w:num>
  <w:num w:numId="19">
    <w:abstractNumId w:val="34"/>
  </w:num>
  <w:num w:numId="20">
    <w:abstractNumId w:val="33"/>
  </w:num>
  <w:num w:numId="21">
    <w:abstractNumId w:val="17"/>
  </w:num>
  <w:num w:numId="22">
    <w:abstractNumId w:val="18"/>
  </w:num>
  <w:num w:numId="23">
    <w:abstractNumId w:val="11"/>
  </w:num>
  <w:num w:numId="24">
    <w:abstractNumId w:val="37"/>
  </w:num>
  <w:num w:numId="25">
    <w:abstractNumId w:val="12"/>
  </w:num>
  <w:num w:numId="26">
    <w:abstractNumId w:val="28"/>
  </w:num>
  <w:num w:numId="27">
    <w:abstractNumId w:val="14"/>
  </w:num>
  <w:num w:numId="28">
    <w:abstractNumId w:val="36"/>
  </w:num>
  <w:num w:numId="29">
    <w:abstractNumId w:val="32"/>
  </w:num>
  <w:num w:numId="30">
    <w:abstractNumId w:val="13"/>
  </w:num>
  <w:num w:numId="31">
    <w:abstractNumId w:val="35"/>
  </w:num>
  <w:num w:numId="32">
    <w:abstractNumId w:val="19"/>
  </w:num>
  <w:num w:numId="33">
    <w:abstractNumId w:val="30"/>
  </w:num>
  <w:num w:numId="34">
    <w:abstractNumId w:val="26"/>
  </w:num>
  <w:num w:numId="35">
    <w:abstractNumId w:val="15"/>
  </w:num>
  <w:num w:numId="36">
    <w:abstractNumId w:val="16"/>
  </w:num>
  <w:num w:numId="37">
    <w:abstractNumId w:val="2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8F"/>
    <w:rsid w:val="00001996"/>
    <w:rsid w:val="00001C86"/>
    <w:rsid w:val="00004AB2"/>
    <w:rsid w:val="00011F31"/>
    <w:rsid w:val="00013339"/>
    <w:rsid w:val="000203F6"/>
    <w:rsid w:val="000256E2"/>
    <w:rsid w:val="00036A7E"/>
    <w:rsid w:val="00040CD1"/>
    <w:rsid w:val="00041106"/>
    <w:rsid w:val="000424CF"/>
    <w:rsid w:val="00046BDC"/>
    <w:rsid w:val="000729E2"/>
    <w:rsid w:val="00072E15"/>
    <w:rsid w:val="00073BF0"/>
    <w:rsid w:val="00076523"/>
    <w:rsid w:val="00080DA9"/>
    <w:rsid w:val="00084171"/>
    <w:rsid w:val="000861DD"/>
    <w:rsid w:val="000900F0"/>
    <w:rsid w:val="00097DBE"/>
    <w:rsid w:val="000A47D4"/>
    <w:rsid w:val="000B00CC"/>
    <w:rsid w:val="000C557A"/>
    <w:rsid w:val="000C600E"/>
    <w:rsid w:val="000C7A5E"/>
    <w:rsid w:val="000C7CB2"/>
    <w:rsid w:val="000D6BC7"/>
    <w:rsid w:val="000D7F9A"/>
    <w:rsid w:val="000E24B3"/>
    <w:rsid w:val="000E2742"/>
    <w:rsid w:val="000E5B9A"/>
    <w:rsid w:val="000F5841"/>
    <w:rsid w:val="00105CF2"/>
    <w:rsid w:val="00122369"/>
    <w:rsid w:val="00122D1D"/>
    <w:rsid w:val="00127643"/>
    <w:rsid w:val="00127A01"/>
    <w:rsid w:val="00130654"/>
    <w:rsid w:val="001347B1"/>
    <w:rsid w:val="001368EA"/>
    <w:rsid w:val="00137183"/>
    <w:rsid w:val="001374DA"/>
    <w:rsid w:val="001472BA"/>
    <w:rsid w:val="00150E0F"/>
    <w:rsid w:val="00151DA2"/>
    <w:rsid w:val="00157212"/>
    <w:rsid w:val="0015762B"/>
    <w:rsid w:val="0016287D"/>
    <w:rsid w:val="00165AF9"/>
    <w:rsid w:val="001711A6"/>
    <w:rsid w:val="00173B85"/>
    <w:rsid w:val="001745D7"/>
    <w:rsid w:val="00180ACE"/>
    <w:rsid w:val="001841FA"/>
    <w:rsid w:val="0019101B"/>
    <w:rsid w:val="0019612E"/>
    <w:rsid w:val="00197EF3"/>
    <w:rsid w:val="001A2BB2"/>
    <w:rsid w:val="001A55D6"/>
    <w:rsid w:val="001A7AF6"/>
    <w:rsid w:val="001B2E97"/>
    <w:rsid w:val="001B6520"/>
    <w:rsid w:val="001B6C72"/>
    <w:rsid w:val="001C7D3C"/>
    <w:rsid w:val="001D0D94"/>
    <w:rsid w:val="001D13F9"/>
    <w:rsid w:val="001E68FD"/>
    <w:rsid w:val="001F2FF8"/>
    <w:rsid w:val="001F39DD"/>
    <w:rsid w:val="001F6A66"/>
    <w:rsid w:val="0020011A"/>
    <w:rsid w:val="00201EF5"/>
    <w:rsid w:val="00202F30"/>
    <w:rsid w:val="0022187F"/>
    <w:rsid w:val="002248CD"/>
    <w:rsid w:val="00226A33"/>
    <w:rsid w:val="0023660C"/>
    <w:rsid w:val="002400C4"/>
    <w:rsid w:val="00251189"/>
    <w:rsid w:val="002512BE"/>
    <w:rsid w:val="0025184F"/>
    <w:rsid w:val="002524F1"/>
    <w:rsid w:val="00256C92"/>
    <w:rsid w:val="0026089B"/>
    <w:rsid w:val="002614A8"/>
    <w:rsid w:val="00261D1C"/>
    <w:rsid w:val="00275FB8"/>
    <w:rsid w:val="00280511"/>
    <w:rsid w:val="00284F19"/>
    <w:rsid w:val="00285F6C"/>
    <w:rsid w:val="00290539"/>
    <w:rsid w:val="002907D6"/>
    <w:rsid w:val="00290C37"/>
    <w:rsid w:val="00294213"/>
    <w:rsid w:val="002A1FB0"/>
    <w:rsid w:val="002A209F"/>
    <w:rsid w:val="002A283A"/>
    <w:rsid w:val="002A43AD"/>
    <w:rsid w:val="002A4A96"/>
    <w:rsid w:val="002B3EB5"/>
    <w:rsid w:val="002C12DA"/>
    <w:rsid w:val="002D058B"/>
    <w:rsid w:val="002D4DD9"/>
    <w:rsid w:val="002E3BED"/>
    <w:rsid w:val="002F6115"/>
    <w:rsid w:val="00305C9F"/>
    <w:rsid w:val="00312720"/>
    <w:rsid w:val="0031279D"/>
    <w:rsid w:val="003155D2"/>
    <w:rsid w:val="00316ED5"/>
    <w:rsid w:val="00324A9D"/>
    <w:rsid w:val="00324BC2"/>
    <w:rsid w:val="00327908"/>
    <w:rsid w:val="003329DE"/>
    <w:rsid w:val="00343AFC"/>
    <w:rsid w:val="0034745C"/>
    <w:rsid w:val="00352006"/>
    <w:rsid w:val="003552A5"/>
    <w:rsid w:val="00357CE7"/>
    <w:rsid w:val="0037107A"/>
    <w:rsid w:val="00372A6C"/>
    <w:rsid w:val="0038034F"/>
    <w:rsid w:val="003870C7"/>
    <w:rsid w:val="00392B7F"/>
    <w:rsid w:val="00392C85"/>
    <w:rsid w:val="00394A7A"/>
    <w:rsid w:val="003967DD"/>
    <w:rsid w:val="003972C1"/>
    <w:rsid w:val="003A4C39"/>
    <w:rsid w:val="003A6F50"/>
    <w:rsid w:val="003B307D"/>
    <w:rsid w:val="003B74C5"/>
    <w:rsid w:val="003B7557"/>
    <w:rsid w:val="003C5FDA"/>
    <w:rsid w:val="003D0DCF"/>
    <w:rsid w:val="003D1EF9"/>
    <w:rsid w:val="003D30C8"/>
    <w:rsid w:val="003D45EB"/>
    <w:rsid w:val="003D540F"/>
    <w:rsid w:val="003E2CCA"/>
    <w:rsid w:val="003E3AA7"/>
    <w:rsid w:val="003E5D22"/>
    <w:rsid w:val="003E6EA7"/>
    <w:rsid w:val="003F03DF"/>
    <w:rsid w:val="003F3ABC"/>
    <w:rsid w:val="004001C5"/>
    <w:rsid w:val="004208CA"/>
    <w:rsid w:val="0042333B"/>
    <w:rsid w:val="00427D10"/>
    <w:rsid w:val="004344BF"/>
    <w:rsid w:val="00443E58"/>
    <w:rsid w:val="00447C0A"/>
    <w:rsid w:val="00450506"/>
    <w:rsid w:val="00480C09"/>
    <w:rsid w:val="00484A5B"/>
    <w:rsid w:val="0048511C"/>
    <w:rsid w:val="004948DC"/>
    <w:rsid w:val="004A10AF"/>
    <w:rsid w:val="004A2E74"/>
    <w:rsid w:val="004A457F"/>
    <w:rsid w:val="004A51E8"/>
    <w:rsid w:val="004B2ED6"/>
    <w:rsid w:val="004B3EF3"/>
    <w:rsid w:val="004B70C4"/>
    <w:rsid w:val="004C0F1E"/>
    <w:rsid w:val="004C2811"/>
    <w:rsid w:val="004C6B80"/>
    <w:rsid w:val="004C7D9E"/>
    <w:rsid w:val="004D1382"/>
    <w:rsid w:val="004D3AB7"/>
    <w:rsid w:val="004D4388"/>
    <w:rsid w:val="004E2E56"/>
    <w:rsid w:val="00500ADA"/>
    <w:rsid w:val="005011C4"/>
    <w:rsid w:val="00502A7E"/>
    <w:rsid w:val="00506646"/>
    <w:rsid w:val="00511CBE"/>
    <w:rsid w:val="00512BBA"/>
    <w:rsid w:val="00520241"/>
    <w:rsid w:val="005302EB"/>
    <w:rsid w:val="005420FE"/>
    <w:rsid w:val="00550952"/>
    <w:rsid w:val="0055253C"/>
    <w:rsid w:val="00555277"/>
    <w:rsid w:val="00561622"/>
    <w:rsid w:val="00567CF0"/>
    <w:rsid w:val="00567FFB"/>
    <w:rsid w:val="0058234C"/>
    <w:rsid w:val="00584366"/>
    <w:rsid w:val="00585730"/>
    <w:rsid w:val="00586EFB"/>
    <w:rsid w:val="0059091D"/>
    <w:rsid w:val="005A1856"/>
    <w:rsid w:val="005A3F21"/>
    <w:rsid w:val="005A4F12"/>
    <w:rsid w:val="005C0C23"/>
    <w:rsid w:val="005C18E9"/>
    <w:rsid w:val="005D1EB5"/>
    <w:rsid w:val="005E0713"/>
    <w:rsid w:val="005F0F2A"/>
    <w:rsid w:val="0060110B"/>
    <w:rsid w:val="0060323E"/>
    <w:rsid w:val="006032C2"/>
    <w:rsid w:val="00606922"/>
    <w:rsid w:val="006100C7"/>
    <w:rsid w:val="0061394E"/>
    <w:rsid w:val="00614E29"/>
    <w:rsid w:val="00624A55"/>
    <w:rsid w:val="00634827"/>
    <w:rsid w:val="00641E94"/>
    <w:rsid w:val="00645241"/>
    <w:rsid w:val="006473B3"/>
    <w:rsid w:val="00647817"/>
    <w:rsid w:val="006523D7"/>
    <w:rsid w:val="00660419"/>
    <w:rsid w:val="00661E02"/>
    <w:rsid w:val="00663DA5"/>
    <w:rsid w:val="006671CE"/>
    <w:rsid w:val="006717DE"/>
    <w:rsid w:val="00674047"/>
    <w:rsid w:val="00681404"/>
    <w:rsid w:val="006A1F8A"/>
    <w:rsid w:val="006A25AC"/>
    <w:rsid w:val="006A25FF"/>
    <w:rsid w:val="006A373E"/>
    <w:rsid w:val="006B3B50"/>
    <w:rsid w:val="006B7163"/>
    <w:rsid w:val="006C45C0"/>
    <w:rsid w:val="006C4E8A"/>
    <w:rsid w:val="006D314E"/>
    <w:rsid w:val="006E2B9A"/>
    <w:rsid w:val="007028F3"/>
    <w:rsid w:val="00710CED"/>
    <w:rsid w:val="0071321E"/>
    <w:rsid w:val="00715CE8"/>
    <w:rsid w:val="0072105C"/>
    <w:rsid w:val="007314F6"/>
    <w:rsid w:val="00735566"/>
    <w:rsid w:val="00744D66"/>
    <w:rsid w:val="007459DA"/>
    <w:rsid w:val="007477F3"/>
    <w:rsid w:val="00753670"/>
    <w:rsid w:val="00753C85"/>
    <w:rsid w:val="00763B81"/>
    <w:rsid w:val="00767573"/>
    <w:rsid w:val="007714FA"/>
    <w:rsid w:val="00771739"/>
    <w:rsid w:val="00771F1B"/>
    <w:rsid w:val="007828DB"/>
    <w:rsid w:val="00783F24"/>
    <w:rsid w:val="007901A0"/>
    <w:rsid w:val="0079468F"/>
    <w:rsid w:val="007A05E4"/>
    <w:rsid w:val="007A3CF2"/>
    <w:rsid w:val="007A7AA8"/>
    <w:rsid w:val="007A7F76"/>
    <w:rsid w:val="007B1571"/>
    <w:rsid w:val="007B48C0"/>
    <w:rsid w:val="007B556E"/>
    <w:rsid w:val="007C2352"/>
    <w:rsid w:val="007D31CC"/>
    <w:rsid w:val="007D3E38"/>
    <w:rsid w:val="007D6CCE"/>
    <w:rsid w:val="007D7EE2"/>
    <w:rsid w:val="007E301C"/>
    <w:rsid w:val="007E33E6"/>
    <w:rsid w:val="007E3707"/>
    <w:rsid w:val="007F22E3"/>
    <w:rsid w:val="007F447A"/>
    <w:rsid w:val="007F65F6"/>
    <w:rsid w:val="007F74D0"/>
    <w:rsid w:val="00800813"/>
    <w:rsid w:val="008065DA"/>
    <w:rsid w:val="008078E8"/>
    <w:rsid w:val="00811B15"/>
    <w:rsid w:val="00811E7E"/>
    <w:rsid w:val="00822F31"/>
    <w:rsid w:val="00824E99"/>
    <w:rsid w:val="00831139"/>
    <w:rsid w:val="0083672D"/>
    <w:rsid w:val="00840770"/>
    <w:rsid w:val="00841D53"/>
    <w:rsid w:val="008423BD"/>
    <w:rsid w:val="00846C78"/>
    <w:rsid w:val="008516E6"/>
    <w:rsid w:val="00852CF0"/>
    <w:rsid w:val="008554B7"/>
    <w:rsid w:val="00855970"/>
    <w:rsid w:val="00857EE4"/>
    <w:rsid w:val="008628DA"/>
    <w:rsid w:val="008658CE"/>
    <w:rsid w:val="0087446C"/>
    <w:rsid w:val="00875516"/>
    <w:rsid w:val="008817A2"/>
    <w:rsid w:val="00883C57"/>
    <w:rsid w:val="00884F95"/>
    <w:rsid w:val="0088684C"/>
    <w:rsid w:val="00890680"/>
    <w:rsid w:val="00892E24"/>
    <w:rsid w:val="00893C76"/>
    <w:rsid w:val="008B1737"/>
    <w:rsid w:val="008B5740"/>
    <w:rsid w:val="008B6D8B"/>
    <w:rsid w:val="008C7FD8"/>
    <w:rsid w:val="008D1E11"/>
    <w:rsid w:val="008D4CB8"/>
    <w:rsid w:val="008E0545"/>
    <w:rsid w:val="008E2482"/>
    <w:rsid w:val="008E28B0"/>
    <w:rsid w:val="008E2BF2"/>
    <w:rsid w:val="008F3D35"/>
    <w:rsid w:val="009039AF"/>
    <w:rsid w:val="009043A2"/>
    <w:rsid w:val="009141F4"/>
    <w:rsid w:val="00921233"/>
    <w:rsid w:val="00923E61"/>
    <w:rsid w:val="00927DB5"/>
    <w:rsid w:val="00952690"/>
    <w:rsid w:val="00954B9A"/>
    <w:rsid w:val="00966384"/>
    <w:rsid w:val="0098081E"/>
    <w:rsid w:val="009815D7"/>
    <w:rsid w:val="00983C76"/>
    <w:rsid w:val="00984E75"/>
    <w:rsid w:val="0099358C"/>
    <w:rsid w:val="00997483"/>
    <w:rsid w:val="009B2DAA"/>
    <w:rsid w:val="009C02E9"/>
    <w:rsid w:val="009C7918"/>
    <w:rsid w:val="009D586A"/>
    <w:rsid w:val="009E140B"/>
    <w:rsid w:val="009F6A77"/>
    <w:rsid w:val="00A015C2"/>
    <w:rsid w:val="00A05940"/>
    <w:rsid w:val="00A11BB7"/>
    <w:rsid w:val="00A14760"/>
    <w:rsid w:val="00A1682E"/>
    <w:rsid w:val="00A178F2"/>
    <w:rsid w:val="00A24E9E"/>
    <w:rsid w:val="00A25EA4"/>
    <w:rsid w:val="00A307A6"/>
    <w:rsid w:val="00A31926"/>
    <w:rsid w:val="00A31FDC"/>
    <w:rsid w:val="00A40B41"/>
    <w:rsid w:val="00A50F79"/>
    <w:rsid w:val="00A61EF3"/>
    <w:rsid w:val="00A61F52"/>
    <w:rsid w:val="00A624A7"/>
    <w:rsid w:val="00A710DF"/>
    <w:rsid w:val="00A73053"/>
    <w:rsid w:val="00A74CD8"/>
    <w:rsid w:val="00A81AB2"/>
    <w:rsid w:val="00A85EF0"/>
    <w:rsid w:val="00A91AD3"/>
    <w:rsid w:val="00A92CB2"/>
    <w:rsid w:val="00A93303"/>
    <w:rsid w:val="00A97D5C"/>
    <w:rsid w:val="00AA1424"/>
    <w:rsid w:val="00AA662F"/>
    <w:rsid w:val="00AB4307"/>
    <w:rsid w:val="00AC0D04"/>
    <w:rsid w:val="00AC4434"/>
    <w:rsid w:val="00AD0371"/>
    <w:rsid w:val="00AD11E1"/>
    <w:rsid w:val="00AD2F18"/>
    <w:rsid w:val="00AD40D1"/>
    <w:rsid w:val="00AD6273"/>
    <w:rsid w:val="00AE72CD"/>
    <w:rsid w:val="00AF0099"/>
    <w:rsid w:val="00AF6D3A"/>
    <w:rsid w:val="00B00697"/>
    <w:rsid w:val="00B14EB1"/>
    <w:rsid w:val="00B21562"/>
    <w:rsid w:val="00B32211"/>
    <w:rsid w:val="00B33F99"/>
    <w:rsid w:val="00B35A6A"/>
    <w:rsid w:val="00B40E4B"/>
    <w:rsid w:val="00B46D59"/>
    <w:rsid w:val="00B46E66"/>
    <w:rsid w:val="00B70263"/>
    <w:rsid w:val="00B70615"/>
    <w:rsid w:val="00B74B89"/>
    <w:rsid w:val="00B76A13"/>
    <w:rsid w:val="00B80FC9"/>
    <w:rsid w:val="00B812AC"/>
    <w:rsid w:val="00B872E7"/>
    <w:rsid w:val="00B91427"/>
    <w:rsid w:val="00B94C70"/>
    <w:rsid w:val="00BA6849"/>
    <w:rsid w:val="00BB2CAA"/>
    <w:rsid w:val="00BB7C6F"/>
    <w:rsid w:val="00BC6526"/>
    <w:rsid w:val="00BD2663"/>
    <w:rsid w:val="00BD480C"/>
    <w:rsid w:val="00BE08B8"/>
    <w:rsid w:val="00BF0FAE"/>
    <w:rsid w:val="00BF39E6"/>
    <w:rsid w:val="00C15294"/>
    <w:rsid w:val="00C2125C"/>
    <w:rsid w:val="00C539BB"/>
    <w:rsid w:val="00C60C61"/>
    <w:rsid w:val="00C63E65"/>
    <w:rsid w:val="00C64483"/>
    <w:rsid w:val="00C64F7E"/>
    <w:rsid w:val="00C66AF4"/>
    <w:rsid w:val="00C74F8D"/>
    <w:rsid w:val="00C77D8E"/>
    <w:rsid w:val="00C85B76"/>
    <w:rsid w:val="00C905FE"/>
    <w:rsid w:val="00C90F6C"/>
    <w:rsid w:val="00CA1C1D"/>
    <w:rsid w:val="00CA5C1F"/>
    <w:rsid w:val="00CB4066"/>
    <w:rsid w:val="00CC321B"/>
    <w:rsid w:val="00CC3AA1"/>
    <w:rsid w:val="00CC5AA8"/>
    <w:rsid w:val="00CC7207"/>
    <w:rsid w:val="00CD5993"/>
    <w:rsid w:val="00CD6997"/>
    <w:rsid w:val="00CE1001"/>
    <w:rsid w:val="00CE4E42"/>
    <w:rsid w:val="00CE52BD"/>
    <w:rsid w:val="00CE7916"/>
    <w:rsid w:val="00CF1AA2"/>
    <w:rsid w:val="00CF231B"/>
    <w:rsid w:val="00CF5C7D"/>
    <w:rsid w:val="00D03920"/>
    <w:rsid w:val="00D03E74"/>
    <w:rsid w:val="00D045A1"/>
    <w:rsid w:val="00D0494B"/>
    <w:rsid w:val="00D06C98"/>
    <w:rsid w:val="00D06EB4"/>
    <w:rsid w:val="00D257E2"/>
    <w:rsid w:val="00D43B85"/>
    <w:rsid w:val="00D47AD0"/>
    <w:rsid w:val="00D51833"/>
    <w:rsid w:val="00D52E89"/>
    <w:rsid w:val="00D673A5"/>
    <w:rsid w:val="00D85C9A"/>
    <w:rsid w:val="00D9777A"/>
    <w:rsid w:val="00DA6B6A"/>
    <w:rsid w:val="00DB275D"/>
    <w:rsid w:val="00DC2407"/>
    <w:rsid w:val="00DC329E"/>
    <w:rsid w:val="00DC4D0D"/>
    <w:rsid w:val="00DE0CCA"/>
    <w:rsid w:val="00DE1C63"/>
    <w:rsid w:val="00E00111"/>
    <w:rsid w:val="00E0629F"/>
    <w:rsid w:val="00E16E37"/>
    <w:rsid w:val="00E23315"/>
    <w:rsid w:val="00E25A0F"/>
    <w:rsid w:val="00E26A36"/>
    <w:rsid w:val="00E33FF4"/>
    <w:rsid w:val="00E34263"/>
    <w:rsid w:val="00E34721"/>
    <w:rsid w:val="00E35916"/>
    <w:rsid w:val="00E359F4"/>
    <w:rsid w:val="00E3682C"/>
    <w:rsid w:val="00E4021D"/>
    <w:rsid w:val="00E426E6"/>
    <w:rsid w:val="00E4317E"/>
    <w:rsid w:val="00E44A52"/>
    <w:rsid w:val="00E45FE2"/>
    <w:rsid w:val="00E5030B"/>
    <w:rsid w:val="00E5620C"/>
    <w:rsid w:val="00E56D67"/>
    <w:rsid w:val="00E6100B"/>
    <w:rsid w:val="00E64758"/>
    <w:rsid w:val="00E6636D"/>
    <w:rsid w:val="00E665BC"/>
    <w:rsid w:val="00E66796"/>
    <w:rsid w:val="00E75905"/>
    <w:rsid w:val="00E76166"/>
    <w:rsid w:val="00E763FF"/>
    <w:rsid w:val="00E77EB9"/>
    <w:rsid w:val="00E80B15"/>
    <w:rsid w:val="00E86DE2"/>
    <w:rsid w:val="00E900F6"/>
    <w:rsid w:val="00E95673"/>
    <w:rsid w:val="00EA0D9F"/>
    <w:rsid w:val="00EA12FC"/>
    <w:rsid w:val="00EA7E98"/>
    <w:rsid w:val="00EB49C5"/>
    <w:rsid w:val="00EC1FA9"/>
    <w:rsid w:val="00ED07E9"/>
    <w:rsid w:val="00ED7B38"/>
    <w:rsid w:val="00EE057D"/>
    <w:rsid w:val="00EE7346"/>
    <w:rsid w:val="00EF090B"/>
    <w:rsid w:val="00F01F7B"/>
    <w:rsid w:val="00F04106"/>
    <w:rsid w:val="00F04367"/>
    <w:rsid w:val="00F0610A"/>
    <w:rsid w:val="00F10DFF"/>
    <w:rsid w:val="00F1307B"/>
    <w:rsid w:val="00F15B79"/>
    <w:rsid w:val="00F25C40"/>
    <w:rsid w:val="00F329E3"/>
    <w:rsid w:val="00F35275"/>
    <w:rsid w:val="00F40E3A"/>
    <w:rsid w:val="00F42CE3"/>
    <w:rsid w:val="00F5271F"/>
    <w:rsid w:val="00F72056"/>
    <w:rsid w:val="00F722A8"/>
    <w:rsid w:val="00F723D1"/>
    <w:rsid w:val="00F73219"/>
    <w:rsid w:val="00F814D9"/>
    <w:rsid w:val="00F852C7"/>
    <w:rsid w:val="00F87A9B"/>
    <w:rsid w:val="00F92575"/>
    <w:rsid w:val="00F93ECA"/>
    <w:rsid w:val="00F94715"/>
    <w:rsid w:val="00FA1606"/>
    <w:rsid w:val="00FA2FD2"/>
    <w:rsid w:val="00FA510E"/>
    <w:rsid w:val="00FA5214"/>
    <w:rsid w:val="00FB2222"/>
    <w:rsid w:val="00FB617C"/>
    <w:rsid w:val="00FC7A79"/>
    <w:rsid w:val="00FD1079"/>
    <w:rsid w:val="00FD631E"/>
    <w:rsid w:val="00FD76D0"/>
    <w:rsid w:val="00FE1CFF"/>
    <w:rsid w:val="00FF6FFA"/>
    <w:rsid w:val="050760E7"/>
    <w:rsid w:val="1FBE1338"/>
    <w:rsid w:val="788CA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character" w:styleId="CommentReference">
    <w:name w:val="annotation reference"/>
    <w:basedOn w:val="DefaultParagraphFont"/>
    <w:uiPriority w:val="99"/>
    <w:semiHidden/>
    <w:unhideWhenUsed/>
    <w:rsid w:val="0072105C"/>
    <w:rPr>
      <w:sz w:val="16"/>
      <w:szCs w:val="16"/>
    </w:rPr>
  </w:style>
  <w:style w:type="paragraph" w:styleId="CommentText">
    <w:name w:val="annotation text"/>
    <w:basedOn w:val="Normal"/>
    <w:link w:val="CommentTextChar"/>
    <w:uiPriority w:val="99"/>
    <w:unhideWhenUsed/>
    <w:rsid w:val="0072105C"/>
    <w:rPr>
      <w:sz w:val="20"/>
      <w:szCs w:val="20"/>
    </w:rPr>
  </w:style>
  <w:style w:type="character" w:customStyle="1" w:styleId="CommentTextChar">
    <w:name w:val="Comment Text Char"/>
    <w:basedOn w:val="DefaultParagraphFont"/>
    <w:link w:val="CommentText"/>
    <w:uiPriority w:val="99"/>
    <w:rsid w:val="0072105C"/>
    <w:rPr>
      <w:sz w:val="20"/>
      <w:szCs w:val="20"/>
    </w:rPr>
  </w:style>
  <w:style w:type="paragraph" w:styleId="NormalWeb">
    <w:name w:val="Normal (Web)"/>
    <w:basedOn w:val="Normal"/>
    <w:uiPriority w:val="99"/>
    <w:semiHidden/>
    <w:unhideWhenUsed/>
    <w:rsid w:val="0072105C"/>
    <w:pPr>
      <w:spacing w:before="100" w:beforeAutospacing="1" w:after="100" w:afterAutospacing="1"/>
    </w:pPr>
    <w:rPr>
      <w:rFonts w:ascii="Times New Roman" w:eastAsia="Times New Roman" w:hAnsi="Times New Roman" w:cs="Times New Roman"/>
      <w:sz w:val="24"/>
      <w:lang w:val="en-AU" w:eastAsia="en-AU"/>
    </w:rPr>
  </w:style>
  <w:style w:type="table" w:styleId="TableGridLight">
    <w:name w:val="Grid Table Light"/>
    <w:basedOn w:val="TableNormal"/>
    <w:uiPriority w:val="40"/>
    <w:rsid w:val="009C79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List Paragraph1,List Paragraph11,Dot Points,Bullet point,L,Recommendation,DDM Gen Text,List Paragraph - bullets,NFP GP Bulleted List,bullet point list,Bullet points,Content descriptions,List Paragraph Number,FooterText,numbered"/>
    <w:basedOn w:val="Normal"/>
    <w:link w:val="ListParagraphChar"/>
    <w:uiPriority w:val="34"/>
    <w:qFormat/>
    <w:rsid w:val="00E00111"/>
    <w:pPr>
      <w:ind w:left="720"/>
      <w:contextualSpacing/>
    </w:pPr>
  </w:style>
  <w:style w:type="paragraph" w:customStyle="1" w:styleId="ESHeading3">
    <w:name w:val="ES_Heading 3"/>
    <w:basedOn w:val="Heading3"/>
    <w:qFormat/>
    <w:rsid w:val="00E763FF"/>
    <w:pPr>
      <w:keepNext w:val="0"/>
      <w:keepLines w:val="0"/>
      <w:spacing w:before="240" w:line="240" w:lineRule="atLeast"/>
    </w:pPr>
    <w:rPr>
      <w:rFonts w:ascii="Arial" w:eastAsiaTheme="minorEastAsia" w:hAnsi="Arial" w:cs="Arial"/>
      <w:color w:val="000000" w:themeColor="text1"/>
      <w:sz w:val="20"/>
      <w:szCs w:val="18"/>
      <w:lang w:val="en-US"/>
    </w:rPr>
  </w:style>
  <w:style w:type="paragraph" w:customStyle="1" w:styleId="ESBodyText">
    <w:name w:val="ES_Body Text"/>
    <w:basedOn w:val="Normal"/>
    <w:link w:val="ESBodyTextChar"/>
    <w:qFormat/>
    <w:rsid w:val="00C15294"/>
    <w:pPr>
      <w:spacing w:line="240" w:lineRule="atLeast"/>
    </w:pPr>
    <w:rPr>
      <w:rFonts w:ascii="Arial" w:eastAsiaTheme="minorEastAsia" w:hAnsi="Arial" w:cs="Arial"/>
      <w:szCs w:val="18"/>
      <w:lang w:val="en-US"/>
    </w:rPr>
  </w:style>
  <w:style w:type="character" w:customStyle="1" w:styleId="ESBodyTextChar">
    <w:name w:val="ES_Body Text Char"/>
    <w:link w:val="ESBodyText"/>
    <w:rsid w:val="00C15294"/>
    <w:rPr>
      <w:rFonts w:ascii="Arial" w:eastAsiaTheme="minorEastAsia" w:hAnsi="Arial" w:cs="Arial"/>
      <w:sz w:val="22"/>
      <w:szCs w:val="18"/>
      <w:lang w:val="en-US"/>
    </w:rPr>
  </w:style>
  <w:style w:type="paragraph" w:styleId="BalloonText">
    <w:name w:val="Balloon Text"/>
    <w:basedOn w:val="Normal"/>
    <w:link w:val="BalloonTextChar"/>
    <w:uiPriority w:val="99"/>
    <w:semiHidden/>
    <w:unhideWhenUsed/>
    <w:rsid w:val="00E45F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FE2"/>
    <w:rPr>
      <w:rFonts w:ascii="Segoe UI" w:hAnsi="Segoe UI" w:cs="Segoe UI"/>
      <w:sz w:val="18"/>
      <w:szCs w:val="18"/>
    </w:rPr>
  </w:style>
  <w:style w:type="character" w:customStyle="1" w:styleId="ListParagraphChar">
    <w:name w:val="List Paragraph Char"/>
    <w:aliases w:val="List Paragraph1 Char,List Paragraph11 Char,Dot Points Char,Bullet point Char,L Char,Recommendation Char,DDM Gen Text Char,List Paragraph - bullets Char,NFP GP Bulleted List Char,bullet point list Char,Bullet points Char,numbered Char"/>
    <w:basedOn w:val="DefaultParagraphFont"/>
    <w:link w:val="ListParagraph"/>
    <w:uiPriority w:val="34"/>
    <w:qFormat/>
    <w:locked/>
    <w:rsid w:val="00550952"/>
    <w:rPr>
      <w:sz w:val="22"/>
    </w:rPr>
  </w:style>
  <w:style w:type="paragraph" w:styleId="CommentSubject">
    <w:name w:val="annotation subject"/>
    <w:basedOn w:val="CommentText"/>
    <w:next w:val="CommentText"/>
    <w:link w:val="CommentSubjectChar"/>
    <w:uiPriority w:val="99"/>
    <w:semiHidden/>
    <w:unhideWhenUsed/>
    <w:rsid w:val="00852CF0"/>
    <w:rPr>
      <w:b/>
      <w:bCs/>
    </w:rPr>
  </w:style>
  <w:style w:type="character" w:customStyle="1" w:styleId="CommentSubjectChar">
    <w:name w:val="Comment Subject Char"/>
    <w:basedOn w:val="CommentTextChar"/>
    <w:link w:val="CommentSubject"/>
    <w:uiPriority w:val="99"/>
    <w:semiHidden/>
    <w:rsid w:val="00852CF0"/>
    <w:rPr>
      <w:b/>
      <w:bCs/>
      <w:sz w:val="20"/>
      <w:szCs w:val="20"/>
    </w:rPr>
  </w:style>
  <w:style w:type="paragraph" w:customStyle="1" w:styleId="paragraph">
    <w:name w:val="paragraph"/>
    <w:basedOn w:val="Normal"/>
    <w:rsid w:val="00173B85"/>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173B85"/>
  </w:style>
  <w:style w:type="character" w:customStyle="1" w:styleId="eop">
    <w:name w:val="eop"/>
    <w:basedOn w:val="DefaultParagraphFont"/>
    <w:rsid w:val="0017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70432291">
      <w:bodyDiv w:val="1"/>
      <w:marLeft w:val="0"/>
      <w:marRight w:val="0"/>
      <w:marTop w:val="0"/>
      <w:marBottom w:val="0"/>
      <w:divBdr>
        <w:top w:val="none" w:sz="0" w:space="0" w:color="auto"/>
        <w:left w:val="none" w:sz="0" w:space="0" w:color="auto"/>
        <w:bottom w:val="none" w:sz="0" w:space="0" w:color="auto"/>
        <w:right w:val="none" w:sz="0" w:space="0" w:color="auto"/>
      </w:divBdr>
    </w:div>
    <w:div w:id="516188968">
      <w:bodyDiv w:val="1"/>
      <w:marLeft w:val="0"/>
      <w:marRight w:val="0"/>
      <w:marTop w:val="0"/>
      <w:marBottom w:val="0"/>
      <w:divBdr>
        <w:top w:val="none" w:sz="0" w:space="0" w:color="auto"/>
        <w:left w:val="none" w:sz="0" w:space="0" w:color="auto"/>
        <w:bottom w:val="none" w:sz="0" w:space="0" w:color="auto"/>
        <w:right w:val="none" w:sz="0" w:space="0" w:color="auto"/>
      </w:divBdr>
      <w:divsChild>
        <w:div w:id="1401832329">
          <w:marLeft w:val="1282"/>
          <w:marRight w:val="0"/>
          <w:marTop w:val="240"/>
          <w:marBottom w:val="240"/>
          <w:divBdr>
            <w:top w:val="none" w:sz="0" w:space="0" w:color="auto"/>
            <w:left w:val="none" w:sz="0" w:space="0" w:color="auto"/>
            <w:bottom w:val="none" w:sz="0" w:space="0" w:color="auto"/>
            <w:right w:val="none" w:sz="0" w:space="0" w:color="auto"/>
          </w:divBdr>
        </w:div>
        <w:div w:id="1284965076">
          <w:marLeft w:val="1282"/>
          <w:marRight w:val="0"/>
          <w:marTop w:val="240"/>
          <w:marBottom w:val="240"/>
          <w:divBdr>
            <w:top w:val="none" w:sz="0" w:space="0" w:color="auto"/>
            <w:left w:val="none" w:sz="0" w:space="0" w:color="auto"/>
            <w:bottom w:val="none" w:sz="0" w:space="0" w:color="auto"/>
            <w:right w:val="none" w:sz="0" w:space="0" w:color="auto"/>
          </w:divBdr>
        </w:div>
        <w:div w:id="1204246206">
          <w:marLeft w:val="1282"/>
          <w:marRight w:val="0"/>
          <w:marTop w:val="240"/>
          <w:marBottom w:val="240"/>
          <w:divBdr>
            <w:top w:val="none" w:sz="0" w:space="0" w:color="auto"/>
            <w:left w:val="none" w:sz="0" w:space="0" w:color="auto"/>
            <w:bottom w:val="none" w:sz="0" w:space="0" w:color="auto"/>
            <w:right w:val="none" w:sz="0" w:space="0" w:color="auto"/>
          </w:divBdr>
        </w:div>
        <w:div w:id="82648863">
          <w:marLeft w:val="1282"/>
          <w:marRight w:val="0"/>
          <w:marTop w:val="240"/>
          <w:marBottom w:val="240"/>
          <w:divBdr>
            <w:top w:val="none" w:sz="0" w:space="0" w:color="auto"/>
            <w:left w:val="none" w:sz="0" w:space="0" w:color="auto"/>
            <w:bottom w:val="none" w:sz="0" w:space="0" w:color="auto"/>
            <w:right w:val="none" w:sz="0" w:space="0" w:color="auto"/>
          </w:divBdr>
        </w:div>
        <w:div w:id="1296913328">
          <w:marLeft w:val="1282"/>
          <w:marRight w:val="0"/>
          <w:marTop w:val="240"/>
          <w:marBottom w:val="240"/>
          <w:divBdr>
            <w:top w:val="none" w:sz="0" w:space="0" w:color="auto"/>
            <w:left w:val="none" w:sz="0" w:space="0" w:color="auto"/>
            <w:bottom w:val="none" w:sz="0" w:space="0" w:color="auto"/>
            <w:right w:val="none" w:sz="0" w:space="0" w:color="auto"/>
          </w:divBdr>
        </w:div>
      </w:divsChild>
    </w:div>
    <w:div w:id="758448277">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85187626">
      <w:bodyDiv w:val="1"/>
      <w:marLeft w:val="0"/>
      <w:marRight w:val="0"/>
      <w:marTop w:val="0"/>
      <w:marBottom w:val="0"/>
      <w:divBdr>
        <w:top w:val="none" w:sz="0" w:space="0" w:color="auto"/>
        <w:left w:val="none" w:sz="0" w:space="0" w:color="auto"/>
        <w:bottom w:val="none" w:sz="0" w:space="0" w:color="auto"/>
        <w:right w:val="none" w:sz="0" w:space="0" w:color="auto"/>
      </w:divBdr>
    </w:div>
    <w:div w:id="1605073802">
      <w:bodyDiv w:val="1"/>
      <w:marLeft w:val="0"/>
      <w:marRight w:val="0"/>
      <w:marTop w:val="0"/>
      <w:marBottom w:val="0"/>
      <w:divBdr>
        <w:top w:val="none" w:sz="0" w:space="0" w:color="auto"/>
        <w:left w:val="none" w:sz="0" w:space="0" w:color="auto"/>
        <w:bottom w:val="none" w:sz="0" w:space="0" w:color="auto"/>
        <w:right w:val="none" w:sz="0" w:space="0" w:color="auto"/>
      </w:divBdr>
      <w:divsChild>
        <w:div w:id="85425521">
          <w:marLeft w:val="547"/>
          <w:marRight w:val="0"/>
          <w:marTop w:val="0"/>
          <w:marBottom w:val="0"/>
          <w:divBdr>
            <w:top w:val="none" w:sz="0" w:space="0" w:color="auto"/>
            <w:left w:val="none" w:sz="0" w:space="0" w:color="auto"/>
            <w:bottom w:val="none" w:sz="0" w:space="0" w:color="auto"/>
            <w:right w:val="none" w:sz="0" w:space="0" w:color="auto"/>
          </w:divBdr>
        </w:div>
        <w:div w:id="783039655">
          <w:marLeft w:val="547"/>
          <w:marRight w:val="0"/>
          <w:marTop w:val="0"/>
          <w:marBottom w:val="0"/>
          <w:divBdr>
            <w:top w:val="none" w:sz="0" w:space="0" w:color="auto"/>
            <w:left w:val="none" w:sz="0" w:space="0" w:color="auto"/>
            <w:bottom w:val="none" w:sz="0" w:space="0" w:color="auto"/>
            <w:right w:val="none" w:sz="0" w:space="0" w:color="auto"/>
          </w:divBdr>
        </w:div>
        <w:div w:id="906181955">
          <w:marLeft w:val="547"/>
          <w:marRight w:val="0"/>
          <w:marTop w:val="0"/>
          <w:marBottom w:val="0"/>
          <w:divBdr>
            <w:top w:val="none" w:sz="0" w:space="0" w:color="auto"/>
            <w:left w:val="none" w:sz="0" w:space="0" w:color="auto"/>
            <w:bottom w:val="none" w:sz="0" w:space="0" w:color="auto"/>
            <w:right w:val="none" w:sz="0" w:space="0" w:color="auto"/>
          </w:divBdr>
        </w:div>
        <w:div w:id="1026248727">
          <w:marLeft w:val="547"/>
          <w:marRight w:val="0"/>
          <w:marTop w:val="0"/>
          <w:marBottom w:val="200"/>
          <w:divBdr>
            <w:top w:val="none" w:sz="0" w:space="0" w:color="auto"/>
            <w:left w:val="none" w:sz="0" w:space="0" w:color="auto"/>
            <w:bottom w:val="none" w:sz="0" w:space="0" w:color="auto"/>
            <w:right w:val="none" w:sz="0" w:space="0" w:color="auto"/>
          </w:divBdr>
        </w:div>
        <w:div w:id="233398331">
          <w:marLeft w:val="547"/>
          <w:marRight w:val="0"/>
          <w:marTop w:val="0"/>
          <w:marBottom w:val="2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ecd.force.com/publicform/CEWCBF202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vic.gov.au/training/providers/funding/Pages/Clean-Economy-Workforce-Capacity-Building-Fund.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vic.gov.au/training/providers/funding/Pages/Clean-Economy-Workforce-Capacity-Building-Fund.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ic.gov.au/training/providers/funding/Pages/Clean-Economy-Workforce-Capacity-Building-Fund.aspx" TargetMode="External"/><Relationship Id="rId5" Type="http://schemas.openxmlformats.org/officeDocument/2006/relationships/numbering" Target="numbering.xml"/><Relationship Id="rId15" Type="http://schemas.openxmlformats.org/officeDocument/2006/relationships/hyperlink" Target="mailto:clean.economy.workforce.fund@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ic.gov.au/training/providers/funding/Pages/Clean-Economy-Workforce-Capacity-Building-Fun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Clean Economy Workforce Capacity Building Fund, CEWCBF, FAQ,  Frequently Asked Questions</DEECD_Keywords>
    <PublishingExpirationDate xmlns="http://schemas.microsoft.com/sharepoint/v3" xsi:nil="true"/>
    <DEECD_Description xmlns="http://schemas.microsoft.com/sharepoint/v3">Clean Economy Workforce Capacity Building Fund (CEWCBF) - Frequently Asked Questions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66640-D20A-4349-A5A4-72C2213E6299}"/>
</file>

<file path=customXml/itemProps2.xml><?xml version="1.0" encoding="utf-8"?>
<ds:datastoreItem xmlns:ds="http://schemas.openxmlformats.org/officeDocument/2006/customXml" ds:itemID="{097A7E12-4171-46F5-897C-018192E0F5FC}">
  <ds:schemaRefs>
    <ds:schemaRef ds:uri="http://schemas.openxmlformats.org/officeDocument/2006/bibliography"/>
  </ds:schemaRefs>
</ds:datastoreItem>
</file>

<file path=customXml/itemProps3.xml><?xml version="1.0" encoding="utf-8"?>
<ds:datastoreItem xmlns:ds="http://schemas.openxmlformats.org/officeDocument/2006/customXml" ds:itemID="{803D72E2-31F5-4C8A-9077-91155E1718E5}">
  <ds:schemaRefs>
    <ds:schemaRef ds:uri="8340ccf1-19cc-436c-918b-8d6c0cc500c3"/>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a4d111d9-cc5d-4643-80f0-3277e17f73ba"/>
    <ds:schemaRef ds:uri="http://www.w3.org/XML/1998/namespace"/>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Lisa Shadforth</cp:lastModifiedBy>
  <cp:revision>2</cp:revision>
  <dcterms:created xsi:type="dcterms:W3CDTF">2021-10-28T22:03:00Z</dcterms:created>
  <dcterms:modified xsi:type="dcterms:W3CDTF">2021-10-28T22:03:00Z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{702d8416-5cfb-418e-b259-4c75e5c77461}</vt:lpwstr>
  </property>
  <property fmtid="{D5CDD505-2E9C-101B-9397-08002B2CF9AE}" pid="5" name="RecordPoint_ActiveItemListId">
    <vt:lpwstr>{a4d111d9-cc5d-4643-80f0-3277e17f73ba}</vt:lpwstr>
  </property>
  <property fmtid="{D5CDD505-2E9C-101B-9397-08002B2CF9AE}" pid="6" name="RecordPoint_ActiveItemUniqueId">
    <vt:lpwstr>{2a070a76-b60d-4ccd-b5c9-fb6c60c93f1f}</vt:lpwstr>
  </property>
  <property fmtid="{D5CDD505-2E9C-101B-9397-08002B2CF9AE}" pid="7" name="RecordPoint_ActiveItemWebId">
    <vt:lpwstr>{fe52b685-c948-476c-96f3-ee2e5c65d09b}</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ItemType">
    <vt:lpwstr>101;#Page|eb523acf-a821-456c-a76b-7607578309d7</vt:lpwstr>
  </property>
  <property fmtid="{D5CDD505-2E9C-101B-9397-08002B2CF9AE}" pid="17" name="DEECD_SubjectCategory">
    <vt:lpwstr/>
  </property>
  <property fmtid="{D5CDD505-2E9C-101B-9397-08002B2CF9AE}" pid="18" name="DEECD_Audience">
    <vt:lpwstr/>
  </property>
  <property fmtid="{D5CDD505-2E9C-101B-9397-08002B2CF9AE}" pid="19" name="lf325da747e242898db023622dd7f876">
    <vt:lpwstr/>
  </property>
  <property fmtid="{D5CDD505-2E9C-101B-9397-08002B2CF9AE}" pid="20" name="ma09474bef6b487d93431ac28330710e">
    <vt:lpwstr/>
  </property>
  <property fmtid="{D5CDD505-2E9C-101B-9397-08002B2CF9AE}" pid="21" name="RecordPoint_SubmissionCompleted">
    <vt:lpwstr/>
  </property>
</Properties>
</file>