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F585" w14:textId="77777777" w:rsidR="00805543" w:rsidRPr="008C0E0F" w:rsidRDefault="008C0E0F" w:rsidP="00805543">
      <w:pPr>
        <w:rPr>
          <w:color w:val="FFFFFF" w:themeColor="background1"/>
        </w:rPr>
      </w:pPr>
      <w:r w:rsidRPr="008C0E0F">
        <w:rPr>
          <w:b/>
          <w:noProof/>
          <w:lang w:eastAsia="en-AU"/>
        </w:rPr>
        <mc:AlternateContent>
          <mc:Choice Requires="wps">
            <w:drawing>
              <wp:anchor distT="0" distB="0" distL="114300" distR="114300" simplePos="0" relativeHeight="251660288" behindDoc="0" locked="0" layoutInCell="1" allowOverlap="1" wp14:anchorId="5F8EF5CB" wp14:editId="5F8EF5CC">
                <wp:simplePos x="0" y="0"/>
                <wp:positionH relativeFrom="column">
                  <wp:align>center</wp:align>
                </wp:positionH>
                <wp:positionV relativeFrom="paragraph">
                  <wp:posOffset>0</wp:posOffset>
                </wp:positionV>
                <wp:extent cx="7296150" cy="1114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114425"/>
                        </a:xfrm>
                        <a:prstGeom prst="rect">
                          <a:avLst/>
                        </a:prstGeom>
                        <a:solidFill>
                          <a:schemeClr val="tx1">
                            <a:lumMod val="50000"/>
                            <a:lumOff val="50000"/>
                          </a:schemeClr>
                        </a:solidFill>
                        <a:ln w="9525">
                          <a:noFill/>
                          <a:miter lim="800000"/>
                          <a:headEnd/>
                          <a:tailEnd/>
                        </a:ln>
                      </wps:spPr>
                      <wps:txbx>
                        <w:txbxContent>
                          <w:p w14:paraId="5F8EF5D7" w14:textId="77777777" w:rsidR="008C0E0F" w:rsidRPr="00C62FAB" w:rsidRDefault="008C0E0F" w:rsidP="008C0E0F">
                            <w:pPr>
                              <w:rPr>
                                <w:b/>
                                <w:color w:val="FFFFFF" w:themeColor="background1"/>
                                <w:sz w:val="28"/>
                                <w:szCs w:val="28"/>
                              </w:rPr>
                            </w:pPr>
                            <w:r w:rsidRPr="00C62FAB">
                              <w:rPr>
                                <w:b/>
                                <w:color w:val="FFFFFF" w:themeColor="background1"/>
                                <w:sz w:val="28"/>
                                <w:szCs w:val="28"/>
                              </w:rPr>
                              <w:t>Victorian Skills and Training Employer Survey 2014</w:t>
                            </w:r>
                          </w:p>
                          <w:p w14:paraId="5F8EF5D8" w14:textId="77777777" w:rsidR="008C0E0F" w:rsidRPr="00CB5DC0" w:rsidRDefault="008C0E0F" w:rsidP="008C0E0F">
                            <w:pPr>
                              <w:rPr>
                                <w:b/>
                                <w:color w:val="FFFFFF" w:themeColor="background1"/>
                              </w:rPr>
                            </w:pPr>
                            <w:r w:rsidRPr="00CB5DC0">
                              <w:rPr>
                                <w:b/>
                                <w:color w:val="FFFFFF" w:themeColor="background1"/>
                              </w:rPr>
                              <w:t>In one of the largest surveys of its kind to date, over 5,700 Victorian employers across industries and regions provided the Department of Education and Training with intelligence about their business skills needs, recruitment experience and engagement with training.</w:t>
                            </w:r>
                          </w:p>
                          <w:p w14:paraId="5F8EF5D9" w14:textId="77777777" w:rsidR="008C0E0F" w:rsidRDefault="008C0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4.5pt;height:87.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" fillcolor="gray [1629]" stroked="f">
                <v:textbox>
                  <w:txbxContent>
                    <w:p w:rsidR="008C0E0F" w:rsidRPr="00C62FAB" w:rsidRDefault="008C0E0F" w:rsidP="008C0E0F">
                      <w:pPr>
                        <w:rPr>
                          <w:b/>
                          <w:color w:val="FFFFFF" w:themeColor="background1"/>
                          <w:sz w:val="28"/>
                          <w:szCs w:val="28"/>
                        </w:rPr>
                      </w:pPr>
                      <w:r w:rsidRPr="00C62FAB">
                        <w:rPr>
                          <w:b/>
                          <w:color w:val="FFFFFF" w:themeColor="background1"/>
                          <w:sz w:val="28"/>
                          <w:szCs w:val="28"/>
                        </w:rPr>
                        <w:t>Victorian Skills and Training Employer Survey 2014</w:t>
                      </w:r>
                    </w:p>
                    <w:p w:rsidR="008C0E0F" w:rsidRPr="00CB5DC0" w:rsidRDefault="008C0E0F" w:rsidP="008C0E0F">
                      <w:pPr>
                        <w:rPr>
                          <w:b/>
                          <w:color w:val="FFFFFF" w:themeColor="background1"/>
                        </w:rPr>
                      </w:pPr>
                      <w:r w:rsidRPr="00CB5DC0">
                        <w:rPr>
                          <w:b/>
                          <w:color w:val="FFFFFF" w:themeColor="background1"/>
                        </w:rPr>
                        <w:t>In one of the largest surveys of its kind to date, over 5,700 Victorian employers across industries and regions provided the Department of Education and Training with intelligence about their business skills needs, recruitment experience and engagement with training.</w:t>
                      </w:r>
                    </w:p>
                    <w:p w:rsidR="008C0E0F" w:rsidRDefault="008C0E0F"/>
                  </w:txbxContent>
                </v:textbox>
              </v:shape>
            </w:pict>
          </mc:Fallback>
        </mc:AlternateContent>
      </w:r>
      <w:r w:rsidR="00C62FAB">
        <w:rPr>
          <w:b/>
        </w:rPr>
        <w:br/>
      </w:r>
      <w:r w:rsidR="00C62FAB">
        <w:rPr>
          <w:b/>
        </w:rPr>
        <w:br/>
      </w:r>
      <w:r w:rsidR="00C62FAB">
        <w:rPr>
          <w:b/>
        </w:rPr>
        <w:br/>
      </w:r>
      <w:r>
        <w:rPr>
          <w:b/>
        </w:rPr>
        <w:br/>
      </w:r>
      <w:r w:rsidR="00805543" w:rsidRPr="008C0E0F">
        <w:rPr>
          <w:b/>
          <w:color w:val="FFFFFF" w:themeColor="background1"/>
        </w:rPr>
        <w:t>Victorian Skills and Training Employer Survey 2014</w:t>
      </w:r>
    </w:p>
    <w:tbl>
      <w:tblPr>
        <w:tblStyle w:val="TableGrid"/>
        <w:tblpPr w:leftFromText="180" w:rightFromText="180" w:vertAnchor="text" w:horzAnchor="margin" w:tblpY="7347"/>
        <w:tblW w:w="0" w:type="auto"/>
        <w:tblLook w:val="04A0" w:firstRow="1" w:lastRow="0" w:firstColumn="1" w:lastColumn="0" w:noHBand="0" w:noVBand="1"/>
      </w:tblPr>
      <w:tblGrid>
        <w:gridCol w:w="9180"/>
      </w:tblGrid>
      <w:tr w:rsidR="00C62FAB" w14:paraId="5F8EF587" w14:textId="77777777" w:rsidTr="007A2935">
        <w:tc>
          <w:tcPr>
            <w:tcW w:w="9180" w:type="dxa"/>
          </w:tcPr>
          <w:p w14:paraId="5F8EF586" w14:textId="77777777" w:rsidR="00C62FAB" w:rsidRPr="00D62AC2" w:rsidRDefault="00C62FAB" w:rsidP="00C62FAB">
            <w:pPr>
              <w:rPr>
                <w:b/>
              </w:rPr>
            </w:pPr>
            <w:r w:rsidRPr="00D62AC2">
              <w:rPr>
                <w:b/>
              </w:rPr>
              <w:t>Employers see value in training</w:t>
            </w:r>
          </w:p>
        </w:tc>
      </w:tr>
      <w:tr w:rsidR="00C62FAB" w14:paraId="5F8EF589" w14:textId="77777777" w:rsidTr="007A2935">
        <w:tc>
          <w:tcPr>
            <w:tcW w:w="9180" w:type="dxa"/>
          </w:tcPr>
          <w:p w14:paraId="5F8EF588" w14:textId="77777777" w:rsidR="00C62FAB" w:rsidRDefault="00C62FAB" w:rsidP="00C62FAB">
            <w:r>
              <w:t>56% used formal training in the past 12 months</w:t>
            </w:r>
          </w:p>
        </w:tc>
      </w:tr>
      <w:tr w:rsidR="00C62FAB" w14:paraId="5F8EF58B" w14:textId="77777777" w:rsidTr="007A2935">
        <w:tc>
          <w:tcPr>
            <w:tcW w:w="9180" w:type="dxa"/>
          </w:tcPr>
          <w:p w14:paraId="5F8EF58A" w14:textId="77777777" w:rsidR="00C62FAB" w:rsidRDefault="00C62FAB" w:rsidP="00C62FAB">
            <w:r>
              <w:t>Employers who train agree that training assists business via:</w:t>
            </w:r>
          </w:p>
        </w:tc>
      </w:tr>
      <w:tr w:rsidR="00C62FAB" w14:paraId="5F8EF58D" w14:textId="77777777" w:rsidTr="007A2935">
        <w:tc>
          <w:tcPr>
            <w:tcW w:w="9180" w:type="dxa"/>
          </w:tcPr>
          <w:p w14:paraId="5F8EF58C" w14:textId="77777777" w:rsidR="00C62FAB" w:rsidRDefault="00C62FAB" w:rsidP="00C62FAB">
            <w:r>
              <w:t>80% improvements in quality</w:t>
            </w:r>
          </w:p>
        </w:tc>
      </w:tr>
      <w:tr w:rsidR="00C62FAB" w14:paraId="5F8EF58F" w14:textId="77777777" w:rsidTr="007A2935">
        <w:tc>
          <w:tcPr>
            <w:tcW w:w="9180" w:type="dxa"/>
          </w:tcPr>
          <w:p w14:paraId="5F8EF58E" w14:textId="77777777" w:rsidR="00C62FAB" w:rsidRDefault="00C62FAB" w:rsidP="00C62FAB">
            <w:r>
              <w:t>71% improvements in staff efficiency and productivity</w:t>
            </w:r>
          </w:p>
        </w:tc>
      </w:tr>
      <w:tr w:rsidR="00C62FAB" w14:paraId="5F8EF591" w14:textId="77777777" w:rsidTr="007A2935">
        <w:tc>
          <w:tcPr>
            <w:tcW w:w="9180" w:type="dxa"/>
          </w:tcPr>
          <w:p w14:paraId="5F8EF590" w14:textId="77777777" w:rsidR="00C62FAB" w:rsidRDefault="00C62FAB" w:rsidP="00C62FAB">
            <w:r>
              <w:t>69% meeting regulatory requirements</w:t>
            </w:r>
          </w:p>
        </w:tc>
      </w:tr>
      <w:tr w:rsidR="00C62FAB" w14:paraId="5F8EF593" w14:textId="77777777" w:rsidTr="007A2935">
        <w:tc>
          <w:tcPr>
            <w:tcW w:w="9180" w:type="dxa"/>
          </w:tcPr>
          <w:p w14:paraId="5F8EF592" w14:textId="77777777" w:rsidR="00C62FAB" w:rsidRDefault="00C62FAB" w:rsidP="00C62FAB">
            <w:r>
              <w:t>62% retaining staff</w:t>
            </w:r>
          </w:p>
        </w:tc>
      </w:tr>
    </w:tbl>
    <w:tbl>
      <w:tblPr>
        <w:tblStyle w:val="TableGrid"/>
        <w:tblpPr w:leftFromText="180" w:rightFromText="180" w:vertAnchor="text" w:horzAnchor="margin" w:tblpY="582"/>
        <w:tblW w:w="0" w:type="auto"/>
        <w:tblLook w:val="04A0" w:firstRow="1" w:lastRow="0" w:firstColumn="1" w:lastColumn="0" w:noHBand="0" w:noVBand="1"/>
      </w:tblPr>
      <w:tblGrid>
        <w:gridCol w:w="9180"/>
      </w:tblGrid>
      <w:tr w:rsidR="00C62FAB" w14:paraId="5F8EF595" w14:textId="77777777" w:rsidTr="007A2935">
        <w:tc>
          <w:tcPr>
            <w:tcW w:w="9180" w:type="dxa"/>
          </w:tcPr>
          <w:p w14:paraId="5F8EF594" w14:textId="77777777" w:rsidR="00C62FAB" w:rsidRPr="00805543" w:rsidRDefault="00C62FAB" w:rsidP="00C62FAB">
            <w:pPr>
              <w:rPr>
                <w:b/>
              </w:rPr>
            </w:pPr>
            <w:r w:rsidRPr="00342897">
              <w:rPr>
                <w:b/>
              </w:rPr>
              <w:t>Skills really matter to Victorian businesses</w:t>
            </w:r>
          </w:p>
        </w:tc>
      </w:tr>
      <w:tr w:rsidR="00C62FAB" w14:paraId="5F8EF597" w14:textId="77777777" w:rsidTr="007A2935">
        <w:tc>
          <w:tcPr>
            <w:tcW w:w="9180" w:type="dxa"/>
          </w:tcPr>
          <w:p w14:paraId="5F8EF596" w14:textId="77777777" w:rsidR="00C62FAB" w:rsidRDefault="00C62FAB" w:rsidP="00C62FAB">
            <w:r>
              <w:t>50% believe staffing issues will have a major impact in the next 12 months.</w:t>
            </w:r>
          </w:p>
        </w:tc>
      </w:tr>
      <w:tr w:rsidR="00C62FAB" w14:paraId="5F8EF599" w14:textId="77777777" w:rsidTr="007A2935">
        <w:tc>
          <w:tcPr>
            <w:tcW w:w="9180" w:type="dxa"/>
          </w:tcPr>
          <w:p w14:paraId="5F8EF598" w14:textId="77777777" w:rsidR="00C62FAB" w:rsidRDefault="00C62FAB" w:rsidP="00C62FAB">
            <w:r>
              <w:t>Nearly one in three face immediate or upcoming skills pressures</w:t>
            </w:r>
          </w:p>
        </w:tc>
      </w:tr>
      <w:tr w:rsidR="00C62FAB" w14:paraId="5F8EF59B" w14:textId="77777777" w:rsidTr="007A2935">
        <w:tc>
          <w:tcPr>
            <w:tcW w:w="9180" w:type="dxa"/>
          </w:tcPr>
          <w:p w14:paraId="5F8EF59A" w14:textId="77777777" w:rsidR="00C62FAB" w:rsidRDefault="00C62FAB" w:rsidP="00C62FAB">
            <w:r>
              <w:t>Businesses with skills pressures tell us skills gaps will</w:t>
            </w:r>
            <w:r w:rsidR="007A2935">
              <w:t>:</w:t>
            </w:r>
          </w:p>
        </w:tc>
      </w:tr>
      <w:tr w:rsidR="00C62FAB" w14:paraId="5F8EF59D" w14:textId="77777777" w:rsidTr="007A2935">
        <w:tc>
          <w:tcPr>
            <w:tcW w:w="9180" w:type="dxa"/>
          </w:tcPr>
          <w:p w14:paraId="5F8EF59C" w14:textId="77777777" w:rsidR="00C62FAB" w:rsidRDefault="00C62FAB" w:rsidP="00C62FAB">
            <w:r>
              <w:t>72% overload staff</w:t>
            </w:r>
          </w:p>
        </w:tc>
      </w:tr>
      <w:tr w:rsidR="00C62FAB" w14:paraId="5F8EF59F" w14:textId="77777777" w:rsidTr="007A2935">
        <w:tc>
          <w:tcPr>
            <w:tcW w:w="9180" w:type="dxa"/>
          </w:tcPr>
          <w:p w14:paraId="5F8EF59E" w14:textId="77777777" w:rsidR="00C62FAB" w:rsidRDefault="00C62FAB" w:rsidP="00C62FAB">
            <w:r>
              <w:t>44 % make it hard to meet quality standards</w:t>
            </w:r>
          </w:p>
        </w:tc>
      </w:tr>
      <w:tr w:rsidR="00C62FAB" w14:paraId="5F8EF5A1" w14:textId="77777777" w:rsidTr="007A2935">
        <w:tc>
          <w:tcPr>
            <w:tcW w:w="9180" w:type="dxa"/>
          </w:tcPr>
          <w:p w14:paraId="5F8EF5A0" w14:textId="77777777" w:rsidR="00C62FAB" w:rsidRDefault="00C62FAB" w:rsidP="00C62FAB">
            <w:r>
              <w:t>42% reduce competitiveness</w:t>
            </w:r>
          </w:p>
        </w:tc>
      </w:tr>
      <w:tr w:rsidR="00C62FAB" w14:paraId="5F8EF5A3" w14:textId="77777777" w:rsidTr="007A2935">
        <w:tc>
          <w:tcPr>
            <w:tcW w:w="9180" w:type="dxa"/>
          </w:tcPr>
          <w:p w14:paraId="5F8EF5A2" w14:textId="77777777" w:rsidR="00C62FAB" w:rsidRDefault="00C62FAB" w:rsidP="00C62FAB">
            <w:r>
              <w:t>38% delay production</w:t>
            </w:r>
          </w:p>
        </w:tc>
      </w:tr>
    </w:tbl>
    <w:tbl>
      <w:tblPr>
        <w:tblStyle w:val="TableGrid"/>
        <w:tblpPr w:leftFromText="180" w:rightFromText="180" w:vertAnchor="text" w:horzAnchor="margin" w:tblpY="3117"/>
        <w:tblW w:w="0" w:type="auto"/>
        <w:tblLook w:val="04A0" w:firstRow="1" w:lastRow="0" w:firstColumn="1" w:lastColumn="0" w:noHBand="0" w:noVBand="1"/>
      </w:tblPr>
      <w:tblGrid>
        <w:gridCol w:w="9180"/>
      </w:tblGrid>
      <w:tr w:rsidR="00C62FAB" w14:paraId="5F8EF5A5" w14:textId="77777777" w:rsidTr="007A2935">
        <w:tc>
          <w:tcPr>
            <w:tcW w:w="9180" w:type="dxa"/>
          </w:tcPr>
          <w:p w14:paraId="5F8EF5A4" w14:textId="77777777" w:rsidR="00C62FAB" w:rsidRPr="00D62AC2" w:rsidRDefault="00C62FAB" w:rsidP="00C62FAB">
            <w:pPr>
              <w:rPr>
                <w:b/>
              </w:rPr>
            </w:pPr>
            <w:r w:rsidRPr="00342897">
              <w:rPr>
                <w:b/>
              </w:rPr>
              <w:t>Businesses face 3 main skills issues over the next year</w:t>
            </w:r>
          </w:p>
        </w:tc>
      </w:tr>
      <w:tr w:rsidR="00C62FAB" w14:paraId="5F8EF5A7" w14:textId="77777777" w:rsidTr="007A2935">
        <w:tc>
          <w:tcPr>
            <w:tcW w:w="9180" w:type="dxa"/>
          </w:tcPr>
          <w:p w14:paraId="5F8EF5A6" w14:textId="77777777" w:rsidR="00C62FAB" w:rsidRDefault="00C62FAB" w:rsidP="00C62FAB">
            <w:r>
              <w:t>57% want to improve the skill levels of workers</w:t>
            </w:r>
          </w:p>
        </w:tc>
      </w:tr>
      <w:tr w:rsidR="00C62FAB" w14:paraId="5F8EF5A9" w14:textId="77777777" w:rsidTr="007A2935">
        <w:tc>
          <w:tcPr>
            <w:tcW w:w="9180" w:type="dxa"/>
          </w:tcPr>
          <w:p w14:paraId="5F8EF5A8" w14:textId="77777777" w:rsidR="00C62FAB" w:rsidRDefault="00C62FAB" w:rsidP="00C62FAB">
            <w:r>
              <w:t>51% will be trying to attract and retain staff</w:t>
            </w:r>
          </w:p>
        </w:tc>
      </w:tr>
      <w:tr w:rsidR="00C62FAB" w14:paraId="5F8EF5AB" w14:textId="77777777" w:rsidTr="007A2935">
        <w:tc>
          <w:tcPr>
            <w:tcW w:w="9180" w:type="dxa"/>
          </w:tcPr>
          <w:p w14:paraId="5F8EF5AA" w14:textId="77777777" w:rsidR="00C62FAB" w:rsidRDefault="00C62FAB" w:rsidP="00C62FAB">
            <w:r>
              <w:t>51% expect to encounter a shortage of job ready candidates</w:t>
            </w:r>
          </w:p>
        </w:tc>
      </w:tr>
    </w:tbl>
    <w:tbl>
      <w:tblPr>
        <w:tblStyle w:val="TableGrid"/>
        <w:tblpPr w:leftFromText="180" w:rightFromText="180" w:vertAnchor="text" w:horzAnchor="margin" w:tblpY="4542"/>
        <w:tblW w:w="0" w:type="auto"/>
        <w:tblLook w:val="04A0" w:firstRow="1" w:lastRow="0" w:firstColumn="1" w:lastColumn="0" w:noHBand="0" w:noVBand="1"/>
      </w:tblPr>
      <w:tblGrid>
        <w:gridCol w:w="9180"/>
      </w:tblGrid>
      <w:tr w:rsidR="00C62FAB" w14:paraId="5F8EF5AD" w14:textId="77777777" w:rsidTr="007A2935">
        <w:tc>
          <w:tcPr>
            <w:tcW w:w="9180" w:type="dxa"/>
          </w:tcPr>
          <w:p w14:paraId="5F8EF5AC" w14:textId="77777777" w:rsidR="00C62FAB" w:rsidRPr="00D62AC2" w:rsidRDefault="00C62FAB" w:rsidP="00C62FAB">
            <w:pPr>
              <w:rPr>
                <w:b/>
              </w:rPr>
            </w:pPr>
            <w:r>
              <w:rPr>
                <w:b/>
              </w:rPr>
              <w:t>Skills gaps are shifting</w:t>
            </w:r>
          </w:p>
        </w:tc>
      </w:tr>
      <w:tr w:rsidR="00C62FAB" w14:paraId="5F8EF5AF" w14:textId="77777777" w:rsidTr="007A2935">
        <w:tc>
          <w:tcPr>
            <w:tcW w:w="9180" w:type="dxa"/>
          </w:tcPr>
          <w:p w14:paraId="5F8EF5AE" w14:textId="77777777" w:rsidR="00C62FAB" w:rsidRDefault="00C62FAB" w:rsidP="00C62FAB">
            <w:r>
              <w:t>Businesses facing skills gaps tell us their workforce lacks:</w:t>
            </w:r>
          </w:p>
        </w:tc>
      </w:tr>
      <w:tr w:rsidR="00C62FAB" w14:paraId="5F8EF5B1" w14:textId="77777777" w:rsidTr="007A2935">
        <w:tc>
          <w:tcPr>
            <w:tcW w:w="9180" w:type="dxa"/>
          </w:tcPr>
          <w:p w14:paraId="5F8EF5B0" w14:textId="77777777" w:rsidR="00C62FAB" w:rsidRDefault="00C62FAB" w:rsidP="00C62FAB">
            <w:pPr>
              <w:pStyle w:val="ListParagraph"/>
              <w:numPr>
                <w:ilvl w:val="0"/>
                <w:numId w:val="1"/>
              </w:numPr>
            </w:pPr>
            <w:r>
              <w:t>Technical Skills</w:t>
            </w:r>
          </w:p>
        </w:tc>
      </w:tr>
      <w:tr w:rsidR="00C62FAB" w14:paraId="5F8EF5B3" w14:textId="77777777" w:rsidTr="007A2935">
        <w:tc>
          <w:tcPr>
            <w:tcW w:w="9180" w:type="dxa"/>
          </w:tcPr>
          <w:p w14:paraId="5F8EF5B2" w14:textId="77777777" w:rsidR="00C62FAB" w:rsidRDefault="00C62FAB" w:rsidP="00C62FAB">
            <w:r>
              <w:t>68% Job-specific technical skills</w:t>
            </w:r>
          </w:p>
        </w:tc>
      </w:tr>
      <w:tr w:rsidR="00C62FAB" w14:paraId="5F8EF5B5" w14:textId="77777777" w:rsidTr="007A2935">
        <w:tc>
          <w:tcPr>
            <w:tcW w:w="9180" w:type="dxa"/>
          </w:tcPr>
          <w:p w14:paraId="5F8EF5B4" w14:textId="2BD30292" w:rsidR="00C62FAB" w:rsidRDefault="00C62FAB" w:rsidP="00C62FAB">
            <w:r>
              <w:t xml:space="preserve">Major industries with these </w:t>
            </w:r>
            <w:r w:rsidR="00D44C60">
              <w:t>skills gaps: Agriculture, Manufacturing</w:t>
            </w:r>
            <w:bookmarkStart w:id="0" w:name="_GoBack"/>
            <w:bookmarkEnd w:id="0"/>
            <w:r>
              <w:t>, Utilities</w:t>
            </w:r>
          </w:p>
        </w:tc>
      </w:tr>
      <w:tr w:rsidR="00C62FAB" w14:paraId="5F8EF5B7" w14:textId="77777777" w:rsidTr="007A2935">
        <w:tc>
          <w:tcPr>
            <w:tcW w:w="9180" w:type="dxa"/>
          </w:tcPr>
          <w:p w14:paraId="5F8EF5B6" w14:textId="77777777" w:rsidR="00C62FAB" w:rsidRDefault="00C62FAB" w:rsidP="00C62FAB">
            <w:r>
              <w:t>21%  Computing and IT skills</w:t>
            </w:r>
          </w:p>
        </w:tc>
      </w:tr>
      <w:tr w:rsidR="00C62FAB" w14:paraId="5F8EF5B9" w14:textId="77777777" w:rsidTr="007A2935">
        <w:tc>
          <w:tcPr>
            <w:tcW w:w="9180" w:type="dxa"/>
          </w:tcPr>
          <w:p w14:paraId="5F8EF5B8" w14:textId="77777777" w:rsidR="00C62FAB" w:rsidRDefault="00C62FAB" w:rsidP="00C62FAB">
            <w:pPr>
              <w:pStyle w:val="ListParagraph"/>
              <w:numPr>
                <w:ilvl w:val="0"/>
                <w:numId w:val="1"/>
              </w:numPr>
            </w:pPr>
            <w:r>
              <w:t>Soft Skills</w:t>
            </w:r>
          </w:p>
        </w:tc>
      </w:tr>
      <w:tr w:rsidR="00C62FAB" w14:paraId="5F8EF5BB" w14:textId="77777777" w:rsidTr="007A2935">
        <w:tc>
          <w:tcPr>
            <w:tcW w:w="9180" w:type="dxa"/>
          </w:tcPr>
          <w:p w14:paraId="5F8EF5BA" w14:textId="77777777" w:rsidR="00C62FAB" w:rsidRDefault="00C62FAB" w:rsidP="00C62FAB">
            <w:r>
              <w:t>47% need problem solving and team work</w:t>
            </w:r>
          </w:p>
        </w:tc>
      </w:tr>
      <w:tr w:rsidR="00C62FAB" w14:paraId="5F8EF5BD" w14:textId="77777777" w:rsidTr="007A2935">
        <w:tc>
          <w:tcPr>
            <w:tcW w:w="9180" w:type="dxa"/>
          </w:tcPr>
          <w:p w14:paraId="5F8EF5BC" w14:textId="77777777" w:rsidR="00C62FAB" w:rsidRDefault="007A2935" w:rsidP="00C62FAB">
            <w:r>
              <w:t>43% need management or</w:t>
            </w:r>
            <w:r w:rsidR="00C62FAB">
              <w:t xml:space="preserve"> leadership skills</w:t>
            </w:r>
          </w:p>
        </w:tc>
      </w:tr>
    </w:tbl>
    <w:tbl>
      <w:tblPr>
        <w:tblStyle w:val="TableGrid"/>
        <w:tblpPr w:leftFromText="180" w:rightFromText="180" w:vertAnchor="text" w:horzAnchor="margin" w:tblpY="9612"/>
        <w:tblW w:w="0" w:type="auto"/>
        <w:tblLook w:val="04A0" w:firstRow="1" w:lastRow="0" w:firstColumn="1" w:lastColumn="0" w:noHBand="0" w:noVBand="1"/>
      </w:tblPr>
      <w:tblGrid>
        <w:gridCol w:w="9180"/>
      </w:tblGrid>
      <w:tr w:rsidR="007A2935" w14:paraId="5F8EF5BF" w14:textId="77777777" w:rsidTr="007A2935">
        <w:tc>
          <w:tcPr>
            <w:tcW w:w="9180" w:type="dxa"/>
          </w:tcPr>
          <w:p w14:paraId="5F8EF5BE" w14:textId="77777777" w:rsidR="007A2935" w:rsidRPr="00C62FAB" w:rsidRDefault="007A2935" w:rsidP="007A2935">
            <w:pPr>
              <w:rPr>
                <w:b/>
              </w:rPr>
            </w:pPr>
            <w:r w:rsidRPr="00D62AC2">
              <w:rPr>
                <w:b/>
              </w:rPr>
              <w:t>And employers tell us they could be training even more</w:t>
            </w:r>
          </w:p>
        </w:tc>
      </w:tr>
      <w:tr w:rsidR="007A2935" w14:paraId="5F8EF5C1" w14:textId="77777777" w:rsidTr="007A2935">
        <w:tc>
          <w:tcPr>
            <w:tcW w:w="9180" w:type="dxa"/>
          </w:tcPr>
          <w:p w14:paraId="5F8EF5C0" w14:textId="77777777" w:rsidR="007A2935" w:rsidRDefault="007A2935" w:rsidP="007A2935">
            <w:r>
              <w:t>73% say at least one barrier stops them from making greater use of vocational training</w:t>
            </w:r>
          </w:p>
        </w:tc>
      </w:tr>
      <w:tr w:rsidR="007A2935" w14:paraId="5F8EF5C3" w14:textId="77777777" w:rsidTr="007A2935">
        <w:tc>
          <w:tcPr>
            <w:tcW w:w="9180" w:type="dxa"/>
          </w:tcPr>
          <w:p w14:paraId="5F8EF5C2" w14:textId="77777777" w:rsidR="007A2935" w:rsidRDefault="007A2935" w:rsidP="007A2935">
            <w:r>
              <w:t>43% can’t afford to have staff spend time away from the job</w:t>
            </w:r>
          </w:p>
        </w:tc>
      </w:tr>
      <w:tr w:rsidR="007A2935" w14:paraId="5F8EF5C5" w14:textId="77777777" w:rsidTr="007A2935">
        <w:tc>
          <w:tcPr>
            <w:tcW w:w="9180" w:type="dxa"/>
          </w:tcPr>
          <w:p w14:paraId="5F8EF5C4" w14:textId="77777777" w:rsidR="007A2935" w:rsidRDefault="007A2935" w:rsidP="007A2935">
            <w:r>
              <w:t>32% believe training is too expensive</w:t>
            </w:r>
          </w:p>
        </w:tc>
      </w:tr>
      <w:tr w:rsidR="007A2935" w14:paraId="5F8EF5C7" w14:textId="77777777" w:rsidTr="007A2935">
        <w:tc>
          <w:tcPr>
            <w:tcW w:w="9180" w:type="dxa"/>
          </w:tcPr>
          <w:p w14:paraId="5F8EF5C6" w14:textId="77777777" w:rsidR="007A2935" w:rsidRDefault="007A2935" w:rsidP="007A2935">
            <w:r>
              <w:t>24% say course content does not meet their organisation’s needs</w:t>
            </w:r>
          </w:p>
        </w:tc>
      </w:tr>
      <w:tr w:rsidR="007A2935" w14:paraId="5F8EF5C9" w14:textId="77777777" w:rsidTr="007A2935">
        <w:tc>
          <w:tcPr>
            <w:tcW w:w="9180" w:type="dxa"/>
          </w:tcPr>
          <w:p w14:paraId="5F8EF5C8" w14:textId="77777777" w:rsidR="007A2935" w:rsidRDefault="007A2935" w:rsidP="007A2935">
            <w:r>
              <w:t>16% have difficulty accessing training</w:t>
            </w:r>
          </w:p>
        </w:tc>
      </w:tr>
    </w:tbl>
    <w:p w14:paraId="5F8EF5CA" w14:textId="77777777" w:rsidR="00805543" w:rsidRDefault="00C62FAB" w:rsidP="00805543">
      <w:r>
        <w:rPr>
          <w:color w:val="FFFFFF" w:themeColor="background1"/>
        </w:rPr>
        <w:t>gement wi</w:t>
      </w:r>
    </w:p>
    <w:sectPr w:rsidR="00805543" w:rsidSect="00C62FAB">
      <w:headerReference w:type="default" r:id="rId11"/>
      <w:footerReference w:type="default" r:id="rId12"/>
      <w:pgSz w:w="11906" w:h="16838"/>
      <w:pgMar w:top="1440" w:right="1440" w:bottom="709"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EF5CF" w14:textId="77777777" w:rsidR="008C0E0F" w:rsidRDefault="008C0E0F" w:rsidP="008C0E0F">
      <w:pPr>
        <w:spacing w:after="0" w:line="240" w:lineRule="auto"/>
      </w:pPr>
      <w:r>
        <w:separator/>
      </w:r>
    </w:p>
  </w:endnote>
  <w:endnote w:type="continuationSeparator" w:id="0">
    <w:p w14:paraId="5F8EF5D0" w14:textId="77777777" w:rsidR="008C0E0F" w:rsidRDefault="008C0E0F" w:rsidP="008C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F5D2" w14:textId="77777777" w:rsidR="00CB5DC0" w:rsidRDefault="00CB5DC0">
    <w:pPr>
      <w:pStyle w:val="Footer"/>
    </w:pPr>
    <w:r>
      <w:rPr>
        <w:noProof/>
        <w:lang w:eastAsia="en-AU"/>
      </w:rPr>
      <mc:AlternateContent>
        <mc:Choice Requires="wps">
          <w:drawing>
            <wp:anchor distT="0" distB="0" distL="114300" distR="114300" simplePos="0" relativeHeight="251661312" behindDoc="0" locked="0" layoutInCell="1" allowOverlap="1" wp14:anchorId="5F8EF5D5" wp14:editId="5F8EF5D6">
              <wp:simplePos x="0" y="0"/>
              <wp:positionH relativeFrom="column">
                <wp:posOffset>-781050</wp:posOffset>
              </wp:positionH>
              <wp:positionV relativeFrom="paragraph">
                <wp:posOffset>-615950</wp:posOffset>
              </wp:positionV>
              <wp:extent cx="7343775" cy="8001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800100"/>
                      </a:xfrm>
                      <a:prstGeom prst="rect">
                        <a:avLst/>
                      </a:prstGeom>
                      <a:solidFill>
                        <a:schemeClr val="tx1">
                          <a:lumMod val="50000"/>
                          <a:lumOff val="50000"/>
                        </a:schemeClr>
                      </a:solidFill>
                      <a:ln w="9525">
                        <a:noFill/>
                        <a:miter lim="800000"/>
                        <a:headEnd/>
                        <a:tailEnd/>
                      </a:ln>
                    </wps:spPr>
                    <wps:txbx>
                      <w:txbxContent>
                        <w:p w14:paraId="5F8EF5DC" w14:textId="77777777" w:rsidR="00CB5DC0" w:rsidRPr="00582476" w:rsidRDefault="00CB5DC0" w:rsidP="00CB5DC0">
                          <w:pPr>
                            <w:pStyle w:val="ListParagraph"/>
                            <w:rPr>
                              <w:b/>
                              <w:color w:val="FFC000"/>
                            </w:rPr>
                          </w:pPr>
                          <w:r>
                            <w:rPr>
                              <w:b/>
                              <w:color w:val="FFFFFF" w:themeColor="background1"/>
                            </w:rPr>
                            <w:br/>
                          </w:r>
                          <w:r w:rsidRPr="00582476">
                            <w:rPr>
                              <w:b/>
                              <w:color w:val="FFFFFF" w:themeColor="background1"/>
                            </w:rPr>
                            <w:t xml:space="preserve">For more information on the Victorian Skills and Training Employer Survey (VSTE Survey) go to </w:t>
                          </w:r>
                          <w:r w:rsidRPr="00582476">
                            <w:rPr>
                              <w:b/>
                              <w:color w:val="FFC000"/>
                            </w:rPr>
                            <w:t>www.education.vic.gov.au/vstesurvey</w:t>
                          </w:r>
                        </w:p>
                        <w:p w14:paraId="5F8EF5DD" w14:textId="77777777" w:rsidR="00CB5DC0" w:rsidRDefault="00CB5DC0" w:rsidP="00CB5DC0">
                          <w:pPr>
                            <w:pStyle w:val="ListParagraph"/>
                          </w:pPr>
                        </w:p>
                        <w:p w14:paraId="5F8EF5DE" w14:textId="77777777" w:rsidR="00CB5DC0" w:rsidRDefault="00CB5DC0" w:rsidP="00CB5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1.5pt;margin-top:-48.5pt;width:578.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" fillcolor="gray [1629]" stroked="f">
              <v:textbox>
                <w:txbxContent>
                  <w:p w:rsidR="00CB5DC0" w:rsidRPr="00582476" w:rsidRDefault="00CB5DC0" w:rsidP="00CB5DC0">
                    <w:pPr>
                      <w:pStyle w:val="ListParagraph"/>
                      <w:rPr>
                        <w:b/>
                        <w:color w:val="FFC000"/>
                      </w:rPr>
                    </w:pPr>
                    <w:r>
                      <w:rPr>
                        <w:b/>
                        <w:color w:val="FFFFFF" w:themeColor="background1"/>
                      </w:rPr>
                      <w:br/>
                    </w:r>
                    <w:r w:rsidRPr="00582476">
                      <w:rPr>
                        <w:b/>
                        <w:color w:val="FFFFFF" w:themeColor="background1"/>
                      </w:rPr>
                      <w:t xml:space="preserve">For more information on the Victorian Skills and Training Employer Survey (VSTE Survey) go to </w:t>
                    </w:r>
                    <w:r w:rsidRPr="00582476">
                      <w:rPr>
                        <w:b/>
                        <w:color w:val="FFC000"/>
                      </w:rPr>
                      <w:t>www.education.vic.gov.au/vstesurvey</w:t>
                    </w:r>
                  </w:p>
                  <w:p w:rsidR="00CB5DC0" w:rsidRDefault="00CB5DC0" w:rsidP="00CB5DC0">
                    <w:pPr>
                      <w:pStyle w:val="ListParagraph"/>
                    </w:pPr>
                  </w:p>
                  <w:p w:rsidR="00CB5DC0" w:rsidRDefault="00CB5DC0" w:rsidP="00CB5DC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EF5CD" w14:textId="77777777" w:rsidR="008C0E0F" w:rsidRDefault="008C0E0F" w:rsidP="008C0E0F">
      <w:pPr>
        <w:spacing w:after="0" w:line="240" w:lineRule="auto"/>
      </w:pPr>
      <w:r>
        <w:separator/>
      </w:r>
    </w:p>
  </w:footnote>
  <w:footnote w:type="continuationSeparator" w:id="0">
    <w:p w14:paraId="5F8EF5CE" w14:textId="77777777" w:rsidR="008C0E0F" w:rsidRDefault="008C0E0F" w:rsidP="008C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F5D1" w14:textId="77777777" w:rsidR="008C0E0F" w:rsidRDefault="008C0E0F">
    <w:pPr>
      <w:pStyle w:val="Header"/>
    </w:pPr>
    <w:r w:rsidRPr="008C0E0F">
      <w:rPr>
        <w:b/>
        <w:noProof/>
        <w:sz w:val="28"/>
        <w:szCs w:val="28"/>
        <w:lang w:eastAsia="en-AU"/>
      </w:rPr>
      <mc:AlternateContent>
        <mc:Choice Requires="wps">
          <w:drawing>
            <wp:anchor distT="0" distB="0" distL="114300" distR="114300" simplePos="0" relativeHeight="251659264" behindDoc="0" locked="0" layoutInCell="1" allowOverlap="1" wp14:anchorId="5F8EF5D3" wp14:editId="0CE60046">
              <wp:simplePos x="0" y="0"/>
              <wp:positionH relativeFrom="column">
                <wp:posOffset>-781050</wp:posOffset>
              </wp:positionH>
              <wp:positionV relativeFrom="paragraph">
                <wp:posOffset>-392430</wp:posOffset>
              </wp:positionV>
              <wp:extent cx="729615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857250"/>
                      </a:xfrm>
                      <a:prstGeom prst="rect">
                        <a:avLst/>
                      </a:prstGeom>
                      <a:solidFill>
                        <a:schemeClr val="tx2"/>
                      </a:solidFill>
                      <a:ln w="9525">
                        <a:solidFill>
                          <a:srgbClr val="000000"/>
                        </a:solidFill>
                        <a:miter lim="800000"/>
                        <a:headEnd/>
                        <a:tailEnd/>
                      </a:ln>
                    </wps:spPr>
                    <wps:txbx>
                      <w:txbxContent>
                        <w:p w14:paraId="5F8EF5DA" w14:textId="694B7DA8" w:rsidR="008C0E0F" w:rsidRPr="00C62FAB" w:rsidRDefault="006361CF" w:rsidP="006361CF">
                          <w:pPr>
                            <w:rPr>
                              <w:b/>
                              <w:color w:val="FFFFFF" w:themeColor="background1"/>
                              <w:sz w:val="44"/>
                              <w:szCs w:val="44"/>
                            </w:rPr>
                          </w:pPr>
                          <w:r>
                            <w:rPr>
                              <w:b/>
                              <w:noProof/>
                              <w:color w:val="FFFFFF" w:themeColor="background1"/>
                              <w:sz w:val="28"/>
                              <w:szCs w:val="28"/>
                              <w:lang w:eastAsia="en-AU"/>
                            </w:rPr>
                            <w:drawing>
                              <wp:inline distT="0" distB="0" distL="0" distR="0" wp14:anchorId="29E738FA" wp14:editId="7BAC7C84">
                                <wp:extent cx="1594800" cy="414000"/>
                                <wp:effectExtent l="0" t="0" r="0" b="5715"/>
                                <wp:docPr id="2" name="Picture 2" descr="\\edugate.eduweb.vic.gov.au@SSL\DavWWWRoot\collaboration\CIE\CIE useful stuff\DEECD logo\VICGOV_ECONOMIC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gate.eduweb.vic.gov.au@SSL\DavWWWRoot\collaboration\CIE\CIE useful stuff\DEECD logo\VICGOV_ECONOMIC_LOGO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414000"/>
                                        </a:xfrm>
                                        <a:prstGeom prst="rect">
                                          <a:avLst/>
                                        </a:prstGeom>
                                        <a:noFill/>
                                        <a:ln>
                                          <a:noFill/>
                                        </a:ln>
                                      </pic:spPr>
                                    </pic:pic>
                                  </a:graphicData>
                                </a:graphic>
                              </wp:inline>
                            </w:drawing>
                          </w:r>
                          <w:r w:rsidR="008C0E0F">
                            <w:rPr>
                              <w:b/>
                              <w:color w:val="FFFFFF" w:themeColor="background1"/>
                              <w:sz w:val="28"/>
                              <w:szCs w:val="28"/>
                            </w:rPr>
                            <w:br/>
                          </w:r>
                          <w:r w:rsidR="008C0E0F" w:rsidRPr="008C0E0F">
                            <w:rPr>
                              <w:b/>
                              <w:color w:val="FFFFFF" w:themeColor="background1"/>
                              <w:sz w:val="40"/>
                              <w:szCs w:val="40"/>
                            </w:rPr>
                            <w:t xml:space="preserve">             </w:t>
                          </w:r>
                          <w:r>
                            <w:rPr>
                              <w:b/>
                              <w:color w:val="FFFFFF" w:themeColor="background1"/>
                              <w:sz w:val="40"/>
                              <w:szCs w:val="40"/>
                            </w:rPr>
                            <w:t xml:space="preserve">                      </w:t>
                          </w:r>
                          <w:r w:rsidR="008C0E0F" w:rsidRPr="008C0E0F">
                            <w:rPr>
                              <w:b/>
                              <w:color w:val="FFFFFF" w:themeColor="background1"/>
                              <w:sz w:val="40"/>
                              <w:szCs w:val="40"/>
                            </w:rPr>
                            <w:t xml:space="preserve"> </w:t>
                          </w:r>
                          <w:r w:rsidR="008C0E0F" w:rsidRPr="006361CF">
                            <w:rPr>
                              <w:b/>
                              <w:color w:val="FFFFFF" w:themeColor="background1"/>
                              <w:sz w:val="40"/>
                              <w:szCs w:val="40"/>
                            </w:rPr>
                            <w:t>Skills and Training in Victoria</w:t>
                          </w:r>
                        </w:p>
                        <w:p w14:paraId="5F8EF5DB" w14:textId="77777777" w:rsidR="008C0E0F" w:rsidRDefault="008C0E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5pt;margin-top:-30.9pt;width:57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" fillcolor="#1f497d [3215]">
              <v:textbox>
                <w:txbxContent>
                  <w:p w14:paraId="5F8EF5DA" w14:textId="694B7DA8" w:rsidR="008C0E0F" w:rsidRPr="00C62FAB" w:rsidRDefault="006361CF" w:rsidP="006361CF">
                    <w:pPr>
                      <w:rPr>
                        <w:b/>
                        <w:color w:val="FFFFFF" w:themeColor="background1"/>
                        <w:sz w:val="44"/>
                        <w:szCs w:val="44"/>
                      </w:rPr>
                    </w:pPr>
                    <w:r>
                      <w:rPr>
                        <w:b/>
                        <w:noProof/>
                        <w:color w:val="FFFFFF" w:themeColor="background1"/>
                        <w:sz w:val="28"/>
                        <w:szCs w:val="28"/>
                        <w:lang w:eastAsia="en-AU"/>
                      </w:rPr>
                      <w:drawing>
                        <wp:inline distT="0" distB="0" distL="0" distR="0" wp14:anchorId="29E738FA" wp14:editId="7BAC7C84">
                          <wp:extent cx="1594800" cy="414000"/>
                          <wp:effectExtent l="0" t="0" r="0" b="5715"/>
                          <wp:docPr id="2" name="Picture 2" descr="\\edugate.eduweb.vic.gov.au@SSL\DavWWWRoot\collaboration\CIE\CIE useful stuff\DEECD logo\VICGOV_ECONOMIC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gate.eduweb.vic.gov.au@SSL\DavWWWRoot\collaboration\CIE\CIE useful stuff\DEECD logo\VICGOV_ECONOMIC_LOGO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800" cy="414000"/>
                                  </a:xfrm>
                                  <a:prstGeom prst="rect">
                                    <a:avLst/>
                                  </a:prstGeom>
                                  <a:noFill/>
                                  <a:ln>
                                    <a:noFill/>
                                  </a:ln>
                                </pic:spPr>
                              </pic:pic>
                            </a:graphicData>
                          </a:graphic>
                        </wp:inline>
                      </w:drawing>
                    </w:r>
                    <w:r w:rsidR="008C0E0F">
                      <w:rPr>
                        <w:b/>
                        <w:color w:val="FFFFFF" w:themeColor="background1"/>
                        <w:sz w:val="28"/>
                        <w:szCs w:val="28"/>
                      </w:rPr>
                      <w:br/>
                    </w:r>
                    <w:r w:rsidR="008C0E0F" w:rsidRPr="008C0E0F">
                      <w:rPr>
                        <w:b/>
                        <w:color w:val="FFFFFF" w:themeColor="background1"/>
                        <w:sz w:val="40"/>
                        <w:szCs w:val="40"/>
                      </w:rPr>
                      <w:t xml:space="preserve">             </w:t>
                    </w:r>
                    <w:r>
                      <w:rPr>
                        <w:b/>
                        <w:color w:val="FFFFFF" w:themeColor="background1"/>
                        <w:sz w:val="40"/>
                        <w:szCs w:val="40"/>
                      </w:rPr>
                      <w:t xml:space="preserve">                      </w:t>
                    </w:r>
                    <w:r w:rsidR="008C0E0F" w:rsidRPr="008C0E0F">
                      <w:rPr>
                        <w:b/>
                        <w:color w:val="FFFFFF" w:themeColor="background1"/>
                        <w:sz w:val="40"/>
                        <w:szCs w:val="40"/>
                      </w:rPr>
                      <w:t xml:space="preserve"> </w:t>
                    </w:r>
                    <w:r w:rsidR="008C0E0F" w:rsidRPr="006361CF">
                      <w:rPr>
                        <w:b/>
                        <w:color w:val="FFFFFF" w:themeColor="background1"/>
                        <w:sz w:val="40"/>
                        <w:szCs w:val="40"/>
                      </w:rPr>
                      <w:t>Skills and Training in Victoria</w:t>
                    </w:r>
                  </w:p>
                  <w:p w14:paraId="5F8EF5DB" w14:textId="77777777" w:rsidR="008C0E0F" w:rsidRDefault="008C0E0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22F3"/>
    <w:multiLevelType w:val="hybridMultilevel"/>
    <w:tmpl w:val="4628B80C"/>
    <w:lvl w:ilvl="0" w:tplc="F8709B4C">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584F88"/>
    <w:multiLevelType w:val="hybridMultilevel"/>
    <w:tmpl w:val="ACB29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3"/>
    <w:rsid w:val="00392FD7"/>
    <w:rsid w:val="00582476"/>
    <w:rsid w:val="006361CF"/>
    <w:rsid w:val="007A2935"/>
    <w:rsid w:val="00805543"/>
    <w:rsid w:val="008843ED"/>
    <w:rsid w:val="008C0E0F"/>
    <w:rsid w:val="00C62FAB"/>
    <w:rsid w:val="00CB5DC0"/>
    <w:rsid w:val="00D26443"/>
    <w:rsid w:val="00D44C60"/>
    <w:rsid w:val="00D62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E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543"/>
    <w:pPr>
      <w:ind w:left="720"/>
      <w:contextualSpacing/>
    </w:pPr>
  </w:style>
  <w:style w:type="character" w:styleId="Hyperlink">
    <w:name w:val="Hyperlink"/>
    <w:basedOn w:val="DefaultParagraphFont"/>
    <w:uiPriority w:val="99"/>
    <w:unhideWhenUsed/>
    <w:rsid w:val="00805543"/>
    <w:rPr>
      <w:color w:val="0000FF" w:themeColor="hyperlink"/>
      <w:u w:val="single"/>
    </w:rPr>
  </w:style>
  <w:style w:type="paragraph" w:styleId="Header">
    <w:name w:val="header"/>
    <w:basedOn w:val="Normal"/>
    <w:link w:val="HeaderChar"/>
    <w:uiPriority w:val="99"/>
    <w:unhideWhenUsed/>
    <w:rsid w:val="008C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E0F"/>
  </w:style>
  <w:style w:type="paragraph" w:styleId="Footer">
    <w:name w:val="footer"/>
    <w:basedOn w:val="Normal"/>
    <w:link w:val="FooterChar"/>
    <w:uiPriority w:val="99"/>
    <w:unhideWhenUsed/>
    <w:rsid w:val="008C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E0F"/>
  </w:style>
  <w:style w:type="paragraph" w:styleId="BalloonText">
    <w:name w:val="Balloon Text"/>
    <w:basedOn w:val="Normal"/>
    <w:link w:val="BalloonTextChar"/>
    <w:uiPriority w:val="99"/>
    <w:semiHidden/>
    <w:unhideWhenUsed/>
    <w:rsid w:val="008C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543"/>
    <w:pPr>
      <w:ind w:left="720"/>
      <w:contextualSpacing/>
    </w:pPr>
  </w:style>
  <w:style w:type="character" w:styleId="Hyperlink">
    <w:name w:val="Hyperlink"/>
    <w:basedOn w:val="DefaultParagraphFont"/>
    <w:uiPriority w:val="99"/>
    <w:unhideWhenUsed/>
    <w:rsid w:val="00805543"/>
    <w:rPr>
      <w:color w:val="0000FF" w:themeColor="hyperlink"/>
      <w:u w:val="single"/>
    </w:rPr>
  </w:style>
  <w:style w:type="paragraph" w:styleId="Header">
    <w:name w:val="header"/>
    <w:basedOn w:val="Normal"/>
    <w:link w:val="HeaderChar"/>
    <w:uiPriority w:val="99"/>
    <w:unhideWhenUsed/>
    <w:rsid w:val="008C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E0F"/>
  </w:style>
  <w:style w:type="paragraph" w:styleId="Footer">
    <w:name w:val="footer"/>
    <w:basedOn w:val="Normal"/>
    <w:link w:val="FooterChar"/>
    <w:uiPriority w:val="99"/>
    <w:unhideWhenUsed/>
    <w:rsid w:val="008C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E0F"/>
  </w:style>
  <w:style w:type="paragraph" w:styleId="BalloonText">
    <w:name w:val="Balloon Text"/>
    <w:basedOn w:val="Normal"/>
    <w:link w:val="BalloonTextChar"/>
    <w:uiPriority w:val="99"/>
    <w:semiHidden/>
    <w:unhideWhenUsed/>
    <w:rsid w:val="008C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C9729E0-FFF9-4F33-A4D0-CC2A9EC528AC}"/>
</file>

<file path=customXml/itemProps2.xml><?xml version="1.0" encoding="utf-8"?>
<ds:datastoreItem xmlns:ds="http://schemas.openxmlformats.org/officeDocument/2006/customXml" ds:itemID="{6DC062E5-C729-44F6-8F11-C2B2FB05D6C2}"/>
</file>

<file path=customXml/itemProps3.xml><?xml version="1.0" encoding="utf-8"?>
<ds:datastoreItem xmlns:ds="http://schemas.openxmlformats.org/officeDocument/2006/customXml" ds:itemID="{A856A42A-1FB5-4EE6-B21E-9B19D75EDD82}"/>
</file>

<file path=customXml/itemProps4.xml><?xml version="1.0" encoding="utf-8"?>
<ds:datastoreItem xmlns:ds="http://schemas.openxmlformats.org/officeDocument/2006/customXml" ds:itemID="{110842CE-4B3E-49F1-9BF0-A6B573B38EBF}"/>
</file>

<file path=docProps/app.xml><?xml version="1.0" encoding="utf-8"?>
<Properties xmlns="http://schemas.openxmlformats.org/officeDocument/2006/extended-properties" xmlns:vt="http://schemas.openxmlformats.org/officeDocument/2006/docPropsVTypes">
  <Template>Normal</Template>
  <TotalTime>99</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Rachel R</dc:creator>
  <cp:keywords/>
  <dc:description/>
  <cp:lastModifiedBy>Manik, Rachel R</cp:lastModifiedBy>
  <cp:revision>6</cp:revision>
  <cp:lastPrinted>2015-06-17T06:17:00Z</cp:lastPrinted>
  <dcterms:created xsi:type="dcterms:W3CDTF">2015-06-17T04:42:00Z</dcterms:created>
  <dcterms:modified xsi:type="dcterms:W3CDTF">2015-08-19T04:23:00Z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