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2A8E2" w14:textId="77777777" w:rsidR="00841F2A" w:rsidRDefault="00841F2A" w:rsidP="00895870">
      <w:pPr>
        <w:pStyle w:val="ESHeading2"/>
        <w:sectPr w:rsidR="00841F2A" w:rsidSect="00D84C0F">
          <w:headerReference w:type="default" r:id="rId12"/>
          <w:footerReference w:type="default" r:id="rId13"/>
          <w:pgSz w:w="11900" w:h="16840"/>
          <w:pgMar w:top="1005" w:right="737" w:bottom="1304" w:left="1304" w:header="624" w:footer="1134" w:gutter="0"/>
          <w:cols w:space="397"/>
          <w:docGrid w:linePitch="360"/>
        </w:sectPr>
      </w:pPr>
      <w:bookmarkStart w:id="0" w:name="_GoBack"/>
      <w:bookmarkEnd w:id="0"/>
    </w:p>
    <w:p w14:paraId="3C8223A0" w14:textId="0C7F543B" w:rsidR="0008073C" w:rsidRPr="00AB55E9" w:rsidRDefault="00DF23CC" w:rsidP="00AB55E9">
      <w:pPr>
        <w:pStyle w:val="ESSubheading1"/>
        <w:ind w:left="0"/>
        <w:rPr>
          <w:b/>
          <w:lang w:val="en-AU"/>
        </w:rPr>
      </w:pPr>
      <w:r w:rsidRPr="00AB55E9">
        <w:rPr>
          <w:b/>
          <w:lang w:val="en-AU"/>
        </w:rPr>
        <w:lastRenderedPageBreak/>
        <w:t xml:space="preserve">ACKNOWLEDGEMENTS </w:t>
      </w:r>
    </w:p>
    <w:p w14:paraId="679D77A1" w14:textId="77777777" w:rsidR="0008073C" w:rsidRPr="0008073C" w:rsidRDefault="0008073C" w:rsidP="0008073C">
      <w:pPr>
        <w:pStyle w:val="ESDisclaimer"/>
        <w:rPr>
          <w:lang w:val="en-AU"/>
        </w:rPr>
      </w:pPr>
    </w:p>
    <w:p w14:paraId="1F0358C5" w14:textId="77777777" w:rsidR="0008073C" w:rsidRPr="00AB55E9" w:rsidRDefault="0008073C" w:rsidP="00AB55E9">
      <w:pPr>
        <w:pStyle w:val="ESImageorGraphTitle"/>
        <w:rPr>
          <w:sz w:val="22"/>
          <w:lang w:val="en-AU"/>
        </w:rPr>
      </w:pPr>
      <w:r w:rsidRPr="00AB55E9">
        <w:rPr>
          <w:sz w:val="22"/>
          <w:lang w:val="en-AU"/>
        </w:rPr>
        <w:t>Author</w:t>
      </w:r>
    </w:p>
    <w:p w14:paraId="5E714C04" w14:textId="77777777" w:rsidR="0008073C" w:rsidRPr="0008073C" w:rsidRDefault="0008073C" w:rsidP="0008073C">
      <w:pPr>
        <w:pStyle w:val="ESBodyText"/>
        <w:rPr>
          <w:lang w:val="en-AU"/>
        </w:rPr>
      </w:pPr>
      <w:r w:rsidRPr="0008073C">
        <w:rPr>
          <w:lang w:val="en-AU"/>
        </w:rPr>
        <w:t xml:space="preserve">Resources developed and written by Alison </w:t>
      </w:r>
      <w:proofErr w:type="spellStart"/>
      <w:r w:rsidRPr="0008073C">
        <w:rPr>
          <w:lang w:val="en-AU"/>
        </w:rPr>
        <w:t>Kuen</w:t>
      </w:r>
      <w:proofErr w:type="spellEnd"/>
      <w:r w:rsidRPr="0008073C">
        <w:rPr>
          <w:lang w:val="en-AU"/>
        </w:rPr>
        <w:t>, teaching and learning consultant.</w:t>
      </w:r>
    </w:p>
    <w:p w14:paraId="3B7E161C" w14:textId="77777777" w:rsidR="0008073C" w:rsidRPr="0008073C" w:rsidRDefault="0008073C" w:rsidP="0008073C">
      <w:pPr>
        <w:pStyle w:val="ESDisclaimer"/>
        <w:rPr>
          <w:lang w:val="en-AU"/>
        </w:rPr>
      </w:pPr>
    </w:p>
    <w:p w14:paraId="6F231626" w14:textId="4EF0C271" w:rsidR="0008073C" w:rsidRPr="00AB55E9" w:rsidRDefault="0008073C" w:rsidP="00AB55E9">
      <w:pPr>
        <w:pStyle w:val="ESImageorGraphTitle"/>
        <w:rPr>
          <w:sz w:val="22"/>
          <w:lang w:val="en-AU"/>
        </w:rPr>
      </w:pPr>
      <w:r w:rsidRPr="00AB55E9">
        <w:rPr>
          <w:sz w:val="22"/>
          <w:lang w:val="en-AU"/>
        </w:rPr>
        <w:t>Project team members</w:t>
      </w:r>
    </w:p>
    <w:p w14:paraId="301591D0" w14:textId="0E9332C9" w:rsidR="0008073C" w:rsidRPr="0008073C" w:rsidRDefault="0008073C" w:rsidP="0008073C">
      <w:pPr>
        <w:pStyle w:val="ESBodyText"/>
        <w:rPr>
          <w:lang w:val="en-AU"/>
        </w:rPr>
      </w:pPr>
      <w:r w:rsidRPr="0008073C">
        <w:rPr>
          <w:lang w:val="en-AU"/>
        </w:rPr>
        <w:t>Department of Education and Training (</w:t>
      </w:r>
      <w:hyperlink r:id="rId14" w:history="1">
        <w:r w:rsidR="00454232" w:rsidRPr="00570CB0">
          <w:rPr>
            <w:rStyle w:val="Hyperlink"/>
            <w:lang w:val="en-AU"/>
          </w:rPr>
          <w:t>www.education.vic.gov.au</w:t>
        </w:r>
      </w:hyperlink>
      <w:r w:rsidRPr="0008073C">
        <w:rPr>
          <w:lang w:val="en-AU"/>
        </w:rPr>
        <w:t>)</w:t>
      </w:r>
    </w:p>
    <w:p w14:paraId="4687A284" w14:textId="77777777" w:rsidR="0008073C" w:rsidRPr="0008073C" w:rsidRDefault="0008073C" w:rsidP="0008073C">
      <w:pPr>
        <w:pStyle w:val="ESBulletsinTable"/>
      </w:pPr>
      <w:r w:rsidRPr="0008073C">
        <w:t>Health Advice and Policy Unit, Wellbeing, Health and Engagement</w:t>
      </w:r>
    </w:p>
    <w:p w14:paraId="5C728681" w14:textId="7B199972" w:rsidR="0008073C" w:rsidRPr="0008073C" w:rsidRDefault="0008073C" w:rsidP="0008073C">
      <w:pPr>
        <w:pStyle w:val="ESBulletsinTable"/>
      </w:pPr>
      <w:r w:rsidRPr="0008073C">
        <w:t>Group Communications and Engagement Unit, Regional Services</w:t>
      </w:r>
      <w:r w:rsidR="007F4F33">
        <w:t>.</w:t>
      </w:r>
    </w:p>
    <w:p w14:paraId="309EF9ED" w14:textId="68EAEDEC" w:rsidR="0008073C" w:rsidRPr="0008073C" w:rsidRDefault="0008073C" w:rsidP="0008073C">
      <w:pPr>
        <w:pStyle w:val="ESBodyText"/>
        <w:rPr>
          <w:lang w:val="en-AU"/>
        </w:rPr>
      </w:pPr>
      <w:r w:rsidRPr="0008073C">
        <w:rPr>
          <w:lang w:val="en-AU"/>
        </w:rPr>
        <w:t>Department of Health and Human Services (</w:t>
      </w:r>
      <w:hyperlink r:id="rId15" w:history="1">
        <w:r w:rsidR="00454232" w:rsidRPr="00570CB0">
          <w:rPr>
            <w:rStyle w:val="Hyperlink"/>
            <w:lang w:val="en-AU"/>
          </w:rPr>
          <w:t>www.dhhs.vic.gov.au</w:t>
        </w:r>
      </w:hyperlink>
      <w:r w:rsidRPr="0008073C">
        <w:rPr>
          <w:lang w:val="en-AU"/>
        </w:rPr>
        <w:t>)</w:t>
      </w:r>
    </w:p>
    <w:p w14:paraId="5DE6C4A0" w14:textId="77777777" w:rsidR="0008073C" w:rsidRPr="0008073C" w:rsidRDefault="0008073C" w:rsidP="0008073C">
      <w:pPr>
        <w:pStyle w:val="ESBulletsinTable"/>
      </w:pPr>
      <w:r w:rsidRPr="0008073C">
        <w:t>Health Protection Branch</w:t>
      </w:r>
    </w:p>
    <w:p w14:paraId="79120B8F" w14:textId="720B1A4C" w:rsidR="0008073C" w:rsidRPr="0008073C" w:rsidRDefault="0008073C" w:rsidP="0008073C">
      <w:pPr>
        <w:pStyle w:val="ESBulletsinTable"/>
      </w:pPr>
      <w:r w:rsidRPr="0008073C">
        <w:t>Public Health Communications</w:t>
      </w:r>
      <w:r w:rsidR="007F4F33">
        <w:t>.</w:t>
      </w:r>
    </w:p>
    <w:p w14:paraId="096579B8" w14:textId="77777777" w:rsidR="0008073C" w:rsidRDefault="0008073C">
      <w:pPr>
        <w:spacing w:after="0" w:line="240" w:lineRule="auto"/>
        <w:rPr>
          <w:rFonts w:cstheme="minorHAnsi"/>
          <w:b/>
          <w:color w:val="AF272F"/>
          <w:sz w:val="44"/>
          <w:szCs w:val="44"/>
        </w:rPr>
      </w:pPr>
      <w:r>
        <w:rPr>
          <w:rFonts w:cstheme="minorHAnsi"/>
          <w:b/>
          <w:color w:val="AF272F"/>
          <w:sz w:val="44"/>
          <w:szCs w:val="44"/>
        </w:rPr>
        <w:br w:type="page"/>
      </w:r>
    </w:p>
    <w:p w14:paraId="7671096F" w14:textId="519CDA09" w:rsidR="000F4C22" w:rsidRPr="00895870" w:rsidRDefault="00895870" w:rsidP="000F4C22">
      <w:pPr>
        <w:spacing w:after="40"/>
        <w:rPr>
          <w:rFonts w:cstheme="minorHAnsi"/>
          <w:b/>
          <w:color w:val="AF272F"/>
          <w:sz w:val="44"/>
          <w:szCs w:val="44"/>
        </w:rPr>
      </w:pPr>
      <w:r w:rsidRPr="00895870">
        <w:rPr>
          <w:rFonts w:cstheme="minorHAnsi"/>
          <w:b/>
          <w:color w:val="AF272F"/>
          <w:sz w:val="44"/>
          <w:szCs w:val="44"/>
        </w:rPr>
        <w:lastRenderedPageBreak/>
        <w:t>CONTENTS</w:t>
      </w:r>
    </w:p>
    <w:p w14:paraId="6983E2CE" w14:textId="77777777" w:rsidR="000F4C22" w:rsidRDefault="000F4C22" w:rsidP="000F4C22">
      <w:pPr>
        <w:spacing w:after="40"/>
        <w:rPr>
          <w:rFonts w:cstheme="minorHAnsi"/>
          <w:color w:val="7F7F7F" w:themeColor="text1" w:themeTint="80"/>
          <w:sz w:val="13"/>
          <w:szCs w:val="13"/>
        </w:rPr>
      </w:pPr>
    </w:p>
    <w:p w14:paraId="4CA96404" w14:textId="62EDD8F6" w:rsidR="00AB55E9" w:rsidRDefault="0057654B">
      <w:pPr>
        <w:pStyle w:val="TOC1"/>
        <w:rPr>
          <w:rFonts w:asciiTheme="minorHAnsi" w:hAnsiTheme="minorHAnsi" w:cstheme="minorBidi"/>
          <w:b w:val="0"/>
          <w:noProof/>
          <w:color w:val="auto"/>
          <w:sz w:val="22"/>
          <w:szCs w:val="22"/>
          <w:lang w:val="en-AU" w:eastAsia="en-AU"/>
        </w:rPr>
      </w:pPr>
      <w:r>
        <w:fldChar w:fldCharType="begin"/>
      </w:r>
      <w:r>
        <w:instrText xml:space="preserve"> TOC \t "ES_Heading 1,1,ES_Heading 2,2,ES_Heading 3,3" </w:instrText>
      </w:r>
      <w:r>
        <w:fldChar w:fldCharType="separate"/>
      </w:r>
      <w:r w:rsidR="00AB55E9">
        <w:rPr>
          <w:noProof/>
        </w:rPr>
        <w:t>INTRODUCTION</w:t>
      </w:r>
      <w:r w:rsidR="00AB55E9">
        <w:rPr>
          <w:noProof/>
        </w:rPr>
        <w:tab/>
      </w:r>
      <w:r w:rsidR="00AB55E9">
        <w:rPr>
          <w:noProof/>
        </w:rPr>
        <w:fldChar w:fldCharType="begin"/>
      </w:r>
      <w:r w:rsidR="00AB55E9">
        <w:rPr>
          <w:noProof/>
        </w:rPr>
        <w:instrText xml:space="preserve"> PAGEREF _Toc490126502 \h </w:instrText>
      </w:r>
      <w:r w:rsidR="00AB55E9">
        <w:rPr>
          <w:noProof/>
        </w:rPr>
      </w:r>
      <w:r w:rsidR="00AB55E9">
        <w:rPr>
          <w:noProof/>
        </w:rPr>
        <w:fldChar w:fldCharType="separate"/>
      </w:r>
      <w:r w:rsidR="00794375">
        <w:rPr>
          <w:noProof/>
        </w:rPr>
        <w:t>4</w:t>
      </w:r>
      <w:r w:rsidR="00AB55E9">
        <w:rPr>
          <w:noProof/>
        </w:rPr>
        <w:fldChar w:fldCharType="end"/>
      </w:r>
    </w:p>
    <w:p w14:paraId="196ED083" w14:textId="5005568E" w:rsidR="00AB55E9" w:rsidRDefault="00AB55E9">
      <w:pPr>
        <w:pStyle w:val="TOC1"/>
        <w:rPr>
          <w:rFonts w:asciiTheme="minorHAnsi" w:hAnsiTheme="minorHAnsi" w:cstheme="minorBidi"/>
          <w:b w:val="0"/>
          <w:noProof/>
          <w:color w:val="auto"/>
          <w:sz w:val="22"/>
          <w:szCs w:val="22"/>
          <w:lang w:val="en-AU" w:eastAsia="en-AU"/>
        </w:rPr>
      </w:pPr>
      <w:r>
        <w:rPr>
          <w:noProof/>
        </w:rPr>
        <w:t>HOW TO USE THIS CURRICULUM RESOURCE PACKAGE</w:t>
      </w:r>
      <w:r>
        <w:rPr>
          <w:noProof/>
        </w:rPr>
        <w:tab/>
      </w:r>
      <w:r>
        <w:rPr>
          <w:noProof/>
        </w:rPr>
        <w:fldChar w:fldCharType="begin"/>
      </w:r>
      <w:r>
        <w:rPr>
          <w:noProof/>
        </w:rPr>
        <w:instrText xml:space="preserve"> PAGEREF _Toc490126503 \h </w:instrText>
      </w:r>
      <w:r>
        <w:rPr>
          <w:noProof/>
        </w:rPr>
      </w:r>
      <w:r>
        <w:rPr>
          <w:noProof/>
        </w:rPr>
        <w:fldChar w:fldCharType="separate"/>
      </w:r>
      <w:r w:rsidR="00794375">
        <w:rPr>
          <w:noProof/>
        </w:rPr>
        <w:t>5</w:t>
      </w:r>
      <w:r>
        <w:rPr>
          <w:noProof/>
        </w:rPr>
        <w:fldChar w:fldCharType="end"/>
      </w:r>
    </w:p>
    <w:p w14:paraId="4B41EA03" w14:textId="781D12FD" w:rsidR="00AB55E9" w:rsidRDefault="00AB55E9">
      <w:pPr>
        <w:pStyle w:val="TOC1"/>
        <w:rPr>
          <w:rFonts w:asciiTheme="minorHAnsi" w:hAnsiTheme="minorHAnsi" w:cstheme="minorBidi"/>
          <w:b w:val="0"/>
          <w:noProof/>
          <w:color w:val="auto"/>
          <w:sz w:val="22"/>
          <w:szCs w:val="22"/>
          <w:lang w:val="en-AU" w:eastAsia="en-AU"/>
        </w:rPr>
      </w:pPr>
      <w:r>
        <w:rPr>
          <w:noProof/>
        </w:rPr>
        <w:t>LINKS TO THE VICTORIAN CURRICULUM</w:t>
      </w:r>
      <w:r>
        <w:rPr>
          <w:noProof/>
        </w:rPr>
        <w:tab/>
      </w:r>
      <w:r>
        <w:rPr>
          <w:noProof/>
        </w:rPr>
        <w:fldChar w:fldCharType="begin"/>
      </w:r>
      <w:r>
        <w:rPr>
          <w:noProof/>
        </w:rPr>
        <w:instrText xml:space="preserve"> PAGEREF _Toc490126504 \h </w:instrText>
      </w:r>
      <w:r>
        <w:rPr>
          <w:noProof/>
        </w:rPr>
      </w:r>
      <w:r>
        <w:rPr>
          <w:noProof/>
        </w:rPr>
        <w:fldChar w:fldCharType="separate"/>
      </w:r>
      <w:r w:rsidR="00794375">
        <w:rPr>
          <w:noProof/>
        </w:rPr>
        <w:t>6</w:t>
      </w:r>
      <w:r>
        <w:rPr>
          <w:noProof/>
        </w:rPr>
        <w:fldChar w:fldCharType="end"/>
      </w:r>
    </w:p>
    <w:p w14:paraId="3ABB4650" w14:textId="3C6F650B" w:rsidR="00AB55E9" w:rsidRDefault="00AB55E9">
      <w:pPr>
        <w:pStyle w:val="TOC1"/>
        <w:rPr>
          <w:rFonts w:asciiTheme="minorHAnsi" w:hAnsiTheme="minorHAnsi" w:cstheme="minorBidi"/>
          <w:b w:val="0"/>
          <w:noProof/>
          <w:color w:val="auto"/>
          <w:sz w:val="22"/>
          <w:szCs w:val="22"/>
          <w:lang w:val="en-AU" w:eastAsia="en-AU"/>
        </w:rPr>
      </w:pPr>
      <w:r>
        <w:rPr>
          <w:noProof/>
        </w:rPr>
        <w:t>TEACHING AND LEARNING APPROACHES IN THIS RESOURCE</w:t>
      </w:r>
      <w:r>
        <w:rPr>
          <w:noProof/>
        </w:rPr>
        <w:tab/>
      </w:r>
      <w:r>
        <w:rPr>
          <w:noProof/>
        </w:rPr>
        <w:fldChar w:fldCharType="begin"/>
      </w:r>
      <w:r>
        <w:rPr>
          <w:noProof/>
        </w:rPr>
        <w:instrText xml:space="preserve"> PAGEREF _Toc490126505 \h </w:instrText>
      </w:r>
      <w:r>
        <w:rPr>
          <w:noProof/>
        </w:rPr>
      </w:r>
      <w:r>
        <w:rPr>
          <w:noProof/>
        </w:rPr>
        <w:fldChar w:fldCharType="separate"/>
      </w:r>
      <w:r w:rsidR="00794375">
        <w:rPr>
          <w:noProof/>
        </w:rPr>
        <w:t>8</w:t>
      </w:r>
      <w:r>
        <w:rPr>
          <w:noProof/>
        </w:rPr>
        <w:fldChar w:fldCharType="end"/>
      </w:r>
    </w:p>
    <w:p w14:paraId="3D854101" w14:textId="22C26E5F" w:rsidR="00AB55E9" w:rsidRDefault="00AB55E9">
      <w:pPr>
        <w:pStyle w:val="TOC1"/>
        <w:rPr>
          <w:rFonts w:asciiTheme="minorHAnsi" w:hAnsiTheme="minorHAnsi" w:cstheme="minorBidi"/>
          <w:b w:val="0"/>
          <w:noProof/>
          <w:color w:val="auto"/>
          <w:sz w:val="22"/>
          <w:szCs w:val="22"/>
          <w:lang w:val="en-AU" w:eastAsia="en-AU"/>
        </w:rPr>
      </w:pPr>
      <w:r>
        <w:rPr>
          <w:noProof/>
        </w:rPr>
        <w:t>REFERENCES AND RESOURCES</w:t>
      </w:r>
      <w:r>
        <w:rPr>
          <w:noProof/>
        </w:rPr>
        <w:tab/>
      </w:r>
      <w:r>
        <w:rPr>
          <w:noProof/>
        </w:rPr>
        <w:fldChar w:fldCharType="begin"/>
      </w:r>
      <w:r>
        <w:rPr>
          <w:noProof/>
        </w:rPr>
        <w:instrText xml:space="preserve"> PAGEREF _Toc490126506 \h </w:instrText>
      </w:r>
      <w:r>
        <w:rPr>
          <w:noProof/>
        </w:rPr>
      </w:r>
      <w:r>
        <w:rPr>
          <w:noProof/>
        </w:rPr>
        <w:fldChar w:fldCharType="separate"/>
      </w:r>
      <w:r w:rsidR="00794375">
        <w:rPr>
          <w:noProof/>
        </w:rPr>
        <w:t>9</w:t>
      </w:r>
      <w:r>
        <w:rPr>
          <w:noProof/>
        </w:rPr>
        <w:fldChar w:fldCharType="end"/>
      </w:r>
    </w:p>
    <w:p w14:paraId="3E17F9E1" w14:textId="04A86EA5" w:rsidR="000F4C22" w:rsidRDefault="0057654B" w:rsidP="0057654B">
      <w:pPr>
        <w:pStyle w:val="TOC3"/>
      </w:pPr>
      <w:r>
        <w:fldChar w:fldCharType="end"/>
      </w:r>
    </w:p>
    <w:p w14:paraId="38DA0AB3" w14:textId="77777777" w:rsidR="000F4C22" w:rsidRDefault="000F4C22" w:rsidP="000F4C22">
      <w:pPr>
        <w:spacing w:after="40"/>
        <w:rPr>
          <w:rFonts w:cstheme="minorHAnsi"/>
          <w:color w:val="7F7F7F" w:themeColor="text1" w:themeTint="80"/>
          <w:sz w:val="13"/>
          <w:szCs w:val="13"/>
        </w:rPr>
      </w:pPr>
    </w:p>
    <w:p w14:paraId="1FD94654" w14:textId="77777777" w:rsidR="000F4C22" w:rsidRDefault="000F4C22" w:rsidP="000F4C22">
      <w:pPr>
        <w:spacing w:after="40"/>
        <w:rPr>
          <w:rFonts w:cstheme="minorHAnsi"/>
          <w:color w:val="7F7F7F" w:themeColor="text1" w:themeTint="80"/>
          <w:sz w:val="13"/>
          <w:szCs w:val="13"/>
        </w:rPr>
      </w:pPr>
    </w:p>
    <w:p w14:paraId="28E54079" w14:textId="77777777" w:rsidR="000F4C22" w:rsidRDefault="000F4C22" w:rsidP="000F4C22">
      <w:pPr>
        <w:spacing w:after="40"/>
        <w:rPr>
          <w:rFonts w:cstheme="minorHAnsi"/>
          <w:color w:val="7F7F7F" w:themeColor="text1" w:themeTint="80"/>
          <w:sz w:val="13"/>
          <w:szCs w:val="13"/>
        </w:rPr>
      </w:pPr>
    </w:p>
    <w:p w14:paraId="7DE73726" w14:textId="77777777" w:rsidR="000F4C22" w:rsidRDefault="000F4C22" w:rsidP="000F4C22">
      <w:pPr>
        <w:spacing w:after="40"/>
        <w:rPr>
          <w:rFonts w:cstheme="minorHAnsi"/>
          <w:color w:val="7F7F7F" w:themeColor="text1" w:themeTint="80"/>
          <w:sz w:val="13"/>
          <w:szCs w:val="13"/>
        </w:rPr>
      </w:pPr>
    </w:p>
    <w:p w14:paraId="2A3B9ACD" w14:textId="77777777" w:rsidR="000F4C22" w:rsidRDefault="000F4C22" w:rsidP="000F4C22">
      <w:pPr>
        <w:spacing w:after="40"/>
        <w:rPr>
          <w:rFonts w:cstheme="minorHAnsi"/>
          <w:color w:val="7F7F7F" w:themeColor="text1" w:themeTint="80"/>
          <w:sz w:val="13"/>
          <w:szCs w:val="13"/>
        </w:rPr>
      </w:pPr>
    </w:p>
    <w:p w14:paraId="4BAE76D3" w14:textId="77777777" w:rsidR="000F4C22" w:rsidRDefault="000F4C22" w:rsidP="000F4C22">
      <w:pPr>
        <w:spacing w:after="40"/>
        <w:rPr>
          <w:rFonts w:cstheme="minorHAnsi"/>
          <w:color w:val="7F7F7F" w:themeColor="text1" w:themeTint="80"/>
          <w:sz w:val="13"/>
          <w:szCs w:val="13"/>
        </w:rPr>
      </w:pPr>
    </w:p>
    <w:p w14:paraId="7F115A02" w14:textId="77777777" w:rsidR="000F4C22" w:rsidRDefault="000F4C22" w:rsidP="000F4C22">
      <w:pPr>
        <w:spacing w:after="40"/>
        <w:rPr>
          <w:rFonts w:cstheme="minorHAnsi"/>
          <w:color w:val="7F7F7F" w:themeColor="text1" w:themeTint="80"/>
          <w:sz w:val="13"/>
          <w:szCs w:val="13"/>
        </w:rPr>
      </w:pPr>
    </w:p>
    <w:p w14:paraId="4E8755B8" w14:textId="77777777" w:rsidR="000F4C22" w:rsidRDefault="000F4C22" w:rsidP="00D84C0F">
      <w:pPr>
        <w:pStyle w:val="ESHeading1"/>
      </w:pPr>
    </w:p>
    <w:p w14:paraId="35FAED5E" w14:textId="77777777" w:rsidR="000F4C22" w:rsidRDefault="000F4C22" w:rsidP="00D84C0F">
      <w:pPr>
        <w:pStyle w:val="ESHeading1"/>
        <w:sectPr w:rsidR="000F4C22" w:rsidSect="00895870">
          <w:headerReference w:type="default" r:id="rId16"/>
          <w:footerReference w:type="default" r:id="rId17"/>
          <w:pgSz w:w="11900" w:h="16840"/>
          <w:pgMar w:top="2036" w:right="1240" w:bottom="1304" w:left="1304" w:header="624" w:footer="1092" w:gutter="0"/>
          <w:cols w:space="397"/>
          <w:docGrid w:linePitch="360"/>
        </w:sectPr>
      </w:pPr>
    </w:p>
    <w:p w14:paraId="5B88B835" w14:textId="77777777" w:rsidR="002445B4" w:rsidRPr="0034141A" w:rsidRDefault="002445B4" w:rsidP="002445B4">
      <w:pPr>
        <w:pStyle w:val="ESHeading1"/>
      </w:pPr>
      <w:bookmarkStart w:id="1" w:name="_Toc489000382"/>
      <w:bookmarkStart w:id="2" w:name="_Toc490126502"/>
      <w:bookmarkStart w:id="3" w:name="_Toc455499267"/>
      <w:bookmarkStart w:id="4" w:name="_Toc455499461"/>
      <w:r>
        <w:lastRenderedPageBreak/>
        <w:t>INTRODUCTION</w:t>
      </w:r>
      <w:bookmarkEnd w:id="1"/>
      <w:bookmarkEnd w:id="2"/>
    </w:p>
    <w:p w14:paraId="15505055" w14:textId="52BF9800" w:rsidR="002445B4" w:rsidRPr="00654002" w:rsidRDefault="002445B4" w:rsidP="00C16030">
      <w:pPr>
        <w:pStyle w:val="ESBodyText"/>
      </w:pPr>
      <w:r w:rsidRPr="00654002">
        <w:t xml:space="preserve">The creation of healthy habits during childhood is important to ensure lifelong healthy decisions and actions. An effective hand hygiene program in Victorian schools is critical to </w:t>
      </w:r>
      <w:r w:rsidR="00454232" w:rsidRPr="00654002">
        <w:t>the prevention of communicab</w:t>
      </w:r>
      <w:r w:rsidR="00454232">
        <w:t>le disease outbreaks in schools</w:t>
      </w:r>
      <w:r w:rsidR="00454232" w:rsidRPr="00654002">
        <w:t xml:space="preserve"> and local communities</w:t>
      </w:r>
      <w:r w:rsidR="00454232">
        <w:t xml:space="preserve">. </w:t>
      </w:r>
      <w:r w:rsidRPr="00654002">
        <w:t xml:space="preserve">It will also help build healthy habits into the future. This </w:t>
      </w:r>
      <w:r>
        <w:t xml:space="preserve">curriculum </w:t>
      </w:r>
      <w:r w:rsidRPr="00654002">
        <w:t xml:space="preserve">resource package for primary schools will support </w:t>
      </w:r>
      <w:r w:rsidR="00454232">
        <w:t xml:space="preserve">good </w:t>
      </w:r>
      <w:r w:rsidRPr="00654002">
        <w:t>hand hygiene practices among Victoria’s ch</w:t>
      </w:r>
      <w:r w:rsidR="00454232">
        <w:t>ildren and keep them healthy.</w:t>
      </w:r>
    </w:p>
    <w:p w14:paraId="286B1843" w14:textId="21D7F76F" w:rsidR="002445B4" w:rsidRPr="002445B4" w:rsidRDefault="00C16030" w:rsidP="00C16030">
      <w:r w:rsidRPr="00654002">
        <w:t xml:space="preserve">The Victorian </w:t>
      </w:r>
      <w:r w:rsidRPr="00783F63">
        <w:t>Department of Education and Training</w:t>
      </w:r>
      <w:r>
        <w:t xml:space="preserve">’s </w:t>
      </w:r>
      <w:r w:rsidR="002445B4" w:rsidRPr="002445B4">
        <w:t xml:space="preserve">Personal </w:t>
      </w:r>
      <w:r w:rsidRPr="002445B4">
        <w:t xml:space="preserve">hygiene </w:t>
      </w:r>
      <w:r w:rsidR="002445B4" w:rsidRPr="002445B4">
        <w:t xml:space="preserve">policy </w:t>
      </w:r>
      <w:r>
        <w:t>provides guidance</w:t>
      </w:r>
      <w:r w:rsidR="002445B4" w:rsidRPr="002445B4">
        <w:t xml:space="preserve"> to ensure schools help students manage their own personal hygiene routines</w:t>
      </w:r>
      <w:r>
        <w:t>, including handwashing</w:t>
      </w:r>
      <w:r w:rsidR="002445B4" w:rsidRPr="002445B4">
        <w:t xml:space="preserve">. The policy </w:t>
      </w:r>
      <w:r w:rsidR="00DE4373">
        <w:t>reminds schools of their</w:t>
      </w:r>
      <w:r w:rsidR="002445B4" w:rsidRPr="002445B4">
        <w:t xml:space="preserve"> responsibility to pr</w:t>
      </w:r>
      <w:r w:rsidR="00DE4373">
        <w:t>ovide soap in student bathrooms</w:t>
      </w:r>
      <w:r w:rsidR="002445B4" w:rsidRPr="002445B4">
        <w:t xml:space="preserve"> to assist with the preven</w:t>
      </w:r>
      <w:r w:rsidR="00DE4373">
        <w:t>tion and control of infection.</w:t>
      </w:r>
    </w:p>
    <w:p w14:paraId="6603EA03" w14:textId="77777777" w:rsidR="00DE4373" w:rsidRDefault="00DE4373" w:rsidP="00DE4373">
      <w:pPr>
        <w:pStyle w:val="ESBodyText"/>
      </w:pPr>
      <w:r w:rsidRPr="00654002">
        <w:t>Washing hands with soap and water at key times is the most effective way to prevent the spread of gastrointestinal and respiratory infect</w:t>
      </w:r>
      <w:r>
        <w:t>ions in community settings. The</w:t>
      </w:r>
      <w:r w:rsidRPr="00654002">
        <w:t xml:space="preserve"> key times are:</w:t>
      </w:r>
    </w:p>
    <w:p w14:paraId="3F3550F4" w14:textId="77777777" w:rsidR="00DE4373" w:rsidRPr="00654002" w:rsidRDefault="00DE4373" w:rsidP="00DE4373">
      <w:pPr>
        <w:pStyle w:val="ESBulletsinTable"/>
      </w:pPr>
      <w:r w:rsidRPr="00654002">
        <w:t>after going to the toilet</w:t>
      </w:r>
    </w:p>
    <w:p w14:paraId="7B6F6EA3" w14:textId="77777777" w:rsidR="00DE4373" w:rsidRPr="00654002" w:rsidRDefault="00DE4373" w:rsidP="00DE4373">
      <w:pPr>
        <w:pStyle w:val="ESBulletsinTable"/>
      </w:pPr>
      <w:r w:rsidRPr="00654002">
        <w:t>before and after eating</w:t>
      </w:r>
    </w:p>
    <w:p w14:paraId="7CF466C9" w14:textId="77777777" w:rsidR="00DE4373" w:rsidRPr="00654002" w:rsidRDefault="00DE4373" w:rsidP="00DE4373">
      <w:pPr>
        <w:pStyle w:val="ESBulletsinTable"/>
      </w:pPr>
      <w:r w:rsidRPr="00654002">
        <w:t>after coughing, sneezing or blowing your nose</w:t>
      </w:r>
    </w:p>
    <w:p w14:paraId="47182BB9" w14:textId="77777777" w:rsidR="00DE4373" w:rsidRPr="00654002" w:rsidRDefault="00DE4373" w:rsidP="00DE4373">
      <w:pPr>
        <w:pStyle w:val="ESBulletsinTable"/>
      </w:pPr>
      <w:r w:rsidRPr="00654002">
        <w:t>after touching pets and other animals</w:t>
      </w:r>
    </w:p>
    <w:p w14:paraId="0552380B" w14:textId="77777777" w:rsidR="00DE4373" w:rsidRPr="00654002" w:rsidRDefault="00DE4373" w:rsidP="00DE4373">
      <w:pPr>
        <w:pStyle w:val="ESBulletsinTable"/>
      </w:pPr>
      <w:proofErr w:type="gramStart"/>
      <w:r w:rsidRPr="00654002">
        <w:t>whenever</w:t>
      </w:r>
      <w:proofErr w:type="gramEnd"/>
      <w:r w:rsidRPr="00654002">
        <w:t xml:space="preserve"> your hands look dirty.</w:t>
      </w:r>
    </w:p>
    <w:p w14:paraId="3E3CBDB0" w14:textId="77777777" w:rsidR="00DE4373" w:rsidRPr="002445B4" w:rsidRDefault="00DE4373" w:rsidP="00DE4373">
      <w:pPr>
        <w:pStyle w:val="ESBodyText"/>
      </w:pPr>
      <w:r w:rsidRPr="002445B4">
        <w:t xml:space="preserve">In addition, washing hands before and after eating is encouraged as a strategy to </w:t>
      </w:r>
      <w:proofErr w:type="spellStart"/>
      <w:r w:rsidRPr="002445B4">
        <w:t>minimise</w:t>
      </w:r>
      <w:proofErr w:type="spellEnd"/>
      <w:r w:rsidRPr="002445B4">
        <w:t xml:space="preserve"> the risks associated with known food allergies.</w:t>
      </w:r>
    </w:p>
    <w:p w14:paraId="648C8B16" w14:textId="07BE754D" w:rsidR="002445B4" w:rsidRPr="002445B4" w:rsidRDefault="00DE4373" w:rsidP="002445B4">
      <w:pPr>
        <w:pStyle w:val="ESBodyText"/>
      </w:pPr>
      <w:r>
        <w:t xml:space="preserve">This curriculum </w:t>
      </w:r>
      <w:proofErr w:type="gramStart"/>
      <w:r>
        <w:t>is supported</w:t>
      </w:r>
      <w:proofErr w:type="gramEnd"/>
      <w:r>
        <w:t xml:space="preserve"> by a </w:t>
      </w:r>
      <w:r w:rsidR="002445B4" w:rsidRPr="002445B4">
        <w:t>public education campaign. You can access this 'Soapy Hero' campaign, which includes animation and resources, on the Better Health</w:t>
      </w:r>
      <w:r w:rsidR="002445B4">
        <w:t xml:space="preserve"> Channel, see: </w:t>
      </w:r>
      <w:hyperlink r:id="rId18" w:history="1">
        <w:r w:rsidRPr="00570CB0">
          <w:rPr>
            <w:rStyle w:val="Hyperlink"/>
          </w:rPr>
          <w:t>www.betterhealth.vic.gov.au/soapy-hero</w:t>
        </w:r>
      </w:hyperlink>
      <w:r w:rsidR="002445B4" w:rsidRPr="002445B4">
        <w:t>.</w:t>
      </w:r>
    </w:p>
    <w:p w14:paraId="1351EC50" w14:textId="10BECD3A" w:rsidR="00DE4373" w:rsidRDefault="00DE4373">
      <w:pPr>
        <w:spacing w:after="0" w:line="240" w:lineRule="auto"/>
      </w:pPr>
      <w:r>
        <w:br w:type="page"/>
      </w:r>
    </w:p>
    <w:p w14:paraId="71EB91AA" w14:textId="77777777" w:rsidR="00DE4373" w:rsidRDefault="00DE4373" w:rsidP="00DE4373">
      <w:pPr>
        <w:pStyle w:val="ESHeading1"/>
      </w:pPr>
      <w:bookmarkStart w:id="5" w:name="_Toc489000388"/>
      <w:bookmarkStart w:id="6" w:name="_Toc490126503"/>
      <w:r w:rsidRPr="00787AC7">
        <w:lastRenderedPageBreak/>
        <w:t>HOW TO USE THIS CURRICULUM RESOURCE PACKAGE</w:t>
      </w:r>
      <w:bookmarkEnd w:id="5"/>
      <w:bookmarkEnd w:id="6"/>
    </w:p>
    <w:p w14:paraId="75400949" w14:textId="77777777" w:rsidR="00DE4373" w:rsidRPr="00787AC7" w:rsidRDefault="00DE4373" w:rsidP="00DE4373">
      <w:pPr>
        <w:spacing w:after="0" w:line="240" w:lineRule="auto"/>
        <w:ind w:left="720"/>
        <w:jc w:val="center"/>
      </w:pPr>
    </w:p>
    <w:p w14:paraId="34B13054" w14:textId="77777777" w:rsidR="00DE4373" w:rsidRDefault="00DE4373" w:rsidP="00DE4373">
      <w:pPr>
        <w:pStyle w:val="ESBodyText"/>
      </w:pPr>
      <w:r w:rsidRPr="00281E21">
        <w:t>This resource</w:t>
      </w:r>
      <w:r>
        <w:t xml:space="preserve"> </w:t>
      </w:r>
      <w:proofErr w:type="gramStart"/>
      <w:r>
        <w:t>is intended</w:t>
      </w:r>
      <w:proofErr w:type="gramEnd"/>
      <w:r>
        <w:t xml:space="preserve"> for use with </w:t>
      </w:r>
      <w:r w:rsidRPr="00FC2DCF">
        <w:t>Foundation,</w:t>
      </w:r>
      <w:r>
        <w:t xml:space="preserve"> Grade 1 or Grade 2 students in Victorian primary schools. Schools can choose which year level they would like to deliver this important learning about hand hygiene.</w:t>
      </w:r>
    </w:p>
    <w:p w14:paraId="0C97D545" w14:textId="77777777" w:rsidR="00DE4373" w:rsidRDefault="00DE4373" w:rsidP="00DE4373">
      <w:pPr>
        <w:pStyle w:val="ESBodyText"/>
      </w:pPr>
      <w:r>
        <w:t xml:space="preserve">At </w:t>
      </w:r>
      <w:r w:rsidRPr="00654002">
        <w:t xml:space="preserve">each level, </w:t>
      </w:r>
      <w:r>
        <w:t>the resource</w:t>
      </w:r>
      <w:r w:rsidRPr="00654002">
        <w:t xml:space="preserve"> include</w:t>
      </w:r>
      <w:r>
        <w:t xml:space="preserve">s a set of lesson plans, </w:t>
      </w:r>
      <w:r w:rsidRPr="00FC2DCF">
        <w:t>worksheets</w:t>
      </w:r>
      <w:r>
        <w:t xml:space="preserve"> and tools adjusted for age appropriate learning</w:t>
      </w:r>
      <w:r w:rsidRPr="00FC2DCF">
        <w:t>.</w:t>
      </w:r>
      <w:r>
        <w:t xml:space="preserve"> There is a common set of three topics:</w:t>
      </w:r>
    </w:p>
    <w:p w14:paraId="37DD67DF" w14:textId="77777777" w:rsidR="00DE4373" w:rsidRPr="003F168D" w:rsidRDefault="00DE4373" w:rsidP="00DE4373">
      <w:pPr>
        <w:pStyle w:val="ESBulletsinTable"/>
        <w:numPr>
          <w:ilvl w:val="0"/>
          <w:numId w:val="28"/>
        </w:numPr>
      </w:pPr>
      <w:r w:rsidRPr="003F168D">
        <w:t>Why is hand hygiene important?</w:t>
      </w:r>
    </w:p>
    <w:p w14:paraId="43E6AB81" w14:textId="77777777" w:rsidR="00DE4373" w:rsidRPr="003F168D" w:rsidRDefault="00DE4373" w:rsidP="00DE4373">
      <w:pPr>
        <w:pStyle w:val="ESBulletsinTable"/>
        <w:numPr>
          <w:ilvl w:val="0"/>
          <w:numId w:val="28"/>
        </w:numPr>
      </w:pPr>
      <w:r w:rsidRPr="003F168D">
        <w:t>When do I perform hand hygiene?</w:t>
      </w:r>
    </w:p>
    <w:p w14:paraId="034E575F" w14:textId="77777777" w:rsidR="00DE4373" w:rsidRPr="003F168D" w:rsidRDefault="00DE4373" w:rsidP="00DE4373">
      <w:pPr>
        <w:pStyle w:val="ESBulletsinTable"/>
        <w:numPr>
          <w:ilvl w:val="0"/>
          <w:numId w:val="28"/>
        </w:numPr>
      </w:pPr>
      <w:r w:rsidRPr="003F168D">
        <w:t>How do I perform hand hygiene?</w:t>
      </w:r>
    </w:p>
    <w:p w14:paraId="6F7A9360" w14:textId="77777777" w:rsidR="00DE4373" w:rsidRDefault="00DE4373" w:rsidP="00DE4373">
      <w:pPr>
        <w:pStyle w:val="ESBodyText"/>
      </w:pPr>
      <w:r>
        <w:t xml:space="preserve">The structure of the resource allows for flexibility in how the teaching and learning activities are delivered </w:t>
      </w:r>
      <w:r w:rsidRPr="00FC2DCF">
        <w:t xml:space="preserve">and at which of the </w:t>
      </w:r>
      <w:proofErr w:type="gramStart"/>
      <w:r w:rsidRPr="00FC2DCF">
        <w:t>three year</w:t>
      </w:r>
      <w:proofErr w:type="gramEnd"/>
      <w:r w:rsidRPr="00FC2DCF">
        <w:t xml:space="preserve"> levels they are chosen to be taught.</w:t>
      </w:r>
      <w:r>
        <w:t xml:space="preserve"> The topics follow a logical sequence – why, when and how – but teachers can select from amongst the lessons and the material can be taught at any of the three year levels. </w:t>
      </w:r>
    </w:p>
    <w:p w14:paraId="4C74CF19" w14:textId="77777777" w:rsidR="00DE4373" w:rsidRDefault="00DE4373" w:rsidP="00DE4373">
      <w:pPr>
        <w:pStyle w:val="ESBulletsinTable"/>
      </w:pPr>
      <w:r>
        <w:t xml:space="preserve">Each </w:t>
      </w:r>
      <w:r w:rsidRPr="00FC2DCF">
        <w:t>topic</w:t>
      </w:r>
      <w:r>
        <w:t xml:space="preserve"> has a set of learning intentions.</w:t>
      </w:r>
    </w:p>
    <w:p w14:paraId="3839E15A" w14:textId="77777777" w:rsidR="00DE4373" w:rsidRDefault="00DE4373" w:rsidP="00DE4373">
      <w:pPr>
        <w:pStyle w:val="ESBulletsinTable"/>
      </w:pPr>
      <w:r>
        <w:t xml:space="preserve">Topics are organised into </w:t>
      </w:r>
      <w:r w:rsidRPr="00FC2DCF">
        <w:t>lessons</w:t>
      </w:r>
      <w:r>
        <w:t xml:space="preserve">. There are three or four lessons for each topic. The time allocated for each lesson is approximately </w:t>
      </w:r>
      <w:r w:rsidRPr="00FC2DCF">
        <w:t>45 minutes</w:t>
      </w:r>
      <w:r>
        <w:t>. A lesson could be stand-alone</w:t>
      </w:r>
      <w:r w:rsidRPr="00FC2DCF">
        <w:t xml:space="preserve"> </w:t>
      </w:r>
      <w:r>
        <w:t>or combined with others, s</w:t>
      </w:r>
      <w:r w:rsidRPr="00654002">
        <w:t xml:space="preserve">uch as two lessons conducted in a </w:t>
      </w:r>
      <w:proofErr w:type="gramStart"/>
      <w:r w:rsidRPr="00654002">
        <w:t>1½ hour</w:t>
      </w:r>
      <w:proofErr w:type="gramEnd"/>
      <w:r w:rsidRPr="00654002">
        <w:t xml:space="preserve"> session.</w:t>
      </w:r>
    </w:p>
    <w:p w14:paraId="1F87096C" w14:textId="77777777" w:rsidR="00DE4373" w:rsidRDefault="00DE4373" w:rsidP="00DE4373">
      <w:pPr>
        <w:pStyle w:val="ESBulletsinTable"/>
      </w:pPr>
      <w:r>
        <w:t>Each lesson includes teaching and learning activities (guided learning), teacher notes, resources required and activities for further learning. The activities for further learning can be selected if time permits or be used as ideas for extension. (Teachers may also decide to use these as an opportunity to refresh student learning at a different year level, for example, if a school decides to teach the Clean Hands curriculum at Foundation or Grade 1.)</w:t>
      </w:r>
    </w:p>
    <w:p w14:paraId="1A8131E7" w14:textId="77777777" w:rsidR="00DE4373" w:rsidRDefault="00DE4373" w:rsidP="00DE4373">
      <w:pPr>
        <w:pStyle w:val="ESBulletsinTable"/>
      </w:pPr>
      <w:r>
        <w:t xml:space="preserve">The </w:t>
      </w:r>
      <w:r w:rsidRPr="00FC2DCF">
        <w:t>worksheets</w:t>
      </w:r>
      <w:r>
        <w:t xml:space="preserve"> are numbered and referred to within the lesson.</w:t>
      </w:r>
    </w:p>
    <w:p w14:paraId="69643133" w14:textId="77777777" w:rsidR="00DE4373" w:rsidRDefault="00DE4373" w:rsidP="00DE4373">
      <w:pPr>
        <w:pStyle w:val="ESBulletsinTable"/>
      </w:pPr>
      <w:r>
        <w:t xml:space="preserve">The tools section at the end of each booklet contains important information and resource material. </w:t>
      </w:r>
    </w:p>
    <w:p w14:paraId="43C059E7" w14:textId="77777777" w:rsidR="00DE4373" w:rsidRDefault="00DE4373" w:rsidP="00DE4373">
      <w:pPr>
        <w:pStyle w:val="ESBulletsinTable"/>
      </w:pPr>
      <w:r>
        <w:t xml:space="preserve">There is a </w:t>
      </w:r>
      <w:r w:rsidRPr="00FC2DCF">
        <w:t xml:space="preserve">review/evaluation </w:t>
      </w:r>
      <w:r>
        <w:t xml:space="preserve">form for each year level should teachers </w:t>
      </w:r>
      <w:r w:rsidRPr="00AC5AB2">
        <w:t>wish</w:t>
      </w:r>
      <w:r w:rsidRPr="004C1436">
        <w:t xml:space="preserve"> </w:t>
      </w:r>
      <w:r>
        <w:t>to use it.</w:t>
      </w:r>
    </w:p>
    <w:p w14:paraId="3F47DE07" w14:textId="25394ADF" w:rsidR="00DE4373" w:rsidRDefault="00DE4373" w:rsidP="00DE4373">
      <w:pPr>
        <w:pStyle w:val="ESBodyText"/>
      </w:pPr>
      <w:r>
        <w:t>The Tools section</w:t>
      </w:r>
      <w:r w:rsidRPr="0042256C">
        <w:rPr>
          <w:b/>
          <w:color w:val="7030A0"/>
        </w:rPr>
        <w:t xml:space="preserve"> </w:t>
      </w:r>
      <w:r>
        <w:t xml:space="preserve">includes two important posters. </w:t>
      </w:r>
      <w:r w:rsidRPr="00B1719C">
        <w:rPr>
          <w:i/>
        </w:rPr>
        <w:t>How to Handwash?</w:t>
      </w:r>
      <w:r>
        <w:t xml:space="preserve"> </w:t>
      </w:r>
      <w:proofErr w:type="gramStart"/>
      <w:r>
        <w:t>and</w:t>
      </w:r>
      <w:proofErr w:type="gramEnd"/>
      <w:r>
        <w:t xml:space="preserve"> </w:t>
      </w:r>
      <w:r w:rsidRPr="00B1719C">
        <w:rPr>
          <w:i/>
        </w:rPr>
        <w:t>How to Handrub?</w:t>
      </w:r>
      <w:r>
        <w:t xml:space="preserve"> </w:t>
      </w:r>
      <w:proofErr w:type="gramStart"/>
      <w:r>
        <w:t>are</w:t>
      </w:r>
      <w:proofErr w:type="gramEnd"/>
      <w:r>
        <w:t xml:space="preserve"> from the World Health Organization (WHO). While aimed at healthcare workers, they provide an understanding of the ‘</w:t>
      </w:r>
      <w:r w:rsidRPr="00FC2DCF">
        <w:t>gold</w:t>
      </w:r>
      <w:r w:rsidRPr="0042256C">
        <w:rPr>
          <w:color w:val="FF0000"/>
        </w:rPr>
        <w:t xml:space="preserve"> </w:t>
      </w:r>
      <w:r>
        <w:t xml:space="preserve">standard’ for washing/rubbing hands. Foundation-Grade 2 students </w:t>
      </w:r>
      <w:proofErr w:type="gramStart"/>
      <w:r>
        <w:t>don’t</w:t>
      </w:r>
      <w:proofErr w:type="gramEnd"/>
      <w:r>
        <w:t xml:space="preserve"> need this </w:t>
      </w:r>
      <w:r w:rsidRPr="00FC2DCF">
        <w:t>level of</w:t>
      </w:r>
      <w:r w:rsidRPr="0042256C">
        <w:rPr>
          <w:color w:val="FF0000"/>
        </w:rPr>
        <w:t xml:space="preserve"> </w:t>
      </w:r>
      <w:r>
        <w:t xml:space="preserve">detail, but they are important for teachers as a point of reference when instructing students how to correctly wash hands or use a </w:t>
      </w:r>
      <w:r w:rsidRPr="00FC2DCF">
        <w:t>liquid handrub.</w:t>
      </w:r>
      <w:r>
        <w:t xml:space="preserve"> Similarly, the United Kingdom’s National Health Service (NHS) provide video illustrations and a guide. For further reference, you can go </w:t>
      </w:r>
      <w:proofErr w:type="gramStart"/>
      <w:r>
        <w:t>to</w:t>
      </w:r>
      <w:proofErr w:type="gramEnd"/>
      <w:r>
        <w:t>:</w:t>
      </w:r>
    </w:p>
    <w:p w14:paraId="5C0BA642" w14:textId="77777777" w:rsidR="003B3B9D" w:rsidRPr="003B3B9D" w:rsidRDefault="00DE4373" w:rsidP="00DE4373">
      <w:pPr>
        <w:pStyle w:val="ESBulletsinTable"/>
        <w:rPr>
          <w:rStyle w:val="Hyperlink"/>
          <w:color w:val="auto"/>
          <w:u w:val="none"/>
        </w:rPr>
      </w:pPr>
      <w:r>
        <w:t xml:space="preserve">NHS guide: </w:t>
      </w:r>
      <w:hyperlink r:id="rId19" w:history="1">
        <w:r w:rsidRPr="00794BCF">
          <w:rPr>
            <w:rStyle w:val="Hyperlink"/>
          </w:rPr>
          <w:t>file:///C:/Users/08196543/Downloads/DH_078750.pdf</w:t>
        </w:r>
      </w:hyperlink>
    </w:p>
    <w:p w14:paraId="05348B0C" w14:textId="77777777" w:rsidR="003B3B9D" w:rsidRPr="003B3B9D" w:rsidRDefault="00DE4373" w:rsidP="00DE4373">
      <w:pPr>
        <w:pStyle w:val="ESBulletsinTable"/>
        <w:rPr>
          <w:rStyle w:val="Hyperlink"/>
          <w:color w:val="auto"/>
          <w:u w:val="none"/>
        </w:rPr>
      </w:pPr>
      <w:r>
        <w:t xml:space="preserve">NHS video: </w:t>
      </w:r>
      <w:hyperlink r:id="rId20" w:history="1">
        <w:r w:rsidRPr="00794BCF">
          <w:rPr>
            <w:rStyle w:val="Hyperlink"/>
          </w:rPr>
          <w:t>http://www.nhs.uk/Livewell/homehygiene/Pages/how-to-wash-your-hands-properly.aspx</w:t>
        </w:r>
      </w:hyperlink>
    </w:p>
    <w:p w14:paraId="5ED96932" w14:textId="2253D58F" w:rsidR="00DE4373" w:rsidRDefault="00DE4373" w:rsidP="00DE4373">
      <w:pPr>
        <w:pStyle w:val="ESBulletsinTable"/>
      </w:pPr>
      <w:r>
        <w:t xml:space="preserve">WHO website: </w:t>
      </w:r>
      <w:hyperlink r:id="rId21" w:history="1">
        <w:r w:rsidRPr="00452929">
          <w:rPr>
            <w:rStyle w:val="Hyperlink"/>
          </w:rPr>
          <w:t>www.who.int/en</w:t>
        </w:r>
      </w:hyperlink>
      <w:r>
        <w:t xml:space="preserve">. </w:t>
      </w:r>
    </w:p>
    <w:p w14:paraId="2612B00D" w14:textId="1E3C2D31" w:rsidR="003B3B9D" w:rsidRDefault="00C604A9" w:rsidP="00634D82">
      <w:r w:rsidRPr="00AC5AB2">
        <w:lastRenderedPageBreak/>
        <w:t xml:space="preserve">None of the learning topics </w:t>
      </w:r>
      <w:proofErr w:type="gramStart"/>
      <w:r w:rsidRPr="00AC5AB2">
        <w:t>require</w:t>
      </w:r>
      <w:proofErr w:type="gramEnd"/>
      <w:r w:rsidRPr="00AC5AB2">
        <w:t xml:space="preserve"> teachers to have access to the </w:t>
      </w:r>
      <w:proofErr w:type="spellStart"/>
      <w:r w:rsidRPr="00AC5AB2">
        <w:t>GlitterBug</w:t>
      </w:r>
      <w:proofErr w:type="spellEnd"/>
      <w:r w:rsidRPr="00AC5AB2">
        <w:t xml:space="preserve"> </w:t>
      </w:r>
      <w:r>
        <w:t>Beginner K</w:t>
      </w:r>
      <w:r w:rsidRPr="00AC5AB2">
        <w:t>its; however, a number of suggested activities have been included for those teachers who have access to a kit.</w:t>
      </w:r>
      <w:r>
        <w:t xml:space="preserve"> </w:t>
      </w:r>
      <w:r w:rsidRPr="002445B4">
        <w:t xml:space="preserve">Interested schools can purchase a </w:t>
      </w:r>
      <w:proofErr w:type="spellStart"/>
      <w:r w:rsidRPr="002445B4">
        <w:t>GlitterBug</w:t>
      </w:r>
      <w:proofErr w:type="spellEnd"/>
      <w:r w:rsidRPr="002445B4">
        <w:t xml:space="preserve"> Beginner kit</w:t>
      </w:r>
      <w:r>
        <w:t xml:space="preserve"> online (see References and resources below)</w:t>
      </w:r>
      <w:r w:rsidRPr="002445B4">
        <w:t>.</w:t>
      </w:r>
    </w:p>
    <w:p w14:paraId="4DDDE5CE" w14:textId="77777777" w:rsidR="00DE4373" w:rsidRDefault="00DE4373" w:rsidP="00DE4373">
      <w:r>
        <w:br w:type="page"/>
      </w:r>
    </w:p>
    <w:p w14:paraId="1F448E85" w14:textId="77777777" w:rsidR="002445B4" w:rsidRPr="00F21360" w:rsidRDefault="002445B4" w:rsidP="00935276">
      <w:pPr>
        <w:pStyle w:val="ESHeading1"/>
        <w:spacing w:after="100" w:afterAutospacing="1"/>
        <w:ind w:left="-510"/>
      </w:pPr>
      <w:bookmarkStart w:id="7" w:name="_Toc489000387"/>
      <w:bookmarkStart w:id="8" w:name="_Toc490126504"/>
      <w:r w:rsidRPr="00F21360">
        <w:lastRenderedPageBreak/>
        <w:t>LINKS TO THE VICTORIAN CURRICULUM</w:t>
      </w:r>
      <w:bookmarkEnd w:id="7"/>
      <w:bookmarkEnd w:id="8"/>
    </w:p>
    <w:p w14:paraId="6EAB5DD5" w14:textId="77777777" w:rsidR="002445B4" w:rsidRPr="00654002" w:rsidRDefault="002445B4" w:rsidP="00935276">
      <w:pPr>
        <w:pStyle w:val="ESBodyText"/>
        <w:spacing w:after="100" w:afterAutospacing="1"/>
        <w:ind w:left="-510"/>
      </w:pPr>
      <w:r w:rsidRPr="00654002">
        <w:t xml:space="preserve">This healthy </w:t>
      </w:r>
      <w:proofErr w:type="gramStart"/>
      <w:r w:rsidRPr="00654002">
        <w:t>handwashing curriculum resource package</w:t>
      </w:r>
      <w:proofErr w:type="gramEnd"/>
      <w:r w:rsidRPr="00654002">
        <w:t xml:space="preserve"> links with the </w:t>
      </w:r>
      <w:r w:rsidRPr="00654002">
        <w:rPr>
          <w:b/>
        </w:rPr>
        <w:t xml:space="preserve">Health and Physical Education </w:t>
      </w:r>
      <w:r w:rsidRPr="00DA714E">
        <w:rPr>
          <w:b/>
        </w:rPr>
        <w:t>Learning Area</w:t>
      </w:r>
      <w:r w:rsidRPr="00DA714E">
        <w:t>,</w:t>
      </w:r>
      <w:r w:rsidRPr="00654002">
        <w:t xml:space="preserve"> but also relates to the </w:t>
      </w:r>
      <w:r w:rsidRPr="00654002">
        <w:rPr>
          <w:b/>
        </w:rPr>
        <w:t>Critical and Creative Thinking</w:t>
      </w:r>
      <w:r w:rsidRPr="00654002">
        <w:t xml:space="preserve"> </w:t>
      </w:r>
      <w:r w:rsidRPr="00DA714E">
        <w:rPr>
          <w:b/>
        </w:rPr>
        <w:t>Capabilities</w:t>
      </w:r>
      <w:r>
        <w:t xml:space="preserve"> within</w:t>
      </w:r>
      <w:r w:rsidRPr="00654002">
        <w:t xml:space="preserve"> the Victorian Curriculum</w:t>
      </w:r>
      <w:r>
        <w:t xml:space="preserve"> F-</w:t>
      </w:r>
      <w:r w:rsidRPr="00654002">
        <w:t>10.</w:t>
      </w:r>
    </w:p>
    <w:tbl>
      <w:tblPr>
        <w:tblStyle w:val="TableGrid"/>
        <w:tblW w:w="10343" w:type="dxa"/>
        <w:tblInd w:w="-53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97"/>
        <w:gridCol w:w="5246"/>
      </w:tblGrid>
      <w:tr w:rsidR="00F21360" w:rsidRPr="00C91D88" w14:paraId="74EFE87C" w14:textId="77777777" w:rsidTr="00935276">
        <w:tc>
          <w:tcPr>
            <w:tcW w:w="10343" w:type="dxa"/>
            <w:gridSpan w:val="2"/>
            <w:shd w:val="clear" w:color="auto" w:fill="C00000"/>
          </w:tcPr>
          <w:p w14:paraId="6CABD691" w14:textId="6FF7F90A" w:rsidR="002445B4" w:rsidRPr="00C91D88" w:rsidRDefault="00C91D88" w:rsidP="00C91D88">
            <w:pPr>
              <w:pStyle w:val="ESTableHeader"/>
              <w:rPr>
                <w:rStyle w:val="WHITE"/>
                <w:color w:val="FFFFFF" w:themeColor="background1"/>
              </w:rPr>
            </w:pPr>
            <w:r w:rsidRPr="00C91D88">
              <w:rPr>
                <w:rStyle w:val="WHITE"/>
                <w:color w:val="FFFFFF" w:themeColor="background1"/>
              </w:rPr>
              <w:t>HEALTH AND PHYSICAL EDUCATION LEARNING AREA</w:t>
            </w:r>
          </w:p>
          <w:p w14:paraId="17536254" w14:textId="6B21629F" w:rsidR="002445B4" w:rsidRPr="00C91D88" w:rsidRDefault="00C91D88" w:rsidP="00C91D88">
            <w:pPr>
              <w:pStyle w:val="ESTableHeader"/>
              <w:rPr>
                <w:rStyle w:val="WHITE"/>
                <w:color w:val="FFFFFF" w:themeColor="background1"/>
              </w:rPr>
            </w:pPr>
            <w:r w:rsidRPr="00C91D88">
              <w:rPr>
                <w:rStyle w:val="WHITE"/>
                <w:color w:val="FFFFFF" w:themeColor="background1"/>
              </w:rPr>
              <w:t>CONTENT DESCRIPTIONS</w:t>
            </w:r>
          </w:p>
        </w:tc>
      </w:tr>
      <w:tr w:rsidR="002445B4" w14:paraId="2A83E6E5" w14:textId="77777777" w:rsidTr="00935276">
        <w:tc>
          <w:tcPr>
            <w:tcW w:w="10343" w:type="dxa"/>
            <w:gridSpan w:val="2"/>
          </w:tcPr>
          <w:p w14:paraId="32B6D130" w14:textId="77777777" w:rsidR="002445B4" w:rsidRPr="002445B4" w:rsidRDefault="002445B4" w:rsidP="00F95F9E">
            <w:pPr>
              <w:rPr>
                <w:b/>
              </w:rPr>
            </w:pPr>
            <w:r w:rsidRPr="002445B4">
              <w:rPr>
                <w:b/>
              </w:rPr>
              <w:t>Personal, Social and Community Health</w:t>
            </w:r>
          </w:p>
        </w:tc>
      </w:tr>
      <w:tr w:rsidR="002445B4" w14:paraId="3E14DDF2" w14:textId="77777777" w:rsidTr="00935276">
        <w:tc>
          <w:tcPr>
            <w:tcW w:w="5097" w:type="dxa"/>
          </w:tcPr>
          <w:p w14:paraId="213DAB78" w14:textId="77777777" w:rsidR="002445B4" w:rsidRPr="002445B4" w:rsidRDefault="002445B4" w:rsidP="00F95F9E">
            <w:pPr>
              <w:rPr>
                <w:b/>
              </w:rPr>
            </w:pPr>
            <w:r w:rsidRPr="002445B4">
              <w:rPr>
                <w:b/>
              </w:rPr>
              <w:t>Foundation Level</w:t>
            </w:r>
          </w:p>
        </w:tc>
        <w:tc>
          <w:tcPr>
            <w:tcW w:w="5246" w:type="dxa"/>
          </w:tcPr>
          <w:p w14:paraId="55E7F0FC" w14:textId="77777777" w:rsidR="002445B4" w:rsidRPr="002445B4" w:rsidRDefault="002445B4" w:rsidP="00F95F9E">
            <w:pPr>
              <w:rPr>
                <w:b/>
              </w:rPr>
            </w:pPr>
            <w:r w:rsidRPr="002445B4">
              <w:rPr>
                <w:b/>
              </w:rPr>
              <w:t>Levels 1 and 2</w:t>
            </w:r>
          </w:p>
        </w:tc>
      </w:tr>
      <w:tr w:rsidR="002445B4" w:rsidRPr="002445B4" w14:paraId="4E725071" w14:textId="77777777" w:rsidTr="00935276">
        <w:tc>
          <w:tcPr>
            <w:tcW w:w="10343" w:type="dxa"/>
            <w:gridSpan w:val="2"/>
            <w:shd w:val="clear" w:color="auto" w:fill="D9D9D9" w:themeFill="background1" w:themeFillShade="D9"/>
          </w:tcPr>
          <w:p w14:paraId="4193640E" w14:textId="77777777" w:rsidR="002445B4" w:rsidRPr="002445B4" w:rsidRDefault="002445B4" w:rsidP="00C91D88">
            <w:pPr>
              <w:pStyle w:val="ESTablesubheading"/>
            </w:pPr>
            <w:r w:rsidRPr="002445B4">
              <w:t>Being healthy, safe and active</w:t>
            </w:r>
          </w:p>
        </w:tc>
      </w:tr>
      <w:tr w:rsidR="002445B4" w14:paraId="264D6EFB" w14:textId="77777777" w:rsidTr="00935276">
        <w:tc>
          <w:tcPr>
            <w:tcW w:w="5097" w:type="dxa"/>
          </w:tcPr>
          <w:p w14:paraId="5A048FFB" w14:textId="77777777" w:rsidR="002445B4" w:rsidRPr="0073333A" w:rsidRDefault="002445B4" w:rsidP="002445B4">
            <w:pPr>
              <w:pStyle w:val="ESBulletsinTable"/>
            </w:pPr>
            <w:r>
              <w:t>Identify people and actions that help keep themselves safe and healthy (VCHPEP059).</w:t>
            </w:r>
          </w:p>
        </w:tc>
        <w:tc>
          <w:tcPr>
            <w:tcW w:w="5246" w:type="dxa"/>
          </w:tcPr>
          <w:p w14:paraId="7C14690C" w14:textId="77777777" w:rsidR="002445B4" w:rsidRDefault="002445B4" w:rsidP="002445B4">
            <w:pPr>
              <w:pStyle w:val="ESBulletsinTable"/>
            </w:pPr>
            <w:r w:rsidRPr="007B1E47">
              <w:t>Practise strategies they can use when they need help with a task, problem or situation at home and/or at school</w:t>
            </w:r>
            <w:r>
              <w:t xml:space="preserve"> (VCHPEP073).</w:t>
            </w:r>
          </w:p>
          <w:p w14:paraId="0F82C1B1" w14:textId="0D1CBAA2" w:rsidR="002445B4" w:rsidRPr="002445B4" w:rsidRDefault="002445B4" w:rsidP="002445B4">
            <w:pPr>
              <w:pStyle w:val="ESBulletsinTable"/>
            </w:pPr>
            <w:r w:rsidRPr="00243E0A">
              <w:t>Recognise situations and opportunities to promote their own health, safety and wellbeing (VCHPEP074).</w:t>
            </w:r>
          </w:p>
        </w:tc>
      </w:tr>
      <w:tr w:rsidR="002445B4" w14:paraId="45EF34CE" w14:textId="77777777" w:rsidTr="00935276">
        <w:tc>
          <w:tcPr>
            <w:tcW w:w="10343" w:type="dxa"/>
            <w:gridSpan w:val="2"/>
            <w:shd w:val="clear" w:color="auto" w:fill="D9D9D9" w:themeFill="background1" w:themeFillShade="D9"/>
          </w:tcPr>
          <w:p w14:paraId="03A75832" w14:textId="77777777" w:rsidR="002445B4" w:rsidRPr="001706C6" w:rsidRDefault="002445B4" w:rsidP="00C91D88">
            <w:pPr>
              <w:pStyle w:val="ESTablesubheading"/>
            </w:pPr>
            <w:r w:rsidRPr="00B1042F">
              <w:t>Communicating and interacting for health and wellbeing</w:t>
            </w:r>
          </w:p>
        </w:tc>
      </w:tr>
      <w:tr w:rsidR="002445B4" w14:paraId="79F7DA03" w14:textId="77777777" w:rsidTr="00935276">
        <w:tc>
          <w:tcPr>
            <w:tcW w:w="5097" w:type="dxa"/>
          </w:tcPr>
          <w:p w14:paraId="04C996FC" w14:textId="77777777" w:rsidR="002445B4" w:rsidRDefault="002445B4" w:rsidP="002445B4">
            <w:pPr>
              <w:pStyle w:val="ESBulletsinTable"/>
            </w:pPr>
            <w:r>
              <w:t>Practise</w:t>
            </w:r>
            <w:r w:rsidRPr="007B1E47">
              <w:t xml:space="preserve"> personal and social skills to interact with others</w:t>
            </w:r>
            <w:r>
              <w:t xml:space="preserve"> (VCHPEP060).</w:t>
            </w:r>
          </w:p>
        </w:tc>
        <w:tc>
          <w:tcPr>
            <w:tcW w:w="5246" w:type="dxa"/>
          </w:tcPr>
          <w:p w14:paraId="44B1F459" w14:textId="77777777" w:rsidR="002445B4" w:rsidRPr="007B1E47" w:rsidRDefault="002445B4" w:rsidP="002445B4">
            <w:pPr>
              <w:pStyle w:val="ESBulletsinTable"/>
            </w:pPr>
            <w:r w:rsidRPr="001706C6">
              <w:t xml:space="preserve">Examine </w:t>
            </w:r>
            <w:proofErr w:type="gramStart"/>
            <w:r w:rsidRPr="001706C6">
              <w:t>health messages and how they relate to health decisions and behaviours (VCHPEP077)</w:t>
            </w:r>
            <w:proofErr w:type="gramEnd"/>
            <w:r w:rsidRPr="001706C6">
              <w:t>.</w:t>
            </w:r>
          </w:p>
        </w:tc>
      </w:tr>
      <w:tr w:rsidR="002445B4" w14:paraId="5356E2E4" w14:textId="77777777" w:rsidTr="00935276">
        <w:tc>
          <w:tcPr>
            <w:tcW w:w="10343" w:type="dxa"/>
            <w:gridSpan w:val="2"/>
            <w:shd w:val="clear" w:color="auto" w:fill="D9D9D9" w:themeFill="background1" w:themeFillShade="D9"/>
          </w:tcPr>
          <w:p w14:paraId="3473A392" w14:textId="77777777" w:rsidR="002445B4" w:rsidRPr="007B1E47" w:rsidRDefault="002445B4" w:rsidP="00C91D88">
            <w:pPr>
              <w:pStyle w:val="ESTablesubheading"/>
            </w:pPr>
            <w:r w:rsidRPr="00B1042F">
              <w:t>Contributing to healthy and active communities</w:t>
            </w:r>
          </w:p>
        </w:tc>
      </w:tr>
      <w:tr w:rsidR="002445B4" w14:paraId="59F75B3E" w14:textId="77777777" w:rsidTr="00935276">
        <w:tc>
          <w:tcPr>
            <w:tcW w:w="5097" w:type="dxa"/>
          </w:tcPr>
          <w:p w14:paraId="3C990C97" w14:textId="45164BBB" w:rsidR="002445B4" w:rsidRPr="002445B4" w:rsidRDefault="002445B4" w:rsidP="002445B4">
            <w:pPr>
              <w:pStyle w:val="ESBulletsinTable"/>
            </w:pPr>
            <w:r>
              <w:t>Identify actions that promote health, safety and wellbeing (VCHPEP062).</w:t>
            </w:r>
          </w:p>
        </w:tc>
        <w:tc>
          <w:tcPr>
            <w:tcW w:w="5246" w:type="dxa"/>
          </w:tcPr>
          <w:p w14:paraId="41865854" w14:textId="5461D628" w:rsidR="002445B4" w:rsidRPr="002445B4" w:rsidRDefault="002445B4" w:rsidP="002445B4">
            <w:pPr>
              <w:pStyle w:val="ESBulletsinTable"/>
            </w:pPr>
            <w:r>
              <w:t>Explore actions that help make the classroom a healthy, safe and active place (VCHPEP078).</w:t>
            </w:r>
          </w:p>
        </w:tc>
      </w:tr>
      <w:tr w:rsidR="002445B4" w14:paraId="61E34875" w14:textId="77777777" w:rsidTr="00935276">
        <w:tc>
          <w:tcPr>
            <w:tcW w:w="10343" w:type="dxa"/>
            <w:gridSpan w:val="2"/>
            <w:shd w:val="clear" w:color="auto" w:fill="D9D9D9" w:themeFill="background1" w:themeFillShade="D9"/>
          </w:tcPr>
          <w:p w14:paraId="0174335E" w14:textId="77777777" w:rsidR="002445B4" w:rsidRPr="00F72702" w:rsidRDefault="002445B4" w:rsidP="00C91D88">
            <w:pPr>
              <w:pStyle w:val="ESTablesubheading"/>
            </w:pPr>
            <w:r w:rsidRPr="00F72702">
              <w:t>Relevant parts of the Achievement Standard</w:t>
            </w:r>
          </w:p>
        </w:tc>
      </w:tr>
      <w:tr w:rsidR="002445B4" w14:paraId="5DF2CEA4" w14:textId="77777777" w:rsidTr="00935276">
        <w:tc>
          <w:tcPr>
            <w:tcW w:w="5097" w:type="dxa"/>
          </w:tcPr>
          <w:p w14:paraId="675F89E4" w14:textId="77777777" w:rsidR="002445B4" w:rsidRPr="00F72702" w:rsidRDefault="002445B4" w:rsidP="00F621DF">
            <w:pPr>
              <w:pStyle w:val="ESBodyText"/>
            </w:pPr>
            <w:r w:rsidRPr="00F72702">
              <w:rPr>
                <w:b/>
              </w:rPr>
              <w:t>By the end of Foundation Level</w:t>
            </w:r>
            <w:r w:rsidRPr="00F72702">
              <w:t xml:space="preserve">, students </w:t>
            </w:r>
            <w:proofErr w:type="spellStart"/>
            <w:r w:rsidRPr="00F72702">
              <w:t>recognise</w:t>
            </w:r>
            <w:proofErr w:type="spellEnd"/>
            <w:r w:rsidRPr="00F72702">
              <w:t xml:space="preserve"> how they are growing and changing. They identify and describe the different emotions people experience. </w:t>
            </w:r>
            <w:r w:rsidRPr="00F72702">
              <w:rPr>
                <w:b/>
              </w:rPr>
              <w:t xml:space="preserve">They identify actions that help them be healthy, safe </w:t>
            </w:r>
            <w:r w:rsidRPr="00F72702">
              <w:t>and physically active. They identify different settings where they can be active and how to move and play safely. They describe how their body responds to movement.</w:t>
            </w:r>
          </w:p>
          <w:p w14:paraId="5739EFE1" w14:textId="77777777" w:rsidR="002445B4" w:rsidRPr="00F72702" w:rsidRDefault="002445B4" w:rsidP="00F621DF">
            <w:pPr>
              <w:pStyle w:val="ESBodyText"/>
              <w:rPr>
                <w:rFonts w:eastAsia="Times New Roman"/>
                <w:color w:val="333333"/>
                <w:sz w:val="24"/>
                <w:szCs w:val="24"/>
                <w:lang w:eastAsia="en-AU"/>
              </w:rPr>
            </w:pPr>
            <w:r w:rsidRPr="00F72702">
              <w:rPr>
                <w:b/>
              </w:rPr>
              <w:t>Students use personal and social skills when working with others in a range of activities. They demonstrate, with guidance, practices to keep themselves safe and healthy in different situations and activities.</w:t>
            </w:r>
            <w:r w:rsidRPr="00F72702">
              <w:t xml:space="preserve"> They perform fundamental movement skills and solve movement challenges.</w:t>
            </w:r>
          </w:p>
        </w:tc>
        <w:tc>
          <w:tcPr>
            <w:tcW w:w="5246" w:type="dxa"/>
          </w:tcPr>
          <w:p w14:paraId="64B474D6" w14:textId="77777777" w:rsidR="002445B4" w:rsidRPr="00EE3CEF" w:rsidRDefault="002445B4" w:rsidP="00F621DF">
            <w:pPr>
              <w:pStyle w:val="ESBodyText"/>
            </w:pPr>
            <w:r w:rsidRPr="00EE3CEF">
              <w:rPr>
                <w:b/>
              </w:rPr>
              <w:t>By the end of Level 2</w:t>
            </w:r>
            <w:r w:rsidRPr="00EE3CEF">
              <w:t xml:space="preserve">, students describe changes that </w:t>
            </w:r>
            <w:proofErr w:type="gramStart"/>
            <w:r w:rsidRPr="00EE3CEF">
              <w:t>occur</w:t>
            </w:r>
            <w:proofErr w:type="gramEnd"/>
            <w:r w:rsidRPr="00EE3CEF">
              <w:t xml:space="preserve"> as they grow older. They </w:t>
            </w:r>
            <w:proofErr w:type="spellStart"/>
            <w:r w:rsidRPr="00EE3CEF">
              <w:t>recognise</w:t>
            </w:r>
            <w:proofErr w:type="spellEnd"/>
            <w:r w:rsidRPr="00EE3CEF">
              <w:t xml:space="preserve"> how strengths and achievements contribute to identities. They understand how emotional responses impact on others’ feelings. </w:t>
            </w:r>
            <w:r w:rsidRPr="00EE3CEF">
              <w:rPr>
                <w:b/>
              </w:rPr>
              <w:t xml:space="preserve">They examine messages related to health decisions and describe how to help keep themselves and others healthy, safe and physically active. </w:t>
            </w:r>
            <w:r w:rsidRPr="00EE3CEF">
              <w:t>They identify areas where they can be active and how the body reacts to different physical activities.</w:t>
            </w:r>
          </w:p>
          <w:p w14:paraId="79F3175F" w14:textId="77777777" w:rsidR="002445B4" w:rsidRPr="00EE3CEF" w:rsidRDefault="002445B4" w:rsidP="00F621DF">
            <w:pPr>
              <w:pStyle w:val="ESBodyText"/>
            </w:pPr>
            <w:r w:rsidRPr="00EE3CEF">
              <w:t xml:space="preserve">Students demonstrate positive ways to interact with others. </w:t>
            </w:r>
            <w:r w:rsidRPr="00EE3CEF">
              <w:rPr>
                <w:b/>
              </w:rPr>
              <w:t>They select strategies at home and/or school to keep themselves healthy and safe and are able to ask for help with tasks or problems.</w:t>
            </w:r>
            <w:r w:rsidRPr="00EE3CEF">
              <w:t xml:space="preserve"> They demonstrate fundamental movement skills in different movement situations and test alternatives to solve movement challenges. They perform movement sequences that incorporate the elements of movement.</w:t>
            </w:r>
          </w:p>
          <w:p w14:paraId="7DD48B59" w14:textId="77777777" w:rsidR="002445B4" w:rsidRPr="00EE3CEF" w:rsidRDefault="002445B4" w:rsidP="00F621DF">
            <w:pPr>
              <w:pStyle w:val="ESBodyText"/>
            </w:pPr>
          </w:p>
        </w:tc>
      </w:tr>
    </w:tbl>
    <w:p w14:paraId="46EE466A" w14:textId="77777777" w:rsidR="002445B4" w:rsidRDefault="002445B4" w:rsidP="002445B4">
      <w:pPr>
        <w:spacing w:after="0" w:line="240" w:lineRule="auto"/>
        <w:rPr>
          <w:b/>
          <w:sz w:val="20"/>
          <w:szCs w:val="20"/>
        </w:rPr>
      </w:pPr>
    </w:p>
    <w:p w14:paraId="3E102C5F" w14:textId="77777777" w:rsidR="002445B4" w:rsidRDefault="002445B4" w:rsidP="002445B4">
      <w:pPr>
        <w:spacing w:after="0" w:line="240" w:lineRule="auto"/>
        <w:rPr>
          <w:b/>
          <w:sz w:val="20"/>
          <w:szCs w:val="20"/>
        </w:rPr>
      </w:pPr>
    </w:p>
    <w:p w14:paraId="0D830684" w14:textId="77777777" w:rsidR="002445B4" w:rsidRDefault="002445B4" w:rsidP="002445B4">
      <w:pPr>
        <w:spacing w:after="0" w:line="240" w:lineRule="auto"/>
        <w:rPr>
          <w:b/>
          <w:sz w:val="20"/>
          <w:szCs w:val="20"/>
        </w:rPr>
      </w:pPr>
    </w:p>
    <w:p w14:paraId="4F276765" w14:textId="1C715E6F" w:rsidR="002445B4" w:rsidRDefault="002445B4" w:rsidP="002445B4">
      <w:pPr>
        <w:rPr>
          <w:b/>
          <w:sz w:val="20"/>
          <w:szCs w:val="20"/>
        </w:rPr>
      </w:pPr>
    </w:p>
    <w:p w14:paraId="5BF79F34" w14:textId="4A3EEBF9" w:rsidR="002445B4" w:rsidRPr="00C91D88" w:rsidRDefault="00C91D88" w:rsidP="002445B4">
      <w:pPr>
        <w:spacing w:after="0" w:line="240" w:lineRule="auto"/>
        <w:rPr>
          <w:b/>
          <w:sz w:val="20"/>
          <w:szCs w:val="20"/>
        </w:rPr>
      </w:pPr>
      <w:r>
        <w:rPr>
          <w:b/>
          <w:sz w:val="20"/>
          <w:szCs w:val="20"/>
        </w:rPr>
        <w:br w:type="page"/>
      </w:r>
    </w:p>
    <w:p w14:paraId="33832900" w14:textId="77777777" w:rsidR="002445B4" w:rsidRDefault="002445B4" w:rsidP="002445B4">
      <w:pPr>
        <w:spacing w:after="0" w:line="240" w:lineRule="auto"/>
        <w:rPr>
          <w:b/>
          <w:sz w:val="20"/>
          <w:szCs w:val="20"/>
        </w:rPr>
      </w:pPr>
      <w:r>
        <w:rPr>
          <w:b/>
          <w:sz w:val="20"/>
          <w:szCs w:val="20"/>
        </w:rPr>
        <w:lastRenderedPageBreak/>
        <w:t xml:space="preserve"> </w:t>
      </w:r>
    </w:p>
    <w:tbl>
      <w:tblPr>
        <w:tblStyle w:val="TableGrid"/>
        <w:tblW w:w="944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446"/>
      </w:tblGrid>
      <w:tr w:rsidR="00F621DF" w:rsidRPr="00C91D88" w14:paraId="0B4FADE1" w14:textId="77777777" w:rsidTr="007F4F33">
        <w:trPr>
          <w:trHeight w:val="721"/>
        </w:trPr>
        <w:tc>
          <w:tcPr>
            <w:tcW w:w="9446" w:type="dxa"/>
            <w:shd w:val="clear" w:color="auto" w:fill="C00000"/>
          </w:tcPr>
          <w:p w14:paraId="49C8AAD5" w14:textId="77777777" w:rsidR="002445B4" w:rsidRPr="00C91D88" w:rsidRDefault="002445B4" w:rsidP="00C91D88">
            <w:pPr>
              <w:pStyle w:val="ESTableHeader"/>
            </w:pPr>
            <w:r w:rsidRPr="00C91D88">
              <w:br w:type="page"/>
              <w:t>CRITICAL AND CREATIVE THINKING CAPABILITIES</w:t>
            </w:r>
          </w:p>
          <w:p w14:paraId="324E924F" w14:textId="77777777" w:rsidR="002445B4" w:rsidRPr="00C91D88" w:rsidRDefault="002445B4" w:rsidP="00C91D88">
            <w:pPr>
              <w:pStyle w:val="ESTableHeader"/>
            </w:pPr>
            <w:r w:rsidRPr="00C91D88">
              <w:t>CONTENT DESCRIPTIONS</w:t>
            </w:r>
          </w:p>
        </w:tc>
      </w:tr>
      <w:tr w:rsidR="002445B4" w14:paraId="269FFDB5" w14:textId="77777777" w:rsidTr="007F4F33">
        <w:trPr>
          <w:trHeight w:val="329"/>
        </w:trPr>
        <w:tc>
          <w:tcPr>
            <w:tcW w:w="9446" w:type="dxa"/>
            <w:shd w:val="clear" w:color="auto" w:fill="D9D9D9" w:themeFill="background1" w:themeFillShade="D9"/>
          </w:tcPr>
          <w:p w14:paraId="0ACE47AA" w14:textId="77777777" w:rsidR="002445B4" w:rsidRDefault="002445B4" w:rsidP="00C91D88">
            <w:pPr>
              <w:pStyle w:val="ESTablesubheading"/>
            </w:pPr>
            <w:r>
              <w:t>Foundation to Level 2</w:t>
            </w:r>
          </w:p>
        </w:tc>
      </w:tr>
      <w:tr w:rsidR="002445B4" w14:paraId="4B39D161" w14:textId="77777777" w:rsidTr="007F4F33">
        <w:trPr>
          <w:trHeight w:val="1316"/>
        </w:trPr>
        <w:tc>
          <w:tcPr>
            <w:tcW w:w="9446" w:type="dxa"/>
          </w:tcPr>
          <w:p w14:paraId="62D4BE07" w14:textId="77777777" w:rsidR="002445B4" w:rsidRPr="00F621DF" w:rsidRDefault="002445B4" w:rsidP="00F621DF">
            <w:pPr>
              <w:pStyle w:val="ESBodyText"/>
              <w:rPr>
                <w:b/>
              </w:rPr>
            </w:pPr>
            <w:r w:rsidRPr="00F621DF">
              <w:rPr>
                <w:b/>
              </w:rPr>
              <w:t>Questions and possibilities</w:t>
            </w:r>
          </w:p>
          <w:p w14:paraId="168AF201" w14:textId="77777777" w:rsidR="002445B4" w:rsidRPr="00253531" w:rsidRDefault="002445B4" w:rsidP="00F621DF">
            <w:pPr>
              <w:pStyle w:val="ESBulletsinTable"/>
              <w:rPr>
                <w:b/>
              </w:rPr>
            </w:pPr>
            <w:r w:rsidRPr="00253531">
              <w:t>Identify, describe and use different kinds of question stems to gather information and ideas</w:t>
            </w:r>
            <w:r>
              <w:t>.</w:t>
            </w:r>
          </w:p>
          <w:p w14:paraId="6B72D392" w14:textId="77777777" w:rsidR="002445B4" w:rsidRPr="00253531" w:rsidRDefault="002445B4" w:rsidP="00F621DF">
            <w:pPr>
              <w:pStyle w:val="ESBulletsinTable"/>
              <w:rPr>
                <w:b/>
              </w:rPr>
            </w:pPr>
            <w:r w:rsidRPr="00253531">
              <w:t xml:space="preserve">Consider personal reactions to </w:t>
            </w:r>
            <w:proofErr w:type="gramStart"/>
            <w:r w:rsidRPr="00253531">
              <w:t>situations or problems and how these reactions may influence thinking</w:t>
            </w:r>
            <w:proofErr w:type="gramEnd"/>
            <w:r>
              <w:t>.</w:t>
            </w:r>
          </w:p>
          <w:p w14:paraId="33B1E8B9" w14:textId="0C61BFEF" w:rsidR="002445B4" w:rsidRPr="00B1042F" w:rsidRDefault="002445B4" w:rsidP="00F621DF">
            <w:pPr>
              <w:pStyle w:val="ESBulletsinTable"/>
              <w:rPr>
                <w:b/>
              </w:rPr>
            </w:pPr>
            <w:r>
              <w:t xml:space="preserve">Make </w:t>
            </w:r>
            <w:r w:rsidRPr="00253531">
              <w:t>simple modifications to known ideas and routine solutions to generate some different ideas and possibilities</w:t>
            </w:r>
            <w:r>
              <w:t>.</w:t>
            </w:r>
          </w:p>
        </w:tc>
      </w:tr>
      <w:tr w:rsidR="002445B4" w14:paraId="7168D855" w14:textId="77777777" w:rsidTr="007F4F33">
        <w:trPr>
          <w:trHeight w:val="886"/>
        </w:trPr>
        <w:tc>
          <w:tcPr>
            <w:tcW w:w="9446" w:type="dxa"/>
          </w:tcPr>
          <w:p w14:paraId="04225DB8" w14:textId="77777777" w:rsidR="002445B4" w:rsidRPr="00F621DF" w:rsidRDefault="002445B4" w:rsidP="00F621DF">
            <w:pPr>
              <w:pStyle w:val="ESBodyText"/>
              <w:rPr>
                <w:b/>
              </w:rPr>
            </w:pPr>
            <w:r w:rsidRPr="00F621DF">
              <w:rPr>
                <w:b/>
              </w:rPr>
              <w:t>Reasoning</w:t>
            </w:r>
          </w:p>
          <w:p w14:paraId="35720967" w14:textId="77777777" w:rsidR="002445B4" w:rsidRPr="00253531" w:rsidRDefault="002445B4" w:rsidP="00F621DF">
            <w:pPr>
              <w:pStyle w:val="ESBulletsinTable"/>
            </w:pPr>
            <w:r w:rsidRPr="00253531">
              <w:t>Compare and contrast information and ideas in own and others reasoning</w:t>
            </w:r>
            <w:r>
              <w:t>.</w:t>
            </w:r>
          </w:p>
          <w:p w14:paraId="022570E6" w14:textId="05257E91" w:rsidR="002445B4" w:rsidRPr="00F621DF" w:rsidRDefault="002445B4" w:rsidP="00F621DF">
            <w:pPr>
              <w:pStyle w:val="ESBulletsinTable"/>
            </w:pPr>
            <w:r w:rsidRPr="00253531">
              <w:t xml:space="preserve">Consider how reasons and examples </w:t>
            </w:r>
            <w:proofErr w:type="gramStart"/>
            <w:r w:rsidRPr="00253531">
              <w:t>are used</w:t>
            </w:r>
            <w:proofErr w:type="gramEnd"/>
            <w:r w:rsidRPr="00253531">
              <w:t xml:space="preserve"> to support a point of view and illustrate meaning</w:t>
            </w:r>
            <w:r>
              <w:t>.</w:t>
            </w:r>
          </w:p>
        </w:tc>
      </w:tr>
      <w:tr w:rsidR="002445B4" w14:paraId="4A287545" w14:textId="77777777" w:rsidTr="007F4F33">
        <w:trPr>
          <w:trHeight w:val="671"/>
        </w:trPr>
        <w:tc>
          <w:tcPr>
            <w:tcW w:w="9446" w:type="dxa"/>
          </w:tcPr>
          <w:p w14:paraId="5E40183C" w14:textId="77777777" w:rsidR="002445B4" w:rsidRPr="00F621DF" w:rsidRDefault="002445B4" w:rsidP="00F621DF">
            <w:pPr>
              <w:pStyle w:val="ESBodyText"/>
              <w:rPr>
                <w:b/>
              </w:rPr>
            </w:pPr>
            <w:r w:rsidRPr="00F621DF">
              <w:rPr>
                <w:b/>
              </w:rPr>
              <w:t>Metacognition</w:t>
            </w:r>
          </w:p>
          <w:p w14:paraId="6CA9D39F" w14:textId="52FA42FF" w:rsidR="002445B4" w:rsidRPr="00F621DF" w:rsidRDefault="002445B4" w:rsidP="00F621DF">
            <w:pPr>
              <w:pStyle w:val="ESBulletsinTable"/>
            </w:pPr>
            <w:r w:rsidRPr="00253531">
              <w:t>Investigate ways to problem-solve, using egocentric and experiential language</w:t>
            </w:r>
            <w:r>
              <w:t>.</w:t>
            </w:r>
          </w:p>
        </w:tc>
      </w:tr>
      <w:tr w:rsidR="002445B4" w14:paraId="46C9E3FD" w14:textId="77777777" w:rsidTr="007F4F33">
        <w:trPr>
          <w:trHeight w:val="354"/>
        </w:trPr>
        <w:tc>
          <w:tcPr>
            <w:tcW w:w="9446" w:type="dxa"/>
          </w:tcPr>
          <w:p w14:paraId="0D27B14F" w14:textId="77777777" w:rsidR="002445B4" w:rsidRPr="00F621DF" w:rsidRDefault="002445B4" w:rsidP="00F621DF">
            <w:pPr>
              <w:pStyle w:val="ESBodyText"/>
              <w:rPr>
                <w:b/>
              </w:rPr>
            </w:pPr>
            <w:r w:rsidRPr="00F621DF">
              <w:rPr>
                <w:b/>
              </w:rPr>
              <w:t>Relevant parts of the Achievement Standard</w:t>
            </w:r>
          </w:p>
        </w:tc>
      </w:tr>
      <w:tr w:rsidR="002445B4" w14:paraId="423FF189" w14:textId="77777777" w:rsidTr="007F4F33">
        <w:trPr>
          <w:trHeight w:val="1455"/>
        </w:trPr>
        <w:tc>
          <w:tcPr>
            <w:tcW w:w="9446" w:type="dxa"/>
          </w:tcPr>
          <w:p w14:paraId="4A3C34E8" w14:textId="77777777" w:rsidR="002445B4" w:rsidRPr="000A50AF" w:rsidRDefault="002445B4" w:rsidP="00F621DF">
            <w:pPr>
              <w:pStyle w:val="ESBodyText"/>
            </w:pPr>
            <w:r w:rsidRPr="00F725AF">
              <w:t>By the end of Level 2</w:t>
            </w:r>
            <w:r w:rsidRPr="000A50AF">
              <w:t xml:space="preserve">, </w:t>
            </w:r>
            <w:r w:rsidRPr="00F725AF">
              <w:t>students use and give examples of different kinds of questions. Students generate ideas that are new to them and make choices after considering personal preferences.</w:t>
            </w:r>
            <w:r w:rsidRPr="000A50AF">
              <w:t xml:space="preserve"> </w:t>
            </w:r>
          </w:p>
          <w:p w14:paraId="124A2A28" w14:textId="77777777" w:rsidR="002445B4" w:rsidRPr="00F725AF" w:rsidRDefault="002445B4" w:rsidP="00F621DF">
            <w:pPr>
              <w:pStyle w:val="ESBodyText"/>
            </w:pPr>
            <w:r w:rsidRPr="00F725AF">
              <w:t>Students identify words that indicate components of a point of view. They use reasons and examples for different purposes. Students express and describe thinking activity. They practice some learning strategies. Students demonstrate and articulate some problem-solving approaches.</w:t>
            </w:r>
          </w:p>
        </w:tc>
      </w:tr>
    </w:tbl>
    <w:p w14:paraId="2A21FDAC" w14:textId="77777777" w:rsidR="002445B4" w:rsidRDefault="002445B4" w:rsidP="002445B4">
      <w:pPr>
        <w:pStyle w:val="Heading1"/>
        <w:rPr>
          <w:rFonts w:asciiTheme="minorHAnsi" w:hAnsiTheme="minorHAnsi" w:cstheme="minorHAnsi"/>
          <w:b w:val="0"/>
          <w:color w:val="auto"/>
          <w:sz w:val="26"/>
          <w:szCs w:val="24"/>
        </w:rPr>
      </w:pPr>
    </w:p>
    <w:p w14:paraId="750D6E59" w14:textId="77777777" w:rsidR="002445B4" w:rsidRDefault="002445B4" w:rsidP="002445B4">
      <w:pPr>
        <w:rPr>
          <w:rFonts w:eastAsiaTheme="majorEastAsia" w:cstheme="minorHAnsi"/>
          <w:b/>
          <w:sz w:val="26"/>
          <w:szCs w:val="24"/>
        </w:rPr>
      </w:pPr>
      <w:r>
        <w:rPr>
          <w:rFonts w:cstheme="minorHAnsi"/>
          <w:b/>
          <w:sz w:val="26"/>
          <w:szCs w:val="24"/>
        </w:rPr>
        <w:br w:type="page"/>
      </w:r>
    </w:p>
    <w:p w14:paraId="4AF737DF" w14:textId="77777777" w:rsidR="002445B4" w:rsidRDefault="002445B4" w:rsidP="00F621DF">
      <w:pPr>
        <w:pStyle w:val="ESHeading1"/>
      </w:pPr>
      <w:bookmarkStart w:id="9" w:name="_Toc489000389"/>
      <w:bookmarkStart w:id="10" w:name="_Toc490126505"/>
      <w:r w:rsidRPr="00787AC7">
        <w:lastRenderedPageBreak/>
        <w:t>TEACHING AND LEARNING APPROACHES IN THIS RESOURCE</w:t>
      </w:r>
      <w:bookmarkEnd w:id="9"/>
      <w:bookmarkEnd w:id="10"/>
    </w:p>
    <w:p w14:paraId="092736B7" w14:textId="77777777" w:rsidR="002445B4" w:rsidRPr="00787AC7" w:rsidRDefault="002445B4" w:rsidP="002445B4">
      <w:pPr>
        <w:spacing w:after="0" w:line="240" w:lineRule="auto"/>
        <w:ind w:left="720"/>
        <w:jc w:val="center"/>
      </w:pPr>
    </w:p>
    <w:p w14:paraId="406AAFA5" w14:textId="77777777" w:rsidR="002445B4" w:rsidRDefault="002445B4" w:rsidP="00F621DF">
      <w:pPr>
        <w:pStyle w:val="ESBodyText"/>
      </w:pPr>
      <w:r w:rsidRPr="001632B9">
        <w:t>Introducing</w:t>
      </w:r>
      <w:r>
        <w:t xml:space="preserve"> a new unit, theme, topic or lesson to students is an important moment. There are many ways to do this. Using the</w:t>
      </w:r>
      <w:r w:rsidRPr="00327FBF">
        <w:t xml:space="preserve"> </w:t>
      </w:r>
      <w:r>
        <w:t xml:space="preserve">‘hook’ technique, by delivering key information to students as directly as possible, captures what is interesting, meaningful and engaging about the material and puts it out in front. A hook is an introduction, not the lesson itself, and sets the momentum. </w:t>
      </w:r>
    </w:p>
    <w:p w14:paraId="7423921E" w14:textId="77777777" w:rsidR="002445B4" w:rsidRDefault="002445B4" w:rsidP="00F621DF">
      <w:pPr>
        <w:pStyle w:val="ESBodyText"/>
      </w:pPr>
      <w:r>
        <w:t xml:space="preserve">Once students are ‘hooked’, they are more likely to be enthusiastic, motivated and engaged. There are examples of hooks incorporated throughout this resource. Here are some effective hooks that </w:t>
      </w:r>
      <w:proofErr w:type="gramStart"/>
      <w:r>
        <w:t>could be used</w:t>
      </w:r>
      <w:proofErr w:type="gramEnd"/>
      <w:r>
        <w:t xml:space="preserve"> at the start or within a lesson:</w:t>
      </w:r>
    </w:p>
    <w:p w14:paraId="13A982A9" w14:textId="77777777" w:rsidR="002445B4" w:rsidRDefault="002445B4" w:rsidP="00F621DF">
      <w:pPr>
        <w:pStyle w:val="ESBulletsinTable"/>
      </w:pPr>
      <w:r>
        <w:t>pose a question</w:t>
      </w:r>
    </w:p>
    <w:p w14:paraId="69064750" w14:textId="77777777" w:rsidR="002445B4" w:rsidRDefault="002445B4" w:rsidP="00F621DF">
      <w:pPr>
        <w:pStyle w:val="ESBulletsinTable"/>
      </w:pPr>
      <w:r>
        <w:t>tell a quick and engaging story that goes directly to the topic or theme of the lesson</w:t>
      </w:r>
    </w:p>
    <w:p w14:paraId="30EAB190" w14:textId="77777777" w:rsidR="002445B4" w:rsidRDefault="002445B4" w:rsidP="00F621DF">
      <w:pPr>
        <w:pStyle w:val="ESBulletsinTable"/>
      </w:pPr>
      <w:r>
        <w:t>offer students an interesting analogy that is relevant to the lesson</w:t>
      </w:r>
    </w:p>
    <w:p w14:paraId="36AAB190" w14:textId="77777777" w:rsidR="002445B4" w:rsidRDefault="002445B4" w:rsidP="00F621DF">
      <w:pPr>
        <w:pStyle w:val="ESBulletsinTable"/>
      </w:pPr>
      <w:r>
        <w:t>use a prop, such as a favourite classroom toy</w:t>
      </w:r>
    </w:p>
    <w:p w14:paraId="4D6AA965" w14:textId="77777777" w:rsidR="002445B4" w:rsidRDefault="002445B4" w:rsidP="00F621DF">
      <w:pPr>
        <w:pStyle w:val="ESBulletsinTable"/>
      </w:pPr>
      <w:proofErr w:type="gramStart"/>
      <w:r>
        <w:t>use</w:t>
      </w:r>
      <w:proofErr w:type="gramEnd"/>
      <w:r>
        <w:t xml:space="preserve"> different forms of media, such as pictures cartoons or comic strips, short excepts from a </w:t>
      </w:r>
      <w:r w:rsidRPr="00AC5AB2">
        <w:t>video</w:t>
      </w:r>
      <w:r>
        <w:t xml:space="preserve">, television program, website or YouTube video. The </w:t>
      </w:r>
      <w:r w:rsidRPr="00AC5AB2">
        <w:t>hand hygiene</w:t>
      </w:r>
      <w:r w:rsidRPr="002F73CF">
        <w:rPr>
          <w:color w:val="FF0000"/>
        </w:rPr>
        <w:t xml:space="preserve"> </w:t>
      </w:r>
      <w:r>
        <w:t>characters have been incorporated throughout the resource</w:t>
      </w:r>
    </w:p>
    <w:p w14:paraId="0FF1577E" w14:textId="77777777" w:rsidR="002445B4" w:rsidRDefault="002445B4" w:rsidP="00F621DF">
      <w:pPr>
        <w:pStyle w:val="ESBulletsinTable"/>
      </w:pPr>
      <w:proofErr w:type="gramStart"/>
      <w:r>
        <w:t>provide</w:t>
      </w:r>
      <w:proofErr w:type="gramEnd"/>
      <w:r>
        <w:t xml:space="preserve"> a </w:t>
      </w:r>
      <w:r w:rsidRPr="00AC5AB2">
        <w:t>challenge, for</w:t>
      </w:r>
      <w:r w:rsidRPr="002F73CF">
        <w:rPr>
          <w:color w:val="FF0000"/>
        </w:rPr>
        <w:t xml:space="preserve"> </w:t>
      </w:r>
      <w:r>
        <w:t>example, offer students a challenging task and let them try to solve it.</w:t>
      </w:r>
    </w:p>
    <w:p w14:paraId="42F81B4E" w14:textId="77777777" w:rsidR="002445B4" w:rsidRDefault="002445B4" w:rsidP="00F621DF">
      <w:pPr>
        <w:pStyle w:val="ESBodyText"/>
      </w:pPr>
      <w:r>
        <w:t xml:space="preserve">The </w:t>
      </w:r>
      <w:r w:rsidRPr="00AC5AB2">
        <w:t>teaching and learning activities</w:t>
      </w:r>
      <w:r>
        <w:t xml:space="preserve"> in this </w:t>
      </w:r>
      <w:r w:rsidRPr="00AC5AB2">
        <w:t xml:space="preserve">resource </w:t>
      </w:r>
      <w:r>
        <w:t xml:space="preserve">cater for the </w:t>
      </w:r>
      <w:r w:rsidRPr="00AC5AB2">
        <w:t xml:space="preserve">year </w:t>
      </w:r>
      <w:r>
        <w:t>level of the students and use a range of tools and approaches to support different learning styles.</w:t>
      </w:r>
    </w:p>
    <w:p w14:paraId="7F71EB48" w14:textId="77777777" w:rsidR="002445B4" w:rsidRDefault="002445B4" w:rsidP="00F621DF">
      <w:pPr>
        <w:pStyle w:val="ESBodyText"/>
      </w:pPr>
      <w:r>
        <w:t xml:space="preserve">A range of graphic </w:t>
      </w:r>
      <w:proofErr w:type="spellStart"/>
      <w:r>
        <w:t>organiser</w:t>
      </w:r>
      <w:proofErr w:type="spellEnd"/>
      <w:r>
        <w:t xml:space="preserve"> templates can be located </w:t>
      </w:r>
      <w:r w:rsidRPr="00AC5AB2">
        <w:t xml:space="preserve">on </w:t>
      </w:r>
      <w:r>
        <w:t xml:space="preserve">the Department of Education and Training </w:t>
      </w:r>
      <w:r w:rsidRPr="00AC5AB2">
        <w:t xml:space="preserve">website: </w:t>
      </w:r>
      <w:hyperlink r:id="rId22" w:history="1">
        <w:r w:rsidRPr="00B077D3">
          <w:rPr>
            <w:rStyle w:val="Hyperlink"/>
          </w:rPr>
          <w:t>http://www.education.vic.gov.au/school/teachers/support/Pages/graphicorganisers.aspx</w:t>
        </w:r>
      </w:hyperlink>
      <w:r>
        <w:t xml:space="preserve"> </w:t>
      </w:r>
    </w:p>
    <w:p w14:paraId="3ECB9232" w14:textId="0C4B3F76" w:rsidR="002445B4" w:rsidRPr="00C604A9" w:rsidRDefault="002445B4" w:rsidP="00F621DF">
      <w:pPr>
        <w:pStyle w:val="ESBodyText"/>
      </w:pPr>
      <w:r w:rsidRPr="00AC5AB2">
        <w:t xml:space="preserve">As the teacher, </w:t>
      </w:r>
      <w:r>
        <w:t xml:space="preserve">you know the students in your class the best, </w:t>
      </w:r>
      <w:r w:rsidRPr="00AC5AB2">
        <w:t xml:space="preserve">feel free to </w:t>
      </w:r>
      <w:r>
        <w:t xml:space="preserve">use the suggestions or choose your own. </w:t>
      </w:r>
    </w:p>
    <w:p w14:paraId="22B46C1F" w14:textId="77777777" w:rsidR="002445B4" w:rsidRDefault="002445B4" w:rsidP="00F621DF">
      <w:pPr>
        <w:pStyle w:val="ESBodyText"/>
      </w:pPr>
    </w:p>
    <w:p w14:paraId="7EA4A093" w14:textId="77777777" w:rsidR="002445B4" w:rsidRDefault="002445B4" w:rsidP="00C91D88">
      <w:pPr>
        <w:pStyle w:val="ESTableHeader"/>
        <w:rPr>
          <w:rFonts w:cstheme="minorHAnsi"/>
          <w:b w:val="0"/>
          <w:sz w:val="24"/>
          <w:szCs w:val="24"/>
        </w:rPr>
      </w:pPr>
      <w:r>
        <w:rPr>
          <w:rFonts w:cstheme="minorHAnsi"/>
          <w:sz w:val="24"/>
          <w:szCs w:val="24"/>
        </w:rPr>
        <w:br w:type="page"/>
      </w:r>
    </w:p>
    <w:p w14:paraId="0CB113E7" w14:textId="77777777" w:rsidR="002445B4" w:rsidRPr="0057624E" w:rsidRDefault="002445B4" w:rsidP="00F621DF">
      <w:pPr>
        <w:pStyle w:val="ESHeading1"/>
      </w:pPr>
      <w:bookmarkStart w:id="11" w:name="_Toc489000390"/>
      <w:bookmarkStart w:id="12" w:name="_Toc490126506"/>
      <w:r w:rsidRPr="0057624E">
        <w:lastRenderedPageBreak/>
        <w:t>REFERENCES AND RESOURCES</w:t>
      </w:r>
      <w:bookmarkEnd w:id="11"/>
      <w:bookmarkEnd w:id="12"/>
    </w:p>
    <w:p w14:paraId="005538FF" w14:textId="77777777" w:rsidR="002445B4" w:rsidRDefault="002445B4" w:rsidP="002445B4">
      <w:pPr>
        <w:spacing w:after="0" w:line="240" w:lineRule="auto"/>
      </w:pPr>
    </w:p>
    <w:p w14:paraId="60784B54" w14:textId="77777777" w:rsidR="002445B4" w:rsidRPr="00654002" w:rsidRDefault="002445B4" w:rsidP="00F621DF">
      <w:pPr>
        <w:pStyle w:val="ESBodyText"/>
      </w:pPr>
      <w:r w:rsidRPr="00654002">
        <w:t xml:space="preserve">The following are reputable sources of information on best practice hand </w:t>
      </w:r>
      <w:proofErr w:type="gramStart"/>
      <w:r w:rsidRPr="00654002">
        <w:t>hygiene which</w:t>
      </w:r>
      <w:proofErr w:type="gramEnd"/>
      <w:r w:rsidRPr="00654002">
        <w:t xml:space="preserve"> could be used as a g</w:t>
      </w:r>
      <w:r>
        <w:t>uide or for further information.</w:t>
      </w:r>
    </w:p>
    <w:p w14:paraId="6BC0B138" w14:textId="1D8CCF9D" w:rsidR="003B3B9D" w:rsidRDefault="002445B4" w:rsidP="00F621DF">
      <w:pPr>
        <w:pStyle w:val="ESBulletsinTable"/>
      </w:pPr>
      <w:r w:rsidRPr="00F621DF">
        <w:t>Better Health Channel – Soapy Hero campaign website:</w:t>
      </w:r>
      <w:r w:rsidR="00F621DF" w:rsidRPr="00F621DF">
        <w:t xml:space="preserve"> </w:t>
      </w:r>
      <w:hyperlink r:id="rId23" w:history="1">
        <w:r w:rsidR="003B3B9D" w:rsidRPr="00570CB0">
          <w:rPr>
            <w:rStyle w:val="Hyperlink"/>
          </w:rPr>
          <w:t>www.betterhealth.vic.gov.au/soapy-hero</w:t>
        </w:r>
      </w:hyperlink>
    </w:p>
    <w:p w14:paraId="0FC53A93" w14:textId="4E469C65" w:rsidR="002445B4" w:rsidRPr="00F621DF" w:rsidRDefault="002445B4" w:rsidP="00F621DF">
      <w:pPr>
        <w:pStyle w:val="ESBulletsinTable"/>
      </w:pPr>
      <w:r w:rsidRPr="00F621DF">
        <w:t xml:space="preserve">Better Health Channel – Infections (information about infections and hygiene): </w:t>
      </w:r>
      <w:hyperlink r:id="rId24" w:history="1">
        <w:r w:rsidR="00F621DF" w:rsidRPr="00B2250E">
          <w:rPr>
            <w:rStyle w:val="Hyperlink"/>
          </w:rPr>
          <w:t>www.betterhealth.vic.gov.au/conditionsandtreatment/infections</w:t>
        </w:r>
      </w:hyperlink>
      <w:r w:rsidR="00F621DF">
        <w:rPr>
          <w:rStyle w:val="Hyperlink"/>
          <w:color w:val="auto"/>
          <w:u w:val="none"/>
        </w:rPr>
        <w:t xml:space="preserve"> </w:t>
      </w:r>
      <w:r w:rsidRPr="00F621DF">
        <w:t xml:space="preserve"> </w:t>
      </w:r>
    </w:p>
    <w:p w14:paraId="6572FE9C" w14:textId="77601405" w:rsidR="002445B4" w:rsidRPr="00F621DF" w:rsidRDefault="002445B4" w:rsidP="006E2D6A">
      <w:pPr>
        <w:pStyle w:val="ESBulletsinTable"/>
      </w:pPr>
      <w:r w:rsidRPr="00F621DF">
        <w:t xml:space="preserve">Department of Education and Training (Victoria) – Personal hygiene policy: </w:t>
      </w:r>
      <w:r w:rsidR="00F621DF">
        <w:t xml:space="preserve"> </w:t>
      </w:r>
      <w:hyperlink r:id="rId25" w:history="1">
        <w:r w:rsidR="00F621DF" w:rsidRPr="00B2250E">
          <w:rPr>
            <w:rStyle w:val="Hyperlink"/>
          </w:rPr>
          <w:t>www.education.vic.gov.au/school/principals/spag/health/Pages/personalhygiene.aspx</w:t>
        </w:r>
      </w:hyperlink>
      <w:r w:rsidRPr="00F621DF">
        <w:t>.</w:t>
      </w:r>
    </w:p>
    <w:p w14:paraId="6B1600D3" w14:textId="397B6F10" w:rsidR="002445B4" w:rsidRPr="00F621DF" w:rsidRDefault="002445B4" w:rsidP="00CF5E15">
      <w:pPr>
        <w:pStyle w:val="ESBulletsinTable"/>
      </w:pPr>
      <w:r w:rsidRPr="00F621DF">
        <w:t>Hand Hygiene Australia:</w:t>
      </w:r>
      <w:r w:rsidR="00F621DF">
        <w:t xml:space="preserve"> </w:t>
      </w:r>
      <w:hyperlink r:id="rId26" w:history="1">
        <w:r w:rsidR="003B3B9D" w:rsidRPr="00570CB0">
          <w:rPr>
            <w:rStyle w:val="Hyperlink"/>
          </w:rPr>
          <w:t>http://www.hha.org.au</w:t>
        </w:r>
      </w:hyperlink>
      <w:r w:rsidRPr="00F621DF">
        <w:t>.</w:t>
      </w:r>
    </w:p>
    <w:p w14:paraId="66E7454F" w14:textId="74139D54" w:rsidR="002445B4" w:rsidRPr="00F621DF" w:rsidRDefault="002445B4" w:rsidP="00412DB0">
      <w:pPr>
        <w:pStyle w:val="ESBulletsinTable"/>
      </w:pPr>
      <w:r w:rsidRPr="00F621DF">
        <w:t xml:space="preserve">Handwashing: Clean hands save lives, </w:t>
      </w:r>
      <w:proofErr w:type="spellStart"/>
      <w:r w:rsidRPr="00F621DF">
        <w:t>Centers</w:t>
      </w:r>
      <w:proofErr w:type="spellEnd"/>
      <w:r w:rsidRPr="00F621DF">
        <w:t xml:space="preserve"> for Disease Control and Prevention:</w:t>
      </w:r>
      <w:r w:rsidR="00F621DF">
        <w:t xml:space="preserve"> </w:t>
      </w:r>
      <w:hyperlink r:id="rId27" w:history="1">
        <w:r w:rsidR="00F621DF" w:rsidRPr="00B2250E">
          <w:rPr>
            <w:rStyle w:val="Hyperlink"/>
          </w:rPr>
          <w:t>www.cdc.gov/handwashing/when-how-handwashing.html</w:t>
        </w:r>
      </w:hyperlink>
    </w:p>
    <w:p w14:paraId="515AE86D" w14:textId="6A08D4CB" w:rsidR="002445B4" w:rsidRPr="00F621DF" w:rsidRDefault="002445B4" w:rsidP="00F621DF">
      <w:pPr>
        <w:pStyle w:val="ESBulletsinTable"/>
      </w:pPr>
      <w:r w:rsidRPr="00F621DF">
        <w:t xml:space="preserve">Healthy Hands: Hand hygiene resource manual ages 4-14, North Bay Parry Sound District Health Unit (2013): </w:t>
      </w:r>
      <w:hyperlink r:id="rId28" w:history="1">
        <w:r w:rsidR="00F621DF" w:rsidRPr="00B2250E">
          <w:rPr>
            <w:rStyle w:val="Hyperlink"/>
          </w:rPr>
          <w:t>www.myhealthunit.ca/en/partnerandhealthproviderresources/resources/English_Resource_Manual_-_PDF.pdf</w:t>
        </w:r>
      </w:hyperlink>
      <w:r w:rsidR="00F621DF">
        <w:rPr>
          <w:rStyle w:val="Hyperlink"/>
          <w:color w:val="auto"/>
          <w:u w:val="none"/>
        </w:rPr>
        <w:t xml:space="preserve"> </w:t>
      </w:r>
    </w:p>
    <w:p w14:paraId="5FB0117A" w14:textId="6F803D97" w:rsidR="002445B4" w:rsidRDefault="002445B4" w:rsidP="003B3B9D">
      <w:pPr>
        <w:pStyle w:val="ESBulletsinTable"/>
      </w:pPr>
      <w:proofErr w:type="spellStart"/>
      <w:r w:rsidRPr="00F621DF">
        <w:t>GlitterBug</w:t>
      </w:r>
      <w:proofErr w:type="spellEnd"/>
      <w:r w:rsidRPr="00F621DF">
        <w:t xml:space="preserve">: </w:t>
      </w:r>
      <w:hyperlink r:id="rId29" w:history="1">
        <w:r w:rsidR="003B3B9D" w:rsidRPr="00570CB0">
          <w:rPr>
            <w:rStyle w:val="Hyperlink"/>
          </w:rPr>
          <w:t>http://glitterbug.net.au</w:t>
        </w:r>
      </w:hyperlink>
    </w:p>
    <w:p w14:paraId="659F76DE" w14:textId="437FD908" w:rsidR="002445B4" w:rsidRDefault="002445B4" w:rsidP="003B3B9D">
      <w:pPr>
        <w:pStyle w:val="ESBulletsinTable"/>
      </w:pPr>
      <w:proofErr w:type="spellStart"/>
      <w:r w:rsidRPr="00F621DF">
        <w:t>KidsHealth</w:t>
      </w:r>
      <w:proofErr w:type="spellEnd"/>
      <w:r w:rsidRPr="00F621DF">
        <w:t xml:space="preserve">: </w:t>
      </w:r>
      <w:hyperlink r:id="rId30" w:history="1">
        <w:r w:rsidR="003B3B9D" w:rsidRPr="00570CB0">
          <w:rPr>
            <w:rStyle w:val="Hyperlink"/>
          </w:rPr>
          <w:t>http://kidshealth.org/en/kids/germs.html</w:t>
        </w:r>
      </w:hyperlink>
    </w:p>
    <w:p w14:paraId="34E20354" w14:textId="7DCFCC49" w:rsidR="003B3B9D" w:rsidRDefault="002445B4" w:rsidP="003B3B9D">
      <w:pPr>
        <w:pStyle w:val="ESBulletsinTable"/>
      </w:pPr>
      <w:r w:rsidRPr="00F621DF">
        <w:t>Milo and the invisible world of germs: Handwashing education kit for preschool children, Region of Waterloo Public Health (2013):</w:t>
      </w:r>
      <w:r w:rsidR="00F621DF">
        <w:t xml:space="preserve"> </w:t>
      </w:r>
      <w:hyperlink r:id="rId31" w:history="1">
        <w:r w:rsidR="003B3B9D" w:rsidRPr="00570CB0">
          <w:rPr>
            <w:rStyle w:val="Hyperlink"/>
          </w:rPr>
          <w:t>http://chd.region.waterloo.on.ca/en/healthyLivingHealthProtection/resources/Handwashing_Education_Kit.pdf</w:t>
        </w:r>
      </w:hyperlink>
    </w:p>
    <w:p w14:paraId="159B0308" w14:textId="583B0B74" w:rsidR="002445B4" w:rsidRDefault="002445B4" w:rsidP="002445B4">
      <w:pPr>
        <w:spacing w:after="0" w:line="240" w:lineRule="auto"/>
      </w:pPr>
    </w:p>
    <w:p w14:paraId="06F7E9CA" w14:textId="02A439F2" w:rsidR="000E322D" w:rsidRDefault="000E322D" w:rsidP="000E322D">
      <w:pPr>
        <w:pStyle w:val="ESBodyText"/>
      </w:pPr>
      <w:r>
        <w:t>Booklets included as a part of this resource:</w:t>
      </w:r>
    </w:p>
    <w:p w14:paraId="65EDDCF0" w14:textId="0CCBF162" w:rsidR="00C91D88" w:rsidRPr="000E322D" w:rsidRDefault="00C91D88" w:rsidP="000E322D">
      <w:pPr>
        <w:pStyle w:val="ESBulletsinTable"/>
      </w:pPr>
      <w:r w:rsidRPr="000E322D">
        <w:t>Booklet 1: Foundation Lesson Plans</w:t>
      </w:r>
    </w:p>
    <w:p w14:paraId="05D1BB1E" w14:textId="77777777" w:rsidR="00C91D88" w:rsidRPr="000E322D" w:rsidRDefault="00C91D88" w:rsidP="000E322D">
      <w:pPr>
        <w:pStyle w:val="ESBulletsinTable"/>
      </w:pPr>
      <w:r w:rsidRPr="000E322D">
        <w:t>Booklet 2: Grade 1 Lesson Plans</w:t>
      </w:r>
    </w:p>
    <w:p w14:paraId="6D9219C0" w14:textId="503A3442" w:rsidR="00C91D88" w:rsidRPr="000E322D" w:rsidRDefault="00C91D88" w:rsidP="000E322D">
      <w:pPr>
        <w:pStyle w:val="ESBulletsinTable"/>
      </w:pPr>
      <w:r w:rsidRPr="000E322D">
        <w:t xml:space="preserve">Booklet 3: Grade </w:t>
      </w:r>
      <w:proofErr w:type="gramStart"/>
      <w:r w:rsidRPr="000E322D">
        <w:t>2</w:t>
      </w:r>
      <w:proofErr w:type="gramEnd"/>
      <w:r w:rsidRPr="000E322D">
        <w:t xml:space="preserve"> Lesson Plans</w:t>
      </w:r>
      <w:r w:rsidR="000E322D">
        <w:t>.</w:t>
      </w:r>
    </w:p>
    <w:bookmarkEnd w:id="3"/>
    <w:bookmarkEnd w:id="4"/>
    <w:sectPr w:rsidR="00C91D88" w:rsidRPr="000E322D" w:rsidSect="004615C4">
      <w:headerReference w:type="default" r:id="rId32"/>
      <w:footerReference w:type="default" r:id="rId33"/>
      <w:pgSz w:w="11900" w:h="16840"/>
      <w:pgMar w:top="2036" w:right="1240" w:bottom="1304" w:left="1304" w:header="624" w:footer="56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F8660" w14:textId="77777777" w:rsidR="00041046" w:rsidRDefault="00041046" w:rsidP="008766A4">
      <w:r>
        <w:separator/>
      </w:r>
    </w:p>
  </w:endnote>
  <w:endnote w:type="continuationSeparator" w:id="0">
    <w:p w14:paraId="1B8DC2A1" w14:textId="77777777" w:rsidR="00041046" w:rsidRDefault="00041046"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322B4CC6" w:rsidR="003E29B5" w:rsidRPr="003E29B5" w:rsidRDefault="0032633E" w:rsidP="008766A4">
    <w:r>
      <w:rPr>
        <w:noProof/>
        <w:lang w:val="en-AU" w:eastAsia="en-AU"/>
      </w:rPr>
      <mc:AlternateContent>
        <mc:Choice Requires="wps">
          <w:drawing>
            <wp:anchor distT="0" distB="0" distL="114300" distR="114300" simplePos="0" relativeHeight="251657216" behindDoc="0" locked="0" layoutInCell="1" allowOverlap="1" wp14:anchorId="422D0C1D" wp14:editId="17434F8B">
              <wp:simplePos x="0" y="0"/>
              <wp:positionH relativeFrom="column">
                <wp:posOffset>-891650</wp:posOffset>
              </wp:positionH>
              <wp:positionV relativeFrom="paragraph">
                <wp:posOffset>933892</wp:posOffset>
              </wp:positionV>
              <wp:extent cx="7771765" cy="67144"/>
              <wp:effectExtent l="57150" t="19050" r="57785" b="85725"/>
              <wp:wrapNone/>
              <wp:docPr id="12" name="Rectangle 12"/>
              <wp:cNvGraphicFramePr/>
              <a:graphic xmlns:a="http://schemas.openxmlformats.org/drawingml/2006/main">
                <a:graphicData uri="http://schemas.microsoft.com/office/word/2010/wordprocessingShape">
                  <wps:wsp>
                    <wps:cNvSpPr/>
                    <wps:spPr>
                      <a:xfrm>
                        <a:off x="0" y="0"/>
                        <a:ext cx="7771765" cy="67144"/>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2A092" id="Rectangle 12" o:spid="_x0000_s1026" style="position:absolute;margin-left:-70.2pt;margin-top:73.55pt;width:611.9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" fillcolor="white [3212]" stroked="f">
              <v:shadow on="t" color="black" opacity="22937f" origin=",.5" offset="0,.63889mm"/>
            </v:rect>
          </w:pict>
        </mc:Fallback>
      </mc:AlternateContent>
    </w:r>
    <w:r w:rsidR="003E29B5" w:rsidRPr="003E29B5">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584D5" w14:textId="30FE4EF9" w:rsidR="00895870" w:rsidRPr="00271F77" w:rsidRDefault="00895870" w:rsidP="00271F77">
    <w:pPr>
      <w:pStyle w:val="FootnoteText"/>
    </w:pPr>
    <w:r w:rsidRPr="00271F77">
      <w:t xml:space="preserve">Melbourne </w:t>
    </w:r>
    <w:r w:rsidRPr="00271F77">
      <w:fldChar w:fldCharType="begin"/>
    </w:r>
    <w:r w:rsidRPr="00271F77">
      <w:instrText xml:space="preserve"> DATE \@ "MMM-yy" </w:instrText>
    </w:r>
    <w:r w:rsidRPr="00271F77">
      <w:fldChar w:fldCharType="separate"/>
    </w:r>
    <w:r w:rsidR="00762F0C">
      <w:rPr>
        <w:noProof/>
      </w:rPr>
      <w:t>Aug-17</w:t>
    </w:r>
    <w:r w:rsidRPr="00271F77">
      <w:fldChar w:fldCharType="end"/>
    </w:r>
  </w:p>
  <w:p w14:paraId="1745AF8E" w14:textId="77777777" w:rsidR="00895870" w:rsidRPr="00271F77" w:rsidRDefault="00895870" w:rsidP="00271F77">
    <w:pPr>
      <w:pStyle w:val="FootnoteText"/>
    </w:pPr>
    <w:r w:rsidRPr="00271F77">
      <w:t>©State of Victoria (Department of Education and Training) 2016</w:t>
    </w:r>
  </w:p>
  <w:p w14:paraId="676C9BB2" w14:textId="77777777" w:rsidR="00895870" w:rsidRPr="00271F77" w:rsidRDefault="00895870" w:rsidP="00271F77">
    <w:pPr>
      <w:pStyle w:val="FootnoteText"/>
    </w:pPr>
    <w:r w:rsidRPr="00271F77">
      <w:t xml:space="preserve">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w:t>
    </w:r>
    <w:proofErr w:type="spellStart"/>
    <w:r w:rsidRPr="00271F77">
      <w:t>Licence</w:t>
    </w:r>
    <w:proofErr w:type="spellEnd"/>
    <w:r w:rsidRPr="00271F77">
      <w:t xml:space="preserve"> for Schools (NEALS) (see below) or with permission.</w:t>
    </w:r>
  </w:p>
  <w:p w14:paraId="4C9DF5F2" w14:textId="77777777" w:rsidR="00895870" w:rsidRPr="00271F77" w:rsidRDefault="00895870" w:rsidP="00271F77">
    <w:pPr>
      <w:pStyle w:val="FootnoteText"/>
    </w:pPr>
    <w:r w:rsidRPr="00271F77">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62F12F89" w14:textId="77777777" w:rsidR="00895870" w:rsidRPr="00271F77" w:rsidRDefault="00895870" w:rsidP="00271F77">
    <w:pPr>
      <w:pStyle w:val="FootnoteText"/>
    </w:pPr>
    <w:proofErr w:type="spellStart"/>
    <w:r w:rsidRPr="00271F77">
      <w:t>Authorised</w:t>
    </w:r>
    <w:proofErr w:type="spellEnd"/>
    <w:r w:rsidRPr="00271F77">
      <w:t xml:space="preserve"> by the Department of Education and Training,</w:t>
    </w:r>
  </w:p>
  <w:p w14:paraId="7FA24D6B" w14:textId="77777777" w:rsidR="0008073C" w:rsidRDefault="00895870" w:rsidP="00271F77">
    <w:pPr>
      <w:pStyle w:val="FootnoteText"/>
    </w:pPr>
    <w:r w:rsidRPr="00271F77">
      <w:t>2 Treasury Place, East Melbourne, Victoria, 3002</w:t>
    </w:r>
  </w:p>
  <w:p w14:paraId="59B986D1" w14:textId="4E207BC4" w:rsidR="00895870" w:rsidRPr="0079365B" w:rsidRDefault="0008073C" w:rsidP="00271F77">
    <w:pPr>
      <w:pStyle w:val="FootnoteText"/>
      <w:rPr>
        <w:rStyle w:val="WHITE"/>
        <w:rFonts w:cstheme="minorHAnsi"/>
        <w:sz w:val="13"/>
        <w:szCs w:val="13"/>
      </w:rPr>
    </w:pPr>
    <w:r>
      <w:t xml:space="preserve">Department of Education Training (2017) </w:t>
    </w:r>
    <w:r w:rsidRPr="00192FA1">
      <w:rPr>
        <w:i/>
      </w:rPr>
      <w:t>Clean Hands – Hand Hygiene Curriculum Resources for Foundation, Grade 1 or Grade 2 Year Levels in Victorian Primary Schools</w:t>
    </w:r>
    <w:r>
      <w:t>, Melbourne.</w:t>
    </w:r>
    <w:r w:rsidR="00895870" w:rsidRPr="0072371E">
      <w:rPr>
        <w:rStyle w:val="WHITE"/>
      </w:rPr>
      <w:tab/>
    </w:r>
  </w:p>
  <w:p w14:paraId="53EB7119" w14:textId="0A5EC099" w:rsidR="00841F2A" w:rsidRPr="003E29B5" w:rsidRDefault="00841F2A" w:rsidP="008766A4">
    <w:r w:rsidRPr="003E29B5">
      <w:rPr>
        <w:noProof/>
        <w:lang w:val="en-AU" w:eastAsia="en-AU"/>
      </w:rPr>
      <w:drawing>
        <wp:anchor distT="0" distB="0" distL="114300" distR="114300" simplePos="0" relativeHeight="251661312" behindDoc="1" locked="0" layoutInCell="1" allowOverlap="1" wp14:anchorId="700F725D" wp14:editId="5E1C546B">
          <wp:simplePos x="0" y="0"/>
          <wp:positionH relativeFrom="page">
            <wp:posOffset>53975</wp:posOffset>
          </wp:positionH>
          <wp:positionV relativeFrom="page">
            <wp:posOffset>9950450</wp:posOffset>
          </wp:positionV>
          <wp:extent cx="7527279" cy="72237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22320" w14:textId="20F76BE6" w:rsidR="004615C4" w:rsidRPr="00006534" w:rsidRDefault="004615C4" w:rsidP="004615C4">
    <w:pPr>
      <w:spacing w:before="200" w:after="40"/>
      <w:rPr>
        <w:sz w:val="15"/>
        <w:szCs w:val="15"/>
      </w:rPr>
    </w:pPr>
    <w:r w:rsidRPr="00920A20">
      <w:rPr>
        <w:noProof/>
        <w:color w:val="C00000"/>
        <w:sz w:val="15"/>
        <w:szCs w:val="15"/>
        <w:lang w:val="en-AU" w:eastAsia="en-AU"/>
      </w:rPr>
      <w:drawing>
        <wp:anchor distT="0" distB="0" distL="114300" distR="114300" simplePos="0" relativeHeight="251666432" behindDoc="1" locked="0" layoutInCell="1" allowOverlap="1" wp14:anchorId="118CEE86" wp14:editId="66A751B6">
          <wp:simplePos x="0" y="0"/>
          <wp:positionH relativeFrom="page">
            <wp:posOffset>53975</wp:posOffset>
          </wp:positionH>
          <wp:positionV relativeFrom="page">
            <wp:posOffset>9950450</wp:posOffset>
          </wp:positionV>
          <wp:extent cx="7527279" cy="7223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00920A20" w:rsidRPr="00920A20">
      <w:rPr>
        <w:noProof/>
        <w:color w:val="C00000"/>
        <w:sz w:val="15"/>
        <w:szCs w:val="15"/>
      </w:rPr>
      <w:t>Clean Hands Overview</w:t>
    </w:r>
  </w:p>
  <w:p w14:paraId="147CCFF8" w14:textId="7550AD83" w:rsidR="000F4C22" w:rsidRPr="003E29B5" w:rsidRDefault="00762F0C" w:rsidP="004615C4">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r w:rsidR="004615C4" w:rsidRPr="00006534">
          <w:rPr>
            <w:noProof/>
            <w:sz w:val="15"/>
            <w:szCs w:val="15"/>
            <w:lang w:val="en-AU" w:eastAsia="en-AU"/>
          </w:rPr>
          <w:drawing>
            <wp:anchor distT="0" distB="0" distL="114300" distR="114300" simplePos="0" relativeHeight="251665408" behindDoc="1" locked="0" layoutInCell="1" allowOverlap="1" wp14:anchorId="3BF69473" wp14:editId="7DA9D7BD">
              <wp:simplePos x="0" y="0"/>
              <wp:positionH relativeFrom="page">
                <wp:posOffset>3823335</wp:posOffset>
              </wp:positionH>
              <wp:positionV relativeFrom="page">
                <wp:posOffset>6915473</wp:posOffset>
              </wp:positionV>
              <wp:extent cx="6851137" cy="657488"/>
              <wp:effectExtent l="0" t="0" r="698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6879595" cy="660219"/>
                      </a:xfrm>
                      <a:prstGeom prst="rect">
                        <a:avLst/>
                      </a:prstGeom>
                    </pic:spPr>
                  </pic:pic>
                </a:graphicData>
              </a:graphic>
              <wp14:sizeRelH relativeFrom="margin">
                <wp14:pctWidth>0</wp14:pctWidth>
              </wp14:sizeRelH>
              <wp14:sizeRelV relativeFrom="margin">
                <wp14:pctHeight>0</wp14:pctHeight>
              </wp14:sizeRelV>
            </wp:anchor>
          </w:drawing>
        </w:r>
        <w:r w:rsidR="004615C4" w:rsidRPr="00006534">
          <w:rPr>
            <w:rFonts w:eastAsia="Arial" w:cs="Times New Roman"/>
            <w:color w:val="AF272F"/>
            <w:sz w:val="15"/>
            <w:szCs w:val="15"/>
            <w:lang w:val="en-AU"/>
          </w:rPr>
          <w:t xml:space="preserve">Page  </w:t>
        </w:r>
        <w:r w:rsidR="004615C4" w:rsidRPr="00006534">
          <w:rPr>
            <w:rFonts w:eastAsia="Arial" w:cs="Times New Roman"/>
            <w:color w:val="AF272F"/>
            <w:sz w:val="15"/>
            <w:szCs w:val="15"/>
            <w:lang w:val="en-AU"/>
          </w:rPr>
          <w:fldChar w:fldCharType="begin"/>
        </w:r>
        <w:r w:rsidR="004615C4" w:rsidRPr="00006534">
          <w:rPr>
            <w:rFonts w:eastAsia="Arial" w:cs="Times New Roman"/>
            <w:color w:val="AF272F"/>
            <w:sz w:val="15"/>
            <w:szCs w:val="15"/>
            <w:lang w:val="en-AU"/>
          </w:rPr>
          <w:instrText xml:space="preserve"> TITLE  \* MERGEFORMAT </w:instrText>
        </w:r>
        <w:r w:rsidR="004615C4" w:rsidRPr="00006534">
          <w:rPr>
            <w:rFonts w:eastAsia="Arial" w:cs="Times New Roman"/>
            <w:color w:val="AF272F"/>
            <w:sz w:val="15"/>
            <w:szCs w:val="15"/>
            <w:lang w:val="en-AU"/>
          </w:rPr>
          <w:fldChar w:fldCharType="end"/>
        </w:r>
        <w:r w:rsidR="004615C4" w:rsidRPr="007B2B29">
          <w:rPr>
            <w:rFonts w:eastAsia="Arial" w:cs="Times New Roman"/>
            <w:color w:val="AF272F"/>
            <w:sz w:val="15"/>
            <w:szCs w:val="15"/>
            <w:lang w:val="en-AU"/>
          </w:rPr>
          <w:tab/>
        </w:r>
        <w:r w:rsidR="004615C4" w:rsidRPr="007B2B29">
          <w:rPr>
            <w:rFonts w:eastAsia="Arial" w:cs="Times New Roman"/>
            <w:color w:val="AF272F"/>
            <w:sz w:val="15"/>
            <w:szCs w:val="15"/>
            <w:lang w:val="en-AU"/>
          </w:rPr>
          <w:fldChar w:fldCharType="begin"/>
        </w:r>
        <w:r w:rsidR="004615C4" w:rsidRPr="007B2B29">
          <w:rPr>
            <w:rFonts w:eastAsia="Arial" w:cs="Times New Roman"/>
            <w:color w:val="AF272F"/>
            <w:sz w:val="15"/>
            <w:szCs w:val="15"/>
            <w:lang w:val="en-AU"/>
          </w:rPr>
          <w:instrText xml:space="preserve"> PAGE   \* MERGEFORMAT </w:instrText>
        </w:r>
        <w:r w:rsidR="004615C4"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9</w:t>
        </w:r>
        <w:r w:rsidR="004615C4" w:rsidRPr="007B2B29">
          <w:rPr>
            <w:rFonts w:eastAsia="Arial" w:cs="Times New Roman"/>
            <w:noProof/>
            <w:color w:val="AF272F"/>
            <w:sz w:val="15"/>
            <w:szCs w:val="15"/>
            <w:lang w:val="en-AU"/>
          </w:rPr>
          <w:fldChar w:fldCharType="end"/>
        </w:r>
      </w:sdtContent>
    </w:sdt>
    <w:r w:rsidR="004615C4" w:rsidRPr="003E29B5">
      <w:rPr>
        <w:noProof/>
      </w:rPr>
      <w:t xml:space="preserve"> </w:t>
    </w:r>
    <w:r w:rsidR="000F4C22" w:rsidRPr="003E29B5">
      <w:rPr>
        <w:noProof/>
        <w:lang w:val="en-AU" w:eastAsia="en-AU"/>
      </w:rPr>
      <w:drawing>
        <wp:anchor distT="0" distB="0" distL="114300" distR="114300" simplePos="0" relativeHeight="251663360" behindDoc="1" locked="0" layoutInCell="1" allowOverlap="1" wp14:anchorId="1343255D" wp14:editId="11FD2ED3">
          <wp:simplePos x="0" y="0"/>
          <wp:positionH relativeFrom="page">
            <wp:posOffset>53975</wp:posOffset>
          </wp:positionH>
          <wp:positionV relativeFrom="page">
            <wp:posOffset>9950450</wp:posOffset>
          </wp:positionV>
          <wp:extent cx="7527279" cy="7223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000F4C22"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3C372" w14:textId="77777777" w:rsidR="00041046" w:rsidRDefault="00041046" w:rsidP="008766A4">
      <w:r>
        <w:separator/>
      </w:r>
    </w:p>
  </w:footnote>
  <w:footnote w:type="continuationSeparator" w:id="0">
    <w:p w14:paraId="09868CB2" w14:textId="77777777" w:rsidR="00041046" w:rsidRDefault="00041046"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9B199" w14:textId="7E8F5079" w:rsidR="00841F2A" w:rsidRDefault="00F21360">
    <w:pPr>
      <w:pStyle w:val="Header"/>
    </w:pPr>
    <w:r>
      <w:rPr>
        <w:noProof/>
        <w:lang w:val="en-AU" w:eastAsia="en-AU"/>
      </w:rPr>
      <w:drawing>
        <wp:anchor distT="0" distB="0" distL="114300" distR="114300" simplePos="0" relativeHeight="251653120" behindDoc="1" locked="0" layoutInCell="1" allowOverlap="1" wp14:anchorId="0EFB30A8" wp14:editId="56C3D5C6">
          <wp:simplePos x="0" y="0"/>
          <wp:positionH relativeFrom="column">
            <wp:posOffset>-843943</wp:posOffset>
          </wp:positionH>
          <wp:positionV relativeFrom="paragraph">
            <wp:posOffset>-396240</wp:posOffset>
          </wp:positionV>
          <wp:extent cx="7563485" cy="108217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837" cy="108222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4526" w14:textId="77777777" w:rsidR="00841F2A" w:rsidRPr="003E29B5" w:rsidRDefault="00841F2A" w:rsidP="0008073C">
    <w:pPr>
      <w:pStyle w:val="ESDisclaim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8E82B" w14:textId="77777777" w:rsidR="000F4C22" w:rsidRPr="003E29B5" w:rsidRDefault="000F4C22" w:rsidP="008766A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6C0160"/>
    <w:multiLevelType w:val="hybridMultilevel"/>
    <w:tmpl w:val="F3104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B23C22"/>
    <w:multiLevelType w:val="hybridMultilevel"/>
    <w:tmpl w:val="29EEF1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73078AD"/>
    <w:multiLevelType w:val="hybridMultilevel"/>
    <w:tmpl w:val="AC76A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4559E"/>
    <w:multiLevelType w:val="hybridMultilevel"/>
    <w:tmpl w:val="A970D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890452"/>
    <w:multiLevelType w:val="hybridMultilevel"/>
    <w:tmpl w:val="F34E85E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15:restartNumberingAfterBreak="0">
    <w:nsid w:val="4F1E7070"/>
    <w:multiLevelType w:val="hybridMultilevel"/>
    <w:tmpl w:val="B39C0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505E6"/>
    <w:multiLevelType w:val="hybridMultilevel"/>
    <w:tmpl w:val="61CC4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AEE18D5"/>
    <w:multiLevelType w:val="hybridMultilevel"/>
    <w:tmpl w:val="D98A32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 w15:restartNumberingAfterBreak="0">
    <w:nsid w:val="657E5290"/>
    <w:multiLevelType w:val="hybridMultilevel"/>
    <w:tmpl w:val="35569DBC"/>
    <w:lvl w:ilvl="0" w:tplc="0C09000F">
      <w:start w:val="1"/>
      <w:numFmt w:val="decimal"/>
      <w:lvlText w:val="%1."/>
      <w:lvlJc w:val="left"/>
      <w:pPr>
        <w:ind w:left="360" w:hanging="360"/>
      </w:pPr>
      <w:rPr>
        <w:rFonts w:hint="default"/>
        <w:color w:val="AF272F"/>
      </w:rPr>
    </w:lvl>
    <w:lvl w:ilvl="1" w:tplc="2B14FD5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C0505C"/>
    <w:multiLevelType w:val="hybridMultilevel"/>
    <w:tmpl w:val="1E90C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AE254F"/>
    <w:multiLevelType w:val="hybridMultilevel"/>
    <w:tmpl w:val="AB72C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7"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27"/>
  </w:num>
  <w:num w:numId="14">
    <w:abstractNumId w:val="22"/>
  </w:num>
  <w:num w:numId="15">
    <w:abstractNumId w:val="26"/>
  </w:num>
  <w:num w:numId="16">
    <w:abstractNumId w:val="14"/>
  </w:num>
  <w:num w:numId="17">
    <w:abstractNumId w:val="16"/>
  </w:num>
  <w:num w:numId="18">
    <w:abstractNumId w:val="25"/>
  </w:num>
  <w:num w:numId="19">
    <w:abstractNumId w:val="15"/>
  </w:num>
  <w:num w:numId="20">
    <w:abstractNumId w:val="24"/>
  </w:num>
  <w:num w:numId="21">
    <w:abstractNumId w:val="19"/>
  </w:num>
  <w:num w:numId="22">
    <w:abstractNumId w:val="12"/>
  </w:num>
  <w:num w:numId="23">
    <w:abstractNumId w:val="13"/>
  </w:num>
  <w:num w:numId="24">
    <w:abstractNumId w:val="20"/>
  </w:num>
  <w:num w:numId="25">
    <w:abstractNumId w:val="17"/>
  </w:num>
  <w:num w:numId="26">
    <w:abstractNumId w:val="21"/>
  </w:num>
  <w:num w:numId="27">
    <w:abstractNumId w:val="18"/>
  </w:num>
  <w:num w:numId="28">
    <w:abstractNumId w:val="23"/>
  </w:num>
  <w:num w:numId="29">
    <w:abstractNumId w:val="1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AU" w:vendorID="64" w:dllVersion="131078" w:nlCheck="1" w:checkStyle="0"/>
  <w:proofState w:spelling="clean" w:grammar="clean"/>
  <w:stylePaneSortMethod w:val="0000"/>
  <w:documentProtection w:enforcement="0"/>
  <w:autoFormatOverride/>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41046"/>
    <w:rsid w:val="00070D7B"/>
    <w:rsid w:val="0008073C"/>
    <w:rsid w:val="000A6AF7"/>
    <w:rsid w:val="000C499D"/>
    <w:rsid w:val="000E322D"/>
    <w:rsid w:val="000E36EF"/>
    <w:rsid w:val="000F155E"/>
    <w:rsid w:val="000F4C22"/>
    <w:rsid w:val="00127682"/>
    <w:rsid w:val="0014310A"/>
    <w:rsid w:val="00207DDC"/>
    <w:rsid w:val="0022212D"/>
    <w:rsid w:val="00226B71"/>
    <w:rsid w:val="002445B4"/>
    <w:rsid w:val="0025480E"/>
    <w:rsid w:val="00255E0C"/>
    <w:rsid w:val="00257AF8"/>
    <w:rsid w:val="00271F77"/>
    <w:rsid w:val="0032633E"/>
    <w:rsid w:val="00326F48"/>
    <w:rsid w:val="00347714"/>
    <w:rsid w:val="003B01B0"/>
    <w:rsid w:val="003B3B9D"/>
    <w:rsid w:val="003E29B5"/>
    <w:rsid w:val="0042385D"/>
    <w:rsid w:val="00454232"/>
    <w:rsid w:val="004615C4"/>
    <w:rsid w:val="005711D2"/>
    <w:rsid w:val="0057654B"/>
    <w:rsid w:val="00596923"/>
    <w:rsid w:val="005A23F9"/>
    <w:rsid w:val="00600EB1"/>
    <w:rsid w:val="00634D82"/>
    <w:rsid w:val="006935C9"/>
    <w:rsid w:val="00751081"/>
    <w:rsid w:val="00762F0C"/>
    <w:rsid w:val="00784798"/>
    <w:rsid w:val="00794375"/>
    <w:rsid w:val="007F4F33"/>
    <w:rsid w:val="00803907"/>
    <w:rsid w:val="00816ED5"/>
    <w:rsid w:val="00841F2A"/>
    <w:rsid w:val="008766A4"/>
    <w:rsid w:val="00895870"/>
    <w:rsid w:val="008C6FA8"/>
    <w:rsid w:val="008E7A32"/>
    <w:rsid w:val="00920A20"/>
    <w:rsid w:val="00933910"/>
    <w:rsid w:val="00935276"/>
    <w:rsid w:val="00980015"/>
    <w:rsid w:val="009A58F8"/>
    <w:rsid w:val="009E066C"/>
    <w:rsid w:val="009E6760"/>
    <w:rsid w:val="009F2302"/>
    <w:rsid w:val="00AB55E9"/>
    <w:rsid w:val="00B01D2D"/>
    <w:rsid w:val="00BC0F82"/>
    <w:rsid w:val="00BF49A4"/>
    <w:rsid w:val="00C052CB"/>
    <w:rsid w:val="00C16030"/>
    <w:rsid w:val="00C604A9"/>
    <w:rsid w:val="00C91AC2"/>
    <w:rsid w:val="00C91D88"/>
    <w:rsid w:val="00C96775"/>
    <w:rsid w:val="00D049D0"/>
    <w:rsid w:val="00D31299"/>
    <w:rsid w:val="00D84C0F"/>
    <w:rsid w:val="00DE4373"/>
    <w:rsid w:val="00DF1C42"/>
    <w:rsid w:val="00DF23CC"/>
    <w:rsid w:val="00E42E39"/>
    <w:rsid w:val="00EC1C69"/>
    <w:rsid w:val="00EF04D3"/>
    <w:rsid w:val="00EF6C46"/>
    <w:rsid w:val="00F21360"/>
    <w:rsid w:val="00F36897"/>
    <w:rsid w:val="00F621DF"/>
    <w:rsid w:val="00F85A04"/>
    <w:rsid w:val="00F85A39"/>
    <w:rsid w:val="00F97B56"/>
    <w:rsid w:val="00FA6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semiHidden/>
    <w:rsid w:val="00326F48"/>
    <w:pPr>
      <w:tabs>
        <w:tab w:val="center" w:pos="4320"/>
        <w:tab w:val="right" w:pos="8640"/>
      </w:tabs>
    </w:pPr>
  </w:style>
  <w:style w:type="character" w:customStyle="1" w:styleId="FooterChar">
    <w:name w:val="Footer Char"/>
    <w:basedOn w:val="DefaultParagraphFont"/>
    <w:link w:val="Footer"/>
    <w:uiPriority w:val="99"/>
    <w:semiHidden/>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D049D0"/>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locked/>
    <w:rsid w:val="00F97B56"/>
    <w:pPr>
      <w:ind w:left="720"/>
      <w:contextualSpacing/>
    </w:p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paragraph" w:customStyle="1" w:styleId="ESWhiteTableHeading">
    <w:name w:val="ES_White Table Heading"/>
    <w:basedOn w:val="Normal"/>
    <w:qFormat/>
    <w:rsid w:val="00F85A39"/>
    <w:rPr>
      <w:rFonts w:eastAsia="Arial"/>
      <w:b/>
      <w:color w:val="FFFFFF" w:themeColor="background1"/>
      <w:sz w:val="20"/>
      <w:szCs w:val="20"/>
      <w:lang w:val="en-AU"/>
    </w:rPr>
  </w:style>
  <w:style w:type="character" w:styleId="Hyperlink">
    <w:name w:val="Hyperlink"/>
    <w:basedOn w:val="DefaultParagraphFont"/>
    <w:uiPriority w:val="99"/>
    <w:unhideWhenUsed/>
    <w:locked/>
    <w:rsid w:val="002445B4"/>
    <w:rPr>
      <w:color w:val="0000FF" w:themeColor="hyperlink"/>
      <w:u w:val="single"/>
    </w:rPr>
  </w:style>
  <w:style w:type="character" w:customStyle="1" w:styleId="ListParagraphChar">
    <w:name w:val="List Paragraph Char"/>
    <w:link w:val="ListParagraph"/>
    <w:uiPriority w:val="34"/>
    <w:locked/>
    <w:rsid w:val="002445B4"/>
    <w:rPr>
      <w:rFonts w:ascii="Arial" w:hAnsi="Arial" w:cs="Arial"/>
      <w:sz w:val="18"/>
      <w:szCs w:val="18"/>
    </w:rPr>
  </w:style>
  <w:style w:type="paragraph" w:styleId="BalloonText">
    <w:name w:val="Balloon Text"/>
    <w:basedOn w:val="Normal"/>
    <w:link w:val="BalloonTextChar"/>
    <w:uiPriority w:val="99"/>
    <w:semiHidden/>
    <w:unhideWhenUsed/>
    <w:locked/>
    <w:rsid w:val="00F2136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21360"/>
    <w:rPr>
      <w:rFonts w:ascii="Segoe UI" w:hAnsi="Segoe UI" w:cs="Segoe UI"/>
      <w:sz w:val="18"/>
      <w:szCs w:val="18"/>
    </w:rPr>
  </w:style>
  <w:style w:type="paragraph" w:customStyle="1" w:styleId="ESTableHeader">
    <w:name w:val="ES Table Header"/>
    <w:basedOn w:val="Normal"/>
    <w:qFormat/>
    <w:rsid w:val="00F21360"/>
    <w:rPr>
      <w:rFonts w:eastAsia="Arial"/>
      <w:b/>
      <w:color w:val="FFFFFF" w:themeColor="background1"/>
      <w:sz w:val="20"/>
      <w:szCs w:val="20"/>
      <w:lang w:val="en-AU"/>
    </w:rPr>
  </w:style>
  <w:style w:type="paragraph" w:customStyle="1" w:styleId="ESTablesubheading">
    <w:name w:val="ES Table sub heading"/>
    <w:basedOn w:val="Normal"/>
    <w:qFormat/>
    <w:rsid w:val="00C91D88"/>
    <w:pPr>
      <w:spacing w:line="240" w:lineRule="auto"/>
    </w:pPr>
    <w:rPr>
      <w:rFonts w:eastAsia="Arial" w:cs="Times New Roman"/>
      <w:b/>
      <w:szCs w:val="22"/>
      <w:lang w:val="en-AU"/>
    </w:rPr>
  </w:style>
  <w:style w:type="character" w:styleId="FollowedHyperlink">
    <w:name w:val="FollowedHyperlink"/>
    <w:basedOn w:val="DefaultParagraphFont"/>
    <w:uiPriority w:val="99"/>
    <w:semiHidden/>
    <w:unhideWhenUsed/>
    <w:locked/>
    <w:rsid w:val="004542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betterhealth.vic.gov.au/soapy-hero" TargetMode="External"/><Relationship Id="rId26" Type="http://schemas.openxmlformats.org/officeDocument/2006/relationships/hyperlink" Target="http://www.hha.org.au" TargetMode="External"/><Relationship Id="rId3" Type="http://schemas.openxmlformats.org/officeDocument/2006/relationships/customXml" Target="../customXml/item3.xml"/><Relationship Id="rId21" Type="http://schemas.openxmlformats.org/officeDocument/2006/relationships/hyperlink" Target="http://www.who.int/en"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www.education.vic.gov.au/school/principals/spag/health/Pages/personalhygiene.asp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nhs.uk/Livewell/homehygiene/Pages/how-to-wash-your-hands-properly.aspx" TargetMode="External"/><Relationship Id="rId29" Type="http://schemas.openxmlformats.org/officeDocument/2006/relationships/hyperlink" Target="http://glitterbug.net.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etterhealth.vic.gov.au/conditionsandtreatment/infections"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dhhs.vic.gov.au" TargetMode="External"/><Relationship Id="rId23" Type="http://schemas.openxmlformats.org/officeDocument/2006/relationships/hyperlink" Target="http://www.betterhealth.vic.gov.au/soapy-hero" TargetMode="External"/><Relationship Id="rId28" Type="http://schemas.openxmlformats.org/officeDocument/2006/relationships/hyperlink" Target="http://www.myhealthunit.ca/en/partnerandhealthproviderresources/resources/English_Resource_Manual_-_PDF.pdf" TargetMode="External"/><Relationship Id="rId10" Type="http://schemas.openxmlformats.org/officeDocument/2006/relationships/footnotes" Target="footnotes.xml"/><Relationship Id="rId19" Type="http://schemas.openxmlformats.org/officeDocument/2006/relationships/hyperlink" Target="file:///C:/Users/08196543/Downloads/DH_078750.pdf" TargetMode="External"/><Relationship Id="rId31" Type="http://schemas.openxmlformats.org/officeDocument/2006/relationships/hyperlink" Target="http://chd.region.waterloo.on.ca/en/healthyLivingHealthProtection/resources/Handwashing_Education_Kit.pdf" TargetMode="External"/><Relationship Id="rId35"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www.education.vic.gov.au" TargetMode="External"/><Relationship Id="rId22" Type="http://schemas.openxmlformats.org/officeDocument/2006/relationships/hyperlink" Target="http://www.education.vic.gov.au/school/teachers/support/Pages/graphicorganisers.aspx" TargetMode="External"/><Relationship Id="rId27" Type="http://schemas.openxmlformats.org/officeDocument/2006/relationships/hyperlink" Target="http://www.cdc.gov/handwashing/when-how-handwashing.html" TargetMode="External"/><Relationship Id="rId30" Type="http://schemas.openxmlformats.org/officeDocument/2006/relationships/hyperlink" Target="http://kidshealth.org/en/kids/germs.html" TargetMode="Externa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2017-08-14T00:00:00+00:00</PublishingStartDat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gionRSD xmlns="1966e606-8b69-4075-9ef8-a409e80aaa70" xsi:nil="true"/>
    <Project_x0020_status xmlns="a0174e4c-3d20-4627-8f76-6a6fa74a37f2">
      <Value>RSG Governance Framework</Value>
    </Project_x0020_status>
    <Regional_x0020_Areas xmlns="1966e606-8b69-4075-9ef8-a409e80aaa70" xsi:nil="true"/>
    <TaxCatchAll xmlns="1966e606-8b69-4075-9ef8-a409e80aaa70">
      <Value>20</Value>
    </TaxCatchAll>
    <PublishingContactName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A66E8-BEDF-4CC9-A9D0-A0D341F95659}"/>
</file>

<file path=customXml/itemProps2.xml><?xml version="1.0" encoding="utf-8"?>
<ds:datastoreItem xmlns:ds="http://schemas.openxmlformats.org/officeDocument/2006/customXml" ds:itemID="{C26E9B4F-2BB4-4C12-B199-590CC7704CAA}"/>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42BA66E8-BEDF-4CC9-A9D0-A0D341F95659}">
  <ds:schemaRefs>
    <ds:schemaRef ds:uri="http://schemas.microsoft.com/sharepoint/v3"/>
    <ds:schemaRef ds:uri="1966e606-8b69-4075-9ef8-a409e80aaa7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0174e4c-3d20-4627-8f76-6a6fa74a37f2"/>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72F5DBF2-B4F1-4C73-8F99-7A134D5C357A}"/>
</file>

<file path=docProps/app.xml><?xml version="1.0" encoding="utf-8"?>
<Properties xmlns="http://schemas.openxmlformats.org/officeDocument/2006/extended-properties" xmlns:vt="http://schemas.openxmlformats.org/officeDocument/2006/docPropsVTypes">
  <Template>Normal</Template>
  <TotalTime>0</TotalTime>
  <Pages>9</Pages>
  <Words>2022</Words>
  <Characters>11531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Cant, Lisa L</cp:lastModifiedBy>
  <cp:revision>2</cp:revision>
  <cp:lastPrinted>2017-08-10T02:22:00Z</cp:lastPrinted>
  <dcterms:created xsi:type="dcterms:W3CDTF">2017-08-10T06:48:00Z</dcterms:created>
  <dcterms:modified xsi:type="dcterms:W3CDTF">2017-08-10T06:48:00Z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RecordPoint_RecordNumberSubmitted">
    <vt:lpwstr>R0000958560</vt:lpwstr>
  </property>
  <property fmtid="{D5CDD505-2E9C-101B-9397-08002B2CF9AE}" pid="5" name="RecordPoint_ActiveItemUniqueId">
    <vt:lpwstr>{7ea349cf-eb95-4d14-a12a-b895768ba75d}</vt:lpwstr>
  </property>
  <property fmtid="{D5CDD505-2E9C-101B-9397-08002B2CF9AE}" pid="6" name="RecordPoint_SubmissionCompleted">
    <vt:lpwstr>2017-08-10T13:09:06.8995822+10:00</vt:lpwstr>
  </property>
  <property fmtid="{D5CDD505-2E9C-101B-9397-08002B2CF9AE}" pid="7" name="RecordPoint_ActiveItemWebId">
    <vt:lpwstr>{827ccd4e-a839-436f-bcdb-74d616bb7c8f}</vt:lpwstr>
  </property>
  <property fmtid="{D5CDD505-2E9C-101B-9397-08002B2CF9AE}" pid="8" name="RecordPoint_WorkflowType">
    <vt:lpwstr>ActiveSubmitStub</vt:lpwstr>
  </property>
  <property fmtid="{D5CDD505-2E9C-101B-9397-08002B2CF9AE}" pid="9" name="RecordPoint_ActiveItemSiteId">
    <vt:lpwstr>{03dc8113-b288-4f44-a289-6e7ea0196235}</vt:lpwstr>
  </property>
  <property fmtid="{D5CDD505-2E9C-101B-9397-08002B2CF9AE}" pid="10" name="RecordPoint_ActiveItemListId">
    <vt:lpwstr>{a0174e4c-3d20-4627-8f76-6a6fa74a37f2}</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