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4C04" w14:textId="13BAC04D" w:rsidR="00BE5EAC" w:rsidRDefault="00202860" w:rsidP="00C80147">
      <w:pPr>
        <w:pStyle w:val="Title"/>
      </w:pPr>
      <w:bookmarkStart w:id="0" w:name="_GoBack"/>
      <w:bookmarkEnd w:id="0"/>
      <w:r>
        <w:rPr>
          <w:rStyle w:val="SubtleEmphasis"/>
          <w:i w:val="0"/>
          <w:iCs w:val="0"/>
          <w:color w:val="AF272F" w:themeColor="accent1"/>
        </w:rPr>
        <w:t>Purposeful collaboration</w:t>
      </w:r>
      <w:r w:rsidR="00A0362F">
        <w:rPr>
          <w:rStyle w:val="SubtleEmphasis"/>
          <w:i w:val="0"/>
          <w:iCs w:val="0"/>
          <w:color w:val="AF272F" w:themeColor="accent1"/>
        </w:rPr>
        <w:t xml:space="preserve"> for excellence</w:t>
      </w:r>
      <w:r>
        <w:rPr>
          <w:rStyle w:val="SubtleEmphasis"/>
          <w:i w:val="0"/>
          <w:iCs w:val="0"/>
          <w:color w:val="AF272F" w:themeColor="accent1"/>
        </w:rPr>
        <w:t xml:space="preserve"> </w:t>
      </w:r>
      <w:r w:rsidR="00790A1F">
        <w:rPr>
          <w:rStyle w:val="SubtleEmphasis"/>
          <w:i w:val="0"/>
          <w:iCs w:val="0"/>
          <w:color w:val="AF272F" w:themeColor="accent1"/>
        </w:rPr>
        <w:t>through Professional Learning Communities and Communities of Practice</w:t>
      </w:r>
    </w:p>
    <w:p w14:paraId="4DE8D3E6" w14:textId="6F53D213" w:rsidR="00460020" w:rsidRPr="00C06499" w:rsidRDefault="00460020" w:rsidP="00460020">
      <w:pPr>
        <w:autoSpaceDE w:val="0"/>
        <w:autoSpaceDN w:val="0"/>
        <w:adjustRightInd w:val="0"/>
        <w:spacing w:after="60" w:line="240" w:lineRule="auto"/>
        <w:rPr>
          <w:rFonts w:asciiTheme="majorHAnsi" w:hAnsiTheme="majorHAnsi" w:cstheme="majorHAnsi"/>
          <w:i/>
          <w:iCs/>
          <w:color w:val="000000"/>
        </w:rPr>
      </w:pPr>
      <w:r w:rsidRPr="00C06499">
        <w:rPr>
          <w:rFonts w:asciiTheme="majorHAnsi" w:hAnsiTheme="majorHAnsi" w:cstheme="majorHAnsi"/>
          <w:i/>
          <w:iCs/>
          <w:color w:val="000000"/>
        </w:rPr>
        <w:t>“Collaboration is a powerful way to deepen educator capacity, to increase the total value of the professional capital in the school, and to harness the power of the collective.”</w:t>
      </w:r>
      <w:r w:rsidRPr="00C06499">
        <w:rPr>
          <w:rStyle w:val="FootnoteReference"/>
          <w:i/>
          <w:lang w:val="en-US"/>
        </w:rPr>
        <w:footnoteReference w:id="2"/>
      </w:r>
    </w:p>
    <w:p w14:paraId="1FC87F75" w14:textId="3170DF4A" w:rsidR="005946A1" w:rsidRPr="00D900E2" w:rsidRDefault="001023E8" w:rsidP="00544AD9">
      <w:pPr>
        <w:pStyle w:val="Heading2"/>
      </w:pPr>
      <w:r>
        <w:t>Overview</w:t>
      </w:r>
    </w:p>
    <w:p w14:paraId="1D4F7A53" w14:textId="0293C700" w:rsidR="00216739" w:rsidRDefault="00EE75B9" w:rsidP="00EE75B9">
      <w:pPr>
        <w:spacing w:before="120"/>
        <w:rPr>
          <w:color w:val="000000" w:themeColor="text1"/>
        </w:rPr>
      </w:pPr>
      <w:r w:rsidRPr="008D4D01">
        <w:rPr>
          <w:color w:val="000000" w:themeColor="text1"/>
        </w:rPr>
        <w:t xml:space="preserve">This Professional Practice Note </w:t>
      </w:r>
      <w:r w:rsidR="00202860">
        <w:rPr>
          <w:color w:val="000000" w:themeColor="text1"/>
        </w:rPr>
        <w:t xml:space="preserve">provides </w:t>
      </w:r>
      <w:r w:rsidRPr="008D4D01">
        <w:rPr>
          <w:color w:val="000000" w:themeColor="text1"/>
        </w:rPr>
        <w:t xml:space="preserve">school leaders </w:t>
      </w:r>
      <w:r w:rsidR="00202860">
        <w:rPr>
          <w:color w:val="000000" w:themeColor="text1"/>
        </w:rPr>
        <w:t xml:space="preserve">with an </w:t>
      </w:r>
      <w:r w:rsidR="00804565">
        <w:rPr>
          <w:color w:val="000000" w:themeColor="text1"/>
        </w:rPr>
        <w:t>insight into</w:t>
      </w:r>
      <w:r w:rsidR="00202860">
        <w:rPr>
          <w:color w:val="000000" w:themeColor="text1"/>
        </w:rPr>
        <w:t xml:space="preserve"> purposeful collaboration </w:t>
      </w:r>
      <w:r w:rsidR="00543597">
        <w:rPr>
          <w:color w:val="000000" w:themeColor="text1"/>
        </w:rPr>
        <w:t>structures</w:t>
      </w:r>
      <w:r w:rsidR="00202860">
        <w:rPr>
          <w:color w:val="000000" w:themeColor="text1"/>
        </w:rPr>
        <w:t xml:space="preserve"> within and across schools. To drive </w:t>
      </w:r>
      <w:r w:rsidR="00A0362F">
        <w:rPr>
          <w:color w:val="000000" w:themeColor="text1"/>
        </w:rPr>
        <w:t xml:space="preserve">excellence and </w:t>
      </w:r>
      <w:r w:rsidR="00202860">
        <w:rPr>
          <w:color w:val="000000" w:themeColor="text1"/>
        </w:rPr>
        <w:t xml:space="preserve">continuous improvement in teaching and learning, </w:t>
      </w:r>
      <w:r w:rsidR="00804565">
        <w:rPr>
          <w:color w:val="000000" w:themeColor="text1"/>
        </w:rPr>
        <w:t>school leaders</w:t>
      </w:r>
      <w:r w:rsidR="008D6751">
        <w:rPr>
          <w:color w:val="000000" w:themeColor="text1"/>
        </w:rPr>
        <w:t xml:space="preserve"> and teachers</w:t>
      </w:r>
      <w:r w:rsidR="00804565">
        <w:rPr>
          <w:color w:val="000000" w:themeColor="text1"/>
        </w:rPr>
        <w:t xml:space="preserve"> </w:t>
      </w:r>
      <w:r w:rsidR="00790A1F">
        <w:rPr>
          <w:color w:val="000000" w:themeColor="text1"/>
        </w:rPr>
        <w:t>can</w:t>
      </w:r>
      <w:r w:rsidR="00202860">
        <w:rPr>
          <w:color w:val="000000" w:themeColor="text1"/>
        </w:rPr>
        <w:t xml:space="preserve"> collaborate through:</w:t>
      </w:r>
    </w:p>
    <w:p w14:paraId="643F3B2D" w14:textId="0EF76194" w:rsidR="00216739" w:rsidRDefault="008D6751" w:rsidP="00AC1440">
      <w:pPr>
        <w:pStyle w:val="ListParagraph"/>
        <w:numPr>
          <w:ilvl w:val="0"/>
          <w:numId w:val="44"/>
        </w:numPr>
        <w:ind w:left="426" w:hanging="284"/>
      </w:pPr>
      <w:r>
        <w:t>Professional Learning C</w:t>
      </w:r>
      <w:r w:rsidR="00202860">
        <w:t xml:space="preserve">ommunities (PLCs) </w:t>
      </w:r>
      <w:r w:rsidR="00202860" w:rsidRPr="00473391">
        <w:rPr>
          <w:b/>
        </w:rPr>
        <w:t>within the school</w:t>
      </w:r>
    </w:p>
    <w:p w14:paraId="4A853912" w14:textId="64401AB1" w:rsidR="00216739" w:rsidRDefault="00202860" w:rsidP="00AC1440">
      <w:pPr>
        <w:pStyle w:val="ListParagraph"/>
        <w:numPr>
          <w:ilvl w:val="0"/>
          <w:numId w:val="44"/>
        </w:numPr>
        <w:ind w:left="426" w:hanging="284"/>
      </w:pPr>
      <w:r>
        <w:t>Communities of Practice (</w:t>
      </w:r>
      <w:proofErr w:type="spellStart"/>
      <w:r>
        <w:t>CoPs</w:t>
      </w:r>
      <w:proofErr w:type="spellEnd"/>
      <w:r>
        <w:t xml:space="preserve">) </w:t>
      </w:r>
      <w:r w:rsidRPr="00473391">
        <w:rPr>
          <w:b/>
        </w:rPr>
        <w:t>across a number of schools</w:t>
      </w:r>
    </w:p>
    <w:p w14:paraId="784500DB" w14:textId="6859AA3B" w:rsidR="00790A1F" w:rsidRDefault="006C03DA" w:rsidP="006C03DA">
      <w:pPr>
        <w:spacing w:before="120"/>
        <w:rPr>
          <w:color w:val="000000" w:themeColor="text1"/>
        </w:rPr>
      </w:pPr>
      <w:r w:rsidRPr="008D4D01">
        <w:rPr>
          <w:color w:val="000000" w:themeColor="text1"/>
        </w:rPr>
        <w:t>This Professional Practice Note</w:t>
      </w:r>
      <w:r w:rsidR="006709B6">
        <w:rPr>
          <w:color w:val="000000" w:themeColor="text1"/>
        </w:rPr>
        <w:t xml:space="preserve">, </w:t>
      </w:r>
      <w:r w:rsidR="006709B6">
        <w:t xml:space="preserve">together </w:t>
      </w:r>
      <w:r w:rsidR="006B351F">
        <w:t>with the</w:t>
      </w:r>
      <w:r w:rsidR="00202860">
        <w:t xml:space="preserve"> </w:t>
      </w:r>
      <w:hyperlink r:id="rId11" w:history="1">
        <w:r w:rsidR="00455940">
          <w:rPr>
            <w:rStyle w:val="Hyperlink"/>
          </w:rPr>
          <w:t>Framework for Improving Student Outcomes (FISO) Improvement Cycle</w:t>
        </w:r>
      </w:hyperlink>
      <w:r w:rsidR="00202860">
        <w:t xml:space="preserve">, </w:t>
      </w:r>
      <w:r>
        <w:rPr>
          <w:color w:val="000000" w:themeColor="text1"/>
        </w:rPr>
        <w:t>may</w:t>
      </w:r>
      <w:r w:rsidRPr="008D4D01">
        <w:rPr>
          <w:color w:val="000000" w:themeColor="text1"/>
        </w:rPr>
        <w:t xml:space="preserve"> be a useful reference point for future planning and improvement.</w:t>
      </w:r>
    </w:p>
    <w:p w14:paraId="7C7EE506" w14:textId="1A38A62E" w:rsidR="00DE530F" w:rsidRPr="00DE530F" w:rsidRDefault="00790A1F" w:rsidP="00C80147">
      <w:pPr>
        <w:pStyle w:val="Heading2"/>
      </w:pPr>
      <w:r>
        <w:t>What is</w:t>
      </w:r>
      <w:r w:rsidR="003D5274">
        <w:t xml:space="preserve"> </w:t>
      </w:r>
      <w:r w:rsidR="002E17E8">
        <w:t>purposeful collaboration</w:t>
      </w:r>
    </w:p>
    <w:p w14:paraId="18CD33AD" w14:textId="77777777" w:rsidR="0049011D" w:rsidRPr="00C06499" w:rsidRDefault="0049011D" w:rsidP="00C06499">
      <w:pPr>
        <w:spacing w:before="120"/>
        <w:rPr>
          <w:i/>
          <w:lang w:val="en-US"/>
        </w:rPr>
      </w:pPr>
      <w:r w:rsidRPr="00C06499">
        <w:rPr>
          <w:i/>
          <w:lang w:val="en-US"/>
        </w:rPr>
        <w:t>International evidence demonstrates that the best performing education systems are those in which the foundations for collaboration are well-established.</w:t>
      </w:r>
      <w:r w:rsidRPr="00C06499">
        <w:rPr>
          <w:i/>
          <w:vertAlign w:val="superscript"/>
        </w:rPr>
        <w:footnoteReference w:id="3"/>
      </w:r>
      <w:r w:rsidRPr="00C06499">
        <w:rPr>
          <w:i/>
          <w:lang w:val="en-US"/>
        </w:rPr>
        <w:t xml:space="preserve"> </w:t>
      </w:r>
    </w:p>
    <w:p w14:paraId="4AF580E3" w14:textId="3ABE35DB" w:rsidR="00A0362F" w:rsidRPr="00546244" w:rsidRDefault="006811DC" w:rsidP="006811DC">
      <w:pPr>
        <w:rPr>
          <w:lang w:val="en-US"/>
        </w:rPr>
      </w:pPr>
      <w:r w:rsidRPr="00F7093E">
        <w:rPr>
          <w:lang w:val="en-US"/>
        </w:rPr>
        <w:t xml:space="preserve">By </w:t>
      </w:r>
      <w:proofErr w:type="spellStart"/>
      <w:r w:rsidRPr="00F7093E">
        <w:rPr>
          <w:lang w:val="en-US"/>
        </w:rPr>
        <w:t>recognising</w:t>
      </w:r>
      <w:proofErr w:type="spellEnd"/>
      <w:r w:rsidRPr="00F7093E">
        <w:rPr>
          <w:lang w:val="en-US"/>
        </w:rPr>
        <w:t xml:space="preserve"> and strengthening collaboration at all levels of the system, an ecosystem of leaders, teachers and students who learn together is created. Student wellbeing, equity and learning are supported by empowering educators to de-</w:t>
      </w:r>
      <w:proofErr w:type="spellStart"/>
      <w:r w:rsidRPr="00F7093E">
        <w:rPr>
          <w:lang w:val="en-US"/>
        </w:rPr>
        <w:t>privatise</w:t>
      </w:r>
      <w:proofErr w:type="spellEnd"/>
      <w:r w:rsidRPr="00F7093E">
        <w:rPr>
          <w:lang w:val="en-US"/>
        </w:rPr>
        <w:t xml:space="preserve"> leadership and teaching practices, to innovate, and to co-create improvements in professional kn</w:t>
      </w:r>
      <w:r>
        <w:rPr>
          <w:lang w:val="en-US"/>
        </w:rPr>
        <w:t>owledge, skills and practices.</w:t>
      </w:r>
      <w:r>
        <w:rPr>
          <w:rStyle w:val="FootnoteReference"/>
          <w:lang w:val="en-US"/>
        </w:rPr>
        <w:footnoteReference w:id="4"/>
      </w:r>
    </w:p>
    <w:p w14:paraId="0348F088" w14:textId="4719F24E" w:rsidR="006811DC" w:rsidRDefault="003A0E64" w:rsidP="006811DC">
      <w:pPr>
        <w:spacing w:before="120"/>
        <w:rPr>
          <w:color w:val="000000" w:themeColor="text1"/>
        </w:rPr>
      </w:pPr>
      <w:r w:rsidRPr="00F7093E">
        <w:rPr>
          <w:lang w:val="en-US"/>
        </w:rPr>
        <w:t>Collaboration drives practice excellence, professional learning, student-</w:t>
      </w:r>
      <w:r w:rsidR="006F0DC2" w:rsidRPr="00F7093E">
        <w:rPr>
          <w:lang w:val="en-US"/>
        </w:rPr>
        <w:t>centered</w:t>
      </w:r>
      <w:r w:rsidRPr="00F7093E">
        <w:rPr>
          <w:lang w:val="en-US"/>
        </w:rPr>
        <w:t xml:space="preserve"> inquiry and deep learning.</w:t>
      </w:r>
      <w:r>
        <w:rPr>
          <w:lang w:val="en-US"/>
        </w:rPr>
        <w:t xml:space="preserve"> </w:t>
      </w:r>
      <w:r w:rsidR="006811DC">
        <w:rPr>
          <w:color w:val="000000" w:themeColor="text1"/>
        </w:rPr>
        <w:t>A culture of collaboration within and across schools</w:t>
      </w:r>
      <w:r w:rsidR="00FB5CD3">
        <w:rPr>
          <w:color w:val="000000" w:themeColor="text1"/>
        </w:rPr>
        <w:t>,</w:t>
      </w:r>
      <w:r w:rsidR="006811DC">
        <w:rPr>
          <w:color w:val="000000" w:themeColor="text1"/>
        </w:rPr>
        <w:t xml:space="preserve"> provides an environment in which teachers</w:t>
      </w:r>
      <w:r w:rsidR="00543597">
        <w:rPr>
          <w:color w:val="000000" w:themeColor="text1"/>
        </w:rPr>
        <w:t xml:space="preserve"> and leaders</w:t>
      </w:r>
      <w:r w:rsidR="006811DC">
        <w:rPr>
          <w:color w:val="000000" w:themeColor="text1"/>
        </w:rPr>
        <w:t xml:space="preserve"> are committed to their own le</w:t>
      </w:r>
      <w:r w:rsidR="00461B26">
        <w:rPr>
          <w:color w:val="000000" w:themeColor="text1"/>
        </w:rPr>
        <w:t>a</w:t>
      </w:r>
      <w:r w:rsidR="006811DC">
        <w:rPr>
          <w:color w:val="000000" w:themeColor="text1"/>
        </w:rPr>
        <w:t xml:space="preserve">rning and </w:t>
      </w:r>
      <w:r w:rsidR="00543597">
        <w:rPr>
          <w:color w:val="000000" w:themeColor="text1"/>
        </w:rPr>
        <w:t>that of their peers,</w:t>
      </w:r>
      <w:r w:rsidR="006811DC">
        <w:rPr>
          <w:color w:val="000000" w:themeColor="text1"/>
        </w:rPr>
        <w:t xml:space="preserve"> while b</w:t>
      </w:r>
      <w:r w:rsidR="004C40AF">
        <w:rPr>
          <w:color w:val="000000" w:themeColor="text1"/>
        </w:rPr>
        <w:t>uilding the professional expertise</w:t>
      </w:r>
      <w:r w:rsidR="006811DC">
        <w:rPr>
          <w:color w:val="000000" w:themeColor="text1"/>
        </w:rPr>
        <w:t xml:space="preserve"> required to support the diverse learning needs of all students. </w:t>
      </w:r>
    </w:p>
    <w:p w14:paraId="49716ACF" w14:textId="3F5A1DC8" w:rsidR="00A0362F" w:rsidRDefault="00A0362F" w:rsidP="006811DC">
      <w:pPr>
        <w:spacing w:before="120"/>
        <w:rPr>
          <w:color w:val="000000" w:themeColor="text1"/>
        </w:rPr>
      </w:pPr>
      <w:r>
        <w:rPr>
          <w:color w:val="000000" w:themeColor="text1"/>
        </w:rPr>
        <w:t xml:space="preserve">Collaboration means working together to develop solutions to practice challenges. Stretching </w:t>
      </w:r>
      <w:r>
        <w:rPr>
          <w:color w:val="000000" w:themeColor="text1"/>
          <w:u w:val="single"/>
        </w:rPr>
        <w:t>each</w:t>
      </w:r>
      <w:r>
        <w:rPr>
          <w:color w:val="000000" w:themeColor="text1"/>
        </w:rPr>
        <w:t xml:space="preserve"> student from their current point in their learning requires co-designing, trialling and evaluating approaches to ensure every student benefits from collective knowledge, to realise their potential. </w:t>
      </w:r>
    </w:p>
    <w:p w14:paraId="17A3B4EF" w14:textId="350D0307" w:rsidR="00614D8F" w:rsidRDefault="0049011D" w:rsidP="0049011D">
      <w:pPr>
        <w:spacing w:before="120"/>
        <w:rPr>
          <w:lang w:val="en-US"/>
        </w:rPr>
      </w:pPr>
      <w:r w:rsidRPr="00F7093E">
        <w:rPr>
          <w:lang w:val="en-US"/>
        </w:rPr>
        <w:t>Purposeful collaboration requires the building of collective responsibility and collective efficacy.</w:t>
      </w:r>
      <w:r>
        <w:rPr>
          <w:rStyle w:val="FootnoteReference"/>
          <w:lang w:val="en-US"/>
        </w:rPr>
        <w:footnoteReference w:id="5"/>
      </w:r>
      <w:r w:rsidR="00CB3288">
        <w:rPr>
          <w:lang w:val="en-US"/>
        </w:rPr>
        <w:t xml:space="preserve"> P</w:t>
      </w:r>
      <w:r w:rsidRPr="00F7093E">
        <w:rPr>
          <w:lang w:val="en-US"/>
        </w:rPr>
        <w:t>u</w:t>
      </w:r>
      <w:r>
        <w:rPr>
          <w:lang w:val="en-US"/>
        </w:rPr>
        <w:t>rposeful</w:t>
      </w:r>
      <w:r w:rsidRPr="00F7093E">
        <w:rPr>
          <w:lang w:val="en-US"/>
        </w:rPr>
        <w:t xml:space="preserve"> collaboration</w:t>
      </w:r>
      <w:r w:rsidR="00CB3288">
        <w:rPr>
          <w:lang w:val="en-US"/>
        </w:rPr>
        <w:t xml:space="preserve"> is underpinned by clear moral purpose</w:t>
      </w:r>
      <w:r w:rsidR="00FB5CD3">
        <w:rPr>
          <w:lang w:val="en-US"/>
        </w:rPr>
        <w:t>,</w:t>
      </w:r>
      <w:r w:rsidR="00CB3288">
        <w:rPr>
          <w:lang w:val="en-US"/>
        </w:rPr>
        <w:t xml:space="preserve"> and a commitment to improvement of self and peers.</w:t>
      </w:r>
      <w:r w:rsidRPr="00F7093E">
        <w:rPr>
          <w:lang w:val="en-US"/>
        </w:rPr>
        <w:t xml:space="preserve"> </w:t>
      </w:r>
    </w:p>
    <w:p w14:paraId="400C30F5" w14:textId="14C2FE55" w:rsidR="0049011D" w:rsidRPr="00614D8F" w:rsidRDefault="0049011D" w:rsidP="0049011D">
      <w:pPr>
        <w:spacing w:before="120"/>
        <w:rPr>
          <w:lang w:val="en-US"/>
        </w:rPr>
      </w:pPr>
      <w:r w:rsidRPr="00F7093E">
        <w:rPr>
          <w:lang w:val="en-US"/>
        </w:rPr>
        <w:t xml:space="preserve">Highly effective teacher collaboration is </w:t>
      </w:r>
      <w:proofErr w:type="spellStart"/>
      <w:r w:rsidRPr="00F7093E">
        <w:rPr>
          <w:lang w:val="en-US"/>
        </w:rPr>
        <w:t>characterised</w:t>
      </w:r>
      <w:proofErr w:type="spellEnd"/>
      <w:r w:rsidRPr="00F7093E">
        <w:rPr>
          <w:lang w:val="en-US"/>
        </w:rPr>
        <w:t xml:space="preserve"> by teachers working in teams to deepen and transfer their learning through recurring cycles of inquiry, to accurately diagnose student learning needs, and </w:t>
      </w:r>
      <w:r w:rsidR="004C40AF">
        <w:t>respond by changing what and how they teach and assess.</w:t>
      </w:r>
    </w:p>
    <w:p w14:paraId="3909A6B1" w14:textId="43EFFC3F" w:rsidR="0086413D" w:rsidRDefault="00746CFB" w:rsidP="0086413D">
      <w:pPr>
        <w:spacing w:before="120"/>
        <w:rPr>
          <w:color w:val="000000" w:themeColor="text1"/>
        </w:rPr>
      </w:pPr>
      <w:r>
        <w:rPr>
          <w:color w:val="000000" w:themeColor="text1"/>
        </w:rPr>
        <w:t>Highly effective p</w:t>
      </w:r>
      <w:r w:rsidR="0086413D">
        <w:rPr>
          <w:color w:val="000000" w:themeColor="text1"/>
        </w:rPr>
        <w:t>rincipal collaboration is characterised by leaders working in teams across schools</w:t>
      </w:r>
      <w:r w:rsidR="00AC1440">
        <w:rPr>
          <w:color w:val="000000" w:themeColor="text1"/>
        </w:rPr>
        <w:t>,</w:t>
      </w:r>
      <w:r w:rsidR="0086413D">
        <w:rPr>
          <w:color w:val="000000" w:themeColor="text1"/>
        </w:rPr>
        <w:t xml:space="preserve"> on a narrow improvement challenge to deepen and transfer their learning through recurrin</w:t>
      </w:r>
      <w:r w:rsidR="00AC1440">
        <w:rPr>
          <w:color w:val="000000" w:themeColor="text1"/>
        </w:rPr>
        <w:t>g cycles of inquiry. This work allows them</w:t>
      </w:r>
      <w:r w:rsidR="000552B6">
        <w:rPr>
          <w:color w:val="000000" w:themeColor="text1"/>
        </w:rPr>
        <w:t xml:space="preserve"> to accurately</w:t>
      </w:r>
      <w:r w:rsidR="0086413D">
        <w:rPr>
          <w:color w:val="000000" w:themeColor="text1"/>
        </w:rPr>
        <w:t xml:space="preserve"> diagnose student learning needs, and respond by </w:t>
      </w:r>
      <w:r w:rsidR="00A0362F">
        <w:rPr>
          <w:color w:val="000000" w:themeColor="text1"/>
        </w:rPr>
        <w:t xml:space="preserve">agilely </w:t>
      </w:r>
      <w:r w:rsidR="0086413D">
        <w:rPr>
          <w:color w:val="000000" w:themeColor="text1"/>
        </w:rPr>
        <w:t xml:space="preserve">changing </w:t>
      </w:r>
      <w:r w:rsidR="00A0362F">
        <w:rPr>
          <w:color w:val="000000" w:themeColor="text1"/>
        </w:rPr>
        <w:t>the focus</w:t>
      </w:r>
      <w:r w:rsidR="0086413D">
        <w:rPr>
          <w:color w:val="000000" w:themeColor="text1"/>
        </w:rPr>
        <w:t xml:space="preserve"> and how they lead school improvement back in their own school.</w:t>
      </w:r>
    </w:p>
    <w:p w14:paraId="21FD502F" w14:textId="6DCAC52F" w:rsidR="005528FF" w:rsidRPr="008D4D01" w:rsidRDefault="00790A1F" w:rsidP="00A65A21">
      <w:pPr>
        <w:pStyle w:val="Heading2"/>
      </w:pPr>
      <w:r>
        <w:lastRenderedPageBreak/>
        <w:t>In-school collaboration in a PLC</w:t>
      </w:r>
    </w:p>
    <w:p w14:paraId="52139BAF" w14:textId="77777777" w:rsidR="00AA6CCD" w:rsidRDefault="0049011D" w:rsidP="00AA6CCD">
      <w:pPr>
        <w:spacing w:before="120"/>
        <w:rPr>
          <w:i/>
          <w:lang w:val="en-US"/>
        </w:rPr>
      </w:pPr>
      <w:r w:rsidRPr="00D60D4A">
        <w:rPr>
          <w:i/>
          <w:lang w:val="en-US"/>
        </w:rPr>
        <w:t>PLCs are one of the most effective ways to build professional capital, facilitate collaboration and transfer learning between teachers.</w:t>
      </w:r>
      <w:r w:rsidRPr="00C06499">
        <w:rPr>
          <w:i/>
          <w:vertAlign w:val="superscript"/>
        </w:rPr>
        <w:footnoteReference w:id="6"/>
      </w:r>
      <w:r w:rsidR="002373C2" w:rsidRPr="00D60D4A">
        <w:rPr>
          <w:i/>
          <w:lang w:val="en-US"/>
        </w:rPr>
        <w:t xml:space="preserve"> </w:t>
      </w:r>
    </w:p>
    <w:p w14:paraId="09577A13" w14:textId="17E89E75" w:rsidR="00C01903" w:rsidRPr="00AA6CCD" w:rsidRDefault="008D6751" w:rsidP="00AA6CCD">
      <w:pPr>
        <w:spacing w:before="120"/>
        <w:rPr>
          <w:i/>
          <w:lang w:val="en-US"/>
        </w:rPr>
      </w:pPr>
      <w:r>
        <w:rPr>
          <w:lang w:val="en-US"/>
        </w:rPr>
        <w:t>PLCs</w:t>
      </w:r>
      <w:r w:rsidR="00C01903">
        <w:rPr>
          <w:lang w:val="en-US"/>
        </w:rPr>
        <w:t xml:space="preserve"> </w:t>
      </w:r>
      <w:r w:rsidR="00C01903" w:rsidRPr="00C01903">
        <w:rPr>
          <w:lang w:val="en-US"/>
        </w:rPr>
        <w:t xml:space="preserve">are </w:t>
      </w:r>
      <w:r w:rsidR="0024073C">
        <w:rPr>
          <w:lang w:val="en-US"/>
        </w:rPr>
        <w:t>a collaborative</w:t>
      </w:r>
      <w:r w:rsidR="00C01903" w:rsidRPr="00C01903">
        <w:rPr>
          <w:lang w:val="en-US"/>
        </w:rPr>
        <w:t xml:space="preserve"> approach to school improvement</w:t>
      </w:r>
      <w:r w:rsidR="0024073C">
        <w:rPr>
          <w:lang w:val="en-US"/>
        </w:rPr>
        <w:t>. G</w:t>
      </w:r>
      <w:r w:rsidR="00C01903" w:rsidRPr="00C01903">
        <w:rPr>
          <w:lang w:val="en-US"/>
        </w:rPr>
        <w:t xml:space="preserve">roups of teachers </w:t>
      </w:r>
      <w:r w:rsidR="0024073C">
        <w:rPr>
          <w:lang w:val="en-US"/>
        </w:rPr>
        <w:t>take collective responsibility,</w:t>
      </w:r>
      <w:r w:rsidR="00C01903" w:rsidRPr="00C01903">
        <w:rPr>
          <w:lang w:val="en-US"/>
        </w:rPr>
        <w:t xml:space="preserve"> at the school level</w:t>
      </w:r>
      <w:r w:rsidR="0024073C">
        <w:rPr>
          <w:lang w:val="en-US"/>
        </w:rPr>
        <w:t>,</w:t>
      </w:r>
      <w:r w:rsidR="00C01903" w:rsidRPr="00C01903">
        <w:rPr>
          <w:lang w:val="en-US"/>
        </w:rPr>
        <w:t xml:space="preserve"> to improve student outcomes</w:t>
      </w:r>
      <w:r w:rsidR="0024073C">
        <w:rPr>
          <w:lang w:val="en-US"/>
        </w:rPr>
        <w:t xml:space="preserve"> through shared practice and pedagogical change.</w:t>
      </w:r>
    </w:p>
    <w:p w14:paraId="77EBD837" w14:textId="11C8DEF2" w:rsidR="00161982" w:rsidRPr="00161982" w:rsidRDefault="00777DA3" w:rsidP="00161982">
      <w:pPr>
        <w:rPr>
          <w:b/>
        </w:rPr>
      </w:pPr>
      <w:r>
        <w:t xml:space="preserve">The new </w:t>
      </w:r>
      <w:hyperlink r:id="rId12" w:history="1">
        <w:r w:rsidR="00161982">
          <w:rPr>
            <w:rStyle w:val="Hyperlink"/>
          </w:rPr>
          <w:t>Professional Learning Online Modules</w:t>
        </w:r>
      </w:hyperlink>
      <w:r w:rsidR="00161982">
        <w:rPr>
          <w:rStyle w:val="Hyperlink"/>
        </w:rPr>
        <w:t xml:space="preserve"> support</w:t>
      </w:r>
      <w:r w:rsidR="00161982">
        <w:rPr>
          <w:b/>
        </w:rPr>
        <w:t xml:space="preserve"> </w:t>
      </w:r>
      <w:r w:rsidR="00161982">
        <w:rPr>
          <w:color w:val="000000" w:themeColor="text1"/>
        </w:rPr>
        <w:t>the implementation of a PLC approach in all Victorian schools. School leaders and middle leaders are guided to lead changes required to deepen collaborative practices.</w:t>
      </w:r>
    </w:p>
    <w:p w14:paraId="7FA92C65" w14:textId="5CCB2233" w:rsidR="002373C2" w:rsidRPr="00FB5CD3" w:rsidRDefault="002373C2" w:rsidP="00161982">
      <w:pPr>
        <w:spacing w:before="120"/>
        <w:rPr>
          <w:color w:val="000000" w:themeColor="text1"/>
        </w:rPr>
      </w:pPr>
      <w:r w:rsidRPr="00FB5CD3">
        <w:rPr>
          <w:color w:val="000000" w:themeColor="text1"/>
        </w:rPr>
        <w:t xml:space="preserve">PLCs </w:t>
      </w:r>
      <w:r w:rsidR="00AA6CCD" w:rsidRPr="00FB5CD3">
        <w:rPr>
          <w:color w:val="000000" w:themeColor="text1"/>
        </w:rPr>
        <w:t xml:space="preserve">can </w:t>
      </w:r>
      <w:r w:rsidR="004C40AF" w:rsidRPr="00FB5CD3">
        <w:rPr>
          <w:color w:val="000000" w:themeColor="text1"/>
        </w:rPr>
        <w:t>connect</w:t>
      </w:r>
      <w:r w:rsidR="004300F0" w:rsidRPr="00FB5CD3">
        <w:rPr>
          <w:color w:val="000000" w:themeColor="text1"/>
        </w:rPr>
        <w:t xml:space="preserve"> the FISO</w:t>
      </w:r>
      <w:r w:rsidRPr="00FB5CD3">
        <w:rPr>
          <w:color w:val="000000" w:themeColor="text1"/>
        </w:rPr>
        <w:t xml:space="preserve"> improvement priorities in the school’s A</w:t>
      </w:r>
      <w:r w:rsidR="008D6751" w:rsidRPr="00FB5CD3">
        <w:rPr>
          <w:color w:val="000000" w:themeColor="text1"/>
        </w:rPr>
        <w:t xml:space="preserve">nnual </w:t>
      </w:r>
      <w:r w:rsidRPr="00FB5CD3">
        <w:rPr>
          <w:color w:val="000000" w:themeColor="text1"/>
        </w:rPr>
        <w:t>I</w:t>
      </w:r>
      <w:r w:rsidR="008D6751" w:rsidRPr="00FB5CD3">
        <w:rPr>
          <w:color w:val="000000" w:themeColor="text1"/>
        </w:rPr>
        <w:t xml:space="preserve">mplementation </w:t>
      </w:r>
      <w:r w:rsidRPr="00FB5CD3">
        <w:rPr>
          <w:color w:val="000000" w:themeColor="text1"/>
        </w:rPr>
        <w:t>P</w:t>
      </w:r>
      <w:r w:rsidR="008D6751" w:rsidRPr="00FB5CD3">
        <w:rPr>
          <w:color w:val="000000" w:themeColor="text1"/>
        </w:rPr>
        <w:t>lan (AIP)</w:t>
      </w:r>
      <w:r w:rsidRPr="00FB5CD3">
        <w:rPr>
          <w:color w:val="000000" w:themeColor="text1"/>
        </w:rPr>
        <w:t xml:space="preserve"> and S</w:t>
      </w:r>
      <w:r w:rsidR="008D6751" w:rsidRPr="00FB5CD3">
        <w:rPr>
          <w:color w:val="000000" w:themeColor="text1"/>
        </w:rPr>
        <w:t xml:space="preserve">chool </w:t>
      </w:r>
      <w:r w:rsidRPr="00FB5CD3">
        <w:rPr>
          <w:color w:val="000000" w:themeColor="text1"/>
        </w:rPr>
        <w:t>S</w:t>
      </w:r>
      <w:r w:rsidR="008D6751" w:rsidRPr="00FB5CD3">
        <w:rPr>
          <w:color w:val="000000" w:themeColor="text1"/>
        </w:rPr>
        <w:t xml:space="preserve">trategic </w:t>
      </w:r>
      <w:r w:rsidRPr="00FB5CD3">
        <w:rPr>
          <w:color w:val="000000" w:themeColor="text1"/>
        </w:rPr>
        <w:t>P</w:t>
      </w:r>
      <w:r w:rsidR="008D6751" w:rsidRPr="00FB5CD3">
        <w:rPr>
          <w:color w:val="000000" w:themeColor="text1"/>
        </w:rPr>
        <w:t>lan (SSP)</w:t>
      </w:r>
      <w:r w:rsidRPr="00FB5CD3">
        <w:rPr>
          <w:color w:val="000000" w:themeColor="text1"/>
        </w:rPr>
        <w:t xml:space="preserve"> to classroom practice through teacher Performance and Development Plans (PDP) goal</w:t>
      </w:r>
      <w:r w:rsidR="0086413D" w:rsidRPr="00FB5CD3">
        <w:rPr>
          <w:color w:val="000000" w:themeColor="text1"/>
        </w:rPr>
        <w:t>s that are aligned to these docu</w:t>
      </w:r>
      <w:r w:rsidRPr="00FB5CD3">
        <w:rPr>
          <w:color w:val="000000" w:themeColor="text1"/>
        </w:rPr>
        <w:t>ments.</w:t>
      </w:r>
      <w:r w:rsidR="00AA6CCD" w:rsidRPr="00FB5CD3">
        <w:rPr>
          <w:color w:val="000000" w:themeColor="text1"/>
        </w:rPr>
        <w:t xml:space="preserve"> PLCs can also make th</w:t>
      </w:r>
      <w:r w:rsidR="009C2190" w:rsidRPr="00FB5CD3">
        <w:rPr>
          <w:color w:val="000000" w:themeColor="text1"/>
        </w:rPr>
        <w:t>is</w:t>
      </w:r>
      <w:r w:rsidR="00AA6CCD" w:rsidRPr="00FB5CD3">
        <w:rPr>
          <w:color w:val="000000" w:themeColor="text1"/>
        </w:rPr>
        <w:t xml:space="preserve"> connection through professional learning schedules.</w:t>
      </w:r>
    </w:p>
    <w:p w14:paraId="7EDB4C6D" w14:textId="28C4AED1" w:rsidR="00553D84" w:rsidRDefault="00553D84" w:rsidP="00F9239D">
      <w:pPr>
        <w:rPr>
          <w:lang w:val="en-US"/>
        </w:rPr>
      </w:pPr>
      <w:r>
        <w:rPr>
          <w:lang w:val="en-US"/>
        </w:rPr>
        <w:t xml:space="preserve">PLCs use the </w:t>
      </w:r>
      <w:hyperlink r:id="rId13" w:history="1">
        <w:r w:rsidRPr="004300F0">
          <w:rPr>
            <w:rStyle w:val="Hyperlink"/>
            <w:lang w:val="en-US"/>
          </w:rPr>
          <w:t>FISO Improvement Cycle</w:t>
        </w:r>
      </w:hyperlink>
      <w:r>
        <w:rPr>
          <w:lang w:val="en-US"/>
        </w:rPr>
        <w:t xml:space="preserve"> to participate in cycles of collaborative inquiry</w:t>
      </w:r>
      <w:r w:rsidR="008D6751">
        <w:rPr>
          <w:lang w:val="en-US"/>
        </w:rPr>
        <w:t>,</w:t>
      </w:r>
      <w:r>
        <w:rPr>
          <w:lang w:val="en-US"/>
        </w:rPr>
        <w:t xml:space="preserve"> focusing on </w:t>
      </w:r>
      <w:r w:rsidR="004300F0">
        <w:rPr>
          <w:lang w:val="en-US"/>
        </w:rPr>
        <w:t xml:space="preserve">data to inform changes in </w:t>
      </w:r>
      <w:r>
        <w:rPr>
          <w:lang w:val="en-US"/>
        </w:rPr>
        <w:t xml:space="preserve">professional practice </w:t>
      </w:r>
      <w:r w:rsidR="004300F0">
        <w:rPr>
          <w:lang w:val="en-US"/>
        </w:rPr>
        <w:t>that</w:t>
      </w:r>
      <w:r>
        <w:rPr>
          <w:lang w:val="en-US"/>
        </w:rPr>
        <w:t xml:space="preserve"> improve student outcomes. </w:t>
      </w:r>
    </w:p>
    <w:p w14:paraId="69BC5E0B" w14:textId="2749906E" w:rsidR="00790A1F" w:rsidRPr="00EE08C7" w:rsidRDefault="00EE08C7" w:rsidP="00790A1F">
      <w:pPr>
        <w:pStyle w:val="Heading2"/>
        <w:rPr>
          <w:caps w:val="0"/>
        </w:rPr>
      </w:pPr>
      <w:r>
        <w:rPr>
          <w:caps w:val="0"/>
        </w:rPr>
        <w:t>CROSS-SCHOOL COLLABORATION IN A</w:t>
      </w:r>
      <w:r w:rsidRPr="00EE08C7">
        <w:rPr>
          <w:caps w:val="0"/>
        </w:rPr>
        <w:t xml:space="preserve"> </w:t>
      </w:r>
      <w:proofErr w:type="spellStart"/>
      <w:r w:rsidRPr="00EE08C7">
        <w:rPr>
          <w:caps w:val="0"/>
        </w:rPr>
        <w:t>C</w:t>
      </w:r>
      <w:r>
        <w:rPr>
          <w:caps w:val="0"/>
        </w:rPr>
        <w:t>o</w:t>
      </w:r>
      <w:r w:rsidR="00790A1F" w:rsidRPr="00EE08C7">
        <w:rPr>
          <w:caps w:val="0"/>
        </w:rPr>
        <w:t>P</w:t>
      </w:r>
      <w:proofErr w:type="spellEnd"/>
    </w:p>
    <w:p w14:paraId="7D10272F" w14:textId="6D53F0BE" w:rsidR="00DE2567" w:rsidRPr="00A769CA" w:rsidRDefault="00DE2567" w:rsidP="00A769CA">
      <w:pPr>
        <w:spacing w:before="120"/>
        <w:rPr>
          <w:i/>
          <w:lang w:val="en-US"/>
        </w:rPr>
      </w:pPr>
      <w:r w:rsidRPr="00A769CA">
        <w:rPr>
          <w:i/>
          <w:lang w:val="en-US"/>
        </w:rPr>
        <w:t>Collaboration between schools can improve both schools’ performances more quickly than the national average.</w:t>
      </w:r>
      <w:r w:rsidRPr="00C06499">
        <w:rPr>
          <w:i/>
          <w:vertAlign w:val="superscript"/>
        </w:rPr>
        <w:footnoteReference w:id="7"/>
      </w:r>
    </w:p>
    <w:p w14:paraId="622E5468" w14:textId="138CAECC" w:rsidR="00AA6CCD" w:rsidRPr="00FB5CD3" w:rsidRDefault="00AA6CCD" w:rsidP="00FB5CD3">
      <w:pPr>
        <w:spacing w:before="120"/>
        <w:rPr>
          <w:color w:val="000000" w:themeColor="text1"/>
        </w:rPr>
      </w:pPr>
      <w:r w:rsidRPr="00FB5CD3">
        <w:rPr>
          <w:color w:val="000000" w:themeColor="text1"/>
        </w:rPr>
        <w:t xml:space="preserve">A </w:t>
      </w:r>
      <w:proofErr w:type="spellStart"/>
      <w:r w:rsidRPr="00FB5CD3">
        <w:rPr>
          <w:color w:val="000000" w:themeColor="text1"/>
        </w:rPr>
        <w:t>CoP</w:t>
      </w:r>
      <w:proofErr w:type="spellEnd"/>
      <w:r w:rsidRPr="00FB5CD3">
        <w:rPr>
          <w:color w:val="000000" w:themeColor="text1"/>
        </w:rPr>
        <w:t xml:space="preserve"> creates a compelling space for principals and school leaders to learn together and share best practice to drive improved learn</w:t>
      </w:r>
      <w:r w:rsidR="002D2946">
        <w:rPr>
          <w:color w:val="000000" w:themeColor="text1"/>
        </w:rPr>
        <w:t xml:space="preserve">ing outcomes for all students. </w:t>
      </w:r>
      <w:r w:rsidRPr="00FB5CD3">
        <w:rPr>
          <w:color w:val="000000" w:themeColor="text1"/>
        </w:rPr>
        <w:t>Leaders also explore and learn how best to lead this school improvement back in the structures and context of their own school.</w:t>
      </w:r>
    </w:p>
    <w:p w14:paraId="26690023" w14:textId="77777777" w:rsidR="00AA6CCD" w:rsidRDefault="00AA6CCD" w:rsidP="00AA6CCD">
      <w:pPr>
        <w:spacing w:line="240" w:lineRule="auto"/>
        <w:rPr>
          <w:lang w:val="en-US"/>
        </w:rPr>
      </w:pPr>
    </w:p>
    <w:p w14:paraId="2536F6D7" w14:textId="26580FD8" w:rsidR="00AA6CCD" w:rsidRDefault="00AA6CCD" w:rsidP="00AA6CCD">
      <w:pPr>
        <w:spacing w:line="240" w:lineRule="auto"/>
        <w:rPr>
          <w:lang w:val="en-US"/>
        </w:rPr>
      </w:pPr>
      <w:r w:rsidRPr="00AA6CCD">
        <w:rPr>
          <w:noProof/>
          <w:lang w:eastAsia="en-AU"/>
        </w:rPr>
        <w:drawing>
          <wp:inline distT="0" distB="0" distL="0" distR="0" wp14:anchorId="1B64A577" wp14:editId="1BB786D7">
            <wp:extent cx="3058160" cy="1221740"/>
            <wp:effectExtent l="0" t="0" r="0" b="0"/>
            <wp:docPr id="5" name="Picture 4">
              <a:extLst xmlns:a="http://schemas.openxmlformats.org/drawingml/2006/main">
                <a:ext uri="{FF2B5EF4-FFF2-40B4-BE49-F238E27FC236}">
                  <a16:creationId xmlns:a16="http://schemas.microsoft.com/office/drawing/2014/main" id="{9DEB2C5D-8931-4D3C-BF38-A919D82E18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DEB2C5D-8931-4D3C-BF38-A919D82E18E4}"/>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058160" cy="1221740"/>
                    </a:xfrm>
                    <a:prstGeom prst="rect">
                      <a:avLst/>
                    </a:prstGeom>
                  </pic:spPr>
                </pic:pic>
              </a:graphicData>
            </a:graphic>
          </wp:inline>
        </w:drawing>
      </w:r>
    </w:p>
    <w:p w14:paraId="48A84B74" w14:textId="78CDE69F" w:rsidR="00AA6CCD" w:rsidRDefault="00AA6CCD" w:rsidP="00AA6CCD">
      <w:pPr>
        <w:spacing w:line="240" w:lineRule="auto"/>
        <w:rPr>
          <w:lang w:val="en-US"/>
        </w:rPr>
      </w:pPr>
      <w:r w:rsidRPr="00AA6CCD">
        <w:rPr>
          <w:noProof/>
          <w:lang w:eastAsia="en-AU"/>
        </w:rPr>
        <w:drawing>
          <wp:inline distT="0" distB="0" distL="0" distR="0" wp14:anchorId="0E1550E2" wp14:editId="483E1569">
            <wp:extent cx="3058160" cy="476250"/>
            <wp:effectExtent l="0" t="0" r="8890" b="0"/>
            <wp:docPr id="2" name="Picture 3">
              <a:extLst xmlns:a="http://schemas.openxmlformats.org/drawingml/2006/main">
                <a:ext uri="{FF2B5EF4-FFF2-40B4-BE49-F238E27FC236}">
                  <a16:creationId xmlns:a16="http://schemas.microsoft.com/office/drawing/2014/main" id="{55B640FC-5058-4B37-9395-5874F49E23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5B640FC-5058-4B37-9395-5874F49E23C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058160" cy="476250"/>
                    </a:xfrm>
                    <a:prstGeom prst="rect">
                      <a:avLst/>
                    </a:prstGeom>
                  </pic:spPr>
                </pic:pic>
              </a:graphicData>
            </a:graphic>
          </wp:inline>
        </w:drawing>
      </w:r>
    </w:p>
    <w:p w14:paraId="7B638790" w14:textId="77777777" w:rsidR="00AA6CCD" w:rsidRPr="00A769CA" w:rsidRDefault="00AA6CCD" w:rsidP="00AA6CCD">
      <w:pPr>
        <w:spacing w:line="240" w:lineRule="auto"/>
        <w:rPr>
          <w:lang w:val="en-US"/>
        </w:rPr>
      </w:pPr>
    </w:p>
    <w:p w14:paraId="2F35E8BB" w14:textId="37A21727" w:rsidR="00AA6CCD" w:rsidRPr="00FB5CD3" w:rsidRDefault="00D4489B" w:rsidP="00FB5CD3">
      <w:pPr>
        <w:spacing w:before="120"/>
        <w:rPr>
          <w:color w:val="000000" w:themeColor="text1"/>
        </w:rPr>
      </w:pPr>
      <w:r w:rsidRPr="00FB5CD3">
        <w:rPr>
          <w:color w:val="000000" w:themeColor="text1"/>
        </w:rPr>
        <w:t>The Three P</w:t>
      </w:r>
      <w:r w:rsidR="00AA6CCD" w:rsidRPr="00FB5CD3">
        <w:rPr>
          <w:color w:val="000000" w:themeColor="text1"/>
        </w:rPr>
        <w:t xml:space="preserve">illars identify the key foundational elements required for </w:t>
      </w:r>
      <w:proofErr w:type="spellStart"/>
      <w:r w:rsidR="00AA6CCD" w:rsidRPr="00FB5CD3">
        <w:rPr>
          <w:color w:val="000000" w:themeColor="text1"/>
        </w:rPr>
        <w:t>CoPs</w:t>
      </w:r>
      <w:proofErr w:type="spellEnd"/>
      <w:r w:rsidR="00AA6CCD" w:rsidRPr="00FB5CD3">
        <w:rPr>
          <w:color w:val="000000" w:themeColor="text1"/>
        </w:rPr>
        <w:t xml:space="preserve"> to be successful.</w:t>
      </w:r>
    </w:p>
    <w:p w14:paraId="422E1C4F" w14:textId="10256767" w:rsidR="00AA6CCD" w:rsidRDefault="00AA6CCD" w:rsidP="00FB5CD3">
      <w:pPr>
        <w:pStyle w:val="ListParagraph"/>
        <w:numPr>
          <w:ilvl w:val="0"/>
          <w:numId w:val="42"/>
        </w:numPr>
        <w:spacing w:line="240" w:lineRule="atLeast"/>
        <w:ind w:left="357" w:hanging="357"/>
        <w:rPr>
          <w:lang w:val="en-US"/>
        </w:rPr>
      </w:pPr>
      <w:r w:rsidRPr="00C432EC">
        <w:rPr>
          <w:lang w:val="en-US"/>
        </w:rPr>
        <w:t xml:space="preserve">How we work together </w:t>
      </w:r>
      <w:r>
        <w:rPr>
          <w:lang w:val="en-US"/>
        </w:rPr>
        <w:t xml:space="preserve">– Leaders build collective efficacy by actively </w:t>
      </w:r>
      <w:r w:rsidR="006F0DC2">
        <w:rPr>
          <w:lang w:val="en-US"/>
        </w:rPr>
        <w:t>engaging, contributing</w:t>
      </w:r>
      <w:r>
        <w:rPr>
          <w:lang w:val="en-US"/>
        </w:rPr>
        <w:t>, collaborating and positively chall</w:t>
      </w:r>
      <w:r w:rsidR="006F0DC2">
        <w:rPr>
          <w:lang w:val="en-US"/>
        </w:rPr>
        <w:t xml:space="preserve">enging one another within a </w:t>
      </w:r>
      <w:proofErr w:type="spellStart"/>
      <w:r w:rsidR="006F0DC2">
        <w:rPr>
          <w:lang w:val="en-US"/>
        </w:rPr>
        <w:t>CoP.</w:t>
      </w:r>
      <w:proofErr w:type="spellEnd"/>
    </w:p>
    <w:p w14:paraId="7E00DC63" w14:textId="1EB5FB98" w:rsidR="00AA6CCD" w:rsidRDefault="00AA6CCD" w:rsidP="00FB5CD3">
      <w:pPr>
        <w:pStyle w:val="ListParagraph"/>
        <w:numPr>
          <w:ilvl w:val="0"/>
          <w:numId w:val="42"/>
        </w:numPr>
        <w:spacing w:line="240" w:lineRule="atLeast"/>
        <w:ind w:left="357" w:hanging="357"/>
        <w:rPr>
          <w:lang w:val="en-US"/>
        </w:rPr>
      </w:pPr>
      <w:r w:rsidRPr="00C432EC">
        <w:rPr>
          <w:lang w:val="en-US"/>
        </w:rPr>
        <w:t>Evidence Based Inquiry</w:t>
      </w:r>
      <w:r w:rsidR="00F05D99">
        <w:rPr>
          <w:lang w:val="en-US"/>
        </w:rPr>
        <w:t xml:space="preserve"> (</w:t>
      </w:r>
      <w:hyperlink r:id="rId16" w:history="1">
        <w:r w:rsidR="00F05D99" w:rsidRPr="004300F0">
          <w:rPr>
            <w:rStyle w:val="Hyperlink"/>
            <w:lang w:val="en-US"/>
          </w:rPr>
          <w:t>FISO Improvement Cycle</w:t>
        </w:r>
      </w:hyperlink>
      <w:r>
        <w:rPr>
          <w:lang w:val="en-US"/>
        </w:rPr>
        <w:t xml:space="preserve">) – Leaders learn how to use a range of data and evidence to implement and monitor an evidence based inquiry approach to strengthen and improve student outcomes across all </w:t>
      </w:r>
      <w:proofErr w:type="spellStart"/>
      <w:r>
        <w:rPr>
          <w:lang w:val="en-US"/>
        </w:rPr>
        <w:t>CoP</w:t>
      </w:r>
      <w:proofErr w:type="spellEnd"/>
      <w:r>
        <w:rPr>
          <w:lang w:val="en-US"/>
        </w:rPr>
        <w:t xml:space="preserve"> schools.</w:t>
      </w:r>
    </w:p>
    <w:p w14:paraId="0213AC11" w14:textId="22B9170C" w:rsidR="00AA6CCD" w:rsidRDefault="00AA6CCD" w:rsidP="00FB5CD3">
      <w:pPr>
        <w:pStyle w:val="ListParagraph"/>
        <w:numPr>
          <w:ilvl w:val="0"/>
          <w:numId w:val="42"/>
        </w:numPr>
        <w:spacing w:line="240" w:lineRule="atLeast"/>
        <w:ind w:left="357" w:hanging="357"/>
        <w:rPr>
          <w:lang w:val="en-US"/>
        </w:rPr>
      </w:pPr>
      <w:r w:rsidRPr="00C432EC">
        <w:rPr>
          <w:lang w:val="en-US"/>
        </w:rPr>
        <w:t>Accountability</w:t>
      </w:r>
      <w:r>
        <w:rPr>
          <w:lang w:val="en-US"/>
        </w:rPr>
        <w:t xml:space="preserve"> – Leaders’ </w:t>
      </w:r>
      <w:proofErr w:type="spellStart"/>
      <w:r>
        <w:rPr>
          <w:lang w:val="en-US"/>
        </w:rPr>
        <w:t>behaviours</w:t>
      </w:r>
      <w:proofErr w:type="spellEnd"/>
      <w:r>
        <w:rPr>
          <w:lang w:val="en-US"/>
        </w:rPr>
        <w:t xml:space="preserve">, skills and capabilities are made </w:t>
      </w:r>
      <w:r w:rsidR="006F0DC2">
        <w:rPr>
          <w:lang w:val="en-US"/>
        </w:rPr>
        <w:t>explicit</w:t>
      </w:r>
      <w:r>
        <w:rPr>
          <w:lang w:val="en-US"/>
        </w:rPr>
        <w:t xml:space="preserve">, and all individuals within the </w:t>
      </w:r>
      <w:proofErr w:type="spellStart"/>
      <w:r>
        <w:rPr>
          <w:lang w:val="en-US"/>
        </w:rPr>
        <w:t>CoP</w:t>
      </w:r>
      <w:proofErr w:type="spellEnd"/>
      <w:r>
        <w:rPr>
          <w:lang w:val="en-US"/>
        </w:rPr>
        <w:t xml:space="preserve"> hold themselves and others to account for working collaboratively to challenge self and others for all students</w:t>
      </w:r>
      <w:r w:rsidR="004151B0">
        <w:rPr>
          <w:lang w:val="en-US"/>
        </w:rPr>
        <w:t>.</w:t>
      </w:r>
    </w:p>
    <w:p w14:paraId="47BCC372" w14:textId="63ADFC32" w:rsidR="00AA6CCD" w:rsidRPr="00FB5CD3" w:rsidRDefault="00AA6CCD" w:rsidP="00FB5CD3">
      <w:pPr>
        <w:spacing w:before="120"/>
        <w:rPr>
          <w:color w:val="000000" w:themeColor="text1"/>
        </w:rPr>
      </w:pPr>
      <w:r w:rsidRPr="00FB5CD3">
        <w:rPr>
          <w:color w:val="000000" w:themeColor="text1"/>
        </w:rPr>
        <w:t xml:space="preserve">A </w:t>
      </w:r>
      <w:proofErr w:type="spellStart"/>
      <w:r w:rsidRPr="00FB5CD3">
        <w:rPr>
          <w:color w:val="000000" w:themeColor="text1"/>
        </w:rPr>
        <w:t>CoP</w:t>
      </w:r>
      <w:proofErr w:type="spellEnd"/>
      <w:r w:rsidRPr="00FB5CD3">
        <w:rPr>
          <w:color w:val="000000" w:themeColor="text1"/>
        </w:rPr>
        <w:t xml:space="preserve"> approach generates a culture of learning that includes building the capacity of </w:t>
      </w:r>
      <w:r w:rsidR="006F0DC2" w:rsidRPr="00FB5CD3">
        <w:rPr>
          <w:color w:val="000000" w:themeColor="text1"/>
        </w:rPr>
        <w:t>its</w:t>
      </w:r>
      <w:r w:rsidRPr="00FB5CD3">
        <w:rPr>
          <w:color w:val="000000" w:themeColor="text1"/>
        </w:rPr>
        <w:t xml:space="preserve"> members</w:t>
      </w:r>
      <w:r w:rsidR="006F0DC2" w:rsidRPr="00FB5CD3">
        <w:rPr>
          <w:color w:val="000000" w:themeColor="text1"/>
        </w:rPr>
        <w:t>’</w:t>
      </w:r>
      <w:r w:rsidRPr="00FB5CD3">
        <w:rPr>
          <w:color w:val="000000" w:themeColor="text1"/>
        </w:rPr>
        <w:t xml:space="preserve"> mindset</w:t>
      </w:r>
      <w:r w:rsidR="006F0DC2" w:rsidRPr="00FB5CD3">
        <w:rPr>
          <w:color w:val="000000" w:themeColor="text1"/>
        </w:rPr>
        <w:t>s</w:t>
      </w:r>
      <w:r w:rsidRPr="00FB5CD3">
        <w:rPr>
          <w:color w:val="000000" w:themeColor="text1"/>
        </w:rPr>
        <w:t>, knowledge and practice in each of the elements</w:t>
      </w:r>
      <w:r w:rsidR="001C44AA" w:rsidRPr="00FB5CD3">
        <w:rPr>
          <w:color w:val="000000" w:themeColor="text1"/>
        </w:rPr>
        <w:t xml:space="preserve"> </w:t>
      </w:r>
      <w:r w:rsidRPr="00FB5CD3">
        <w:rPr>
          <w:color w:val="000000" w:themeColor="text1"/>
        </w:rPr>
        <w:t>to strengthen collective effort for improvement</w:t>
      </w:r>
      <w:r w:rsidR="001C44AA" w:rsidRPr="00FB5CD3">
        <w:rPr>
          <w:color w:val="000000" w:themeColor="text1"/>
        </w:rPr>
        <w:t>.</w:t>
      </w:r>
      <w:r w:rsidRPr="00FB5CD3">
        <w:rPr>
          <w:color w:val="000000" w:themeColor="text1"/>
        </w:rPr>
        <w:t xml:space="preserve"> </w:t>
      </w:r>
    </w:p>
    <w:p w14:paraId="6709E77A" w14:textId="6258DFBA" w:rsidR="00D570E8" w:rsidRDefault="001023E8" w:rsidP="0095620A">
      <w:pPr>
        <w:pStyle w:val="Heading2"/>
      </w:pPr>
      <w:r>
        <w:t>Advice for school leaders</w:t>
      </w:r>
    </w:p>
    <w:p w14:paraId="7FD4F636" w14:textId="1203A6E8" w:rsidR="004300F0" w:rsidRPr="00CB4A95" w:rsidRDefault="004C40AF" w:rsidP="004300F0">
      <w:pPr>
        <w:spacing w:before="120"/>
        <w:rPr>
          <w:color w:val="000000" w:themeColor="text1"/>
        </w:rPr>
      </w:pPr>
      <w:r>
        <w:rPr>
          <w:color w:val="000000" w:themeColor="text1"/>
        </w:rPr>
        <w:t>Use t</w:t>
      </w:r>
      <w:r w:rsidR="004300F0">
        <w:rPr>
          <w:color w:val="000000" w:themeColor="text1"/>
        </w:rPr>
        <w:t xml:space="preserve">he </w:t>
      </w:r>
      <w:hyperlink r:id="rId17" w:history="1">
        <w:r w:rsidR="004300F0" w:rsidRPr="004300F0">
          <w:rPr>
            <w:rStyle w:val="Hyperlink"/>
          </w:rPr>
          <w:t>FISO Improvement Cycle</w:t>
        </w:r>
      </w:hyperlink>
      <w:r w:rsidR="004300F0">
        <w:rPr>
          <w:color w:val="000000" w:themeColor="text1"/>
        </w:rPr>
        <w:t xml:space="preserve"> to deepen shared understanding</w:t>
      </w:r>
      <w:r w:rsidR="00A131EE">
        <w:rPr>
          <w:color w:val="000000" w:themeColor="text1"/>
        </w:rPr>
        <w:t>,</w:t>
      </w:r>
      <w:r w:rsidR="004300F0">
        <w:rPr>
          <w:color w:val="000000" w:themeColor="text1"/>
        </w:rPr>
        <w:t xml:space="preserve"> </w:t>
      </w:r>
      <w:r w:rsidR="00A131EE">
        <w:rPr>
          <w:color w:val="000000" w:themeColor="text1"/>
        </w:rPr>
        <w:t>monitor students’ learning growth and improve teaching practices</w:t>
      </w:r>
      <w:r w:rsidR="004300F0">
        <w:rPr>
          <w:color w:val="000000" w:themeColor="text1"/>
        </w:rPr>
        <w:t xml:space="preserve">. Effective use of the Improvement Cycle is a collaborative and professional endeavour, which can challenge teachers’ sense of </w:t>
      </w:r>
      <w:r w:rsidR="004300F0">
        <w:rPr>
          <w:color w:val="000000" w:themeColor="text1"/>
        </w:rPr>
        <w:lastRenderedPageBreak/>
        <w:t xml:space="preserve">professional identity and practice, ultimately leading to the improved </w:t>
      </w:r>
      <w:r w:rsidR="006F0DC2">
        <w:rPr>
          <w:color w:val="000000" w:themeColor="text1"/>
        </w:rPr>
        <w:t>achievement</w:t>
      </w:r>
      <w:r w:rsidR="004300F0">
        <w:rPr>
          <w:color w:val="000000" w:themeColor="text1"/>
        </w:rPr>
        <w:t xml:space="preserve">, engagement and wellbeing of all students. </w:t>
      </w:r>
    </w:p>
    <w:p w14:paraId="584B7EBA" w14:textId="703A8BEE" w:rsidR="004300F0" w:rsidRDefault="004C40AF" w:rsidP="00FB5CD3">
      <w:pPr>
        <w:rPr>
          <w:lang w:val="en-US"/>
        </w:rPr>
      </w:pPr>
      <w:r>
        <w:rPr>
          <w:lang w:val="en-US"/>
        </w:rPr>
        <w:t>C</w:t>
      </w:r>
      <w:r w:rsidR="004300F0">
        <w:rPr>
          <w:lang w:val="en-US"/>
        </w:rPr>
        <w:t xml:space="preserve">onsider using the </w:t>
      </w:r>
      <w:hyperlink r:id="rId18" w:history="1">
        <w:r w:rsidR="004300F0" w:rsidRPr="00D60D4A">
          <w:rPr>
            <w:rStyle w:val="Hyperlink"/>
            <w:lang w:val="en-US"/>
          </w:rPr>
          <w:t>PLC Maturity Matrix</w:t>
        </w:r>
      </w:hyperlink>
      <w:r w:rsidR="004300F0">
        <w:rPr>
          <w:lang w:val="en-US"/>
        </w:rPr>
        <w:t xml:space="preserve">, </w:t>
      </w:r>
      <w:r w:rsidR="0083047C">
        <w:rPr>
          <w:lang w:val="en-US"/>
        </w:rPr>
        <w:t>f</w:t>
      </w:r>
      <w:r>
        <w:rPr>
          <w:lang w:val="en-US"/>
        </w:rPr>
        <w:t xml:space="preserve">or in-school collaboration. This matrix </w:t>
      </w:r>
      <w:r w:rsidR="004300F0">
        <w:rPr>
          <w:lang w:val="en-US"/>
        </w:rPr>
        <w:t xml:space="preserve">is designed to help schools track their own progress toward becoming an </w:t>
      </w:r>
      <w:r w:rsidR="006F0DC2">
        <w:rPr>
          <w:lang w:val="en-US"/>
        </w:rPr>
        <w:t>effective</w:t>
      </w:r>
      <w:r w:rsidR="004300F0">
        <w:rPr>
          <w:lang w:val="en-US"/>
        </w:rPr>
        <w:t xml:space="preserve"> PLC. </w:t>
      </w:r>
    </w:p>
    <w:p w14:paraId="11172D6A" w14:textId="7A5C6944" w:rsidR="00E16CC5" w:rsidRPr="00E16CC5" w:rsidRDefault="00473391" w:rsidP="00E16CC5">
      <w:r w:rsidRPr="00473391">
        <w:t xml:space="preserve">In all school </w:t>
      </w:r>
      <w:r w:rsidR="00E16CC5" w:rsidRPr="00473391">
        <w:t>setting</w:t>
      </w:r>
      <w:r w:rsidRPr="00473391">
        <w:t>s</w:t>
      </w:r>
      <w:r w:rsidR="00E16CC5" w:rsidRPr="00473391">
        <w:t xml:space="preserve">, consider </w:t>
      </w:r>
      <w:r w:rsidR="003A7E13" w:rsidRPr="00473391">
        <w:t xml:space="preserve">implementing </w:t>
      </w:r>
      <w:r w:rsidR="00CD2880" w:rsidRPr="00473391">
        <w:t xml:space="preserve">structures </w:t>
      </w:r>
      <w:r w:rsidR="003A7E13" w:rsidRPr="00473391">
        <w:t xml:space="preserve">and protocols </w:t>
      </w:r>
      <w:r w:rsidR="00CD2880" w:rsidRPr="00473391">
        <w:t xml:space="preserve">that </w:t>
      </w:r>
      <w:r w:rsidR="003A7E13" w:rsidRPr="00473391">
        <w:t>support</w:t>
      </w:r>
      <w:r w:rsidR="00EA0189" w:rsidRPr="00473391">
        <w:t xml:space="preserve"> purposeful</w:t>
      </w:r>
      <w:r w:rsidR="003A7E13" w:rsidRPr="00473391">
        <w:t xml:space="preserve"> collaboration</w:t>
      </w:r>
      <w:r w:rsidR="00E16CC5" w:rsidRPr="00473391">
        <w:t xml:space="preserve">. </w:t>
      </w:r>
      <w:r w:rsidR="00CD2880" w:rsidRPr="00473391">
        <w:t xml:space="preserve">You may also want to consider </w:t>
      </w:r>
      <w:r w:rsidR="00EA0189" w:rsidRPr="00473391">
        <w:t>how you can privilege</w:t>
      </w:r>
      <w:r w:rsidR="003A7E13" w:rsidRPr="00473391">
        <w:t xml:space="preserve"> time to support a range of observation practices</w:t>
      </w:r>
      <w:r w:rsidR="00EA0189" w:rsidRPr="00473391">
        <w:t>, including peer observation and learning walks</w:t>
      </w:r>
      <w:r w:rsidR="00CD2880" w:rsidRPr="00473391">
        <w:t>.</w:t>
      </w:r>
    </w:p>
    <w:p w14:paraId="2898F7B0" w14:textId="77777777" w:rsidR="00473391" w:rsidRDefault="00AC1440" w:rsidP="00473391">
      <w:pPr>
        <w:spacing w:before="120"/>
        <w:rPr>
          <w:color w:val="000000" w:themeColor="text1"/>
        </w:rPr>
      </w:pPr>
      <w:r w:rsidRPr="00FB5CD3">
        <w:rPr>
          <w:color w:val="000000" w:themeColor="text1"/>
        </w:rPr>
        <w:t xml:space="preserve">Support and encourage middle leaders </w:t>
      </w:r>
      <w:r w:rsidR="006F0DC2" w:rsidRPr="00FB5CD3">
        <w:rPr>
          <w:color w:val="000000" w:themeColor="text1"/>
        </w:rPr>
        <w:t xml:space="preserve">to engage in </w:t>
      </w:r>
      <w:r w:rsidR="00AA6CCD" w:rsidRPr="00FB5CD3">
        <w:rPr>
          <w:color w:val="000000" w:themeColor="text1"/>
        </w:rPr>
        <w:t xml:space="preserve">a </w:t>
      </w:r>
      <w:proofErr w:type="spellStart"/>
      <w:r w:rsidR="006F0DC2" w:rsidRPr="00FB5CD3">
        <w:rPr>
          <w:color w:val="000000" w:themeColor="text1"/>
        </w:rPr>
        <w:t>CoP</w:t>
      </w:r>
      <w:proofErr w:type="spellEnd"/>
      <w:r w:rsidR="006F0DC2" w:rsidRPr="00FB5CD3">
        <w:rPr>
          <w:color w:val="000000" w:themeColor="text1"/>
        </w:rPr>
        <w:t xml:space="preserve"> with</w:t>
      </w:r>
      <w:r w:rsidR="00AA6CCD" w:rsidRPr="00FB5CD3">
        <w:rPr>
          <w:color w:val="000000" w:themeColor="text1"/>
        </w:rPr>
        <w:t xml:space="preserve"> their peers from other schools within or across networks to enhance learning from others outside of their own context.</w:t>
      </w:r>
    </w:p>
    <w:p w14:paraId="5C068E94" w14:textId="595EE58B" w:rsidR="001445FE" w:rsidRDefault="001445FE" w:rsidP="00473391">
      <w:pPr>
        <w:spacing w:before="120"/>
        <w:rPr>
          <w:lang w:val="en-US"/>
        </w:rPr>
      </w:pPr>
      <w:r>
        <w:rPr>
          <w:lang w:val="en-US"/>
        </w:rPr>
        <w:t xml:space="preserve">Consider using the </w:t>
      </w:r>
      <w:hyperlink r:id="rId19" w:history="1">
        <w:proofErr w:type="spellStart"/>
        <w:r w:rsidR="00AA6CCD">
          <w:rPr>
            <w:rStyle w:val="Hyperlink"/>
            <w:lang w:val="en-US"/>
          </w:rPr>
          <w:t>Communities_of_Practice_Self-</w:t>
        </w:r>
        <w:r w:rsidRPr="001445FE">
          <w:rPr>
            <w:rStyle w:val="Hyperlink"/>
            <w:lang w:val="en-US"/>
          </w:rPr>
          <w:t>Assessment_Tool</w:t>
        </w:r>
        <w:proofErr w:type="spellEnd"/>
      </w:hyperlink>
      <w:r>
        <w:rPr>
          <w:lang w:val="en-US"/>
        </w:rPr>
        <w:t>, which is designed to help networks track their own progress toward becomi</w:t>
      </w:r>
      <w:r w:rsidR="00AA6CCD">
        <w:rPr>
          <w:lang w:val="en-US"/>
        </w:rPr>
        <w:t>ng an effectiv</w:t>
      </w:r>
      <w:r>
        <w:rPr>
          <w:lang w:val="en-US"/>
        </w:rPr>
        <w:t xml:space="preserve">e </w:t>
      </w:r>
      <w:proofErr w:type="spellStart"/>
      <w:r>
        <w:rPr>
          <w:lang w:val="en-US"/>
        </w:rPr>
        <w:t>CoP.</w:t>
      </w:r>
      <w:proofErr w:type="spellEnd"/>
      <w:r>
        <w:rPr>
          <w:lang w:val="en-US"/>
        </w:rPr>
        <w:t xml:space="preserve"> </w:t>
      </w:r>
    </w:p>
    <w:p w14:paraId="58C1B767" w14:textId="0D98697C" w:rsidR="00B313C6" w:rsidRPr="008D4D01" w:rsidRDefault="001023E8" w:rsidP="0095620A">
      <w:pPr>
        <w:pStyle w:val="Heading2"/>
      </w:pPr>
      <w:r>
        <w:t xml:space="preserve">Advice for </w:t>
      </w:r>
      <w:r w:rsidR="002E17E8">
        <w:t xml:space="preserve">middle leaders </w:t>
      </w:r>
    </w:p>
    <w:p w14:paraId="3636FAE8" w14:textId="771549BF" w:rsidR="004859A7" w:rsidRDefault="003A7E13" w:rsidP="00B313C6">
      <w:pPr>
        <w:spacing w:before="120"/>
      </w:pPr>
      <w:r>
        <w:t>Speak to your p</w:t>
      </w:r>
      <w:r w:rsidR="004859A7">
        <w:t xml:space="preserve">rincipal about opportunities to use a PLC approach in your school. </w:t>
      </w:r>
    </w:p>
    <w:p w14:paraId="5B6FD2A7" w14:textId="0BBA61D6" w:rsidR="004859A7" w:rsidRDefault="004859A7" w:rsidP="004C40AF">
      <w:pPr>
        <w:spacing w:before="120"/>
      </w:pPr>
      <w:r>
        <w:t>Work with your PLC:</w:t>
      </w:r>
    </w:p>
    <w:p w14:paraId="462D2358" w14:textId="3688022B" w:rsidR="004859A7" w:rsidRDefault="004859A7" w:rsidP="00D4489B">
      <w:pPr>
        <w:pStyle w:val="ListParagraph"/>
        <w:numPr>
          <w:ilvl w:val="0"/>
          <w:numId w:val="43"/>
        </w:numPr>
        <w:ind w:left="284" w:hanging="284"/>
      </w:pPr>
      <w:r>
        <w:t>to establish a shared moral purpose</w:t>
      </w:r>
    </w:p>
    <w:p w14:paraId="69BEAEA6" w14:textId="77777777" w:rsidR="004859A7" w:rsidRDefault="004859A7" w:rsidP="00D4489B">
      <w:pPr>
        <w:pStyle w:val="ListParagraph"/>
        <w:numPr>
          <w:ilvl w:val="0"/>
          <w:numId w:val="43"/>
        </w:numPr>
        <w:ind w:left="284" w:hanging="284"/>
      </w:pPr>
      <w:r>
        <w:t xml:space="preserve">create agreed protocols </w:t>
      </w:r>
    </w:p>
    <w:p w14:paraId="60ACD794" w14:textId="07B7D1D8" w:rsidR="004859A7" w:rsidRDefault="004859A7" w:rsidP="00D4489B">
      <w:pPr>
        <w:pStyle w:val="ListParagraph"/>
        <w:numPr>
          <w:ilvl w:val="0"/>
          <w:numId w:val="43"/>
        </w:numPr>
        <w:ind w:left="284" w:hanging="284"/>
      </w:pPr>
      <w:r>
        <w:t>to put faces on the data</w:t>
      </w:r>
    </w:p>
    <w:p w14:paraId="31F9EF49" w14:textId="43E152D2" w:rsidR="004859A7" w:rsidRPr="002D2946" w:rsidRDefault="004859A7" w:rsidP="00D4489B">
      <w:pPr>
        <w:pStyle w:val="ListParagraph"/>
        <w:numPr>
          <w:ilvl w:val="0"/>
          <w:numId w:val="43"/>
        </w:numPr>
        <w:ind w:left="284" w:hanging="284"/>
      </w:pPr>
      <w:r>
        <w:t xml:space="preserve">to develop </w:t>
      </w:r>
      <w:r w:rsidR="00F973EA">
        <w:t xml:space="preserve">a </w:t>
      </w:r>
      <w:r>
        <w:t>collective responsibility for learning growth of all students</w:t>
      </w:r>
      <w:r w:rsidR="00C33400">
        <w:rPr>
          <w:vertAlign w:val="superscript"/>
        </w:rPr>
        <w:t>7</w:t>
      </w:r>
    </w:p>
    <w:p w14:paraId="3633172F" w14:textId="0CB5CF9F" w:rsidR="002D2946" w:rsidRDefault="002D2946" w:rsidP="005B4A85">
      <w:pPr>
        <w:pStyle w:val="ListParagraph"/>
        <w:numPr>
          <w:ilvl w:val="0"/>
          <w:numId w:val="43"/>
        </w:numPr>
        <w:ind w:left="284" w:hanging="284"/>
      </w:pPr>
      <w:proofErr w:type="gramStart"/>
      <w:r>
        <w:t>to</w:t>
      </w:r>
      <w:proofErr w:type="gramEnd"/>
      <w:r>
        <w:t xml:space="preserve"> plan how to scaffold, pace, stretch and lift the outcomes of </w:t>
      </w:r>
      <w:r w:rsidRPr="002D2946">
        <w:rPr>
          <w:u w:val="single"/>
        </w:rPr>
        <w:t>all</w:t>
      </w:r>
      <w:r>
        <w:t xml:space="preserve"> students from any starting point.</w:t>
      </w:r>
    </w:p>
    <w:p w14:paraId="29318E05" w14:textId="0E7749DA" w:rsidR="003A7E13" w:rsidRDefault="003A7E13" w:rsidP="003A7E13">
      <w:r w:rsidRPr="003A7E13">
        <w:rPr>
          <w:lang w:val="en-US"/>
        </w:rPr>
        <w:t xml:space="preserve">The </w:t>
      </w:r>
      <w:hyperlink r:id="rId20" w:history="1">
        <w:r>
          <w:rPr>
            <w:rStyle w:val="Hyperlink"/>
          </w:rPr>
          <w:t>PLC Guide: Implementing FISO with precision, collaboration and inquiry</w:t>
        </w:r>
      </w:hyperlink>
      <w:r>
        <w:t xml:space="preserve"> provides teachers, PLC instructional leaders (middle leaders who run PLCs) and schools leaders with the knowledge and strategies to use the </w:t>
      </w:r>
      <w:hyperlink r:id="rId21" w:history="1">
        <w:r w:rsidRPr="004300F0">
          <w:rPr>
            <w:rStyle w:val="Hyperlink"/>
          </w:rPr>
          <w:t>FISO Improvement Cycle</w:t>
        </w:r>
      </w:hyperlink>
      <w:r>
        <w:rPr>
          <w:rStyle w:val="Hyperlink"/>
        </w:rPr>
        <w:t xml:space="preserve"> </w:t>
      </w:r>
      <w:r>
        <w:t>to monitor students’ learning growth and improve their teaching practices.</w:t>
      </w:r>
    </w:p>
    <w:p w14:paraId="43F9A72B" w14:textId="1AA1883A" w:rsidR="00161982" w:rsidRPr="003A7E13" w:rsidRDefault="00161982" w:rsidP="003A7E13">
      <w:pPr>
        <w:rPr>
          <w:lang w:val="en-US"/>
        </w:rPr>
      </w:pPr>
      <w:r>
        <w:t xml:space="preserve">Consider initiating contact with your </w:t>
      </w:r>
      <w:hyperlink r:id="rId22" w:anchor="link30" w:history="1">
        <w:r w:rsidRPr="004B5152">
          <w:rPr>
            <w:rStyle w:val="Hyperlink"/>
          </w:rPr>
          <w:t>PLC Regional Manager</w:t>
        </w:r>
      </w:hyperlink>
      <w:r>
        <w:t xml:space="preserve"> to arrange visiting other PLCs within and outside your network.</w:t>
      </w:r>
    </w:p>
    <w:p w14:paraId="59D00393" w14:textId="77777777" w:rsidR="001D0E31" w:rsidRDefault="001D0E31" w:rsidP="001D0E31">
      <w:pPr>
        <w:autoSpaceDE w:val="0"/>
        <w:autoSpaceDN w:val="0"/>
        <w:adjustRightInd w:val="0"/>
        <w:spacing w:after="0"/>
        <w:rPr>
          <w:rFonts w:ascii="Helvetica" w:hAnsi="Helvetica" w:cs="Helvetica"/>
          <w:b/>
          <w:i/>
          <w:color w:val="C00000"/>
        </w:rPr>
      </w:pPr>
      <w:r w:rsidRPr="00C61F1A">
        <w:rPr>
          <w:rFonts w:ascii="Helvetica" w:hAnsi="Helvetica" w:cs="Helvetica"/>
          <w:b/>
          <w:i/>
        </w:rPr>
        <w:t>_____________________</w:t>
      </w:r>
      <w:r>
        <w:rPr>
          <w:rFonts w:ascii="Helvetica" w:hAnsi="Helvetica" w:cs="Helvetica"/>
          <w:b/>
          <w:i/>
        </w:rPr>
        <w:t>____</w:t>
      </w:r>
    </w:p>
    <w:p w14:paraId="1C260163" w14:textId="77777777" w:rsidR="001D0E31" w:rsidRDefault="001D0E31" w:rsidP="001D0E31">
      <w:pPr>
        <w:rPr>
          <w:rFonts w:asciiTheme="minorHAnsi" w:hAnsiTheme="minorHAnsi" w:cstheme="minorHAnsi"/>
          <w:sz w:val="16"/>
          <w:szCs w:val="16"/>
        </w:rPr>
      </w:pPr>
      <w:r>
        <w:rPr>
          <w:rStyle w:val="FootnoteReference"/>
          <w:rFonts w:asciiTheme="minorHAnsi" w:hAnsiTheme="minorHAnsi" w:cstheme="minorHAnsi"/>
          <w:sz w:val="16"/>
          <w:szCs w:val="16"/>
        </w:rPr>
        <w:t>7</w:t>
      </w:r>
      <w:r>
        <w:rPr>
          <w:rFonts w:asciiTheme="minorHAnsi" w:hAnsiTheme="minorHAnsi" w:cstheme="minorHAnsi"/>
          <w:sz w:val="16"/>
          <w:szCs w:val="16"/>
        </w:rPr>
        <w:t xml:space="preserve"> </w:t>
      </w:r>
      <w:proofErr w:type="spellStart"/>
      <w:r>
        <w:rPr>
          <w:rFonts w:asciiTheme="minorHAnsi" w:hAnsiTheme="minorHAnsi" w:cstheme="minorHAnsi"/>
          <w:sz w:val="16"/>
          <w:szCs w:val="16"/>
        </w:rPr>
        <w:t>Sharratt</w:t>
      </w:r>
      <w:proofErr w:type="spellEnd"/>
      <w:r>
        <w:rPr>
          <w:rFonts w:asciiTheme="minorHAnsi" w:hAnsiTheme="minorHAnsi" w:cstheme="minorHAnsi"/>
          <w:sz w:val="16"/>
          <w:szCs w:val="16"/>
        </w:rPr>
        <w:t>, L. 2019</w:t>
      </w:r>
      <w:r w:rsidRPr="003A0E64">
        <w:rPr>
          <w:rFonts w:asciiTheme="minorHAnsi" w:hAnsiTheme="minorHAnsi" w:cstheme="minorHAnsi"/>
          <w:sz w:val="16"/>
          <w:szCs w:val="16"/>
        </w:rPr>
        <w:t xml:space="preserve">, </w:t>
      </w:r>
      <w:r>
        <w:rPr>
          <w:rFonts w:asciiTheme="minorHAnsi" w:hAnsiTheme="minorHAnsi" w:cstheme="minorHAnsi"/>
          <w:i/>
          <w:iCs/>
          <w:sz w:val="16"/>
          <w:szCs w:val="16"/>
        </w:rPr>
        <w:t>CLARITY: What Matters MOST in Learning, Teaching, and Leading</w:t>
      </w:r>
      <w:r w:rsidRPr="003A0E64">
        <w:rPr>
          <w:rFonts w:asciiTheme="minorHAnsi" w:hAnsiTheme="minorHAnsi" w:cstheme="minorHAnsi"/>
          <w:i/>
          <w:iCs/>
          <w:sz w:val="16"/>
          <w:szCs w:val="16"/>
        </w:rPr>
        <w:t xml:space="preserve">. </w:t>
      </w:r>
      <w:r w:rsidRPr="003A0E64">
        <w:rPr>
          <w:rFonts w:asciiTheme="minorHAnsi" w:hAnsiTheme="minorHAnsi" w:cstheme="minorHAnsi"/>
          <w:sz w:val="16"/>
          <w:szCs w:val="16"/>
        </w:rPr>
        <w:t>Thousand Oaks, California: Corwin.</w:t>
      </w:r>
    </w:p>
    <w:p w14:paraId="30B2DED4" w14:textId="3705946A" w:rsidR="004902C2" w:rsidRPr="00473391" w:rsidRDefault="00473391" w:rsidP="004859A7">
      <w:r w:rsidRPr="00473391">
        <w:t>In all</w:t>
      </w:r>
      <w:r w:rsidR="00E16CC5" w:rsidRPr="00473391">
        <w:t xml:space="preserve"> school setting</w:t>
      </w:r>
      <w:r w:rsidRPr="00473391">
        <w:t>s</w:t>
      </w:r>
      <w:r w:rsidR="004902C2" w:rsidRPr="00473391">
        <w:t>, consider:</w:t>
      </w:r>
    </w:p>
    <w:p w14:paraId="3A109652" w14:textId="1F385350" w:rsidR="004902C2" w:rsidRPr="00473391" w:rsidRDefault="00CD2880" w:rsidP="004902C2">
      <w:pPr>
        <w:pStyle w:val="ListParagraph"/>
        <w:numPr>
          <w:ilvl w:val="0"/>
          <w:numId w:val="43"/>
        </w:numPr>
        <w:ind w:left="284" w:hanging="284"/>
      </w:pPr>
      <w:r w:rsidRPr="00473391">
        <w:t xml:space="preserve">how you can </w:t>
      </w:r>
      <w:r w:rsidR="003A7E13" w:rsidRPr="00473391">
        <w:t>create opportunit</w:t>
      </w:r>
      <w:r w:rsidR="00022D93" w:rsidRPr="00473391">
        <w:t>i</w:t>
      </w:r>
      <w:r w:rsidR="003A7E13" w:rsidRPr="00473391">
        <w:t>es for your</w:t>
      </w:r>
      <w:r w:rsidR="00E16CC5" w:rsidRPr="00473391">
        <w:t xml:space="preserve"> peers to observe your </w:t>
      </w:r>
      <w:r w:rsidRPr="00473391">
        <w:t xml:space="preserve">classroom </w:t>
      </w:r>
      <w:r w:rsidR="003A7E13" w:rsidRPr="00473391">
        <w:t>practice</w:t>
      </w:r>
    </w:p>
    <w:p w14:paraId="6CDADF11" w14:textId="4D17A6DD" w:rsidR="004902C2" w:rsidRPr="00473391" w:rsidRDefault="004902C2" w:rsidP="004902C2">
      <w:pPr>
        <w:pStyle w:val="ListParagraph"/>
        <w:numPr>
          <w:ilvl w:val="0"/>
          <w:numId w:val="43"/>
        </w:numPr>
        <w:ind w:left="284" w:hanging="284"/>
      </w:pPr>
      <w:r w:rsidRPr="00473391">
        <w:t>developing</w:t>
      </w:r>
      <w:r w:rsidR="00CD2880" w:rsidRPr="00473391">
        <w:t xml:space="preserve"> a </w:t>
      </w:r>
      <w:r w:rsidR="002D2946">
        <w:t xml:space="preserve">schedule that promotes </w:t>
      </w:r>
      <w:r w:rsidR="00CD2880" w:rsidRPr="00473391">
        <w:t>when a particular practice will be</w:t>
      </w:r>
      <w:r w:rsidR="003A7E13" w:rsidRPr="00473391">
        <w:t xml:space="preserve"> modelled</w:t>
      </w:r>
    </w:p>
    <w:p w14:paraId="3206917B" w14:textId="740BECAC" w:rsidR="00E16CC5" w:rsidRPr="00473391" w:rsidRDefault="00C33081" w:rsidP="004902C2">
      <w:pPr>
        <w:pStyle w:val="ListParagraph"/>
        <w:numPr>
          <w:ilvl w:val="0"/>
          <w:numId w:val="43"/>
        </w:numPr>
        <w:ind w:left="284" w:hanging="284"/>
      </w:pPr>
      <w:proofErr w:type="gramStart"/>
      <w:r w:rsidRPr="00473391">
        <w:t>privileging</w:t>
      </w:r>
      <w:proofErr w:type="gramEnd"/>
      <w:r w:rsidR="004902C2" w:rsidRPr="00473391">
        <w:t xml:space="preserve"> time for collaboration in varied contexts.</w:t>
      </w:r>
    </w:p>
    <w:p w14:paraId="467A9606" w14:textId="07A51604" w:rsidR="00C33081" w:rsidRDefault="00C06499" w:rsidP="00AA6CCD">
      <w:pPr>
        <w:spacing w:line="240" w:lineRule="auto"/>
        <w:rPr>
          <w:lang w:val="en-US"/>
        </w:rPr>
      </w:pPr>
      <w:r>
        <w:rPr>
          <w:lang w:val="en-US"/>
        </w:rPr>
        <w:t xml:space="preserve">Consider engaging in a </w:t>
      </w:r>
      <w:proofErr w:type="spellStart"/>
      <w:r>
        <w:rPr>
          <w:lang w:val="en-US"/>
        </w:rPr>
        <w:t>CoP</w:t>
      </w:r>
      <w:proofErr w:type="spellEnd"/>
      <w:r>
        <w:rPr>
          <w:lang w:val="en-US"/>
        </w:rPr>
        <w:t xml:space="preserve"> </w:t>
      </w:r>
      <w:r w:rsidR="00AA6CCD">
        <w:rPr>
          <w:lang w:val="en-US"/>
        </w:rPr>
        <w:t xml:space="preserve">with peers from other schools within or across networks to enhance </w:t>
      </w:r>
      <w:r w:rsidR="00A21B91">
        <w:rPr>
          <w:lang w:val="en-US"/>
        </w:rPr>
        <w:t>co-</w:t>
      </w:r>
      <w:r w:rsidR="00AA6CCD">
        <w:rPr>
          <w:lang w:val="en-US"/>
        </w:rPr>
        <w:t>learning from outside of your own context.</w:t>
      </w:r>
    </w:p>
    <w:p w14:paraId="14F0CB03" w14:textId="651CCCC2" w:rsidR="00C33081" w:rsidRDefault="00C33081" w:rsidP="00C33081">
      <w:pPr>
        <w:pStyle w:val="Heading2"/>
      </w:pPr>
      <w:r>
        <w:t>illust</w:t>
      </w:r>
      <w:r w:rsidR="00E23E01">
        <w:t>r</w:t>
      </w:r>
      <w:r>
        <w:t>ations of practice</w:t>
      </w:r>
    </w:p>
    <w:p w14:paraId="74A8F72C" w14:textId="3908B376" w:rsidR="00C33081" w:rsidRPr="00C654B2" w:rsidRDefault="00C33081" w:rsidP="00C33081">
      <w:pPr>
        <w:spacing w:before="120"/>
        <w:rPr>
          <w:b/>
          <w:u w:val="single"/>
        </w:rPr>
      </w:pPr>
      <w:r>
        <w:rPr>
          <w:b/>
          <w:u w:val="single"/>
        </w:rPr>
        <w:t>Case Study (PLC example)</w:t>
      </w:r>
    </w:p>
    <w:p w14:paraId="4AC1A417" w14:textId="432ED08F" w:rsidR="00C33081" w:rsidRDefault="00C33081" w:rsidP="00473391">
      <w:pPr>
        <w:rPr>
          <w:lang w:val="en-US"/>
        </w:rPr>
      </w:pPr>
      <w:r w:rsidRPr="007406B4">
        <w:t>Since 2015,</w:t>
      </w:r>
      <w:r w:rsidRPr="00FB5CD3">
        <w:t xml:space="preserve"> </w:t>
      </w:r>
      <w:r w:rsidRPr="00FB5CD3">
        <w:rPr>
          <w:b/>
        </w:rPr>
        <w:t>Victoria University Secondary College</w:t>
      </w:r>
      <w:r w:rsidRPr="00FB5CD3">
        <w:t xml:space="preserve"> </w:t>
      </w:r>
      <w:r w:rsidRPr="007406B4">
        <w:t>has embedded structures and supports to create an effective PLC</w:t>
      </w:r>
      <w:r>
        <w:t xml:space="preserve">. The school has recently developed their vision and values to lay the ground work for a cultural shift that included the development of a school-wide </w:t>
      </w:r>
      <w:r w:rsidR="002D2946">
        <w:t xml:space="preserve">approach to </w:t>
      </w:r>
      <w:r>
        <w:t>pedagogy</w:t>
      </w:r>
      <w:r w:rsidR="002D2946">
        <w:t xml:space="preserve"> that would drive excellence and equity</w:t>
      </w:r>
      <w:r>
        <w:t>.</w:t>
      </w:r>
    </w:p>
    <w:p w14:paraId="533F4FBE" w14:textId="5FB3026C" w:rsidR="00C33081" w:rsidRPr="007406B4" w:rsidRDefault="00C33081" w:rsidP="00C33081">
      <w:pPr>
        <w:spacing w:before="120"/>
        <w:rPr>
          <w:b/>
        </w:rPr>
      </w:pPr>
      <w:r>
        <w:t>The PLC ap</w:t>
      </w:r>
      <w:r w:rsidR="002D2946">
        <w:t>proach, where staff collaborate</w:t>
      </w:r>
      <w:r>
        <w:t xml:space="preserve"> within their school, has had a very positive impact on student learning outcomes and staff collective efficacy.</w:t>
      </w:r>
    </w:p>
    <w:p w14:paraId="3EE31E4A" w14:textId="5FC99CBF" w:rsidR="00C33081" w:rsidRDefault="00E35B79" w:rsidP="00C33081">
      <w:pPr>
        <w:autoSpaceDE w:val="0"/>
        <w:autoSpaceDN w:val="0"/>
        <w:adjustRightInd w:val="0"/>
        <w:spacing w:after="0"/>
        <w:rPr>
          <w:rFonts w:ascii="Helvetica" w:hAnsi="Helvetica" w:cs="Helvetica"/>
          <w:b/>
          <w:i/>
          <w:color w:val="C00000"/>
        </w:rPr>
      </w:pPr>
      <w:r>
        <w:rPr>
          <w:b/>
          <w:color w:val="C00000"/>
        </w:rPr>
        <w:t>Read the Case Study</w:t>
      </w:r>
      <w:r w:rsidR="00C33081" w:rsidRPr="006B4196">
        <w:rPr>
          <w:b/>
          <w:color w:val="C00000"/>
        </w:rPr>
        <w:t xml:space="preserve">: </w:t>
      </w:r>
      <w:hyperlink r:id="rId23" w:history="1">
        <w:r w:rsidR="00C33081" w:rsidRPr="00E35B79">
          <w:rPr>
            <w:rStyle w:val="Hyperlink"/>
            <w:rFonts w:ascii="Helvetica" w:hAnsi="Helvetica" w:cs="Helvetica"/>
            <w:b/>
            <w:i/>
          </w:rPr>
          <w:t>Embedding purposeful collaboration within schools</w:t>
        </w:r>
      </w:hyperlink>
      <w:r w:rsidR="00C33081" w:rsidRPr="006B4196">
        <w:rPr>
          <w:rFonts w:ascii="Helvetica" w:hAnsi="Helvetica" w:cs="Helvetica"/>
          <w:b/>
          <w:i/>
          <w:color w:val="C00000"/>
        </w:rPr>
        <w:t xml:space="preserve"> </w:t>
      </w:r>
    </w:p>
    <w:p w14:paraId="5B48A613" w14:textId="62463615" w:rsidR="00C61F1A" w:rsidRPr="00C654B2" w:rsidRDefault="00C61F1A" w:rsidP="00C61F1A">
      <w:pPr>
        <w:spacing w:before="120"/>
        <w:rPr>
          <w:b/>
          <w:u w:val="single"/>
        </w:rPr>
      </w:pPr>
      <w:r>
        <w:rPr>
          <w:b/>
          <w:u w:val="single"/>
        </w:rPr>
        <w:t>Case Study (</w:t>
      </w:r>
      <w:proofErr w:type="spellStart"/>
      <w:r>
        <w:rPr>
          <w:b/>
          <w:u w:val="single"/>
        </w:rPr>
        <w:t>CoP</w:t>
      </w:r>
      <w:proofErr w:type="spellEnd"/>
      <w:r>
        <w:rPr>
          <w:b/>
          <w:u w:val="single"/>
        </w:rPr>
        <w:t xml:space="preserve"> example)</w:t>
      </w:r>
    </w:p>
    <w:p w14:paraId="0D18076A" w14:textId="569A7887" w:rsidR="00C61F1A" w:rsidRDefault="00C61F1A" w:rsidP="00C61F1A">
      <w:pPr>
        <w:spacing w:before="120"/>
      </w:pPr>
      <w:r>
        <w:t xml:space="preserve">The </w:t>
      </w:r>
      <w:r w:rsidRPr="0046028A">
        <w:rPr>
          <w:b/>
        </w:rPr>
        <w:t>Hume/Moreland network</w:t>
      </w:r>
      <w:r>
        <w:t xml:space="preserve"> formed a </w:t>
      </w:r>
      <w:proofErr w:type="spellStart"/>
      <w:r>
        <w:t>CoP</w:t>
      </w:r>
      <w:proofErr w:type="spellEnd"/>
      <w:r>
        <w:t xml:space="preserve"> to collaboratively and purposefully improve student learning outcomes in numeracy. Using collective NAPLAN data, seven primary schools and two secon</w:t>
      </w:r>
      <w:r w:rsidR="002D2946">
        <w:t xml:space="preserve">dary schools worked together </w:t>
      </w:r>
      <w:r>
        <w:t>to enhance the numeracy capabilities of their students. Through the establishme</w:t>
      </w:r>
      <w:r w:rsidR="002D2946">
        <w:t xml:space="preserve">nt of a common purpose, the </w:t>
      </w:r>
      <w:proofErr w:type="spellStart"/>
      <w:r w:rsidR="002D2946">
        <w:t>CoP</w:t>
      </w:r>
      <w:proofErr w:type="spellEnd"/>
      <w:r>
        <w:t xml:space="preserve"> goal was to embed agreed consistent practices across their schools. As a result of this purposeful collaboration, data from all schools within the </w:t>
      </w:r>
      <w:proofErr w:type="spellStart"/>
      <w:r>
        <w:t>CoP</w:t>
      </w:r>
      <w:proofErr w:type="spellEnd"/>
      <w:r>
        <w:t xml:space="preserve"> has demonstrated common patterns of growth.  </w:t>
      </w:r>
    </w:p>
    <w:p w14:paraId="6DE11F2F" w14:textId="7E7ECFCA" w:rsidR="001D0E31" w:rsidRDefault="00E35B79" w:rsidP="00C61F1A">
      <w:pPr>
        <w:autoSpaceDE w:val="0"/>
        <w:autoSpaceDN w:val="0"/>
        <w:adjustRightInd w:val="0"/>
        <w:spacing w:after="0"/>
        <w:rPr>
          <w:rFonts w:ascii="Helvetica" w:hAnsi="Helvetica" w:cs="Helvetica"/>
          <w:b/>
          <w:i/>
          <w:color w:val="C00000"/>
        </w:rPr>
      </w:pPr>
      <w:r>
        <w:rPr>
          <w:b/>
          <w:color w:val="C00000"/>
        </w:rPr>
        <w:t>Read the Case Study</w:t>
      </w:r>
      <w:r w:rsidR="00C61F1A" w:rsidRPr="006B4196">
        <w:rPr>
          <w:b/>
          <w:color w:val="C00000"/>
        </w:rPr>
        <w:t xml:space="preserve">: </w:t>
      </w:r>
      <w:hyperlink r:id="rId24" w:history="1">
        <w:r w:rsidR="00C61F1A" w:rsidRPr="00E35B79">
          <w:rPr>
            <w:rStyle w:val="Hyperlink"/>
            <w:rFonts w:ascii="Helvetica" w:hAnsi="Helvetica" w:cs="Helvetica"/>
            <w:b/>
            <w:i/>
          </w:rPr>
          <w:t>Embedding purposeful collaboration across schools and networks</w:t>
        </w:r>
      </w:hyperlink>
      <w:r w:rsidR="00C61F1A" w:rsidRPr="006B4196">
        <w:rPr>
          <w:rFonts w:ascii="Helvetica" w:hAnsi="Helvetica" w:cs="Helvetica"/>
          <w:b/>
          <w:i/>
          <w:color w:val="C00000"/>
        </w:rPr>
        <w:t xml:space="preserve"> </w:t>
      </w:r>
    </w:p>
    <w:p w14:paraId="33B3A3AD" w14:textId="77777777" w:rsidR="001D0E31" w:rsidRDefault="001D0E31">
      <w:pPr>
        <w:spacing w:after="0" w:line="240" w:lineRule="auto"/>
        <w:rPr>
          <w:rFonts w:ascii="Helvetica" w:hAnsi="Helvetica" w:cs="Helvetica"/>
          <w:b/>
          <w:i/>
          <w:color w:val="C00000"/>
        </w:rPr>
      </w:pPr>
      <w:r>
        <w:rPr>
          <w:rFonts w:ascii="Helvetica" w:hAnsi="Helvetica" w:cs="Helvetica"/>
          <w:b/>
          <w:i/>
          <w:color w:val="C00000"/>
        </w:rPr>
        <w:br w:type="page"/>
      </w:r>
    </w:p>
    <w:p w14:paraId="4CFE94E6" w14:textId="5C3160A7" w:rsidR="00494C4A" w:rsidRDefault="00C654B2" w:rsidP="0095620A">
      <w:pPr>
        <w:pStyle w:val="Heading2"/>
      </w:pPr>
      <w:r>
        <w:lastRenderedPageBreak/>
        <w:t>resources and tools</w:t>
      </w:r>
    </w:p>
    <w:p w14:paraId="667E5498" w14:textId="085FF990" w:rsidR="00C654B2" w:rsidRDefault="00637685" w:rsidP="00C654B2">
      <w:pPr>
        <w:rPr>
          <w:rStyle w:val="Hyperlink"/>
        </w:rPr>
      </w:pPr>
      <w:hyperlink r:id="rId25" w:history="1">
        <w:r w:rsidR="002373C2">
          <w:rPr>
            <w:rStyle w:val="Hyperlink"/>
          </w:rPr>
          <w:t>FISO Improvement Cycle</w:t>
        </w:r>
      </w:hyperlink>
    </w:p>
    <w:p w14:paraId="2BE681A1" w14:textId="36E6C7D2" w:rsidR="00C654B2" w:rsidRDefault="00637685" w:rsidP="00C654B2">
      <w:pPr>
        <w:rPr>
          <w:rStyle w:val="Hyperlink"/>
        </w:rPr>
      </w:pPr>
      <w:hyperlink r:id="rId26" w:history="1">
        <w:r w:rsidR="002373C2">
          <w:rPr>
            <w:rStyle w:val="Hyperlink"/>
          </w:rPr>
          <w:t>Professional Learning Communities</w:t>
        </w:r>
      </w:hyperlink>
    </w:p>
    <w:p w14:paraId="4A409EAA" w14:textId="696545BB" w:rsidR="00062E52" w:rsidRDefault="00637685" w:rsidP="00C654B2">
      <w:hyperlink r:id="rId27" w:history="1">
        <w:r w:rsidR="00161982">
          <w:rPr>
            <w:rStyle w:val="Hyperlink"/>
          </w:rPr>
          <w:t>PLC Professional Learning Online Modules</w:t>
        </w:r>
      </w:hyperlink>
    </w:p>
    <w:p w14:paraId="4E8C9C3A" w14:textId="4230191F" w:rsidR="002373C2" w:rsidRDefault="00637685" w:rsidP="00C654B2">
      <w:hyperlink r:id="rId28" w:history="1">
        <w:r w:rsidR="00553D84">
          <w:rPr>
            <w:rStyle w:val="Hyperlink"/>
          </w:rPr>
          <w:t>The PLC Guide: Implementing FISO with precision, collaboration and inquiry</w:t>
        </w:r>
      </w:hyperlink>
      <w:r w:rsidR="002373C2">
        <w:t xml:space="preserve">  </w:t>
      </w:r>
    </w:p>
    <w:p w14:paraId="5FA5BB2C" w14:textId="4E3A530D" w:rsidR="000916AC" w:rsidRPr="000916AC" w:rsidRDefault="00637685" w:rsidP="00C654B2">
      <w:pPr>
        <w:rPr>
          <w:lang w:val="en-US"/>
        </w:rPr>
      </w:pPr>
      <w:hyperlink r:id="rId29" w:history="1">
        <w:r w:rsidR="000916AC" w:rsidRPr="00D60D4A">
          <w:rPr>
            <w:rStyle w:val="Hyperlink"/>
            <w:lang w:val="en-US"/>
          </w:rPr>
          <w:t>PLC Maturity Matrix</w:t>
        </w:r>
      </w:hyperlink>
    </w:p>
    <w:p w14:paraId="7B5C8073" w14:textId="0982B649" w:rsidR="00C654B2" w:rsidRPr="001D7281" w:rsidRDefault="001D7281" w:rsidP="00C654B2">
      <w:pPr>
        <w:rPr>
          <w:rStyle w:val="Hyperlink"/>
        </w:rPr>
      </w:pPr>
      <w:r>
        <w:fldChar w:fldCharType="begin"/>
      </w:r>
      <w:r>
        <w:instrText xml:space="preserve"> HYPERLINK "https://www.bastow.vic.edu.au/leadership-initiatives/communities-of-practice/CoP-system-leadership-approach" </w:instrText>
      </w:r>
      <w:r>
        <w:fldChar w:fldCharType="separate"/>
      </w:r>
      <w:proofErr w:type="spellStart"/>
      <w:r w:rsidR="00C654B2" w:rsidRPr="001D7281">
        <w:rPr>
          <w:rStyle w:val="Hyperlink"/>
        </w:rPr>
        <w:t>Bastow's</w:t>
      </w:r>
      <w:proofErr w:type="spellEnd"/>
      <w:r w:rsidR="00C654B2" w:rsidRPr="001D7281">
        <w:rPr>
          <w:rStyle w:val="Hyperlink"/>
        </w:rPr>
        <w:t xml:space="preserve"> Communities of Practice System Leadership Approach  </w:t>
      </w:r>
    </w:p>
    <w:p w14:paraId="2F9DE2A0" w14:textId="62EB0B62" w:rsidR="00C654B2" w:rsidRDefault="001D7281" w:rsidP="00C654B2">
      <w:r>
        <w:fldChar w:fldCharType="end"/>
      </w:r>
      <w:hyperlink r:id="rId30" w:anchor="/app/content/2825/support_and_service_(schools)%252Fhuman_resources%252Fcareer_and_professional_development%252Fcommunities_of_practice" w:history="1">
        <w:r w:rsidR="00C654B2">
          <w:rPr>
            <w:rStyle w:val="Hyperlink"/>
          </w:rPr>
          <w:t>Learning About Adopting the Communities of Practice Approach</w:t>
        </w:r>
      </w:hyperlink>
      <w:r w:rsidR="00C654B2">
        <w:t xml:space="preserve"> </w:t>
      </w:r>
    </w:p>
    <w:p w14:paraId="1F5B67F3" w14:textId="439745C7" w:rsidR="00C654B2" w:rsidRPr="001D7281" w:rsidRDefault="001D7281" w:rsidP="00C654B2">
      <w:pPr>
        <w:rPr>
          <w:rStyle w:val="Hyperlink"/>
        </w:rPr>
      </w:pPr>
      <w:r>
        <w:fldChar w:fldCharType="begin"/>
      </w:r>
      <w:r>
        <w:instrText xml:space="preserve"> HYPERLINK "https://www.bastow.vic.edu.au/sites/default/files/2019-03/CoP_Self_Assessment_Tool_A3.pdf" </w:instrText>
      </w:r>
      <w:r>
        <w:fldChar w:fldCharType="separate"/>
      </w:r>
      <w:r w:rsidR="00C654B2" w:rsidRPr="001D7281">
        <w:rPr>
          <w:rStyle w:val="Hyperlink"/>
        </w:rPr>
        <w:t xml:space="preserve">Communities of Practice </w:t>
      </w:r>
      <w:r w:rsidR="006F0DC2" w:rsidRPr="001D7281">
        <w:rPr>
          <w:rStyle w:val="Hyperlink"/>
        </w:rPr>
        <w:t>Self-Assessment</w:t>
      </w:r>
      <w:r w:rsidR="00C654B2" w:rsidRPr="001D7281">
        <w:rPr>
          <w:rStyle w:val="Hyperlink"/>
        </w:rPr>
        <w:t xml:space="preserve"> Tool </w:t>
      </w:r>
    </w:p>
    <w:p w14:paraId="3D91DC4C" w14:textId="6E96DEBE" w:rsidR="008B3B9F" w:rsidRDefault="001D7281" w:rsidP="00C654B2">
      <w:pPr>
        <w:rPr>
          <w:rStyle w:val="Hyperlink"/>
        </w:rPr>
      </w:pPr>
      <w:r>
        <w:fldChar w:fldCharType="end"/>
      </w:r>
      <w:hyperlink r:id="rId31" w:history="1">
        <w:r w:rsidR="002D2946">
          <w:rPr>
            <w:rStyle w:val="Hyperlink"/>
          </w:rPr>
          <w:t>Leading Communities of Practice: Roles and Responsibilities</w:t>
        </w:r>
      </w:hyperlink>
    </w:p>
    <w:p w14:paraId="2857A68D" w14:textId="56A3CDD7" w:rsidR="00AD2123" w:rsidRDefault="00637685" w:rsidP="00AD2123">
      <w:pPr>
        <w:rPr>
          <w:rFonts w:ascii="Calibri" w:hAnsi="Calibri" w:cs="Calibri"/>
          <w:sz w:val="22"/>
          <w:szCs w:val="22"/>
        </w:rPr>
      </w:pPr>
      <w:hyperlink r:id="rId32" w:history="1">
        <w:r w:rsidR="00AD2123">
          <w:rPr>
            <w:rStyle w:val="Hyperlink"/>
          </w:rPr>
          <w:t>Video Case Study: How can PLCs improve teacher collaboration?</w:t>
        </w:r>
      </w:hyperlink>
    </w:p>
    <w:p w14:paraId="65C53719" w14:textId="194E35C5" w:rsidR="003E7B35" w:rsidRPr="00472E9F" w:rsidRDefault="00D570E8" w:rsidP="00472E9F">
      <w:pPr>
        <w:spacing w:before="120"/>
        <w:rPr>
          <w:rStyle w:val="Hyperlink"/>
        </w:rPr>
      </w:pPr>
      <w:r w:rsidRPr="00F5229C">
        <w:t>For more information, or to share your feedback on this resource</w:t>
      </w:r>
      <w:r>
        <w:t xml:space="preserve">, please email: </w:t>
      </w:r>
      <w:hyperlink r:id="rId33" w:history="1">
        <w:r w:rsidRPr="007E542E">
          <w:rPr>
            <w:rStyle w:val="Hyperlink"/>
          </w:rPr>
          <w:t>professional.practice@edumail.vic.gov.au</w:t>
        </w:r>
      </w:hyperlink>
      <w:r>
        <w:t>.</w:t>
      </w:r>
    </w:p>
    <w:sectPr w:rsidR="003E7B35" w:rsidRPr="00472E9F" w:rsidSect="00230E53">
      <w:headerReference w:type="default" r:id="rId34"/>
      <w:footerReference w:type="default" r:id="rId35"/>
      <w:pgSz w:w="11900" w:h="16840"/>
      <w:pgMar w:top="3289" w:right="1134" w:bottom="1702" w:left="737"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96FFB" w14:textId="77777777" w:rsidR="00637685" w:rsidRDefault="00637685" w:rsidP="008766A4">
      <w:r>
        <w:separator/>
      </w:r>
    </w:p>
  </w:endnote>
  <w:endnote w:type="continuationSeparator" w:id="0">
    <w:p w14:paraId="401B35C9" w14:textId="77777777" w:rsidR="00637685" w:rsidRDefault="00637685" w:rsidP="008766A4">
      <w:r>
        <w:continuationSeparator/>
      </w:r>
    </w:p>
  </w:endnote>
  <w:endnote w:type="continuationNotice" w:id="1">
    <w:p w14:paraId="523131EB" w14:textId="77777777" w:rsidR="00637685" w:rsidRDefault="00637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Courier New"/>
    <w:charset w:val="00"/>
    <w:family w:val="swiss"/>
    <w:pitch w:val="variable"/>
    <w:sig w:usb0="E1000AEF" w:usb1="5000A1FF" w:usb2="00000000" w:usb3="00000000" w:csb0="000001BF" w:csb1="00000000"/>
  </w:font>
  <w:font w:name="VIC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036558BB" w:rsidR="001E0FE4" w:rsidRPr="003E29B5" w:rsidRDefault="001E0FE4" w:rsidP="00C33400">
    <w:pPr>
      <w:ind w:right="5634"/>
    </w:pP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A042" w14:textId="77777777" w:rsidR="00637685" w:rsidRDefault="00637685" w:rsidP="008766A4">
      <w:r>
        <w:separator/>
      </w:r>
    </w:p>
  </w:footnote>
  <w:footnote w:type="continuationSeparator" w:id="0">
    <w:p w14:paraId="7FF100C5" w14:textId="77777777" w:rsidR="00637685" w:rsidRDefault="00637685" w:rsidP="008766A4">
      <w:r>
        <w:continuationSeparator/>
      </w:r>
    </w:p>
  </w:footnote>
  <w:footnote w:type="continuationNotice" w:id="1">
    <w:p w14:paraId="291DF921" w14:textId="77777777" w:rsidR="00637685" w:rsidRDefault="00637685">
      <w:pPr>
        <w:spacing w:after="0" w:line="240" w:lineRule="auto"/>
      </w:pPr>
    </w:p>
  </w:footnote>
  <w:footnote w:id="2">
    <w:p w14:paraId="7815F8FD" w14:textId="39710279" w:rsidR="00460020" w:rsidRPr="00473391" w:rsidRDefault="00460020" w:rsidP="003A0E64">
      <w:pPr>
        <w:pStyle w:val="FootnoteText"/>
        <w:spacing w:after="120"/>
        <w:rPr>
          <w:rFonts w:asciiTheme="minorHAnsi" w:hAnsiTheme="minorHAnsi" w:cstheme="minorHAnsi"/>
          <w:sz w:val="16"/>
          <w:szCs w:val="16"/>
        </w:rPr>
      </w:pPr>
      <w:r w:rsidRPr="00473391">
        <w:rPr>
          <w:rStyle w:val="FootnoteReference"/>
          <w:rFonts w:asciiTheme="minorHAnsi" w:hAnsiTheme="minorHAnsi" w:cstheme="minorHAnsi"/>
          <w:sz w:val="16"/>
          <w:szCs w:val="16"/>
        </w:rPr>
        <w:footnoteRef/>
      </w:r>
      <w:r w:rsidRPr="00473391">
        <w:rPr>
          <w:rFonts w:asciiTheme="minorHAnsi" w:hAnsiTheme="minorHAnsi" w:cstheme="minorHAnsi"/>
          <w:sz w:val="16"/>
          <w:szCs w:val="16"/>
        </w:rPr>
        <w:t xml:space="preserve"> </w:t>
      </w:r>
      <w:proofErr w:type="spellStart"/>
      <w:r w:rsidRPr="00473391">
        <w:rPr>
          <w:rFonts w:asciiTheme="minorHAnsi" w:hAnsiTheme="minorHAnsi" w:cstheme="minorHAnsi"/>
          <w:sz w:val="16"/>
          <w:szCs w:val="16"/>
        </w:rPr>
        <w:t>Sharratt</w:t>
      </w:r>
      <w:proofErr w:type="spellEnd"/>
      <w:r w:rsidRPr="00473391">
        <w:rPr>
          <w:rFonts w:asciiTheme="minorHAnsi" w:hAnsiTheme="minorHAnsi" w:cstheme="minorHAnsi"/>
          <w:sz w:val="16"/>
          <w:szCs w:val="16"/>
        </w:rPr>
        <w:t xml:space="preserve">, L. &amp; </w:t>
      </w:r>
      <w:proofErr w:type="spellStart"/>
      <w:r w:rsidRPr="00473391">
        <w:rPr>
          <w:rFonts w:asciiTheme="minorHAnsi" w:hAnsiTheme="minorHAnsi" w:cstheme="minorHAnsi"/>
          <w:sz w:val="16"/>
          <w:szCs w:val="16"/>
        </w:rPr>
        <w:t>Planche</w:t>
      </w:r>
      <w:proofErr w:type="spellEnd"/>
      <w:r w:rsidRPr="00473391">
        <w:rPr>
          <w:rFonts w:asciiTheme="minorHAnsi" w:hAnsiTheme="minorHAnsi" w:cstheme="minorHAnsi"/>
          <w:sz w:val="16"/>
          <w:szCs w:val="16"/>
        </w:rPr>
        <w:t xml:space="preserve">, B. 2016, </w:t>
      </w:r>
      <w:r w:rsidRPr="00473391">
        <w:rPr>
          <w:rFonts w:asciiTheme="minorHAnsi" w:hAnsiTheme="minorHAnsi" w:cstheme="minorHAnsi"/>
          <w:i/>
          <w:iCs/>
          <w:sz w:val="16"/>
          <w:szCs w:val="16"/>
        </w:rPr>
        <w:t xml:space="preserve">Leading Collaborative Learning: Empowering Excellence. </w:t>
      </w:r>
      <w:r w:rsidRPr="00473391">
        <w:rPr>
          <w:rFonts w:asciiTheme="minorHAnsi" w:hAnsiTheme="minorHAnsi" w:cstheme="minorHAnsi"/>
          <w:sz w:val="16"/>
          <w:szCs w:val="16"/>
        </w:rPr>
        <w:t>Thousand Oaks, California: Corwin.</w:t>
      </w:r>
    </w:p>
  </w:footnote>
  <w:footnote w:id="3">
    <w:p w14:paraId="1344284D" w14:textId="77777777" w:rsidR="001E0FE4" w:rsidRPr="00473391" w:rsidRDefault="001E0FE4" w:rsidP="0049011D">
      <w:pPr>
        <w:rPr>
          <w:sz w:val="16"/>
          <w:szCs w:val="16"/>
        </w:rPr>
      </w:pPr>
      <w:r w:rsidRPr="00473391">
        <w:rPr>
          <w:rStyle w:val="FootnoteReference"/>
          <w:sz w:val="16"/>
          <w:szCs w:val="16"/>
        </w:rPr>
        <w:footnoteRef/>
      </w:r>
      <w:r w:rsidRPr="00473391">
        <w:rPr>
          <w:sz w:val="16"/>
          <w:szCs w:val="16"/>
        </w:rPr>
        <w:t xml:space="preserve"> Farrar, M. 2015, </w:t>
      </w:r>
      <w:proofErr w:type="gramStart"/>
      <w:r w:rsidRPr="00473391">
        <w:rPr>
          <w:sz w:val="16"/>
          <w:szCs w:val="16"/>
        </w:rPr>
        <w:t>Learning</w:t>
      </w:r>
      <w:proofErr w:type="gramEnd"/>
      <w:r w:rsidRPr="00473391">
        <w:rPr>
          <w:sz w:val="16"/>
          <w:szCs w:val="16"/>
        </w:rPr>
        <w:t xml:space="preserve"> together: The power of cluster-based school improvement. Centre for Strategic Education.</w:t>
      </w:r>
    </w:p>
  </w:footnote>
  <w:footnote w:id="4">
    <w:p w14:paraId="6F6598E6" w14:textId="4C8CC563" w:rsidR="001E0FE4" w:rsidRPr="00473391" w:rsidRDefault="001E0FE4" w:rsidP="002D2946">
      <w:pPr>
        <w:rPr>
          <w:sz w:val="16"/>
          <w:szCs w:val="16"/>
        </w:rPr>
      </w:pPr>
    </w:p>
  </w:footnote>
  <w:footnote w:id="5">
    <w:p w14:paraId="36D727FF" w14:textId="0EE19EB9" w:rsidR="001D0E31" w:rsidRDefault="001D0E31" w:rsidP="0049011D">
      <w:pPr>
        <w:rPr>
          <w:sz w:val="16"/>
          <w:szCs w:val="16"/>
        </w:rPr>
      </w:pPr>
      <w:r>
        <w:rPr>
          <w:rStyle w:val="FootnoteReference"/>
          <w:sz w:val="16"/>
          <w:szCs w:val="16"/>
        </w:rPr>
        <w:t>3</w:t>
      </w:r>
      <w:r w:rsidRPr="00473391">
        <w:rPr>
          <w:sz w:val="16"/>
          <w:szCs w:val="16"/>
        </w:rPr>
        <w:t xml:space="preserve"> Hargreaves &amp; </w:t>
      </w:r>
      <w:proofErr w:type="spellStart"/>
      <w:r w:rsidRPr="00473391">
        <w:rPr>
          <w:sz w:val="16"/>
          <w:szCs w:val="16"/>
        </w:rPr>
        <w:t>Fullan</w:t>
      </w:r>
      <w:proofErr w:type="spellEnd"/>
      <w:r w:rsidRPr="00473391">
        <w:rPr>
          <w:sz w:val="16"/>
          <w:szCs w:val="16"/>
        </w:rPr>
        <w:t xml:space="preserve"> (2012).</w:t>
      </w:r>
    </w:p>
    <w:p w14:paraId="30E46CB3" w14:textId="4C92CD34" w:rsidR="001E0FE4" w:rsidRPr="00473391" w:rsidRDefault="001E0FE4" w:rsidP="0049011D">
      <w:pPr>
        <w:rPr>
          <w:sz w:val="16"/>
          <w:szCs w:val="16"/>
        </w:rPr>
      </w:pPr>
      <w:r w:rsidRPr="00473391">
        <w:rPr>
          <w:rStyle w:val="FootnoteReference"/>
          <w:sz w:val="16"/>
          <w:szCs w:val="16"/>
        </w:rPr>
        <w:footnoteRef/>
      </w:r>
      <w:r w:rsidRPr="00473391">
        <w:rPr>
          <w:sz w:val="16"/>
          <w:szCs w:val="16"/>
        </w:rPr>
        <w:t xml:space="preserve"> Goddard, R. D., Hoy, W. K., &amp; Woolfolk Hoy, A. 2004, Collective efficacy beliefs: Theoretical developments, empirical evidence, and future directions. Educational Researcher, 33(3), 3–13</w:t>
      </w:r>
      <w:r w:rsidR="003A0E64" w:rsidRPr="00473391">
        <w:rPr>
          <w:sz w:val="16"/>
          <w:szCs w:val="16"/>
        </w:rPr>
        <w:t>.</w:t>
      </w:r>
    </w:p>
  </w:footnote>
  <w:footnote w:id="6">
    <w:p w14:paraId="77BA2B56" w14:textId="77777777" w:rsidR="002D2946" w:rsidRDefault="001E0FE4" w:rsidP="0049011D">
      <w:pPr>
        <w:rPr>
          <w:sz w:val="16"/>
          <w:szCs w:val="16"/>
        </w:rPr>
      </w:pPr>
      <w:r w:rsidRPr="00473391">
        <w:rPr>
          <w:rStyle w:val="FootnoteReference"/>
          <w:sz w:val="16"/>
          <w:szCs w:val="16"/>
        </w:rPr>
        <w:footnoteRef/>
      </w:r>
      <w:r w:rsidRPr="00473391">
        <w:rPr>
          <w:sz w:val="16"/>
          <w:szCs w:val="16"/>
        </w:rPr>
        <w:t xml:space="preserve"> Hargreaves, A., &amp; </w:t>
      </w:r>
      <w:proofErr w:type="spellStart"/>
      <w:r w:rsidRPr="00473391">
        <w:rPr>
          <w:sz w:val="16"/>
          <w:szCs w:val="16"/>
        </w:rPr>
        <w:t>Fullan</w:t>
      </w:r>
      <w:proofErr w:type="spellEnd"/>
      <w:r w:rsidRPr="00473391">
        <w:rPr>
          <w:sz w:val="16"/>
          <w:szCs w:val="16"/>
        </w:rPr>
        <w:t>, M. (2012). Professional capital: Transforming teaching in every school. New York: Teachers’ College Press.</w:t>
      </w:r>
    </w:p>
    <w:p w14:paraId="21558B53" w14:textId="53028282" w:rsidR="001E0FE4" w:rsidRDefault="002D2946" w:rsidP="0049011D">
      <w:pPr>
        <w:rPr>
          <w:sz w:val="16"/>
          <w:szCs w:val="16"/>
        </w:rPr>
      </w:pPr>
      <w:r w:rsidRPr="002D2946">
        <w:rPr>
          <w:rStyle w:val="FootnoteReference"/>
          <w:rFonts w:asciiTheme="minorHAnsi" w:hAnsiTheme="minorHAnsi" w:cstheme="minorHAnsi"/>
          <w:sz w:val="16"/>
          <w:szCs w:val="16"/>
        </w:rPr>
        <w:t xml:space="preserve"> </w:t>
      </w:r>
      <w:r>
        <w:rPr>
          <w:rStyle w:val="FootnoteReference"/>
          <w:rFonts w:asciiTheme="minorHAnsi" w:hAnsiTheme="minorHAnsi" w:cstheme="minorHAnsi"/>
          <w:sz w:val="16"/>
          <w:szCs w:val="16"/>
        </w:rPr>
        <w:t>6</w:t>
      </w:r>
      <w:r w:rsidRPr="0033762E">
        <w:rPr>
          <w:rFonts w:asciiTheme="minorHAnsi" w:hAnsiTheme="minorHAnsi" w:cstheme="minorHAnsi"/>
          <w:sz w:val="16"/>
          <w:szCs w:val="16"/>
        </w:rPr>
        <w:t xml:space="preserve"> </w:t>
      </w:r>
      <w:r w:rsidRPr="00C61F1A">
        <w:rPr>
          <w:rStyle w:val="FootnoteReference"/>
          <w:rFonts w:asciiTheme="minorHAnsi" w:hAnsiTheme="minorHAnsi" w:cstheme="minorHAnsi"/>
          <w:sz w:val="16"/>
          <w:vertAlign w:val="baseline"/>
        </w:rPr>
        <w:t>Bentley and Cazaly (2015)</w:t>
      </w:r>
    </w:p>
    <w:p w14:paraId="2EE85566" w14:textId="6E933FFB" w:rsidR="002D2946" w:rsidRPr="00C2661A" w:rsidRDefault="002D2946" w:rsidP="0049011D"/>
  </w:footnote>
  <w:footnote w:id="7">
    <w:p w14:paraId="78A4B1A6" w14:textId="2CD4FDB5" w:rsidR="00DE2567" w:rsidRDefault="00DE2567" w:rsidP="00C06499">
      <w:pPr>
        <w:pStyle w:val="FootnoteText"/>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05D28329" w:rsidR="001E0FE4" w:rsidRPr="003E29B5" w:rsidRDefault="001E0FE4" w:rsidP="008766A4">
    <w:r>
      <w:rPr>
        <w:noProof/>
        <w:lang w:eastAsia="en-AU"/>
      </w:rPr>
      <mc:AlternateContent>
        <mc:Choice Requires="wps">
          <w:drawing>
            <wp:anchor distT="45720" distB="45720" distL="114300" distR="114300" simplePos="0" relativeHeight="251658241" behindDoc="0" locked="0" layoutInCell="1" allowOverlap="1" wp14:anchorId="03233300" wp14:editId="1F481202">
              <wp:simplePos x="0" y="0"/>
              <wp:positionH relativeFrom="column">
                <wp:posOffset>5372100</wp:posOffset>
              </wp:positionH>
              <wp:positionV relativeFrom="paragraph">
                <wp:posOffset>559435</wp:posOffset>
              </wp:positionV>
              <wp:extent cx="1647825" cy="5854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14:paraId="75B9B536" w14:textId="3F067A16" w:rsidR="001E0FE4" w:rsidRPr="00B24ECE" w:rsidRDefault="001E0FE4" w:rsidP="00B31A38">
                          <w:pPr>
                            <w:rPr>
                              <w:b/>
                              <w:color w:val="FFFFFF" w:themeColor="background1"/>
                              <w:sz w:val="28"/>
                              <w:szCs w:val="28"/>
                            </w:rPr>
                          </w:pPr>
                          <w:r>
                            <w:rPr>
                              <w:b/>
                              <w:color w:val="FFFFFF" w:themeColor="background1"/>
                              <w:sz w:val="28"/>
                              <w:szCs w:val="28"/>
                            </w:rPr>
                            <w:t>Professional Practice Note 1</w:t>
                          </w:r>
                          <w:r w:rsidR="00F51628">
                            <w:rPr>
                              <w:b/>
                              <w:color w:val="FFFFFF" w:themeColor="background1"/>
                              <w:sz w:val="28"/>
                              <w:szCs w:val="2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33300" id="_x0000_t202" coordsize="21600,21600" o:spt="202" path="m,l,21600r21600,l21600,xe">
              <v:stroke joinstyle="miter"/>
              <v:path gradientshapeok="t" o:connecttype="rect"/>
            </v:shapetype>
            <v:shape id="Text Box 2" o:spid="_x0000_s1026" type="#_x0000_t202" style="position:absolute;margin-left:423pt;margin-top:44.05pt;width:129.75pt;height:46.1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" filled="f" stroked="f">
              <v:textbox style="mso-fit-shape-to-text:t">
                <w:txbxContent>
                  <w:p w14:paraId="75B9B536" w14:textId="3F067A16" w:rsidR="001E0FE4" w:rsidRPr="00B24ECE" w:rsidRDefault="001E0FE4" w:rsidP="00B31A38">
                    <w:pPr>
                      <w:rPr>
                        <w:b/>
                        <w:color w:val="FFFFFF" w:themeColor="background1"/>
                        <w:sz w:val="28"/>
                        <w:szCs w:val="28"/>
                      </w:rPr>
                    </w:pPr>
                    <w:r>
                      <w:rPr>
                        <w:b/>
                        <w:color w:val="FFFFFF" w:themeColor="background1"/>
                        <w:sz w:val="28"/>
                        <w:szCs w:val="28"/>
                      </w:rPr>
                      <w:t>Professional Practice Note 1</w:t>
                    </w:r>
                    <w:r w:rsidR="00F51628">
                      <w:rPr>
                        <w:b/>
                        <w:color w:val="FFFFFF" w:themeColor="background1"/>
                        <w:sz w:val="28"/>
                        <w:szCs w:val="28"/>
                      </w:rPr>
                      <w:t>7</w:t>
                    </w:r>
                  </w:p>
                </w:txbxContent>
              </v:textbox>
              <w10:wrap type="square"/>
            </v:shape>
          </w:pict>
        </mc:Fallback>
      </mc:AlternateContent>
    </w:r>
    <w:r>
      <w:rPr>
        <w:noProof/>
        <w:lang w:eastAsia="en-AU"/>
      </w:rPr>
      <w:drawing>
        <wp:anchor distT="0" distB="0" distL="114300" distR="114300" simplePos="0" relativeHeight="251658240" behindDoc="1" locked="0" layoutInCell="1" allowOverlap="1" wp14:anchorId="6BB7B5ED" wp14:editId="0D24134D">
          <wp:simplePos x="0" y="0"/>
          <wp:positionH relativeFrom="page">
            <wp:align>left</wp:align>
          </wp:positionH>
          <wp:positionV relativeFrom="page">
            <wp:align>top</wp:align>
          </wp:positionV>
          <wp:extent cx="7560000" cy="10692000"/>
          <wp:effectExtent l="0" t="0" r="3175" b="0"/>
          <wp:wrapNone/>
          <wp:docPr id="13" name="Picture 13" descr="Professional Practise Note 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1E203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E235B1"/>
    <w:multiLevelType w:val="hybridMultilevel"/>
    <w:tmpl w:val="06F43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3E5B70"/>
    <w:multiLevelType w:val="hybridMultilevel"/>
    <w:tmpl w:val="04C65B14"/>
    <w:lvl w:ilvl="0" w:tplc="6678811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9C776C"/>
    <w:multiLevelType w:val="hybridMultilevel"/>
    <w:tmpl w:val="341EED3C"/>
    <w:lvl w:ilvl="0" w:tplc="D22A2F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561E22"/>
    <w:multiLevelType w:val="hybridMultilevel"/>
    <w:tmpl w:val="5D005F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5230DF8"/>
    <w:multiLevelType w:val="hybridMultilevel"/>
    <w:tmpl w:val="E362BC8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935E3E"/>
    <w:multiLevelType w:val="hybridMultilevel"/>
    <w:tmpl w:val="7F346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674E08"/>
    <w:multiLevelType w:val="hybridMultilevel"/>
    <w:tmpl w:val="345296A6"/>
    <w:lvl w:ilvl="0" w:tplc="EC56540C">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8" w15:restartNumberingAfterBreak="0">
    <w:nsid w:val="20D953B2"/>
    <w:multiLevelType w:val="hybridMultilevel"/>
    <w:tmpl w:val="62DA9E9A"/>
    <w:lvl w:ilvl="0" w:tplc="104E06F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3879CF"/>
    <w:multiLevelType w:val="hybridMultilevel"/>
    <w:tmpl w:val="77A8D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88177C"/>
    <w:multiLevelType w:val="hybridMultilevel"/>
    <w:tmpl w:val="27124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A433CF"/>
    <w:multiLevelType w:val="hybridMultilevel"/>
    <w:tmpl w:val="8788E5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E516018"/>
    <w:multiLevelType w:val="hybridMultilevel"/>
    <w:tmpl w:val="CC9C1B10"/>
    <w:lvl w:ilvl="0" w:tplc="A5C861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9E3F49"/>
    <w:multiLevelType w:val="hybridMultilevel"/>
    <w:tmpl w:val="86F87860"/>
    <w:lvl w:ilvl="0" w:tplc="65BA20B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772107"/>
    <w:multiLevelType w:val="hybridMultilevel"/>
    <w:tmpl w:val="7056EBB8"/>
    <w:lvl w:ilvl="0" w:tplc="4CC6D9FE">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5" w15:restartNumberingAfterBreak="0">
    <w:nsid w:val="5CB14B3C"/>
    <w:multiLevelType w:val="hybridMultilevel"/>
    <w:tmpl w:val="CDAA704C"/>
    <w:lvl w:ilvl="0" w:tplc="0C090001">
      <w:start w:val="1"/>
      <w:numFmt w:val="bullet"/>
      <w:pStyle w:val="ListNumber"/>
      <w:lvlText w:val=""/>
      <w:lvlJc w:val="left"/>
      <w:pPr>
        <w:tabs>
          <w:tab w:val="num" w:pos="720"/>
        </w:tabs>
        <w:ind w:left="720" w:hanging="360"/>
      </w:pPr>
      <w:rPr>
        <w:rFonts w:ascii="Symbol" w:hAnsi="Symbol" w:hint="default"/>
        <w:b w:val="0"/>
        <w:sz w:val="24"/>
        <w:szCs w:val="24"/>
      </w:rPr>
    </w:lvl>
    <w:lvl w:ilvl="1" w:tplc="0C090001">
      <w:start w:val="1"/>
      <w:numFmt w:val="bullet"/>
      <w:lvlText w:val=""/>
      <w:lvlJc w:val="left"/>
      <w:pPr>
        <w:tabs>
          <w:tab w:val="num" w:pos="1495"/>
        </w:tabs>
        <w:ind w:left="1495"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0">
    <w:nsid w:val="5D4F76F8"/>
    <w:multiLevelType w:val="hybridMultilevel"/>
    <w:tmpl w:val="BBB4A290"/>
    <w:lvl w:ilvl="0" w:tplc="159694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E31EDA"/>
    <w:multiLevelType w:val="multilevel"/>
    <w:tmpl w:val="75CE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C4562"/>
    <w:multiLevelType w:val="hybridMultilevel"/>
    <w:tmpl w:val="34DEAC6E"/>
    <w:lvl w:ilvl="0" w:tplc="761C70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FF300B"/>
    <w:multiLevelType w:val="hybridMultilevel"/>
    <w:tmpl w:val="1912298C"/>
    <w:lvl w:ilvl="0" w:tplc="56B038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7F6F6B"/>
    <w:multiLevelType w:val="hybridMultilevel"/>
    <w:tmpl w:val="FA4275F8"/>
    <w:lvl w:ilvl="0" w:tplc="1062F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F01E5F"/>
    <w:multiLevelType w:val="hybridMultilevel"/>
    <w:tmpl w:val="E7BE1B64"/>
    <w:lvl w:ilvl="0" w:tplc="24764FCC">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25"/>
  </w:num>
  <w:num w:numId="14">
    <w:abstractNumId w:val="23"/>
  </w:num>
  <w:num w:numId="15">
    <w:abstractNumId w:val="22"/>
  </w:num>
  <w:num w:numId="16">
    <w:abstractNumId w:val="30"/>
  </w:num>
  <w:num w:numId="17">
    <w:abstractNumId w:val="30"/>
  </w:num>
  <w:num w:numId="18">
    <w:abstractNumId w:val="30"/>
  </w:num>
  <w:num w:numId="19">
    <w:abstractNumId w:val="20"/>
  </w:num>
  <w:num w:numId="20">
    <w:abstractNumId w:val="28"/>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19"/>
  </w:num>
  <w:num w:numId="29">
    <w:abstractNumId w:val="30"/>
  </w:num>
  <w:num w:numId="30">
    <w:abstractNumId w:val="29"/>
  </w:num>
  <w:num w:numId="31">
    <w:abstractNumId w:val="18"/>
  </w:num>
  <w:num w:numId="32">
    <w:abstractNumId w:val="17"/>
  </w:num>
  <w:num w:numId="33">
    <w:abstractNumId w:val="24"/>
  </w:num>
  <w:num w:numId="34">
    <w:abstractNumId w:val="17"/>
  </w:num>
  <w:num w:numId="35">
    <w:abstractNumId w:val="16"/>
  </w:num>
  <w:num w:numId="36">
    <w:abstractNumId w:val="26"/>
  </w:num>
  <w:num w:numId="37">
    <w:abstractNumId w:val="26"/>
  </w:num>
  <w:num w:numId="38">
    <w:abstractNumId w:val="11"/>
  </w:num>
  <w:num w:numId="39">
    <w:abstractNumId w:val="12"/>
  </w:num>
  <w:num w:numId="40">
    <w:abstractNumId w:val="27"/>
  </w:num>
  <w:num w:numId="41">
    <w:abstractNumId w:val="31"/>
  </w:num>
  <w:num w:numId="42">
    <w:abstractNumId w:val="15"/>
  </w:num>
  <w:num w:numId="43">
    <w:abstractNumId w:val="1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751"/>
    <w:rsid w:val="000047D8"/>
    <w:rsid w:val="00004886"/>
    <w:rsid w:val="00010635"/>
    <w:rsid w:val="00017713"/>
    <w:rsid w:val="0001779A"/>
    <w:rsid w:val="00017ED0"/>
    <w:rsid w:val="00022D93"/>
    <w:rsid w:val="00031B80"/>
    <w:rsid w:val="00037C5E"/>
    <w:rsid w:val="0004089F"/>
    <w:rsid w:val="00040CA5"/>
    <w:rsid w:val="000450B6"/>
    <w:rsid w:val="00046C5E"/>
    <w:rsid w:val="000528F5"/>
    <w:rsid w:val="000529BE"/>
    <w:rsid w:val="000552B6"/>
    <w:rsid w:val="00056053"/>
    <w:rsid w:val="000568D2"/>
    <w:rsid w:val="000619AB"/>
    <w:rsid w:val="00062AF4"/>
    <w:rsid w:val="00062DA9"/>
    <w:rsid w:val="00062E52"/>
    <w:rsid w:val="00065681"/>
    <w:rsid w:val="000708FE"/>
    <w:rsid w:val="00072277"/>
    <w:rsid w:val="00072FFE"/>
    <w:rsid w:val="00073762"/>
    <w:rsid w:val="0007564B"/>
    <w:rsid w:val="0008453A"/>
    <w:rsid w:val="00084C97"/>
    <w:rsid w:val="00085ACF"/>
    <w:rsid w:val="00087024"/>
    <w:rsid w:val="00090A4A"/>
    <w:rsid w:val="000916AC"/>
    <w:rsid w:val="000933B8"/>
    <w:rsid w:val="00094148"/>
    <w:rsid w:val="000A5A6C"/>
    <w:rsid w:val="000B0254"/>
    <w:rsid w:val="000B364A"/>
    <w:rsid w:val="000B57F3"/>
    <w:rsid w:val="000C008D"/>
    <w:rsid w:val="000C0515"/>
    <w:rsid w:val="000C1CAD"/>
    <w:rsid w:val="000C24A2"/>
    <w:rsid w:val="000C3ACF"/>
    <w:rsid w:val="000C4641"/>
    <w:rsid w:val="000C4CE1"/>
    <w:rsid w:val="000C6041"/>
    <w:rsid w:val="000C6108"/>
    <w:rsid w:val="000D30EA"/>
    <w:rsid w:val="000D3321"/>
    <w:rsid w:val="000D4407"/>
    <w:rsid w:val="000D4AC1"/>
    <w:rsid w:val="000D5470"/>
    <w:rsid w:val="000E1585"/>
    <w:rsid w:val="000E1743"/>
    <w:rsid w:val="000E3152"/>
    <w:rsid w:val="000E4F50"/>
    <w:rsid w:val="000E5D35"/>
    <w:rsid w:val="000E7752"/>
    <w:rsid w:val="000F36D2"/>
    <w:rsid w:val="00100F5E"/>
    <w:rsid w:val="00101C2B"/>
    <w:rsid w:val="001023E8"/>
    <w:rsid w:val="00102897"/>
    <w:rsid w:val="00103290"/>
    <w:rsid w:val="0010358C"/>
    <w:rsid w:val="00106DFA"/>
    <w:rsid w:val="001075D1"/>
    <w:rsid w:val="00111B75"/>
    <w:rsid w:val="00112988"/>
    <w:rsid w:val="00112F5E"/>
    <w:rsid w:val="001207AC"/>
    <w:rsid w:val="00125498"/>
    <w:rsid w:val="00125BD3"/>
    <w:rsid w:val="00127D48"/>
    <w:rsid w:val="0013028F"/>
    <w:rsid w:val="00133F4C"/>
    <w:rsid w:val="00137D8C"/>
    <w:rsid w:val="0014310A"/>
    <w:rsid w:val="001433B8"/>
    <w:rsid w:val="001445FE"/>
    <w:rsid w:val="00146F8F"/>
    <w:rsid w:val="001509D3"/>
    <w:rsid w:val="001516A2"/>
    <w:rsid w:val="00161982"/>
    <w:rsid w:val="001663FF"/>
    <w:rsid w:val="00167682"/>
    <w:rsid w:val="00171BCB"/>
    <w:rsid w:val="001724FF"/>
    <w:rsid w:val="001726E8"/>
    <w:rsid w:val="00176F9E"/>
    <w:rsid w:val="0017700E"/>
    <w:rsid w:val="0018037C"/>
    <w:rsid w:val="001824CB"/>
    <w:rsid w:val="00182626"/>
    <w:rsid w:val="00182671"/>
    <w:rsid w:val="00183040"/>
    <w:rsid w:val="001903CC"/>
    <w:rsid w:val="0019094E"/>
    <w:rsid w:val="001A7338"/>
    <w:rsid w:val="001A7AEF"/>
    <w:rsid w:val="001B326E"/>
    <w:rsid w:val="001B37B5"/>
    <w:rsid w:val="001B39B1"/>
    <w:rsid w:val="001B515A"/>
    <w:rsid w:val="001C0D23"/>
    <w:rsid w:val="001C44AA"/>
    <w:rsid w:val="001D0E31"/>
    <w:rsid w:val="001D4E0B"/>
    <w:rsid w:val="001D55ED"/>
    <w:rsid w:val="001D7281"/>
    <w:rsid w:val="001E0FE4"/>
    <w:rsid w:val="001E1DCF"/>
    <w:rsid w:val="001E39C1"/>
    <w:rsid w:val="001E4E81"/>
    <w:rsid w:val="001F0C63"/>
    <w:rsid w:val="001F38BC"/>
    <w:rsid w:val="001F5106"/>
    <w:rsid w:val="00201652"/>
    <w:rsid w:val="00201955"/>
    <w:rsid w:val="002021C2"/>
    <w:rsid w:val="00202860"/>
    <w:rsid w:val="00202A29"/>
    <w:rsid w:val="002079C5"/>
    <w:rsid w:val="002079EF"/>
    <w:rsid w:val="0021039A"/>
    <w:rsid w:val="00211DAA"/>
    <w:rsid w:val="00214A37"/>
    <w:rsid w:val="00216739"/>
    <w:rsid w:val="0021775A"/>
    <w:rsid w:val="00220ADE"/>
    <w:rsid w:val="00225F45"/>
    <w:rsid w:val="00230E53"/>
    <w:rsid w:val="002364F9"/>
    <w:rsid w:val="002373C2"/>
    <w:rsid w:val="0024073C"/>
    <w:rsid w:val="00242A01"/>
    <w:rsid w:val="00245F50"/>
    <w:rsid w:val="00247FA3"/>
    <w:rsid w:val="00250891"/>
    <w:rsid w:val="00256B79"/>
    <w:rsid w:val="00267747"/>
    <w:rsid w:val="00270D4D"/>
    <w:rsid w:val="00275A8D"/>
    <w:rsid w:val="00280C0E"/>
    <w:rsid w:val="00282424"/>
    <w:rsid w:val="00282536"/>
    <w:rsid w:val="00283D10"/>
    <w:rsid w:val="002840C6"/>
    <w:rsid w:val="00284E66"/>
    <w:rsid w:val="00290FCC"/>
    <w:rsid w:val="002A0051"/>
    <w:rsid w:val="002A3FD2"/>
    <w:rsid w:val="002B236A"/>
    <w:rsid w:val="002B6745"/>
    <w:rsid w:val="002C24E9"/>
    <w:rsid w:val="002C3E8A"/>
    <w:rsid w:val="002C405F"/>
    <w:rsid w:val="002C7C8B"/>
    <w:rsid w:val="002D2946"/>
    <w:rsid w:val="002D7D71"/>
    <w:rsid w:val="002E17E8"/>
    <w:rsid w:val="002E7F02"/>
    <w:rsid w:val="002F1468"/>
    <w:rsid w:val="002F2E65"/>
    <w:rsid w:val="002F3323"/>
    <w:rsid w:val="002F334C"/>
    <w:rsid w:val="002F5863"/>
    <w:rsid w:val="002F6B38"/>
    <w:rsid w:val="002F796D"/>
    <w:rsid w:val="00301B5B"/>
    <w:rsid w:val="00307F47"/>
    <w:rsid w:val="00320841"/>
    <w:rsid w:val="0032339B"/>
    <w:rsid w:val="003238D3"/>
    <w:rsid w:val="00326F48"/>
    <w:rsid w:val="003312B9"/>
    <w:rsid w:val="003316EB"/>
    <w:rsid w:val="00334038"/>
    <w:rsid w:val="0033697E"/>
    <w:rsid w:val="0033762E"/>
    <w:rsid w:val="00340180"/>
    <w:rsid w:val="0034152B"/>
    <w:rsid w:val="00343113"/>
    <w:rsid w:val="00343CCA"/>
    <w:rsid w:val="00351147"/>
    <w:rsid w:val="00352865"/>
    <w:rsid w:val="00353C0D"/>
    <w:rsid w:val="00356B53"/>
    <w:rsid w:val="00361684"/>
    <w:rsid w:val="00364186"/>
    <w:rsid w:val="0037421B"/>
    <w:rsid w:val="00375E79"/>
    <w:rsid w:val="00380A30"/>
    <w:rsid w:val="00381497"/>
    <w:rsid w:val="003821E1"/>
    <w:rsid w:val="00382234"/>
    <w:rsid w:val="0038357D"/>
    <w:rsid w:val="00384EED"/>
    <w:rsid w:val="00385860"/>
    <w:rsid w:val="003858BE"/>
    <w:rsid w:val="00385BD4"/>
    <w:rsid w:val="00386D7C"/>
    <w:rsid w:val="00394AF6"/>
    <w:rsid w:val="00395908"/>
    <w:rsid w:val="00396023"/>
    <w:rsid w:val="0039651B"/>
    <w:rsid w:val="003A0E64"/>
    <w:rsid w:val="003A1889"/>
    <w:rsid w:val="003A538B"/>
    <w:rsid w:val="003A5D3F"/>
    <w:rsid w:val="003A70B7"/>
    <w:rsid w:val="003A7E13"/>
    <w:rsid w:val="003B01B0"/>
    <w:rsid w:val="003B1542"/>
    <w:rsid w:val="003B66A5"/>
    <w:rsid w:val="003C110C"/>
    <w:rsid w:val="003C467C"/>
    <w:rsid w:val="003C530C"/>
    <w:rsid w:val="003C5861"/>
    <w:rsid w:val="003C7C1A"/>
    <w:rsid w:val="003D0A48"/>
    <w:rsid w:val="003D5274"/>
    <w:rsid w:val="003E29B5"/>
    <w:rsid w:val="003E3015"/>
    <w:rsid w:val="003E4F98"/>
    <w:rsid w:val="003E5347"/>
    <w:rsid w:val="003E5361"/>
    <w:rsid w:val="003E7B35"/>
    <w:rsid w:val="003F0073"/>
    <w:rsid w:val="003F18AC"/>
    <w:rsid w:val="003F28E3"/>
    <w:rsid w:val="003F3F5F"/>
    <w:rsid w:val="003F593D"/>
    <w:rsid w:val="003F607E"/>
    <w:rsid w:val="003F63AA"/>
    <w:rsid w:val="004028DD"/>
    <w:rsid w:val="00402906"/>
    <w:rsid w:val="00410A6C"/>
    <w:rsid w:val="00411FA3"/>
    <w:rsid w:val="00414475"/>
    <w:rsid w:val="004151B0"/>
    <w:rsid w:val="0041549E"/>
    <w:rsid w:val="0041726C"/>
    <w:rsid w:val="00421707"/>
    <w:rsid w:val="00421746"/>
    <w:rsid w:val="00422435"/>
    <w:rsid w:val="00424A3A"/>
    <w:rsid w:val="00424F9D"/>
    <w:rsid w:val="00426D80"/>
    <w:rsid w:val="004300F0"/>
    <w:rsid w:val="00431DD1"/>
    <w:rsid w:val="00433573"/>
    <w:rsid w:val="00440E87"/>
    <w:rsid w:val="0044626A"/>
    <w:rsid w:val="00452E79"/>
    <w:rsid w:val="004537CE"/>
    <w:rsid w:val="00455940"/>
    <w:rsid w:val="00456E30"/>
    <w:rsid w:val="004572D1"/>
    <w:rsid w:val="004573C9"/>
    <w:rsid w:val="00460020"/>
    <w:rsid w:val="0046028A"/>
    <w:rsid w:val="00461B26"/>
    <w:rsid w:val="00461E0C"/>
    <w:rsid w:val="004624EB"/>
    <w:rsid w:val="00462A9C"/>
    <w:rsid w:val="00463851"/>
    <w:rsid w:val="00464351"/>
    <w:rsid w:val="00472E9F"/>
    <w:rsid w:val="00473391"/>
    <w:rsid w:val="00482897"/>
    <w:rsid w:val="004859A7"/>
    <w:rsid w:val="0049011D"/>
    <w:rsid w:val="004902C2"/>
    <w:rsid w:val="00494C4A"/>
    <w:rsid w:val="004A001F"/>
    <w:rsid w:val="004A06B3"/>
    <w:rsid w:val="004A1C8F"/>
    <w:rsid w:val="004A1D27"/>
    <w:rsid w:val="004A71D1"/>
    <w:rsid w:val="004B2F64"/>
    <w:rsid w:val="004B300C"/>
    <w:rsid w:val="004C062D"/>
    <w:rsid w:val="004C3BD3"/>
    <w:rsid w:val="004C40AF"/>
    <w:rsid w:val="004C4984"/>
    <w:rsid w:val="004C60FE"/>
    <w:rsid w:val="004D13D7"/>
    <w:rsid w:val="004D18C8"/>
    <w:rsid w:val="004D2CC7"/>
    <w:rsid w:val="004E1BAE"/>
    <w:rsid w:val="004E34AD"/>
    <w:rsid w:val="004E6B4C"/>
    <w:rsid w:val="004E7EDB"/>
    <w:rsid w:val="004F1B95"/>
    <w:rsid w:val="004F2241"/>
    <w:rsid w:val="004F2E2E"/>
    <w:rsid w:val="004F2EED"/>
    <w:rsid w:val="004F321C"/>
    <w:rsid w:val="004F6FED"/>
    <w:rsid w:val="00507490"/>
    <w:rsid w:val="00507B22"/>
    <w:rsid w:val="00510935"/>
    <w:rsid w:val="0051117D"/>
    <w:rsid w:val="00511666"/>
    <w:rsid w:val="00512886"/>
    <w:rsid w:val="00512922"/>
    <w:rsid w:val="00512E3A"/>
    <w:rsid w:val="00517E9F"/>
    <w:rsid w:val="00524525"/>
    <w:rsid w:val="00526C03"/>
    <w:rsid w:val="00530190"/>
    <w:rsid w:val="005375BF"/>
    <w:rsid w:val="00537716"/>
    <w:rsid w:val="005407BB"/>
    <w:rsid w:val="005426E5"/>
    <w:rsid w:val="00543597"/>
    <w:rsid w:val="00544AD9"/>
    <w:rsid w:val="005528FF"/>
    <w:rsid w:val="00553D84"/>
    <w:rsid w:val="0055605B"/>
    <w:rsid w:val="00557268"/>
    <w:rsid w:val="00566A24"/>
    <w:rsid w:val="00566AA2"/>
    <w:rsid w:val="00566FA9"/>
    <w:rsid w:val="005678B0"/>
    <w:rsid w:val="0057209D"/>
    <w:rsid w:val="005849E0"/>
    <w:rsid w:val="0058668E"/>
    <w:rsid w:val="00586E14"/>
    <w:rsid w:val="0058738C"/>
    <w:rsid w:val="00587BA4"/>
    <w:rsid w:val="005946A1"/>
    <w:rsid w:val="00596923"/>
    <w:rsid w:val="005A5FB9"/>
    <w:rsid w:val="005B3C98"/>
    <w:rsid w:val="005C0AFB"/>
    <w:rsid w:val="005C156A"/>
    <w:rsid w:val="005C3D0E"/>
    <w:rsid w:val="005C754E"/>
    <w:rsid w:val="005D1F1F"/>
    <w:rsid w:val="005D3856"/>
    <w:rsid w:val="005E1B87"/>
    <w:rsid w:val="005E6B0E"/>
    <w:rsid w:val="005F0B06"/>
    <w:rsid w:val="005F150A"/>
    <w:rsid w:val="005F159C"/>
    <w:rsid w:val="0060003F"/>
    <w:rsid w:val="00600CE3"/>
    <w:rsid w:val="00601CAF"/>
    <w:rsid w:val="00605841"/>
    <w:rsid w:val="00610D9C"/>
    <w:rsid w:val="00614D8F"/>
    <w:rsid w:val="00616C5C"/>
    <w:rsid w:val="00623981"/>
    <w:rsid w:val="006255DD"/>
    <w:rsid w:val="00627EC9"/>
    <w:rsid w:val="006300B4"/>
    <w:rsid w:val="00633D21"/>
    <w:rsid w:val="00636831"/>
    <w:rsid w:val="00637685"/>
    <w:rsid w:val="0064290D"/>
    <w:rsid w:val="0064326C"/>
    <w:rsid w:val="00643648"/>
    <w:rsid w:val="0064511F"/>
    <w:rsid w:val="006456A4"/>
    <w:rsid w:val="00657445"/>
    <w:rsid w:val="00663AFB"/>
    <w:rsid w:val="00665047"/>
    <w:rsid w:val="00667E07"/>
    <w:rsid w:val="006709B6"/>
    <w:rsid w:val="00670B64"/>
    <w:rsid w:val="00674059"/>
    <w:rsid w:val="00675A30"/>
    <w:rsid w:val="00676EA2"/>
    <w:rsid w:val="006811DC"/>
    <w:rsid w:val="00681A21"/>
    <w:rsid w:val="006827FA"/>
    <w:rsid w:val="00687ED7"/>
    <w:rsid w:val="006903EC"/>
    <w:rsid w:val="00694CE3"/>
    <w:rsid w:val="006953E8"/>
    <w:rsid w:val="00696317"/>
    <w:rsid w:val="006A1A8F"/>
    <w:rsid w:val="006A6D39"/>
    <w:rsid w:val="006A7CEF"/>
    <w:rsid w:val="006B0CBC"/>
    <w:rsid w:val="006B351F"/>
    <w:rsid w:val="006B3CE5"/>
    <w:rsid w:val="006B4434"/>
    <w:rsid w:val="006B49E3"/>
    <w:rsid w:val="006B7ECC"/>
    <w:rsid w:val="006C03DA"/>
    <w:rsid w:val="006C0F25"/>
    <w:rsid w:val="006C268E"/>
    <w:rsid w:val="006C546C"/>
    <w:rsid w:val="006C5AC0"/>
    <w:rsid w:val="006C76DC"/>
    <w:rsid w:val="006E0E24"/>
    <w:rsid w:val="006E7C89"/>
    <w:rsid w:val="006F0DC2"/>
    <w:rsid w:val="006F20C3"/>
    <w:rsid w:val="006F5205"/>
    <w:rsid w:val="006F5362"/>
    <w:rsid w:val="00706C0C"/>
    <w:rsid w:val="00710322"/>
    <w:rsid w:val="0071433B"/>
    <w:rsid w:val="00721190"/>
    <w:rsid w:val="007300D6"/>
    <w:rsid w:val="007358F6"/>
    <w:rsid w:val="0073655D"/>
    <w:rsid w:val="0073724D"/>
    <w:rsid w:val="007406B4"/>
    <w:rsid w:val="00742D95"/>
    <w:rsid w:val="007450C9"/>
    <w:rsid w:val="007464BE"/>
    <w:rsid w:val="00746CFB"/>
    <w:rsid w:val="00750A42"/>
    <w:rsid w:val="00750F09"/>
    <w:rsid w:val="00756698"/>
    <w:rsid w:val="00763A49"/>
    <w:rsid w:val="007642DA"/>
    <w:rsid w:val="00765EE8"/>
    <w:rsid w:val="007673F1"/>
    <w:rsid w:val="00767F37"/>
    <w:rsid w:val="00772156"/>
    <w:rsid w:val="00772CBD"/>
    <w:rsid w:val="007749CC"/>
    <w:rsid w:val="00777DA3"/>
    <w:rsid w:val="0078060F"/>
    <w:rsid w:val="00781A5E"/>
    <w:rsid w:val="00784AB7"/>
    <w:rsid w:val="007864D8"/>
    <w:rsid w:val="00790A1F"/>
    <w:rsid w:val="00790D33"/>
    <w:rsid w:val="00792041"/>
    <w:rsid w:val="007978C1"/>
    <w:rsid w:val="00797B10"/>
    <w:rsid w:val="007B35E5"/>
    <w:rsid w:val="007B4FD7"/>
    <w:rsid w:val="007B727D"/>
    <w:rsid w:val="007C1F1B"/>
    <w:rsid w:val="007C620E"/>
    <w:rsid w:val="007C7C75"/>
    <w:rsid w:val="007D178D"/>
    <w:rsid w:val="007D46F5"/>
    <w:rsid w:val="007E4053"/>
    <w:rsid w:val="007E7CEC"/>
    <w:rsid w:val="007F06C8"/>
    <w:rsid w:val="007F12FE"/>
    <w:rsid w:val="007F49BF"/>
    <w:rsid w:val="00804565"/>
    <w:rsid w:val="00805002"/>
    <w:rsid w:val="008063E2"/>
    <w:rsid w:val="008074FE"/>
    <w:rsid w:val="0081066B"/>
    <w:rsid w:val="00814900"/>
    <w:rsid w:val="008160CC"/>
    <w:rsid w:val="00816ED5"/>
    <w:rsid w:val="008274E2"/>
    <w:rsid w:val="0083047C"/>
    <w:rsid w:val="0083368E"/>
    <w:rsid w:val="00834485"/>
    <w:rsid w:val="00840BB8"/>
    <w:rsid w:val="00841065"/>
    <w:rsid w:val="00846BA9"/>
    <w:rsid w:val="00852438"/>
    <w:rsid w:val="008563B3"/>
    <w:rsid w:val="00857FA7"/>
    <w:rsid w:val="00860993"/>
    <w:rsid w:val="0086413D"/>
    <w:rsid w:val="0086491B"/>
    <w:rsid w:val="00865323"/>
    <w:rsid w:val="00865463"/>
    <w:rsid w:val="00865A11"/>
    <w:rsid w:val="00866E14"/>
    <w:rsid w:val="00866E98"/>
    <w:rsid w:val="00871E1D"/>
    <w:rsid w:val="008766A4"/>
    <w:rsid w:val="00880494"/>
    <w:rsid w:val="00887406"/>
    <w:rsid w:val="00891B29"/>
    <w:rsid w:val="00893F32"/>
    <w:rsid w:val="00895413"/>
    <w:rsid w:val="008955F4"/>
    <w:rsid w:val="008A45AF"/>
    <w:rsid w:val="008A5778"/>
    <w:rsid w:val="008A6090"/>
    <w:rsid w:val="008A6CB9"/>
    <w:rsid w:val="008B3B9F"/>
    <w:rsid w:val="008B4CD0"/>
    <w:rsid w:val="008B6BEE"/>
    <w:rsid w:val="008C46E9"/>
    <w:rsid w:val="008C4FDD"/>
    <w:rsid w:val="008D1ADE"/>
    <w:rsid w:val="008D4D01"/>
    <w:rsid w:val="008D6751"/>
    <w:rsid w:val="008E155B"/>
    <w:rsid w:val="008E20D8"/>
    <w:rsid w:val="008E278C"/>
    <w:rsid w:val="008E6E4A"/>
    <w:rsid w:val="008E71DF"/>
    <w:rsid w:val="008F73F4"/>
    <w:rsid w:val="00900B34"/>
    <w:rsid w:val="00905181"/>
    <w:rsid w:val="0090537C"/>
    <w:rsid w:val="0091570B"/>
    <w:rsid w:val="0091796B"/>
    <w:rsid w:val="00922CA8"/>
    <w:rsid w:val="00923D2C"/>
    <w:rsid w:val="00931CFF"/>
    <w:rsid w:val="0093259E"/>
    <w:rsid w:val="009335C2"/>
    <w:rsid w:val="009415BA"/>
    <w:rsid w:val="00941AA2"/>
    <w:rsid w:val="0094253A"/>
    <w:rsid w:val="00942FE3"/>
    <w:rsid w:val="009535EC"/>
    <w:rsid w:val="0095620A"/>
    <w:rsid w:val="00960854"/>
    <w:rsid w:val="00960C0D"/>
    <w:rsid w:val="00964A4B"/>
    <w:rsid w:val="0096792E"/>
    <w:rsid w:val="00971AE7"/>
    <w:rsid w:val="00980015"/>
    <w:rsid w:val="009805FF"/>
    <w:rsid w:val="00983CD3"/>
    <w:rsid w:val="00993747"/>
    <w:rsid w:val="009A39D2"/>
    <w:rsid w:val="009B1AC3"/>
    <w:rsid w:val="009B323A"/>
    <w:rsid w:val="009B3760"/>
    <w:rsid w:val="009B40D9"/>
    <w:rsid w:val="009B442A"/>
    <w:rsid w:val="009B5ECE"/>
    <w:rsid w:val="009B6516"/>
    <w:rsid w:val="009C1DF6"/>
    <w:rsid w:val="009C2190"/>
    <w:rsid w:val="009C40A0"/>
    <w:rsid w:val="009C5A94"/>
    <w:rsid w:val="009C5AF7"/>
    <w:rsid w:val="009C7DDB"/>
    <w:rsid w:val="009D0975"/>
    <w:rsid w:val="009D30CE"/>
    <w:rsid w:val="009D558D"/>
    <w:rsid w:val="009E0920"/>
    <w:rsid w:val="009E1EA0"/>
    <w:rsid w:val="009E6DDD"/>
    <w:rsid w:val="009F1FD7"/>
    <w:rsid w:val="009F2302"/>
    <w:rsid w:val="009F6B01"/>
    <w:rsid w:val="00A00C0E"/>
    <w:rsid w:val="00A0161A"/>
    <w:rsid w:val="00A0362F"/>
    <w:rsid w:val="00A0408F"/>
    <w:rsid w:val="00A041E0"/>
    <w:rsid w:val="00A04C3D"/>
    <w:rsid w:val="00A05AFC"/>
    <w:rsid w:val="00A07C7B"/>
    <w:rsid w:val="00A12175"/>
    <w:rsid w:val="00A131EE"/>
    <w:rsid w:val="00A14C2C"/>
    <w:rsid w:val="00A20DB8"/>
    <w:rsid w:val="00A21B91"/>
    <w:rsid w:val="00A21C33"/>
    <w:rsid w:val="00A23AEC"/>
    <w:rsid w:val="00A23D87"/>
    <w:rsid w:val="00A25317"/>
    <w:rsid w:val="00A27CEF"/>
    <w:rsid w:val="00A37269"/>
    <w:rsid w:val="00A44340"/>
    <w:rsid w:val="00A46851"/>
    <w:rsid w:val="00A46E31"/>
    <w:rsid w:val="00A56488"/>
    <w:rsid w:val="00A568D6"/>
    <w:rsid w:val="00A61042"/>
    <w:rsid w:val="00A65A21"/>
    <w:rsid w:val="00A66145"/>
    <w:rsid w:val="00A70B1D"/>
    <w:rsid w:val="00A71352"/>
    <w:rsid w:val="00A7198B"/>
    <w:rsid w:val="00A769CA"/>
    <w:rsid w:val="00A81D50"/>
    <w:rsid w:val="00A83BFE"/>
    <w:rsid w:val="00A86F91"/>
    <w:rsid w:val="00A900A5"/>
    <w:rsid w:val="00A94A50"/>
    <w:rsid w:val="00AA1D29"/>
    <w:rsid w:val="00AA1F35"/>
    <w:rsid w:val="00AA3371"/>
    <w:rsid w:val="00AA46DE"/>
    <w:rsid w:val="00AA4FB2"/>
    <w:rsid w:val="00AA6265"/>
    <w:rsid w:val="00AA6CCD"/>
    <w:rsid w:val="00AA6CFA"/>
    <w:rsid w:val="00AC1440"/>
    <w:rsid w:val="00AC1840"/>
    <w:rsid w:val="00AD058E"/>
    <w:rsid w:val="00AD2123"/>
    <w:rsid w:val="00AD315D"/>
    <w:rsid w:val="00AD6742"/>
    <w:rsid w:val="00AE0B13"/>
    <w:rsid w:val="00AE2147"/>
    <w:rsid w:val="00AE5932"/>
    <w:rsid w:val="00AE6CB8"/>
    <w:rsid w:val="00AE7992"/>
    <w:rsid w:val="00AF0125"/>
    <w:rsid w:val="00AF4FB0"/>
    <w:rsid w:val="00AF5954"/>
    <w:rsid w:val="00AF671E"/>
    <w:rsid w:val="00B00A39"/>
    <w:rsid w:val="00B00C6A"/>
    <w:rsid w:val="00B04920"/>
    <w:rsid w:val="00B1320A"/>
    <w:rsid w:val="00B20D93"/>
    <w:rsid w:val="00B26466"/>
    <w:rsid w:val="00B27816"/>
    <w:rsid w:val="00B27D66"/>
    <w:rsid w:val="00B27E64"/>
    <w:rsid w:val="00B313C6"/>
    <w:rsid w:val="00B313E8"/>
    <w:rsid w:val="00B313F1"/>
    <w:rsid w:val="00B31A38"/>
    <w:rsid w:val="00B3256F"/>
    <w:rsid w:val="00B357A8"/>
    <w:rsid w:val="00B36B8F"/>
    <w:rsid w:val="00B37A4D"/>
    <w:rsid w:val="00B37E8F"/>
    <w:rsid w:val="00B41D6D"/>
    <w:rsid w:val="00B42CB3"/>
    <w:rsid w:val="00B463A6"/>
    <w:rsid w:val="00B521CF"/>
    <w:rsid w:val="00B56AFC"/>
    <w:rsid w:val="00B60218"/>
    <w:rsid w:val="00B65A24"/>
    <w:rsid w:val="00B66316"/>
    <w:rsid w:val="00B715B0"/>
    <w:rsid w:val="00B72540"/>
    <w:rsid w:val="00B75DA8"/>
    <w:rsid w:val="00B7655A"/>
    <w:rsid w:val="00B7726A"/>
    <w:rsid w:val="00B778FF"/>
    <w:rsid w:val="00B8154A"/>
    <w:rsid w:val="00B86814"/>
    <w:rsid w:val="00B87E1D"/>
    <w:rsid w:val="00BB3FD7"/>
    <w:rsid w:val="00BB7C09"/>
    <w:rsid w:val="00BB7FA2"/>
    <w:rsid w:val="00BC1167"/>
    <w:rsid w:val="00BC1DC3"/>
    <w:rsid w:val="00BC7296"/>
    <w:rsid w:val="00BD1DF4"/>
    <w:rsid w:val="00BD1EC1"/>
    <w:rsid w:val="00BD219F"/>
    <w:rsid w:val="00BD355C"/>
    <w:rsid w:val="00BD3762"/>
    <w:rsid w:val="00BE2401"/>
    <w:rsid w:val="00BE493B"/>
    <w:rsid w:val="00BE5EAC"/>
    <w:rsid w:val="00BE6FC0"/>
    <w:rsid w:val="00BF1374"/>
    <w:rsid w:val="00BF17CC"/>
    <w:rsid w:val="00BF1B29"/>
    <w:rsid w:val="00BF20DF"/>
    <w:rsid w:val="00BF33B0"/>
    <w:rsid w:val="00BF6AD8"/>
    <w:rsid w:val="00C01903"/>
    <w:rsid w:val="00C028E6"/>
    <w:rsid w:val="00C0363F"/>
    <w:rsid w:val="00C06348"/>
    <w:rsid w:val="00C06499"/>
    <w:rsid w:val="00C06679"/>
    <w:rsid w:val="00C10031"/>
    <w:rsid w:val="00C10192"/>
    <w:rsid w:val="00C1150E"/>
    <w:rsid w:val="00C12663"/>
    <w:rsid w:val="00C14CF5"/>
    <w:rsid w:val="00C17403"/>
    <w:rsid w:val="00C206D8"/>
    <w:rsid w:val="00C31DDF"/>
    <w:rsid w:val="00C32BA1"/>
    <w:rsid w:val="00C33081"/>
    <w:rsid w:val="00C33400"/>
    <w:rsid w:val="00C33631"/>
    <w:rsid w:val="00C35E9F"/>
    <w:rsid w:val="00C3691D"/>
    <w:rsid w:val="00C4004B"/>
    <w:rsid w:val="00C440CB"/>
    <w:rsid w:val="00C45F42"/>
    <w:rsid w:val="00C55EB3"/>
    <w:rsid w:val="00C566AB"/>
    <w:rsid w:val="00C60078"/>
    <w:rsid w:val="00C6063B"/>
    <w:rsid w:val="00C61F1A"/>
    <w:rsid w:val="00C64D33"/>
    <w:rsid w:val="00C654B2"/>
    <w:rsid w:val="00C66E20"/>
    <w:rsid w:val="00C67DAD"/>
    <w:rsid w:val="00C72D9A"/>
    <w:rsid w:val="00C76244"/>
    <w:rsid w:val="00C80147"/>
    <w:rsid w:val="00C82EE1"/>
    <w:rsid w:val="00C84239"/>
    <w:rsid w:val="00C86485"/>
    <w:rsid w:val="00C86AA3"/>
    <w:rsid w:val="00C905EA"/>
    <w:rsid w:val="00C91903"/>
    <w:rsid w:val="00C94144"/>
    <w:rsid w:val="00C96C6D"/>
    <w:rsid w:val="00C96F9E"/>
    <w:rsid w:val="00CA34E8"/>
    <w:rsid w:val="00CB2CEF"/>
    <w:rsid w:val="00CB3288"/>
    <w:rsid w:val="00CB4A95"/>
    <w:rsid w:val="00CB60C7"/>
    <w:rsid w:val="00CC04B1"/>
    <w:rsid w:val="00CC0BA8"/>
    <w:rsid w:val="00CC1D6E"/>
    <w:rsid w:val="00CC4044"/>
    <w:rsid w:val="00CC78C6"/>
    <w:rsid w:val="00CD1500"/>
    <w:rsid w:val="00CD2880"/>
    <w:rsid w:val="00CD2FB9"/>
    <w:rsid w:val="00CD3509"/>
    <w:rsid w:val="00CD68C2"/>
    <w:rsid w:val="00CD76E9"/>
    <w:rsid w:val="00CE688D"/>
    <w:rsid w:val="00CE77A8"/>
    <w:rsid w:val="00CF09C8"/>
    <w:rsid w:val="00CF706C"/>
    <w:rsid w:val="00CF7E71"/>
    <w:rsid w:val="00D015CA"/>
    <w:rsid w:val="00D027E9"/>
    <w:rsid w:val="00D070D7"/>
    <w:rsid w:val="00D11044"/>
    <w:rsid w:val="00D11EBF"/>
    <w:rsid w:val="00D153F4"/>
    <w:rsid w:val="00D1699E"/>
    <w:rsid w:val="00D17D78"/>
    <w:rsid w:val="00D20050"/>
    <w:rsid w:val="00D31299"/>
    <w:rsid w:val="00D36E05"/>
    <w:rsid w:val="00D373BF"/>
    <w:rsid w:val="00D4489B"/>
    <w:rsid w:val="00D51E49"/>
    <w:rsid w:val="00D521C7"/>
    <w:rsid w:val="00D52FDB"/>
    <w:rsid w:val="00D53218"/>
    <w:rsid w:val="00D53E79"/>
    <w:rsid w:val="00D54090"/>
    <w:rsid w:val="00D54126"/>
    <w:rsid w:val="00D551DB"/>
    <w:rsid w:val="00D570E8"/>
    <w:rsid w:val="00D60D4A"/>
    <w:rsid w:val="00D8063E"/>
    <w:rsid w:val="00D82E6B"/>
    <w:rsid w:val="00D85A0C"/>
    <w:rsid w:val="00D900E2"/>
    <w:rsid w:val="00D93569"/>
    <w:rsid w:val="00DA3637"/>
    <w:rsid w:val="00DA5477"/>
    <w:rsid w:val="00DA5B3E"/>
    <w:rsid w:val="00DA7FEA"/>
    <w:rsid w:val="00DB5268"/>
    <w:rsid w:val="00DC1A35"/>
    <w:rsid w:val="00DC1CEB"/>
    <w:rsid w:val="00DC3CCC"/>
    <w:rsid w:val="00DC776D"/>
    <w:rsid w:val="00DD0BA6"/>
    <w:rsid w:val="00DD544F"/>
    <w:rsid w:val="00DD7A54"/>
    <w:rsid w:val="00DE17C3"/>
    <w:rsid w:val="00DE1AB3"/>
    <w:rsid w:val="00DE2567"/>
    <w:rsid w:val="00DE530F"/>
    <w:rsid w:val="00DE6EC9"/>
    <w:rsid w:val="00E034B3"/>
    <w:rsid w:val="00E039E3"/>
    <w:rsid w:val="00E040F2"/>
    <w:rsid w:val="00E04B06"/>
    <w:rsid w:val="00E04E4F"/>
    <w:rsid w:val="00E11026"/>
    <w:rsid w:val="00E125F2"/>
    <w:rsid w:val="00E140AF"/>
    <w:rsid w:val="00E16CC5"/>
    <w:rsid w:val="00E23B58"/>
    <w:rsid w:val="00E23E01"/>
    <w:rsid w:val="00E30298"/>
    <w:rsid w:val="00E32BEC"/>
    <w:rsid w:val="00E33029"/>
    <w:rsid w:val="00E33CBD"/>
    <w:rsid w:val="00E35B79"/>
    <w:rsid w:val="00E44A14"/>
    <w:rsid w:val="00E45B83"/>
    <w:rsid w:val="00E46993"/>
    <w:rsid w:val="00E47A4A"/>
    <w:rsid w:val="00E509BB"/>
    <w:rsid w:val="00E5136A"/>
    <w:rsid w:val="00E52323"/>
    <w:rsid w:val="00E52B81"/>
    <w:rsid w:val="00E55E38"/>
    <w:rsid w:val="00E56DE0"/>
    <w:rsid w:val="00E6169E"/>
    <w:rsid w:val="00E6723B"/>
    <w:rsid w:val="00E677C9"/>
    <w:rsid w:val="00E719EA"/>
    <w:rsid w:val="00E72216"/>
    <w:rsid w:val="00E729B8"/>
    <w:rsid w:val="00E73388"/>
    <w:rsid w:val="00E821E2"/>
    <w:rsid w:val="00E86183"/>
    <w:rsid w:val="00E9085F"/>
    <w:rsid w:val="00E93186"/>
    <w:rsid w:val="00E9558C"/>
    <w:rsid w:val="00E96341"/>
    <w:rsid w:val="00EA0189"/>
    <w:rsid w:val="00EA61DF"/>
    <w:rsid w:val="00EA648A"/>
    <w:rsid w:val="00EA6811"/>
    <w:rsid w:val="00EB2CE0"/>
    <w:rsid w:val="00EB64E8"/>
    <w:rsid w:val="00EB6C8C"/>
    <w:rsid w:val="00EB6DF1"/>
    <w:rsid w:val="00EC2A34"/>
    <w:rsid w:val="00EC4546"/>
    <w:rsid w:val="00EC56A6"/>
    <w:rsid w:val="00EC6828"/>
    <w:rsid w:val="00ED0B79"/>
    <w:rsid w:val="00ED17CE"/>
    <w:rsid w:val="00ED323F"/>
    <w:rsid w:val="00EE08C7"/>
    <w:rsid w:val="00EE3EC4"/>
    <w:rsid w:val="00EE41DA"/>
    <w:rsid w:val="00EE585B"/>
    <w:rsid w:val="00EE707D"/>
    <w:rsid w:val="00EE753B"/>
    <w:rsid w:val="00EE75B9"/>
    <w:rsid w:val="00EF4EF8"/>
    <w:rsid w:val="00EF5474"/>
    <w:rsid w:val="00EF669F"/>
    <w:rsid w:val="00EF6EB9"/>
    <w:rsid w:val="00F01A9D"/>
    <w:rsid w:val="00F02FE3"/>
    <w:rsid w:val="00F040D0"/>
    <w:rsid w:val="00F05941"/>
    <w:rsid w:val="00F05D99"/>
    <w:rsid w:val="00F06340"/>
    <w:rsid w:val="00F07F41"/>
    <w:rsid w:val="00F313F5"/>
    <w:rsid w:val="00F33E51"/>
    <w:rsid w:val="00F342D7"/>
    <w:rsid w:val="00F35012"/>
    <w:rsid w:val="00F37D33"/>
    <w:rsid w:val="00F5105E"/>
    <w:rsid w:val="00F511B2"/>
    <w:rsid w:val="00F51628"/>
    <w:rsid w:val="00F54177"/>
    <w:rsid w:val="00F57ADB"/>
    <w:rsid w:val="00F6128A"/>
    <w:rsid w:val="00F619F8"/>
    <w:rsid w:val="00F62C3D"/>
    <w:rsid w:val="00F63352"/>
    <w:rsid w:val="00F63F47"/>
    <w:rsid w:val="00F67AA6"/>
    <w:rsid w:val="00F719BF"/>
    <w:rsid w:val="00F8137B"/>
    <w:rsid w:val="00F85A94"/>
    <w:rsid w:val="00F86C02"/>
    <w:rsid w:val="00F9239D"/>
    <w:rsid w:val="00F93138"/>
    <w:rsid w:val="00F942D7"/>
    <w:rsid w:val="00F94346"/>
    <w:rsid w:val="00F96FAB"/>
    <w:rsid w:val="00F973EA"/>
    <w:rsid w:val="00FA0057"/>
    <w:rsid w:val="00FA03E4"/>
    <w:rsid w:val="00FA129C"/>
    <w:rsid w:val="00FB0572"/>
    <w:rsid w:val="00FB4976"/>
    <w:rsid w:val="00FB5CD3"/>
    <w:rsid w:val="00FB7570"/>
    <w:rsid w:val="00FC5EF4"/>
    <w:rsid w:val="00FD20D8"/>
    <w:rsid w:val="00FD22A1"/>
    <w:rsid w:val="00FD24F5"/>
    <w:rsid w:val="00FD4EAE"/>
    <w:rsid w:val="00FD51EC"/>
    <w:rsid w:val="00FD6E86"/>
    <w:rsid w:val="00FE10AC"/>
    <w:rsid w:val="00FE37EF"/>
    <w:rsid w:val="00FE3C4F"/>
    <w:rsid w:val="00FE54EC"/>
    <w:rsid w:val="00FF078A"/>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lang w:val="en-AU"/>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3D5274"/>
    <w:pPr>
      <w:pBdr>
        <w:top w:val="single" w:sz="8" w:space="3" w:color="C00000"/>
      </w:pBdr>
      <w:spacing w:before="200"/>
      <w:outlineLvl w:val="1"/>
    </w:pPr>
    <w:rPr>
      <w:bCs w:val="0"/>
    </w:rPr>
  </w:style>
  <w:style w:type="paragraph" w:styleId="Heading3">
    <w:name w:val="heading 3"/>
    <w:basedOn w:val="Normal"/>
    <w:next w:val="Normal"/>
    <w:link w:val="Heading3Char"/>
    <w:uiPriority w:val="9"/>
    <w:unhideWhenUsed/>
    <w:qFormat/>
    <w:rsid w:val="003D5274"/>
    <w:pPr>
      <w:keepNext/>
      <w:keepLines/>
      <w:spacing w:before="40" w:after="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3D5274"/>
    <w:rPr>
      <w:rFonts w:ascii="Arial" w:eastAsiaTheme="majorEastAsia" w:hAnsi="Arial" w:cstheme="majorBidi"/>
      <w:b/>
      <w:caps/>
      <w:color w:val="AF272F" w:themeColor="accen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FootnoteText">
    <w:name w:val="footnote text"/>
    <w:basedOn w:val="Normal"/>
    <w:link w:val="FootnoteTextChar"/>
    <w:uiPriority w:val="99"/>
    <w:semiHidden/>
    <w:unhideWhenUsed/>
    <w:rsid w:val="00E3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029"/>
    <w:rPr>
      <w:rFonts w:ascii="Arial" w:hAnsi="Arial" w:cs="Arial"/>
      <w:sz w:val="20"/>
      <w:szCs w:val="20"/>
    </w:rPr>
  </w:style>
  <w:style w:type="character" w:styleId="FootnoteReference">
    <w:name w:val="footnote reference"/>
    <w:basedOn w:val="DefaultParagraphFont"/>
    <w:uiPriority w:val="99"/>
    <w:semiHidden/>
    <w:unhideWhenUsed/>
    <w:rsid w:val="00E33029"/>
    <w:rPr>
      <w:vertAlign w:val="superscript"/>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AA6CCD"/>
    <w:pPr>
      <w:spacing w:before="120" w:line="240" w:lineRule="auto"/>
      <w:ind w:left="36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AA6CCD"/>
    <w:rPr>
      <w:rFonts w:ascii="Arial" w:hAnsi="Arial" w:cs="Arial"/>
      <w:sz w:val="18"/>
      <w:szCs w:val="18"/>
      <w:lang w:val="en-AU"/>
    </w:rPr>
  </w:style>
  <w:style w:type="paragraph" w:styleId="BodyText">
    <w:name w:val="Body Text"/>
    <w:basedOn w:val="ListNumber"/>
    <w:link w:val="BodyTextChar"/>
    <w:rsid w:val="004028DD"/>
    <w:pPr>
      <w:numPr>
        <w:numId w:val="0"/>
      </w:numPr>
      <w:spacing w:after="120"/>
      <w:ind w:left="1760" w:hanging="680"/>
      <w:contextualSpacing w:val="0"/>
    </w:pPr>
    <w:rPr>
      <w:rFonts w:ascii="Arial" w:hAnsi="Arial"/>
      <w:lang w:eastAsia="en-US"/>
    </w:rPr>
  </w:style>
  <w:style w:type="character" w:customStyle="1" w:styleId="BodyTextChar">
    <w:name w:val="Body Text Char"/>
    <w:basedOn w:val="DefaultParagraphFont"/>
    <w:link w:val="BodyText"/>
    <w:rsid w:val="004028DD"/>
    <w:rPr>
      <w:rFonts w:ascii="Arial" w:eastAsia="Times New Roman" w:hAnsi="Arial" w:cs="Arial"/>
      <w:noProof/>
      <w:lang w:val="en-AU"/>
    </w:rPr>
  </w:style>
  <w:style w:type="paragraph" w:styleId="ListNumber">
    <w:name w:val="List Number"/>
    <w:basedOn w:val="Normal"/>
    <w:uiPriority w:val="99"/>
    <w:unhideWhenUsed/>
    <w:rsid w:val="004028DD"/>
    <w:pPr>
      <w:numPr>
        <w:numId w:val="13"/>
      </w:numPr>
      <w:spacing w:after="0" w:line="240" w:lineRule="auto"/>
      <w:contextualSpacing/>
    </w:pPr>
    <w:rPr>
      <w:rFonts w:ascii="Times New Roman" w:eastAsia="Times New Roman" w:hAnsi="Times New Roman"/>
      <w:noProof/>
      <w:sz w:val="24"/>
      <w:szCs w:val="24"/>
      <w:lang w:eastAsia="en-AU"/>
    </w:rPr>
  </w:style>
  <w:style w:type="character" w:styleId="Hyperlink">
    <w:name w:val="Hyperlink"/>
    <w:basedOn w:val="DefaultParagraphFont"/>
    <w:uiPriority w:val="99"/>
    <w:unhideWhenUsed/>
    <w:rsid w:val="003C530C"/>
    <w:rPr>
      <w:color w:val="004EA8" w:themeColor="hyperlink"/>
      <w:u w:val="single"/>
    </w:rPr>
  </w:style>
  <w:style w:type="character" w:styleId="CommentReference">
    <w:name w:val="annotation reference"/>
    <w:basedOn w:val="DefaultParagraphFont"/>
    <w:uiPriority w:val="99"/>
    <w:semiHidden/>
    <w:unhideWhenUsed/>
    <w:rsid w:val="001509D3"/>
    <w:rPr>
      <w:sz w:val="16"/>
      <w:szCs w:val="16"/>
    </w:rPr>
  </w:style>
  <w:style w:type="paragraph" w:styleId="CommentText">
    <w:name w:val="annotation text"/>
    <w:basedOn w:val="Normal"/>
    <w:link w:val="CommentTextChar"/>
    <w:uiPriority w:val="99"/>
    <w:semiHidden/>
    <w:unhideWhenUsed/>
    <w:rsid w:val="001509D3"/>
    <w:pPr>
      <w:spacing w:line="240" w:lineRule="auto"/>
    </w:pPr>
    <w:rPr>
      <w:sz w:val="20"/>
      <w:szCs w:val="20"/>
    </w:rPr>
  </w:style>
  <w:style w:type="character" w:customStyle="1" w:styleId="CommentTextChar">
    <w:name w:val="Comment Text Char"/>
    <w:basedOn w:val="DefaultParagraphFont"/>
    <w:link w:val="CommentText"/>
    <w:uiPriority w:val="99"/>
    <w:semiHidden/>
    <w:rsid w:val="001509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09D3"/>
    <w:rPr>
      <w:b/>
      <w:bCs/>
    </w:rPr>
  </w:style>
  <w:style w:type="character" w:customStyle="1" w:styleId="CommentSubjectChar">
    <w:name w:val="Comment Subject Char"/>
    <w:basedOn w:val="CommentTextChar"/>
    <w:link w:val="CommentSubject"/>
    <w:uiPriority w:val="99"/>
    <w:semiHidden/>
    <w:rsid w:val="001509D3"/>
    <w:rPr>
      <w:rFonts w:ascii="Arial" w:hAnsi="Arial" w:cs="Arial"/>
      <w:b/>
      <w:bCs/>
      <w:sz w:val="20"/>
      <w:szCs w:val="20"/>
    </w:rPr>
  </w:style>
  <w:style w:type="character" w:customStyle="1" w:styleId="A7">
    <w:name w:val="A7"/>
    <w:uiPriority w:val="99"/>
    <w:rsid w:val="00C566AB"/>
    <w:rPr>
      <w:rFonts w:ascii="VIC Medium" w:hAnsi="VIC Medium" w:cs="VIC Medium"/>
      <w:color w:val="000000"/>
      <w:sz w:val="16"/>
      <w:szCs w:val="16"/>
      <w:u w:val="single"/>
    </w:rPr>
  </w:style>
  <w:style w:type="character" w:styleId="FollowedHyperlink">
    <w:name w:val="FollowedHyperlink"/>
    <w:basedOn w:val="DefaultParagraphFont"/>
    <w:uiPriority w:val="99"/>
    <w:semiHidden/>
    <w:unhideWhenUsed/>
    <w:rsid w:val="00A07C7B"/>
    <w:rPr>
      <w:color w:val="87189D" w:themeColor="followedHyperlink"/>
      <w:u w:val="single"/>
    </w:rPr>
  </w:style>
  <w:style w:type="paragraph" w:styleId="Revision">
    <w:name w:val="Revision"/>
    <w:hidden/>
    <w:uiPriority w:val="99"/>
    <w:semiHidden/>
    <w:rsid w:val="007C7C75"/>
    <w:rPr>
      <w:rFonts w:ascii="Arial" w:hAnsi="Arial" w:cs="Arial"/>
      <w:sz w:val="18"/>
      <w:szCs w:val="18"/>
    </w:rPr>
  </w:style>
  <w:style w:type="character" w:styleId="EndnoteReference">
    <w:name w:val="endnote reference"/>
    <w:basedOn w:val="DefaultParagraphFont"/>
    <w:uiPriority w:val="99"/>
    <w:semiHidden/>
    <w:unhideWhenUsed/>
    <w:rsid w:val="000D5470"/>
    <w:rPr>
      <w:vertAlign w:val="superscript"/>
    </w:rPr>
  </w:style>
  <w:style w:type="character" w:customStyle="1" w:styleId="Heading3Char">
    <w:name w:val="Heading 3 Char"/>
    <w:basedOn w:val="DefaultParagraphFont"/>
    <w:link w:val="Heading3"/>
    <w:uiPriority w:val="9"/>
    <w:rsid w:val="003D5274"/>
    <w:rPr>
      <w:rFonts w:asciiTheme="majorHAnsi" w:eastAsiaTheme="majorEastAsia" w:hAnsiTheme="majorHAnsi" w:cstheme="majorBid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6245">
      <w:bodyDiv w:val="1"/>
      <w:marLeft w:val="0"/>
      <w:marRight w:val="0"/>
      <w:marTop w:val="0"/>
      <w:marBottom w:val="0"/>
      <w:divBdr>
        <w:top w:val="none" w:sz="0" w:space="0" w:color="auto"/>
        <w:left w:val="none" w:sz="0" w:space="0" w:color="auto"/>
        <w:bottom w:val="none" w:sz="0" w:space="0" w:color="auto"/>
        <w:right w:val="none" w:sz="0" w:space="0" w:color="auto"/>
      </w:divBdr>
    </w:div>
    <w:div w:id="632715055">
      <w:bodyDiv w:val="1"/>
      <w:marLeft w:val="0"/>
      <w:marRight w:val="0"/>
      <w:marTop w:val="0"/>
      <w:marBottom w:val="0"/>
      <w:divBdr>
        <w:top w:val="none" w:sz="0" w:space="0" w:color="auto"/>
        <w:left w:val="none" w:sz="0" w:space="0" w:color="auto"/>
        <w:bottom w:val="none" w:sz="0" w:space="0" w:color="auto"/>
        <w:right w:val="none" w:sz="0" w:space="0" w:color="auto"/>
      </w:divBdr>
    </w:div>
    <w:div w:id="807476408">
      <w:bodyDiv w:val="1"/>
      <w:marLeft w:val="0"/>
      <w:marRight w:val="0"/>
      <w:marTop w:val="0"/>
      <w:marBottom w:val="0"/>
      <w:divBdr>
        <w:top w:val="none" w:sz="0" w:space="0" w:color="auto"/>
        <w:left w:val="none" w:sz="0" w:space="0" w:color="auto"/>
        <w:bottom w:val="none" w:sz="0" w:space="0" w:color="auto"/>
        <w:right w:val="none" w:sz="0" w:space="0" w:color="auto"/>
      </w:divBdr>
      <w:divsChild>
        <w:div w:id="1710837850">
          <w:marLeft w:val="0"/>
          <w:marRight w:val="0"/>
          <w:marTop w:val="0"/>
          <w:marBottom w:val="0"/>
          <w:divBdr>
            <w:top w:val="none" w:sz="0" w:space="0" w:color="auto"/>
            <w:left w:val="none" w:sz="0" w:space="0" w:color="auto"/>
            <w:bottom w:val="none" w:sz="0" w:space="0" w:color="auto"/>
            <w:right w:val="none" w:sz="0" w:space="0" w:color="auto"/>
          </w:divBdr>
          <w:divsChild>
            <w:div w:id="942109316">
              <w:marLeft w:val="0"/>
              <w:marRight w:val="0"/>
              <w:marTop w:val="0"/>
              <w:marBottom w:val="0"/>
              <w:divBdr>
                <w:top w:val="none" w:sz="0" w:space="0" w:color="auto"/>
                <w:left w:val="none" w:sz="0" w:space="0" w:color="auto"/>
                <w:bottom w:val="none" w:sz="0" w:space="0" w:color="auto"/>
                <w:right w:val="none" w:sz="0" w:space="0" w:color="auto"/>
              </w:divBdr>
              <w:divsChild>
                <w:div w:id="1151679497">
                  <w:marLeft w:val="0"/>
                  <w:marRight w:val="0"/>
                  <w:marTop w:val="0"/>
                  <w:marBottom w:val="0"/>
                  <w:divBdr>
                    <w:top w:val="none" w:sz="0" w:space="0" w:color="auto"/>
                    <w:left w:val="none" w:sz="0" w:space="0" w:color="auto"/>
                    <w:bottom w:val="none" w:sz="0" w:space="0" w:color="auto"/>
                    <w:right w:val="none" w:sz="0" w:space="0" w:color="auto"/>
                  </w:divBdr>
                  <w:divsChild>
                    <w:div w:id="2010136309">
                      <w:marLeft w:val="375"/>
                      <w:marRight w:val="375"/>
                      <w:marTop w:val="0"/>
                      <w:marBottom w:val="0"/>
                      <w:divBdr>
                        <w:top w:val="none" w:sz="0" w:space="0" w:color="auto"/>
                        <w:left w:val="none" w:sz="0" w:space="0" w:color="auto"/>
                        <w:bottom w:val="none" w:sz="0" w:space="0" w:color="auto"/>
                        <w:right w:val="none" w:sz="0" w:space="0" w:color="auto"/>
                      </w:divBdr>
                      <w:divsChild>
                        <w:div w:id="1976175166">
                          <w:marLeft w:val="120"/>
                          <w:marRight w:val="0"/>
                          <w:marTop w:val="0"/>
                          <w:marBottom w:val="0"/>
                          <w:divBdr>
                            <w:top w:val="none" w:sz="0" w:space="0" w:color="auto"/>
                            <w:left w:val="none" w:sz="0" w:space="0" w:color="auto"/>
                            <w:bottom w:val="single" w:sz="6" w:space="0" w:color="AAAAAA"/>
                            <w:right w:val="none" w:sz="0" w:space="0" w:color="auto"/>
                          </w:divBdr>
                          <w:divsChild>
                            <w:div w:id="656227382">
                              <w:marLeft w:val="0"/>
                              <w:marRight w:val="0"/>
                              <w:marTop w:val="0"/>
                              <w:marBottom w:val="0"/>
                              <w:divBdr>
                                <w:top w:val="none" w:sz="0" w:space="0" w:color="auto"/>
                                <w:left w:val="none" w:sz="0" w:space="0" w:color="auto"/>
                                <w:bottom w:val="none" w:sz="0" w:space="0" w:color="auto"/>
                                <w:right w:val="none" w:sz="0" w:space="0" w:color="auto"/>
                              </w:divBdr>
                              <w:divsChild>
                                <w:div w:id="105203781">
                                  <w:marLeft w:val="0"/>
                                  <w:marRight w:val="0"/>
                                  <w:marTop w:val="0"/>
                                  <w:marBottom w:val="0"/>
                                  <w:divBdr>
                                    <w:top w:val="none" w:sz="0" w:space="0" w:color="auto"/>
                                    <w:left w:val="none" w:sz="0" w:space="0" w:color="auto"/>
                                    <w:bottom w:val="none" w:sz="0" w:space="0" w:color="auto"/>
                                    <w:right w:val="none" w:sz="0" w:space="0" w:color="auto"/>
                                  </w:divBdr>
                                  <w:divsChild>
                                    <w:div w:id="1434283833">
                                      <w:marLeft w:val="-225"/>
                                      <w:marRight w:val="-195"/>
                                      <w:marTop w:val="0"/>
                                      <w:marBottom w:val="75"/>
                                      <w:divBdr>
                                        <w:top w:val="none" w:sz="0" w:space="0" w:color="auto"/>
                                        <w:left w:val="none" w:sz="0" w:space="0" w:color="auto"/>
                                        <w:bottom w:val="none" w:sz="0" w:space="0" w:color="auto"/>
                                        <w:right w:val="none" w:sz="0" w:space="0" w:color="auto"/>
                                      </w:divBdr>
                                      <w:divsChild>
                                        <w:div w:id="21437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642610457">
      <w:bodyDiv w:val="1"/>
      <w:marLeft w:val="0"/>
      <w:marRight w:val="0"/>
      <w:marTop w:val="0"/>
      <w:marBottom w:val="0"/>
      <w:divBdr>
        <w:top w:val="none" w:sz="0" w:space="0" w:color="auto"/>
        <w:left w:val="none" w:sz="0" w:space="0" w:color="auto"/>
        <w:bottom w:val="none" w:sz="0" w:space="0" w:color="auto"/>
        <w:right w:val="none" w:sz="0" w:space="0" w:color="auto"/>
      </w:divBdr>
    </w:div>
    <w:div w:id="175855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school/teachers/management/improvement/Pages/improvement-cycle.aspx" TargetMode="External"/><Relationship Id="rId18" Type="http://schemas.openxmlformats.org/officeDocument/2006/relationships/hyperlink" Target="https://www.education.vic.gov.au/Documents/school/teachers/management/improvement/plcmaturitymatrix.pdf" TargetMode="External"/><Relationship Id="rId26" Type="http://schemas.openxmlformats.org/officeDocument/2006/relationships/hyperlink" Target="https://www.education.vic.gov.au/school/teachers/management/improvement/plc/Pages/default.aspx" TargetMode="External"/><Relationship Id="rId3" Type="http://schemas.openxmlformats.org/officeDocument/2006/relationships/customXml" Target="../customXml/item3.xml"/><Relationship Id="rId21" Type="http://schemas.openxmlformats.org/officeDocument/2006/relationships/hyperlink" Target="https://www.education.vic.gov.au/school/teachers/management/improvement/Pages/improvement-cycle.asp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edu.innsite.com.au/login" TargetMode="External"/><Relationship Id="rId17" Type="http://schemas.openxmlformats.org/officeDocument/2006/relationships/hyperlink" Target="https://www.education.vic.gov.au/school/teachers/management/improvement/Pages/improvement-cycle.aspx" TargetMode="External"/><Relationship Id="rId25" Type="http://schemas.openxmlformats.org/officeDocument/2006/relationships/hyperlink" Target="https://www.education.vic.gov.au/school/teachers/management/improvement/Pages/improvement-cycle.aspx" TargetMode="External"/><Relationship Id="rId33" Type="http://schemas.openxmlformats.org/officeDocument/2006/relationships/hyperlink" Target="mailto:professional.practice@edumail.vic.gov.au" TargetMode="External"/><Relationship Id="rId2" Type="http://schemas.openxmlformats.org/officeDocument/2006/relationships/customXml" Target="../customXml/item2.xml"/><Relationship Id="rId16" Type="http://schemas.openxmlformats.org/officeDocument/2006/relationships/hyperlink" Target="https://www.education.vic.gov.au/school/teachers/management/improvement/Pages/improvement-cycle.aspx" TargetMode="External"/><Relationship Id="rId20" Type="http://schemas.openxmlformats.org/officeDocument/2006/relationships/hyperlink" Target="https://www.education.vic.gov.au/Documents/school/teachers/management/improvement/plcguide.pdf" TargetMode="External"/><Relationship Id="rId29" Type="http://schemas.openxmlformats.org/officeDocument/2006/relationships/hyperlink" Target="https://www.education.vic.gov.au/Documents/school/teachers/management/improvement/plcmaturitymatrix.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management/improvement/Pages/improvement-cycle.aspx" TargetMode="External"/><Relationship Id="rId24" Type="http://schemas.openxmlformats.org/officeDocument/2006/relationships/hyperlink" Target="https://www.education.vic.gov.au/school/teachers/classrooms/Pages/approachesppn17cop.aspx" TargetMode="External"/><Relationship Id="rId32" Type="http://schemas.openxmlformats.org/officeDocument/2006/relationships/hyperlink" Target="https://vimeo.com/337222022/344b42d44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education.vic.gov.au/school/teachers/classrooms/Pages/approachesppn17plc.aspx" TargetMode="External"/><Relationship Id="rId28" Type="http://schemas.openxmlformats.org/officeDocument/2006/relationships/hyperlink" Target="https://www.education.vic.gov.au/Documents/school/teachers/management/improvement/plcguide.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astow.vic.edu.au/sites/default/files/2019-03/CoP_Self_Assessment_Tool_A3.pdf" TargetMode="External"/><Relationship Id="rId31" Type="http://schemas.openxmlformats.org/officeDocument/2006/relationships/hyperlink" Target="https://www.bastow.vic.edu.au/sites/default/files/2019-03/Leading-Communities-of-Practice-Roles-and-Responsibili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education.vic.gov.au/school/teachers/management/improvement/plc/Pages/default.aspx" TargetMode="External"/><Relationship Id="rId27" Type="http://schemas.openxmlformats.org/officeDocument/2006/relationships/hyperlink" Target="http://edu.innsite.com.au/login" TargetMode="External"/><Relationship Id="rId30" Type="http://schemas.openxmlformats.org/officeDocument/2006/relationships/hyperlink" Target="https://edugate.eduweb.vic.gov.au/sites/i/pages/production.aspx"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2021-05-30T04:00:00+00:00</PublishingExpirationDate>
    <PublishingStartDate xmlns="76b566cd-adb9-46c2-964b-22eba181fd0b" xsi:nil="true"/>
    <DEECD_Expired xmlns="http://schemas.microsoft.com/sharepoint/v3">false</DEECD_Expired>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Keywords xmlns="http://schemas.microsoft.com/sharepoint/v3" xsi:nil="true"/>
    <DEECD_Publisher xmlns="http://schemas.microsoft.com/sharepoint/v3" xsi:nil="true"/>
    <b1688cb4a3a940449dc8286705012a42 xmlns="76b566cd-adb9-46c2-964b-22eba181fd0b">
      <Terms xmlns="http://schemas.microsoft.com/office/infopath/2007/PartnerControls"/>
    </b1688cb4a3a940449dc8286705012a42>
    <DEECD_Description xmlns="http://schemas.microsoft.com/sharepoint/v3">This Professional Practice Note provides school leaders with an insight into purposeful collaboration structures within and across schools.</DEECD_Description>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6C9A-9555-42B6-AA8A-6F7A4F79A0B1}">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60A3C2E3-B831-4BFA-8A07-7D765D26AF23}"/>
</file>

<file path=customXml/itemProps3.xml><?xml version="1.0" encoding="utf-8"?>
<ds:datastoreItem xmlns:ds="http://schemas.openxmlformats.org/officeDocument/2006/customXml" ds:itemID="{8C561DAB-2615-401A-85FA-66DB225D01A3}">
  <ds:schemaRefs>
    <ds:schemaRef ds:uri="http://schemas.microsoft.com/sharepoint/v3/contenttype/forms"/>
  </ds:schemaRefs>
</ds:datastoreItem>
</file>

<file path=customXml/itemProps4.xml><?xml version="1.0" encoding="utf-8"?>
<ds:datastoreItem xmlns:ds="http://schemas.openxmlformats.org/officeDocument/2006/customXml" ds:itemID="{D6111099-8EC6-4B07-BA29-922FC47F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2019-10-28T03:55:00Z</dcterms:created>
  <dcterms:modified xsi:type="dcterms:W3CDTF">2019-10-28T03:55:00Z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a319977fc8504e09982f090ae1d7c602">
    <vt:lpwstr>Page|eb523acf-a821-456c-a76b-7607578309d7</vt:lpwstr>
  </property>
  <property fmtid="{D5CDD505-2E9C-101B-9397-08002B2CF9AE}" pid="5" name="DEECD_ItemType">
    <vt:lpwstr>101;#Page|eb523acf-a821-456c-a76b-7607578309d7</vt:lpwstr>
  </property>
  <property fmtid="{D5CDD505-2E9C-101B-9397-08002B2CF9AE}" pid="6" name="ofbb8b9a280a423a91cf717fb81349cd">
    <vt:lpwstr>Education|5232e41c-5101-41fe-b638-7d41d1371531</vt:lpwstr>
  </property>
  <property fmtid="{D5CDD505-2E9C-101B-9397-08002B2CF9AE}" pid="7" name="DEECD_Audience">
    <vt:lpwstr/>
  </property>
  <property fmtid="{D5CDD505-2E9C-101B-9397-08002B2CF9AE}" pid="8" name="DEECD_SubjectCategory">
    <vt:lpwstr/>
  </property>
</Properties>
</file>