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B4C04" w14:textId="59B6C27E" w:rsidR="00BE5EAC" w:rsidRPr="006B4196" w:rsidRDefault="00E76824" w:rsidP="00C80147">
      <w:pPr>
        <w:pStyle w:val="Title"/>
        <w:rPr>
          <w:color w:val="C00000"/>
          <w:sz w:val="40"/>
          <w:szCs w:val="40"/>
        </w:rPr>
      </w:pPr>
      <w:bookmarkStart w:id="0" w:name="_GoBack"/>
      <w:r w:rsidRPr="006B4196">
        <w:rPr>
          <w:rStyle w:val="SubtleEmphasis"/>
          <w:i w:val="0"/>
          <w:iCs w:val="0"/>
          <w:color w:val="C00000"/>
          <w:sz w:val="40"/>
          <w:szCs w:val="40"/>
        </w:rPr>
        <w:t>Excellence in differentiation</w:t>
      </w:r>
      <w:r w:rsidR="005D6AF3" w:rsidRPr="006B4196">
        <w:rPr>
          <w:rStyle w:val="SubtleEmphasis"/>
          <w:i w:val="0"/>
          <w:iCs w:val="0"/>
          <w:color w:val="C00000"/>
          <w:sz w:val="40"/>
          <w:szCs w:val="40"/>
        </w:rPr>
        <w:t xml:space="preserve"> </w:t>
      </w:r>
      <w:r w:rsidR="00D14ADC" w:rsidRPr="006B4196">
        <w:rPr>
          <w:rStyle w:val="SubtleEmphasis"/>
          <w:i w:val="0"/>
          <w:iCs w:val="0"/>
          <w:color w:val="C00000"/>
          <w:sz w:val="40"/>
          <w:szCs w:val="40"/>
        </w:rPr>
        <w:t>to increase</w:t>
      </w:r>
      <w:r w:rsidR="005D6AF3" w:rsidRPr="006B4196">
        <w:rPr>
          <w:rStyle w:val="SubtleEmphasis"/>
          <w:i w:val="0"/>
          <w:iCs w:val="0"/>
          <w:color w:val="C00000"/>
          <w:sz w:val="40"/>
          <w:szCs w:val="40"/>
        </w:rPr>
        <w:t xml:space="preserve"> student</w:t>
      </w:r>
      <w:r w:rsidR="00D14ADC" w:rsidRPr="006B4196">
        <w:rPr>
          <w:rStyle w:val="SubtleEmphasis"/>
          <w:i w:val="0"/>
          <w:iCs w:val="0"/>
          <w:color w:val="C00000"/>
          <w:sz w:val="40"/>
          <w:szCs w:val="40"/>
        </w:rPr>
        <w:t xml:space="preserve"> engagement and learning outcomes</w:t>
      </w:r>
    </w:p>
    <w:p w14:paraId="6A8205AD" w14:textId="116C54BB" w:rsidR="00D570E8" w:rsidRPr="00735713" w:rsidRDefault="005F149C" w:rsidP="00A842BC">
      <w:pPr>
        <w:pStyle w:val="BodyText"/>
        <w:tabs>
          <w:tab w:val="left" w:pos="720"/>
        </w:tabs>
        <w:spacing w:before="120"/>
        <w:ind w:left="0" w:firstLine="0"/>
        <w:rPr>
          <w:rFonts w:eastAsiaTheme="minorEastAsia"/>
          <w:i/>
          <w:noProof w:val="0"/>
          <w:color w:val="000000" w:themeColor="text1"/>
          <w:sz w:val="18"/>
          <w:szCs w:val="18"/>
          <w:lang w:val="en-US"/>
        </w:rPr>
      </w:pPr>
      <w:r w:rsidRPr="00735713">
        <w:rPr>
          <w:rFonts w:eastAsiaTheme="minorEastAsia"/>
          <w:i/>
          <w:noProof w:val="0"/>
          <w:color w:val="000000" w:themeColor="text1"/>
          <w:sz w:val="18"/>
          <w:szCs w:val="18"/>
          <w:lang w:val="en-US"/>
        </w:rPr>
        <w:t>Differentiation: “A</w:t>
      </w:r>
      <w:r w:rsidRPr="00735713">
        <w:rPr>
          <w:i/>
          <w:sz w:val="18"/>
          <w:szCs w:val="18"/>
        </w:rPr>
        <w:t xml:space="preserve"> proactively planned approach to what students need to learn, how they will learn it, and/or how they can express what they have learned</w:t>
      </w:r>
      <w:r w:rsidR="00816A30" w:rsidRPr="00735713">
        <w:rPr>
          <w:i/>
          <w:sz w:val="18"/>
          <w:szCs w:val="18"/>
        </w:rPr>
        <w:t>.</w:t>
      </w:r>
      <w:r w:rsidRPr="00735713">
        <w:rPr>
          <w:i/>
          <w:sz w:val="18"/>
          <w:szCs w:val="18"/>
        </w:rPr>
        <w:t>” Carol Ann Tomlinson (20</w:t>
      </w:r>
      <w:r w:rsidR="00560608" w:rsidRPr="00735713">
        <w:rPr>
          <w:i/>
          <w:sz w:val="18"/>
          <w:szCs w:val="18"/>
        </w:rPr>
        <w:t>1</w:t>
      </w:r>
      <w:r w:rsidRPr="00735713">
        <w:rPr>
          <w:i/>
          <w:sz w:val="18"/>
          <w:szCs w:val="18"/>
        </w:rPr>
        <w:t>3)</w:t>
      </w:r>
      <w:r w:rsidR="00560608" w:rsidRPr="00735713">
        <w:rPr>
          <w:rStyle w:val="FootnoteReference"/>
          <w:i/>
          <w:sz w:val="18"/>
          <w:szCs w:val="18"/>
        </w:rPr>
        <w:footnoteReference w:id="2"/>
      </w:r>
    </w:p>
    <w:p w14:paraId="1FC87F75" w14:textId="3170DF4A" w:rsidR="005946A1" w:rsidRPr="006B4196" w:rsidRDefault="001023E8" w:rsidP="00544AD9">
      <w:pPr>
        <w:pStyle w:val="Heading2"/>
        <w:rPr>
          <w:color w:val="C00000"/>
        </w:rPr>
      </w:pPr>
      <w:r w:rsidRPr="006B4196">
        <w:rPr>
          <w:color w:val="C00000"/>
        </w:rPr>
        <w:t>Overview</w:t>
      </w:r>
    </w:p>
    <w:p w14:paraId="455EB335" w14:textId="1B093386" w:rsidR="00BA4978" w:rsidRDefault="00EE75B9" w:rsidP="00EE75B9">
      <w:pPr>
        <w:spacing w:before="120"/>
        <w:rPr>
          <w:color w:val="000000" w:themeColor="text1"/>
        </w:rPr>
      </w:pPr>
      <w:r w:rsidRPr="008D4D01">
        <w:rPr>
          <w:color w:val="000000" w:themeColor="text1"/>
        </w:rPr>
        <w:t xml:space="preserve">This Professional Practice Note </w:t>
      </w:r>
      <w:r w:rsidR="000B7380">
        <w:rPr>
          <w:color w:val="000000" w:themeColor="text1"/>
        </w:rPr>
        <w:t xml:space="preserve">provides advice to teachers on classroom-based strategies </w:t>
      </w:r>
      <w:r w:rsidR="00947B0B">
        <w:rPr>
          <w:color w:val="000000" w:themeColor="text1"/>
        </w:rPr>
        <w:t>to</w:t>
      </w:r>
      <w:r w:rsidR="000B7380">
        <w:rPr>
          <w:color w:val="000000" w:themeColor="text1"/>
        </w:rPr>
        <w:t xml:space="preserve"> support differentiated learning for</w:t>
      </w:r>
      <w:r w:rsidR="008E1080">
        <w:rPr>
          <w:color w:val="000000" w:themeColor="text1"/>
        </w:rPr>
        <w:t xml:space="preserve"> all</w:t>
      </w:r>
      <w:r w:rsidR="000B7380">
        <w:rPr>
          <w:color w:val="000000" w:themeColor="text1"/>
        </w:rPr>
        <w:t xml:space="preserve"> students</w:t>
      </w:r>
      <w:r w:rsidR="00465B24">
        <w:rPr>
          <w:color w:val="000000" w:themeColor="text1"/>
        </w:rPr>
        <w:t>, whether they are below, at or above the standard,</w:t>
      </w:r>
      <w:r w:rsidR="007B7042">
        <w:rPr>
          <w:color w:val="000000" w:themeColor="text1"/>
        </w:rPr>
        <w:t xml:space="preserve"> </w:t>
      </w:r>
      <w:r w:rsidR="008E1080">
        <w:rPr>
          <w:color w:val="000000" w:themeColor="text1"/>
        </w:rPr>
        <w:t>so they can</w:t>
      </w:r>
      <w:r w:rsidR="00D957A1">
        <w:rPr>
          <w:color w:val="000000" w:themeColor="text1"/>
        </w:rPr>
        <w:t xml:space="preserve"> maximise the</w:t>
      </w:r>
      <w:r w:rsidR="00EA4D2A">
        <w:rPr>
          <w:color w:val="000000" w:themeColor="text1"/>
        </w:rPr>
        <w:t>ir</w:t>
      </w:r>
      <w:r w:rsidR="00D957A1">
        <w:rPr>
          <w:color w:val="000000" w:themeColor="text1"/>
        </w:rPr>
        <w:t xml:space="preserve"> learning </w:t>
      </w:r>
      <w:r w:rsidR="00BE1AA6" w:rsidRPr="00EA4D2A">
        <w:rPr>
          <w:color w:val="000000" w:themeColor="text1"/>
        </w:rPr>
        <w:t>growth and</w:t>
      </w:r>
      <w:r w:rsidR="008E1080" w:rsidRPr="00EA4D2A">
        <w:rPr>
          <w:color w:val="000000" w:themeColor="text1"/>
        </w:rPr>
        <w:t xml:space="preserve"> </w:t>
      </w:r>
      <w:r w:rsidR="00EA4D2A" w:rsidRPr="00EA4D2A">
        <w:rPr>
          <w:color w:val="000000" w:themeColor="text1"/>
        </w:rPr>
        <w:t>achieve individual learning excellence</w:t>
      </w:r>
      <w:r w:rsidR="00D957A1" w:rsidRPr="00EA4D2A">
        <w:rPr>
          <w:color w:val="000000" w:themeColor="text1"/>
        </w:rPr>
        <w:t>.</w:t>
      </w:r>
      <w:r w:rsidR="00D957A1">
        <w:rPr>
          <w:color w:val="000000" w:themeColor="text1"/>
        </w:rPr>
        <w:t xml:space="preserve"> </w:t>
      </w:r>
    </w:p>
    <w:p w14:paraId="42535140" w14:textId="16DD8F59" w:rsidR="00D14ADC" w:rsidRDefault="00D70409" w:rsidP="00EE75B9">
      <w:pPr>
        <w:spacing w:before="120"/>
        <w:rPr>
          <w:color w:val="000000" w:themeColor="text1"/>
        </w:rPr>
      </w:pPr>
      <w:r>
        <w:rPr>
          <w:color w:val="000000" w:themeColor="text1"/>
        </w:rPr>
        <w:t>The</w:t>
      </w:r>
      <w:r w:rsidR="00D14ADC">
        <w:rPr>
          <w:color w:val="000000" w:themeColor="text1"/>
        </w:rPr>
        <w:t xml:space="preserve"> </w:t>
      </w:r>
      <w:hyperlink r:id="rId11" w:history="1">
        <w:r w:rsidR="00D14ADC" w:rsidRPr="004A2C7E">
          <w:rPr>
            <w:rStyle w:val="Hyperlink"/>
          </w:rPr>
          <w:t>Victorian Teaching and Learning Model</w:t>
        </w:r>
      </w:hyperlink>
      <w:r w:rsidR="00BE1AA6">
        <w:rPr>
          <w:color w:val="000000" w:themeColor="text1"/>
        </w:rPr>
        <w:t xml:space="preserve"> is</w:t>
      </w:r>
      <w:r w:rsidR="00D14ADC">
        <w:rPr>
          <w:color w:val="000000" w:themeColor="text1"/>
        </w:rPr>
        <w:t xml:space="preserve"> </w:t>
      </w:r>
      <w:r>
        <w:rPr>
          <w:color w:val="000000" w:themeColor="text1"/>
        </w:rPr>
        <w:t>designed to deliver</w:t>
      </w:r>
      <w:r w:rsidR="007B1384">
        <w:rPr>
          <w:color w:val="000000" w:themeColor="text1"/>
        </w:rPr>
        <w:t xml:space="preserve"> the FISO priority:</w:t>
      </w:r>
      <w:r>
        <w:rPr>
          <w:color w:val="000000" w:themeColor="text1"/>
        </w:rPr>
        <w:t xml:space="preserve"> </w:t>
      </w:r>
      <w:r w:rsidR="00900217">
        <w:rPr>
          <w:i/>
          <w:color w:val="000000" w:themeColor="text1"/>
        </w:rPr>
        <w:t>E</w:t>
      </w:r>
      <w:r w:rsidRPr="00641B36">
        <w:rPr>
          <w:i/>
          <w:color w:val="000000" w:themeColor="text1"/>
        </w:rPr>
        <w:t>xcel</w:t>
      </w:r>
      <w:r w:rsidR="007B1384" w:rsidRPr="00641B36">
        <w:rPr>
          <w:i/>
          <w:color w:val="000000" w:themeColor="text1"/>
        </w:rPr>
        <w:t>lence in teaching and learning</w:t>
      </w:r>
      <w:r w:rsidR="007B1384">
        <w:rPr>
          <w:color w:val="000000" w:themeColor="text1"/>
        </w:rPr>
        <w:t xml:space="preserve"> </w:t>
      </w:r>
      <w:r w:rsidR="00BE1AA6">
        <w:rPr>
          <w:color w:val="000000" w:themeColor="text1"/>
        </w:rPr>
        <w:t xml:space="preserve">and </w:t>
      </w:r>
      <w:r>
        <w:rPr>
          <w:color w:val="000000" w:themeColor="text1"/>
        </w:rPr>
        <w:t>can be used</w:t>
      </w:r>
      <w:r w:rsidR="00D957A1">
        <w:rPr>
          <w:color w:val="000000" w:themeColor="text1"/>
        </w:rPr>
        <w:t xml:space="preserve"> by</w:t>
      </w:r>
      <w:r>
        <w:rPr>
          <w:color w:val="000000" w:themeColor="text1"/>
        </w:rPr>
        <w:t xml:space="preserve"> </w:t>
      </w:r>
      <w:r w:rsidR="00BE1AA6">
        <w:rPr>
          <w:color w:val="000000" w:themeColor="text1"/>
        </w:rPr>
        <w:t>teachers and leaders</w:t>
      </w:r>
      <w:r>
        <w:rPr>
          <w:color w:val="000000" w:themeColor="text1"/>
        </w:rPr>
        <w:t xml:space="preserve"> </w:t>
      </w:r>
      <w:r w:rsidR="00816A30">
        <w:rPr>
          <w:color w:val="000000" w:themeColor="text1"/>
        </w:rPr>
        <w:t>seeking to adopt a whole</w:t>
      </w:r>
      <w:r w:rsidR="00D14ADC">
        <w:rPr>
          <w:color w:val="000000" w:themeColor="text1"/>
        </w:rPr>
        <w:t>-school approach to differentiated learning.</w:t>
      </w:r>
    </w:p>
    <w:p w14:paraId="20CCD02F" w14:textId="559E9C43" w:rsidR="00D957A1" w:rsidRDefault="00D957A1" w:rsidP="00EE75B9">
      <w:pPr>
        <w:spacing w:before="120"/>
        <w:rPr>
          <w:color w:val="000000" w:themeColor="text1"/>
        </w:rPr>
      </w:pPr>
      <w:r>
        <w:rPr>
          <w:color w:val="000000" w:themeColor="text1"/>
        </w:rPr>
        <w:t xml:space="preserve">This note provides further advice to school leaders about how </w:t>
      </w:r>
      <w:r w:rsidR="00417081">
        <w:rPr>
          <w:color w:val="000000" w:themeColor="text1"/>
        </w:rPr>
        <w:t>you</w:t>
      </w:r>
      <w:r>
        <w:rPr>
          <w:color w:val="000000" w:themeColor="text1"/>
        </w:rPr>
        <w:t xml:space="preserve"> might use equity funding to improve differentiated instruction and intervention supports to assist students to bridge learning gaps, maximise learning gains and overcome educational disadvantage.  </w:t>
      </w:r>
    </w:p>
    <w:p w14:paraId="7C7EE506" w14:textId="6297248D" w:rsidR="00DE530F" w:rsidRPr="006B4196" w:rsidRDefault="00D14ADC" w:rsidP="00C80147">
      <w:pPr>
        <w:pStyle w:val="Heading2"/>
        <w:rPr>
          <w:color w:val="C00000"/>
        </w:rPr>
      </w:pPr>
      <w:r w:rsidRPr="006B4196">
        <w:rPr>
          <w:color w:val="C00000"/>
        </w:rPr>
        <w:t>DEFINING DIFFERENTIATED TEACHING          AND LEARNING</w:t>
      </w:r>
    </w:p>
    <w:p w14:paraId="474E88B6" w14:textId="6CDDCC72" w:rsidR="00AC56F5" w:rsidRPr="0057721F" w:rsidRDefault="008371A7" w:rsidP="008371A7">
      <w:pPr>
        <w:spacing w:before="120"/>
      </w:pPr>
      <w:r w:rsidRPr="0057721F">
        <w:t>Differentiated teaching refers to methods teachers use to extend the knowledge and skills of every student in every class</w:t>
      </w:r>
      <w:r w:rsidR="002830C2">
        <w:t>room</w:t>
      </w:r>
      <w:r w:rsidRPr="0057721F">
        <w:t>, regar</w:t>
      </w:r>
      <w:r w:rsidR="00465B24">
        <w:t xml:space="preserve">dless of their starting point. </w:t>
      </w:r>
      <w:r w:rsidRPr="0057721F">
        <w:t>The objective is to lift the performance of all students, including those who are falling behind and those ahead of year level expectations.</w:t>
      </w:r>
      <w:r w:rsidR="00714A91" w:rsidRPr="0057721F">
        <w:t xml:space="preserve"> </w:t>
      </w:r>
      <w:r w:rsidR="002B5705" w:rsidRPr="0057721F">
        <w:t xml:space="preserve">Differentiated instruction is </w:t>
      </w:r>
      <w:r w:rsidR="00816A30">
        <w:t>the</w:t>
      </w:r>
      <w:r w:rsidR="002B5705" w:rsidRPr="0057721F">
        <w:t xml:space="preserve"> pedagogical </w:t>
      </w:r>
      <w:r w:rsidR="002B5705" w:rsidRPr="0057721F">
        <w:t xml:space="preserve">approach </w:t>
      </w:r>
      <w:r w:rsidR="00816A30">
        <w:t xml:space="preserve">of teachers who </w:t>
      </w:r>
      <w:r w:rsidR="002B5705" w:rsidRPr="0057721F">
        <w:t xml:space="preserve">think creatively and flexibly when approaching teaching and learning. </w:t>
      </w:r>
      <w:r w:rsidR="00FA61B8" w:rsidRPr="0057721F">
        <w:rPr>
          <w:rStyle w:val="FootnoteReference"/>
        </w:rPr>
        <w:footnoteReference w:id="3"/>
      </w:r>
      <w:r w:rsidR="008F3D0B" w:rsidRPr="0057721F">
        <w:t xml:space="preserve"> </w:t>
      </w:r>
    </w:p>
    <w:p w14:paraId="06445664" w14:textId="53C8AEA9" w:rsidR="008F3D0B" w:rsidRPr="00EE1580" w:rsidRDefault="00641B36" w:rsidP="005F149C">
      <w:pPr>
        <w:spacing w:before="120"/>
        <w:rPr>
          <w:color w:val="AF272F" w:themeColor="accent1"/>
        </w:rPr>
      </w:pPr>
      <w:r w:rsidRPr="00E13310">
        <w:t xml:space="preserve">The availability </w:t>
      </w:r>
      <w:r>
        <w:t>of</w:t>
      </w:r>
      <w:r w:rsidRPr="00E13310">
        <w:t xml:space="preserve"> individualised student information, together with learning data</w:t>
      </w:r>
      <w:r>
        <w:t xml:space="preserve"> can be used to identify what students already know, what they should learn next and highlight gaps in their knowledge and skills for targeted learning intervention. Data can also </w:t>
      </w:r>
      <w:r w:rsidRPr="00E13310">
        <w:t>assist teachers when making decision</w:t>
      </w:r>
      <w:r>
        <w:t>s</w:t>
      </w:r>
      <w:r w:rsidRPr="00E13310">
        <w:t xml:space="preserve"> about a student’s Individual Education Pla</w:t>
      </w:r>
      <w:r w:rsidRPr="001F17B2">
        <w:t>n*</w:t>
      </w:r>
      <w:r>
        <w:t xml:space="preserve">. </w:t>
      </w:r>
      <w:r w:rsidR="00BD3165">
        <w:t>Data</w:t>
      </w:r>
      <w:r w:rsidR="00816A30">
        <w:t xml:space="preserve"> enables teachers to plan we</w:t>
      </w:r>
      <w:r w:rsidR="008E1080">
        <w:t>l</w:t>
      </w:r>
      <w:r w:rsidR="00816A30">
        <w:t>l-</w:t>
      </w:r>
      <w:r w:rsidR="00BD3165" w:rsidRPr="0057721F">
        <w:t xml:space="preserve">scaffolded learning pathways so that all </w:t>
      </w:r>
      <w:r w:rsidR="00816A30">
        <w:t>students have a point of entry.</w:t>
      </w:r>
      <w:r w:rsidR="00BD3165" w:rsidRPr="0057721F">
        <w:rPr>
          <w:rStyle w:val="FootnoteReference"/>
        </w:rPr>
        <w:footnoteReference w:id="4"/>
      </w:r>
      <w:r w:rsidR="00BD3165">
        <w:t xml:space="preserve"> </w:t>
      </w:r>
    </w:p>
    <w:p w14:paraId="43CE8AAA" w14:textId="431D99B1" w:rsidR="002B5705" w:rsidRPr="0057721F" w:rsidRDefault="00D45815" w:rsidP="005F149C">
      <w:pPr>
        <w:spacing w:before="120"/>
      </w:pPr>
      <w:r w:rsidRPr="0057721F">
        <w:t>Learning</w:t>
      </w:r>
      <w:r w:rsidR="00816A30">
        <w:t xml:space="preserve"> is optimised</w:t>
      </w:r>
      <w:r w:rsidRPr="0057721F">
        <w:t xml:space="preserve"> when teachers pitch the content and the instruction ‘at or just above’ each </w:t>
      </w:r>
      <w:r w:rsidR="006960C8" w:rsidRPr="0057721F">
        <w:t>student</w:t>
      </w:r>
      <w:r w:rsidR="006960C8">
        <w:t xml:space="preserve">’s </w:t>
      </w:r>
      <w:r w:rsidR="00816A30">
        <w:t xml:space="preserve">developmental level, </w:t>
      </w:r>
      <w:r w:rsidRPr="0057721F">
        <w:t>considered</w:t>
      </w:r>
      <w:r w:rsidR="00816A30">
        <w:t xml:space="preserve"> to be</w:t>
      </w:r>
      <w:r w:rsidRPr="0057721F">
        <w:t xml:space="preserve"> their ‘zone of proximal development’ (Vygotsky 1978). </w:t>
      </w:r>
      <w:r w:rsidR="00EC2201" w:rsidRPr="0057721F">
        <w:t>D</w:t>
      </w:r>
      <w:r w:rsidR="005F149C" w:rsidRPr="0057721F">
        <w:t xml:space="preserve">ifferentiated teaching provides </w:t>
      </w:r>
      <w:r w:rsidRPr="0057721F">
        <w:t>the right level of</w:t>
      </w:r>
      <w:r w:rsidR="005F149C" w:rsidRPr="0057721F">
        <w:t xml:space="preserve"> challenge</w:t>
      </w:r>
      <w:r w:rsidR="002B5705" w:rsidRPr="0057721F">
        <w:t xml:space="preserve"> and </w:t>
      </w:r>
      <w:r w:rsidRPr="0057721F">
        <w:t xml:space="preserve">promotes </w:t>
      </w:r>
      <w:r w:rsidR="002B5705" w:rsidRPr="0057721F">
        <w:t>engagement</w:t>
      </w:r>
      <w:r w:rsidR="005F149C" w:rsidRPr="0057721F">
        <w:t xml:space="preserve"> by responding to </w:t>
      </w:r>
      <w:r w:rsidRPr="0057721F">
        <w:t xml:space="preserve">each </w:t>
      </w:r>
      <w:r w:rsidR="005F149C" w:rsidRPr="0057721F">
        <w:t>student</w:t>
      </w:r>
      <w:r w:rsidRPr="0057721F">
        <w:t>’s</w:t>
      </w:r>
      <w:r w:rsidR="005F149C" w:rsidRPr="0057721F">
        <w:t xml:space="preserve"> </w:t>
      </w:r>
      <w:r w:rsidR="002B5705" w:rsidRPr="0057721F">
        <w:t xml:space="preserve">individual </w:t>
      </w:r>
      <w:r w:rsidR="005F149C" w:rsidRPr="0057721F">
        <w:t>differences in readiness, interest and learning profile</w:t>
      </w:r>
      <w:r w:rsidR="008F3D0B" w:rsidRPr="0057721F">
        <w:t>.</w:t>
      </w:r>
      <w:r w:rsidR="006041F2">
        <w:rPr>
          <w:rStyle w:val="FootnoteReference"/>
        </w:rPr>
        <w:footnoteReference w:id="5"/>
      </w:r>
      <w:r w:rsidR="005F149C" w:rsidRPr="0057721F">
        <w:t xml:space="preserve"> </w:t>
      </w:r>
      <w:r w:rsidR="00465B24">
        <w:t xml:space="preserve">Differentiation benefits students across the learning continuum, including students who are highly able and gifted.    </w:t>
      </w:r>
    </w:p>
    <w:p w14:paraId="7129BD25" w14:textId="4366F106" w:rsidR="008371A7" w:rsidRPr="0057721F" w:rsidRDefault="00D45815" w:rsidP="008371A7">
      <w:r w:rsidRPr="0057721F">
        <w:t>The most effective differentiation practices focus on all aspects of teaching: content, process, product and learning environment</w:t>
      </w:r>
      <w:r w:rsidR="00900217">
        <w:t>.</w:t>
      </w:r>
      <w:r w:rsidR="006041F2">
        <w:rPr>
          <w:rStyle w:val="FootnoteReference"/>
        </w:rPr>
        <w:footnoteReference w:id="6"/>
      </w:r>
      <w:r w:rsidR="00F9010A" w:rsidRPr="0057721F">
        <w:t xml:space="preserve"> </w:t>
      </w:r>
      <w:r w:rsidR="00560608" w:rsidRPr="0057721F">
        <w:t>A</w:t>
      </w:r>
      <w:r w:rsidR="00F9010A" w:rsidRPr="0057721F">
        <w:t xml:space="preserve"> </w:t>
      </w:r>
      <w:r w:rsidR="00560608" w:rsidRPr="0057721F">
        <w:t xml:space="preserve">coherent and engaging </w:t>
      </w:r>
      <w:r w:rsidR="00F9010A" w:rsidRPr="0057721F">
        <w:t xml:space="preserve">differentiated curriculum </w:t>
      </w:r>
      <w:r w:rsidR="00560608" w:rsidRPr="0057721F">
        <w:t xml:space="preserve">is important </w:t>
      </w:r>
      <w:r w:rsidR="00560608" w:rsidRPr="0057721F">
        <w:rPr>
          <w:shd w:val="clear" w:color="auto" w:fill="FFFFFF"/>
        </w:rPr>
        <w:t xml:space="preserve">but will be ineffectual without </w:t>
      </w:r>
      <w:r w:rsidRPr="0057721F">
        <w:t>differentia</w:t>
      </w:r>
      <w:r w:rsidR="00F9010A" w:rsidRPr="0057721F">
        <w:t>ting</w:t>
      </w:r>
      <w:r w:rsidRPr="0057721F">
        <w:t xml:space="preserve"> classroom instruction. </w:t>
      </w:r>
      <w:r w:rsidR="00AC56F5" w:rsidRPr="0057721F">
        <w:t xml:space="preserve">As </w:t>
      </w:r>
      <w:r w:rsidR="008371A7" w:rsidRPr="0057721F">
        <w:rPr>
          <w:shd w:val="clear" w:color="auto" w:fill="FFFFFF"/>
        </w:rPr>
        <w:t xml:space="preserve">Dylan </w:t>
      </w:r>
      <w:proofErr w:type="spellStart"/>
      <w:r w:rsidR="008371A7" w:rsidRPr="0057721F">
        <w:rPr>
          <w:shd w:val="clear" w:color="auto" w:fill="FFFFFF"/>
        </w:rPr>
        <w:t>Wiliam</w:t>
      </w:r>
      <w:proofErr w:type="spellEnd"/>
      <w:r w:rsidR="008371A7" w:rsidRPr="0057721F">
        <w:rPr>
          <w:shd w:val="clear" w:color="auto" w:fill="FFFFFF"/>
        </w:rPr>
        <w:t xml:space="preserve"> </w:t>
      </w:r>
      <w:r w:rsidR="00225C89" w:rsidRPr="0057721F">
        <w:rPr>
          <w:shd w:val="clear" w:color="auto" w:fill="FFFFFF"/>
        </w:rPr>
        <w:t>s</w:t>
      </w:r>
      <w:r w:rsidR="00AC56F5" w:rsidRPr="0057721F">
        <w:rPr>
          <w:shd w:val="clear" w:color="auto" w:fill="FFFFFF"/>
        </w:rPr>
        <w:t>ays</w:t>
      </w:r>
      <w:r w:rsidR="008371A7" w:rsidRPr="0057721F">
        <w:rPr>
          <w:shd w:val="clear" w:color="auto" w:fill="FFFFFF"/>
        </w:rPr>
        <w:t>, "</w:t>
      </w:r>
      <w:r w:rsidR="00225C89" w:rsidRPr="0057721F">
        <w:rPr>
          <w:shd w:val="clear" w:color="auto" w:fill="FFFFFF"/>
        </w:rPr>
        <w:t>a</w:t>
      </w:r>
      <w:r w:rsidR="008371A7" w:rsidRPr="0057721F">
        <w:rPr>
          <w:shd w:val="clear" w:color="auto" w:fill="FFFFFF"/>
        </w:rPr>
        <w:t xml:space="preserve"> bad curriculum well taught is invariably a better experience for students than a good curriculum badly taught: pedagogy trumps curriculum</w:t>
      </w:r>
      <w:r w:rsidR="008371A7" w:rsidRPr="0057721F">
        <w:t>”</w:t>
      </w:r>
      <w:r w:rsidR="006041F2">
        <w:t>.</w:t>
      </w:r>
      <w:r w:rsidR="00560608" w:rsidRPr="0057721F">
        <w:rPr>
          <w:rStyle w:val="FootnoteReference"/>
        </w:rPr>
        <w:footnoteReference w:id="7"/>
      </w:r>
      <w:r w:rsidR="008371A7" w:rsidRPr="0057721F">
        <w:t xml:space="preserve"> </w:t>
      </w:r>
    </w:p>
    <w:p w14:paraId="4B2610C2" w14:textId="5D7082FE" w:rsidR="00FA61B8" w:rsidRPr="0057721F" w:rsidRDefault="006960C8" w:rsidP="008371A7">
      <w:r w:rsidRPr="0057721F">
        <w:t>Differentiation</w:t>
      </w:r>
      <w:r w:rsidR="00816A30">
        <w:t xml:space="preserve"> also describes</w:t>
      </w:r>
      <w:r w:rsidR="00FA61B8" w:rsidRPr="0057721F">
        <w:t xml:space="preserve"> provision of reasonable adjustments for students with </w:t>
      </w:r>
      <w:r w:rsidR="00EC7086">
        <w:t xml:space="preserve">learning difficulties, including </w:t>
      </w:r>
      <w:r w:rsidR="00FA61B8" w:rsidRPr="0057721F">
        <w:t xml:space="preserve">disabilities (see the </w:t>
      </w:r>
      <w:r w:rsidR="00FA61B8" w:rsidRPr="0057721F">
        <w:rPr>
          <w:i/>
        </w:rPr>
        <w:t xml:space="preserve">Disability Standards </w:t>
      </w:r>
      <w:r w:rsidR="00816A30">
        <w:rPr>
          <w:i/>
        </w:rPr>
        <w:t>for</w:t>
      </w:r>
      <w:r w:rsidR="00FA61B8" w:rsidRPr="0057721F">
        <w:rPr>
          <w:i/>
        </w:rPr>
        <w:t xml:space="preserve"> Education</w:t>
      </w:r>
      <w:r w:rsidR="00FA61B8" w:rsidRPr="0057721F">
        <w:t xml:space="preserve">). Adjustments </w:t>
      </w:r>
      <w:r w:rsidR="00EC7086">
        <w:t>should take account of student knowledge and skills</w:t>
      </w:r>
      <w:r w:rsidR="00BB3693">
        <w:t>,</w:t>
      </w:r>
      <w:r w:rsidR="00EC7086">
        <w:t xml:space="preserve"> and what they need to learn next based on the </w:t>
      </w:r>
      <w:r w:rsidR="00EC7086" w:rsidRPr="004C4D57">
        <w:rPr>
          <w:i/>
        </w:rPr>
        <w:t>Victorian curriculum achievement standards</w:t>
      </w:r>
      <w:r w:rsidR="00EC7086">
        <w:t xml:space="preserve">. </w:t>
      </w:r>
      <w:r w:rsidR="00BB3693">
        <w:t>Adjustments can</w:t>
      </w:r>
      <w:r w:rsidR="00FA61B8" w:rsidRPr="0057721F">
        <w:t xml:space="preserve"> include </w:t>
      </w:r>
      <w:r w:rsidR="00BB3693">
        <w:t xml:space="preserve">individualised and small group </w:t>
      </w:r>
      <w:r w:rsidR="00FA61B8" w:rsidRPr="0057721F">
        <w:t xml:space="preserve">targeted learning </w:t>
      </w:r>
      <w:r w:rsidR="00FA61B8" w:rsidRPr="004C4D57">
        <w:t>interventions</w:t>
      </w:r>
      <w:r w:rsidR="00FA61B8" w:rsidRPr="003F0FDB">
        <w:t xml:space="preserve"> </w:t>
      </w:r>
      <w:r w:rsidR="00FA61B8" w:rsidRPr="0057721F">
        <w:t xml:space="preserve">for some students when learning gaps </w:t>
      </w:r>
      <w:r w:rsidR="008E1080">
        <w:t>are</w:t>
      </w:r>
      <w:r w:rsidR="00FA61B8" w:rsidRPr="0057721F">
        <w:t xml:space="preserve"> evident.  </w:t>
      </w:r>
    </w:p>
    <w:p w14:paraId="50B554EF" w14:textId="5DE691D0" w:rsidR="008371A7" w:rsidRPr="0057721F" w:rsidRDefault="00EC2201" w:rsidP="001C2616">
      <w:pPr>
        <w:spacing w:before="120"/>
      </w:pPr>
      <w:r w:rsidRPr="0057721F">
        <w:lastRenderedPageBreak/>
        <w:t>Finally, d</w:t>
      </w:r>
      <w:r w:rsidR="005F149C" w:rsidRPr="0057721F">
        <w:t xml:space="preserve">ifferentiation works </w:t>
      </w:r>
      <w:r w:rsidRPr="0057721F">
        <w:t xml:space="preserve">best </w:t>
      </w:r>
      <w:r w:rsidR="005F149C" w:rsidRPr="0057721F">
        <w:t>when teachers create a climate for learning that is inclusive, safe and responsive.</w:t>
      </w:r>
      <w:r w:rsidR="00317FF5">
        <w:rPr>
          <w:rStyle w:val="FootnoteReference"/>
        </w:rPr>
        <w:footnoteReference w:id="8"/>
      </w:r>
      <w:r w:rsidR="00317FF5">
        <w:t xml:space="preserve"> </w:t>
      </w:r>
      <w:r w:rsidR="005F149C" w:rsidRPr="0057721F">
        <w:t xml:space="preserve">This approach maximises </w:t>
      </w:r>
      <w:r w:rsidR="001C2616">
        <w:t xml:space="preserve">emotional, cognitive and behavioural </w:t>
      </w:r>
      <w:r w:rsidR="005F149C" w:rsidRPr="0057721F">
        <w:t xml:space="preserve">engagement and </w:t>
      </w:r>
      <w:r w:rsidR="00714A91" w:rsidRPr="0057721F">
        <w:t xml:space="preserve">helps </w:t>
      </w:r>
      <w:r w:rsidR="005F149C" w:rsidRPr="0057721F">
        <w:t>student</w:t>
      </w:r>
      <w:r w:rsidR="008E1080">
        <w:t>s</w:t>
      </w:r>
      <w:r w:rsidR="005F149C" w:rsidRPr="0057721F">
        <w:t xml:space="preserve"> </w:t>
      </w:r>
      <w:r w:rsidR="00714A91" w:rsidRPr="0057721F">
        <w:t xml:space="preserve">to </w:t>
      </w:r>
      <w:r w:rsidR="005F149C" w:rsidRPr="0057721F">
        <w:t xml:space="preserve">invest in their </w:t>
      </w:r>
      <w:r w:rsidR="006960C8" w:rsidRPr="0057721F">
        <w:t xml:space="preserve">learning. </w:t>
      </w:r>
      <w:r w:rsidR="00900217">
        <w:t>Quality teaching starts with</w:t>
      </w:r>
      <w:r w:rsidR="008E1080">
        <w:t xml:space="preserve"> the</w:t>
      </w:r>
      <w:r w:rsidR="008371A7" w:rsidRPr="0057721F">
        <w:t xml:space="preserve"> </w:t>
      </w:r>
      <w:r w:rsidR="008E1080">
        <w:t xml:space="preserve">belief </w:t>
      </w:r>
      <w:r w:rsidR="008371A7" w:rsidRPr="008E1080">
        <w:t xml:space="preserve">that </w:t>
      </w:r>
      <w:r w:rsidR="008371A7" w:rsidRPr="0057721F">
        <w:t xml:space="preserve">all students can learn </w:t>
      </w:r>
      <w:r w:rsidR="006041F2">
        <w:t>given</w:t>
      </w:r>
      <w:r w:rsidR="008371A7" w:rsidRPr="0057721F">
        <w:t xml:space="preserve"> the right support and learning pathway. </w:t>
      </w:r>
    </w:p>
    <w:p w14:paraId="21FD502F" w14:textId="50C6055F" w:rsidR="005528FF" w:rsidRPr="006B4196" w:rsidRDefault="00D14ADC" w:rsidP="00A65A21">
      <w:pPr>
        <w:pStyle w:val="Heading2"/>
        <w:rPr>
          <w:color w:val="C00000"/>
        </w:rPr>
      </w:pPr>
      <w:r w:rsidRPr="006B4196">
        <w:rPr>
          <w:color w:val="C00000"/>
        </w:rPr>
        <w:t>THE VALUE OF A DIFFERE</w:t>
      </w:r>
      <w:r w:rsidR="00293271" w:rsidRPr="006B4196">
        <w:rPr>
          <w:color w:val="C00000"/>
        </w:rPr>
        <w:t>NTIATED APPROACH F</w:t>
      </w:r>
      <w:r w:rsidR="00947B0B" w:rsidRPr="006B4196">
        <w:rPr>
          <w:color w:val="C00000"/>
        </w:rPr>
        <w:t>OR LEARNERS AT RISK OF DISENGAGEMENT</w:t>
      </w:r>
    </w:p>
    <w:p w14:paraId="425DE030" w14:textId="3771B5B3" w:rsidR="00BD3165" w:rsidRDefault="00CE1B16" w:rsidP="00BE2DD9">
      <w:pPr>
        <w:spacing w:before="120"/>
      </w:pPr>
      <w:r>
        <w:t>The average classroom is</w:t>
      </w:r>
      <w:r w:rsidR="00D957A1">
        <w:t xml:space="preserve"> heterogeneous,</w:t>
      </w:r>
      <w:r>
        <w:t xml:space="preserve"> </w:t>
      </w:r>
      <w:r w:rsidR="00EE1580">
        <w:t>with a</w:t>
      </w:r>
      <w:r>
        <w:t xml:space="preserve"> diverse range of learners</w:t>
      </w:r>
      <w:r w:rsidR="00EE1580">
        <w:t xml:space="preserve"> from</w:t>
      </w:r>
      <w:r w:rsidR="00BD3165" w:rsidRPr="0057721F">
        <w:t xml:space="preserve"> different cultural, social and educational experiences. The ‘one-size fits all’ learning pathway and ‘teaching to the middle’, ignores student</w:t>
      </w:r>
      <w:r w:rsidR="000646E5">
        <w:t>s</w:t>
      </w:r>
      <w:r w:rsidR="00BD3165" w:rsidRPr="0057721F">
        <w:t xml:space="preserve"> </w:t>
      </w:r>
      <w:r w:rsidR="009B0693">
        <w:t xml:space="preserve">who </w:t>
      </w:r>
      <w:r w:rsidR="000837FF">
        <w:t>require</w:t>
      </w:r>
      <w:r w:rsidR="005E4419">
        <w:t xml:space="preserve"> </w:t>
      </w:r>
      <w:r w:rsidR="00BD3165" w:rsidRPr="0057721F">
        <w:t xml:space="preserve">different </w:t>
      </w:r>
      <w:r w:rsidR="00317FF5">
        <w:t>entry points in the learning continuum</w:t>
      </w:r>
      <w:r w:rsidR="00BD3165" w:rsidRPr="0057721F">
        <w:t xml:space="preserve">. </w:t>
      </w:r>
    </w:p>
    <w:p w14:paraId="59B7A060" w14:textId="77777777" w:rsidR="00706C8E" w:rsidRDefault="00CE1B16" w:rsidP="00C56F93">
      <w:pPr>
        <w:spacing w:before="120"/>
      </w:pPr>
      <w:r>
        <w:t xml:space="preserve">Learners at risk of disengagement </w:t>
      </w:r>
      <w:r w:rsidR="00900217">
        <w:t>can be at any stage of schooling</w:t>
      </w:r>
      <w:r w:rsidRPr="0057721F">
        <w:t xml:space="preserve"> </w:t>
      </w:r>
      <w:r>
        <w:rPr>
          <w:color w:val="000000" w:themeColor="text1"/>
        </w:rPr>
        <w:t>and t</w:t>
      </w:r>
      <w:r w:rsidR="00C56F93">
        <w:rPr>
          <w:color w:val="000000" w:themeColor="text1"/>
        </w:rPr>
        <w:t xml:space="preserve">here are </w:t>
      </w:r>
      <w:r w:rsidR="00BD3165">
        <w:rPr>
          <w:color w:val="000000" w:themeColor="text1"/>
        </w:rPr>
        <w:t>many</w:t>
      </w:r>
      <w:r w:rsidR="00C56F93">
        <w:rPr>
          <w:color w:val="000000" w:themeColor="text1"/>
        </w:rPr>
        <w:t xml:space="preserve"> factors that may contribute to a child or young person</w:t>
      </w:r>
      <w:r w:rsidR="00EE1580">
        <w:rPr>
          <w:color w:val="000000" w:themeColor="text1"/>
        </w:rPr>
        <w:t xml:space="preserve"> </w:t>
      </w:r>
      <w:r w:rsidR="00900217">
        <w:rPr>
          <w:color w:val="000000" w:themeColor="text1"/>
        </w:rPr>
        <w:t xml:space="preserve">becoming or being disengaged. </w:t>
      </w:r>
      <w:r w:rsidR="00EE1580">
        <w:rPr>
          <w:color w:val="000000" w:themeColor="text1"/>
        </w:rPr>
        <w:t xml:space="preserve">These include </w:t>
      </w:r>
      <w:r w:rsidR="00C56F93">
        <w:rPr>
          <w:color w:val="000000" w:themeColor="text1"/>
        </w:rPr>
        <w:t xml:space="preserve">family and community factors, personal factors such as physical, mental health or behavioural issues, as well as school-related </w:t>
      </w:r>
      <w:r w:rsidR="008E1080">
        <w:rPr>
          <w:color w:val="000000" w:themeColor="text1"/>
        </w:rPr>
        <w:t>factors</w:t>
      </w:r>
      <w:r w:rsidR="00B2541D">
        <w:rPr>
          <w:color w:val="000000" w:themeColor="text1"/>
        </w:rPr>
        <w:t>.</w:t>
      </w:r>
      <w:r w:rsidR="008E4314">
        <w:t xml:space="preserve"> </w:t>
      </w:r>
    </w:p>
    <w:p w14:paraId="5D990946" w14:textId="6C8777F1" w:rsidR="008371A7" w:rsidRPr="008E4314" w:rsidRDefault="00B81A84" w:rsidP="00C56F93">
      <w:pPr>
        <w:spacing w:before="120"/>
      </w:pPr>
      <w:r>
        <w:t>Highly-able</w:t>
      </w:r>
      <w:r w:rsidR="00706C8E">
        <w:t xml:space="preserve"> or gifted students are also at risk of disengagement. </w:t>
      </w:r>
      <w:r w:rsidR="009B15B0">
        <w:t>Therefore, d</w:t>
      </w:r>
      <w:r w:rsidR="00C56F93" w:rsidRPr="005E4419">
        <w:t xml:space="preserve">ifferentiated teaching offers strategies to </w:t>
      </w:r>
      <w:r w:rsidR="006960C8" w:rsidRPr="005E4419">
        <w:t>engage</w:t>
      </w:r>
      <w:r w:rsidR="00947B0B" w:rsidRPr="005E4419">
        <w:t xml:space="preserve"> </w:t>
      </w:r>
      <w:r w:rsidR="00746411" w:rsidRPr="005E4419">
        <w:t xml:space="preserve">all </w:t>
      </w:r>
      <w:r w:rsidR="00947B0B" w:rsidRPr="005E4419">
        <w:t>students</w:t>
      </w:r>
      <w:r w:rsidR="00C56F93" w:rsidRPr="005E4419">
        <w:t>, so that they become personally invested in</w:t>
      </w:r>
      <w:r w:rsidR="00FA2B40">
        <w:t>,</w:t>
      </w:r>
      <w:r w:rsidR="00C56F93" w:rsidRPr="005E4419">
        <w:t xml:space="preserve"> and take </w:t>
      </w:r>
      <w:r w:rsidR="00C56F93">
        <w:rPr>
          <w:color w:val="000000" w:themeColor="text1"/>
        </w:rPr>
        <w:t>ownership of</w:t>
      </w:r>
      <w:r w:rsidR="00FA2B40">
        <w:rPr>
          <w:color w:val="000000" w:themeColor="text1"/>
        </w:rPr>
        <w:t>,</w:t>
      </w:r>
      <w:r w:rsidR="00C56F93">
        <w:rPr>
          <w:color w:val="000000" w:themeColor="text1"/>
        </w:rPr>
        <w:t xml:space="preserve"> their learning</w:t>
      </w:r>
      <w:r w:rsidR="001C2616" w:rsidRPr="001C2616">
        <w:t xml:space="preserve"> </w:t>
      </w:r>
      <w:r w:rsidR="001C2616" w:rsidRPr="005E4419">
        <w:t>regardless of their learning starting point</w:t>
      </w:r>
      <w:r w:rsidR="009B15B0">
        <w:t xml:space="preserve"> or ability</w:t>
      </w:r>
      <w:r w:rsidR="00C56F93">
        <w:rPr>
          <w:color w:val="000000" w:themeColor="text1"/>
        </w:rPr>
        <w:t xml:space="preserve">. </w:t>
      </w:r>
    </w:p>
    <w:p w14:paraId="7D263C5C" w14:textId="5420260D" w:rsidR="00D14ADC" w:rsidRPr="006B4196" w:rsidRDefault="00D14ADC" w:rsidP="00D14ADC">
      <w:pPr>
        <w:pStyle w:val="Heading2"/>
        <w:rPr>
          <w:color w:val="C00000"/>
        </w:rPr>
      </w:pPr>
      <w:r w:rsidRPr="006B4196">
        <w:rPr>
          <w:color w:val="C00000"/>
        </w:rPr>
        <w:t>Advice for teachers</w:t>
      </w:r>
    </w:p>
    <w:p w14:paraId="706091A5" w14:textId="60A16635" w:rsidR="004A54FA" w:rsidRPr="004A54FA" w:rsidRDefault="004A54FA" w:rsidP="004A54FA">
      <w:pPr>
        <w:rPr>
          <w:b/>
          <w:i/>
        </w:rPr>
      </w:pPr>
      <w:r w:rsidRPr="004A54FA">
        <w:rPr>
          <w:b/>
          <w:i/>
        </w:rPr>
        <w:t xml:space="preserve">Know your students </w:t>
      </w:r>
    </w:p>
    <w:p w14:paraId="6D99D2AA" w14:textId="5511A4D6" w:rsidR="008371A7" w:rsidRPr="00CE1B16" w:rsidRDefault="006960C8" w:rsidP="002830C2">
      <w:r w:rsidRPr="00CE1B16">
        <w:t>Differentiation</w:t>
      </w:r>
      <w:r w:rsidR="008371A7" w:rsidRPr="00CE1B16">
        <w:t xml:space="preserve"> st</w:t>
      </w:r>
      <w:r w:rsidR="008E1080">
        <w:t xml:space="preserve">arts with knowing your students, in </w:t>
      </w:r>
      <w:r w:rsidR="008371A7" w:rsidRPr="00CE1B16">
        <w:t>particular</w:t>
      </w:r>
      <w:r w:rsidR="008E1080">
        <w:t xml:space="preserve"> their</w:t>
      </w:r>
      <w:r w:rsidR="008371A7" w:rsidRPr="00CE1B16">
        <w:t xml:space="preserve"> learning skills and current capabilities, as well as their passions, motivations and interests. </w:t>
      </w:r>
      <w:r w:rsidR="009F5BC4">
        <w:t>The</w:t>
      </w:r>
      <w:r w:rsidR="008371A7" w:rsidRPr="00CE1B16">
        <w:t xml:space="preserve"> cultural perspectives and social emotional readiness are additional factors to consider. Draw upon existing</w:t>
      </w:r>
      <w:r w:rsidR="001F17B2">
        <w:t xml:space="preserve"> data</w:t>
      </w:r>
      <w:r w:rsidR="008371A7" w:rsidRPr="00CE1B16">
        <w:t xml:space="preserve"> sources such as:</w:t>
      </w:r>
    </w:p>
    <w:p w14:paraId="4133AA56" w14:textId="0B40900A" w:rsidR="008371A7" w:rsidRPr="00147FAF" w:rsidRDefault="008371A7" w:rsidP="00147FAF">
      <w:pPr>
        <w:pStyle w:val="ListParagraph"/>
        <w:numPr>
          <w:ilvl w:val="0"/>
          <w:numId w:val="4"/>
        </w:numPr>
        <w:rPr>
          <w:sz w:val="18"/>
          <w:szCs w:val="18"/>
          <w:u w:val="none"/>
          <w:vertAlign w:val="baseline"/>
        </w:rPr>
      </w:pPr>
      <w:r w:rsidRPr="00147FAF">
        <w:rPr>
          <w:sz w:val="18"/>
          <w:szCs w:val="18"/>
          <w:u w:val="none"/>
          <w:vertAlign w:val="baseline"/>
        </w:rPr>
        <w:t>NAPLAN, On</w:t>
      </w:r>
      <w:r w:rsidR="00147FAF" w:rsidRPr="00147FAF">
        <w:rPr>
          <w:sz w:val="18"/>
          <w:szCs w:val="18"/>
          <w:u w:val="none"/>
          <w:vertAlign w:val="baseline"/>
        </w:rPr>
        <w:t xml:space="preserve"> </w:t>
      </w:r>
      <w:r w:rsidRPr="00147FAF">
        <w:rPr>
          <w:sz w:val="18"/>
          <w:szCs w:val="18"/>
          <w:u w:val="none"/>
          <w:vertAlign w:val="baseline"/>
        </w:rPr>
        <w:t>Demand and other standardised</w:t>
      </w:r>
      <w:r w:rsidR="00F9010A" w:rsidRPr="00147FAF">
        <w:rPr>
          <w:sz w:val="18"/>
          <w:szCs w:val="18"/>
          <w:u w:val="none"/>
          <w:vertAlign w:val="baseline"/>
        </w:rPr>
        <w:t xml:space="preserve"> or diagnostic</w:t>
      </w:r>
      <w:r w:rsidRPr="00147FAF">
        <w:rPr>
          <w:sz w:val="18"/>
          <w:szCs w:val="18"/>
          <w:u w:val="none"/>
          <w:vertAlign w:val="baseline"/>
        </w:rPr>
        <w:t xml:space="preserve"> test data</w:t>
      </w:r>
    </w:p>
    <w:p w14:paraId="3832D399" w14:textId="418BF385" w:rsidR="008371A7" w:rsidRPr="00147FAF" w:rsidRDefault="00BE1AA6" w:rsidP="00147FAF">
      <w:pPr>
        <w:pStyle w:val="ListParagraph"/>
        <w:numPr>
          <w:ilvl w:val="0"/>
          <w:numId w:val="4"/>
        </w:numPr>
        <w:rPr>
          <w:sz w:val="18"/>
          <w:szCs w:val="18"/>
          <w:u w:val="none"/>
          <w:vertAlign w:val="baseline"/>
        </w:rPr>
      </w:pPr>
      <w:r w:rsidRPr="00147FAF">
        <w:rPr>
          <w:sz w:val="18"/>
          <w:szCs w:val="18"/>
          <w:u w:val="none"/>
          <w:vertAlign w:val="baseline"/>
        </w:rPr>
        <w:t>P</w:t>
      </w:r>
      <w:r w:rsidR="008371A7" w:rsidRPr="00147FAF">
        <w:rPr>
          <w:sz w:val="18"/>
          <w:szCs w:val="18"/>
          <w:u w:val="none"/>
          <w:vertAlign w:val="baseline"/>
        </w:rPr>
        <w:t xml:space="preserve">revious </w:t>
      </w:r>
      <w:r w:rsidR="00F9010A" w:rsidRPr="00147FAF">
        <w:rPr>
          <w:sz w:val="18"/>
          <w:szCs w:val="18"/>
          <w:u w:val="none"/>
          <w:vertAlign w:val="baseline"/>
        </w:rPr>
        <w:t xml:space="preserve">school </w:t>
      </w:r>
      <w:r w:rsidR="008371A7" w:rsidRPr="00147FAF">
        <w:rPr>
          <w:sz w:val="18"/>
          <w:szCs w:val="18"/>
          <w:u w:val="none"/>
          <w:vertAlign w:val="baseline"/>
        </w:rPr>
        <w:t>reports</w:t>
      </w:r>
      <w:r w:rsidR="00F9010A" w:rsidRPr="00147FAF">
        <w:rPr>
          <w:sz w:val="18"/>
          <w:szCs w:val="18"/>
          <w:u w:val="none"/>
          <w:vertAlign w:val="baseline"/>
        </w:rPr>
        <w:t>, teacher judgements</w:t>
      </w:r>
      <w:r w:rsidR="008371A7" w:rsidRPr="00147FAF">
        <w:rPr>
          <w:sz w:val="18"/>
          <w:szCs w:val="18"/>
          <w:u w:val="none"/>
          <w:vertAlign w:val="baseline"/>
        </w:rPr>
        <w:t xml:space="preserve"> or student work</w:t>
      </w:r>
      <w:r w:rsidR="00F9010A" w:rsidRPr="00147FAF">
        <w:rPr>
          <w:sz w:val="18"/>
          <w:szCs w:val="18"/>
          <w:u w:val="none"/>
          <w:vertAlign w:val="baseline"/>
        </w:rPr>
        <w:t xml:space="preserve"> samples</w:t>
      </w:r>
      <w:r w:rsidR="008371A7" w:rsidRPr="00147FAF">
        <w:rPr>
          <w:sz w:val="18"/>
          <w:szCs w:val="18"/>
          <w:u w:val="none"/>
          <w:vertAlign w:val="baseline"/>
        </w:rPr>
        <w:t xml:space="preserve"> </w:t>
      </w:r>
    </w:p>
    <w:p w14:paraId="0F3B452F" w14:textId="7743F8E4" w:rsidR="008371A7" w:rsidRPr="00147FAF" w:rsidRDefault="00BE1AA6" w:rsidP="00147FAF">
      <w:pPr>
        <w:pStyle w:val="ListParagraph"/>
        <w:numPr>
          <w:ilvl w:val="0"/>
          <w:numId w:val="4"/>
        </w:numPr>
        <w:rPr>
          <w:sz w:val="18"/>
          <w:szCs w:val="18"/>
          <w:u w:val="none"/>
          <w:vertAlign w:val="baseline"/>
        </w:rPr>
      </w:pPr>
      <w:r w:rsidRPr="00147FAF">
        <w:rPr>
          <w:sz w:val="18"/>
          <w:szCs w:val="18"/>
          <w:u w:val="none"/>
          <w:vertAlign w:val="baseline"/>
        </w:rPr>
        <w:t>P</w:t>
      </w:r>
      <w:r w:rsidR="008371A7" w:rsidRPr="00147FAF">
        <w:rPr>
          <w:sz w:val="18"/>
          <w:szCs w:val="18"/>
          <w:u w:val="none"/>
          <w:vertAlign w:val="baseline"/>
        </w:rPr>
        <w:t>rofessional conversations with other staff</w:t>
      </w:r>
    </w:p>
    <w:p w14:paraId="761A7257" w14:textId="6BD6588E" w:rsidR="008371A7" w:rsidRPr="00147FAF" w:rsidRDefault="00FA2B40" w:rsidP="00147FAF">
      <w:pPr>
        <w:pStyle w:val="ListParagraph"/>
        <w:numPr>
          <w:ilvl w:val="0"/>
          <w:numId w:val="4"/>
        </w:numPr>
        <w:rPr>
          <w:sz w:val="18"/>
          <w:szCs w:val="18"/>
          <w:u w:val="none"/>
          <w:vertAlign w:val="baseline"/>
        </w:rPr>
      </w:pPr>
      <w:r w:rsidRPr="00147FAF">
        <w:rPr>
          <w:sz w:val="18"/>
          <w:szCs w:val="18"/>
          <w:u w:val="none"/>
          <w:vertAlign w:val="baseline"/>
        </w:rPr>
        <w:t>O</w:t>
      </w:r>
      <w:r w:rsidR="00F9010A" w:rsidRPr="00147FAF">
        <w:rPr>
          <w:sz w:val="18"/>
          <w:szCs w:val="18"/>
          <w:u w:val="none"/>
          <w:vertAlign w:val="baseline"/>
        </w:rPr>
        <w:t xml:space="preserve">bservations </w:t>
      </w:r>
      <w:r w:rsidRPr="00147FAF">
        <w:rPr>
          <w:sz w:val="18"/>
          <w:szCs w:val="18"/>
          <w:u w:val="none"/>
          <w:vertAlign w:val="baseline"/>
        </w:rPr>
        <w:t>of students in a range of settings</w:t>
      </w:r>
    </w:p>
    <w:p w14:paraId="644B3A89" w14:textId="1F8A7955" w:rsidR="008371A7" w:rsidRPr="00147FAF" w:rsidRDefault="00BE1AA6" w:rsidP="00147FAF">
      <w:pPr>
        <w:pStyle w:val="ListParagraph"/>
        <w:numPr>
          <w:ilvl w:val="0"/>
          <w:numId w:val="4"/>
        </w:numPr>
        <w:rPr>
          <w:sz w:val="18"/>
          <w:szCs w:val="18"/>
          <w:u w:val="none"/>
          <w:vertAlign w:val="baseline"/>
        </w:rPr>
      </w:pPr>
      <w:r w:rsidRPr="00147FAF">
        <w:rPr>
          <w:sz w:val="18"/>
          <w:szCs w:val="18"/>
          <w:u w:val="none"/>
          <w:vertAlign w:val="baseline"/>
        </w:rPr>
        <w:t>P</w:t>
      </w:r>
      <w:r w:rsidR="008371A7" w:rsidRPr="00147FAF">
        <w:rPr>
          <w:sz w:val="18"/>
          <w:szCs w:val="18"/>
          <w:u w:val="none"/>
          <w:vertAlign w:val="baseline"/>
        </w:rPr>
        <w:t>re-test or formative assessment data</w:t>
      </w:r>
    </w:p>
    <w:p w14:paraId="102DF3CB" w14:textId="37B08917" w:rsidR="004A54FA" w:rsidRPr="00147FAF" w:rsidRDefault="00BE1AA6" w:rsidP="00147FAF">
      <w:pPr>
        <w:pStyle w:val="ListParagraph"/>
        <w:numPr>
          <w:ilvl w:val="0"/>
          <w:numId w:val="4"/>
        </w:numPr>
        <w:rPr>
          <w:sz w:val="18"/>
          <w:szCs w:val="18"/>
          <w:u w:val="none"/>
          <w:vertAlign w:val="baseline"/>
        </w:rPr>
      </w:pPr>
      <w:r w:rsidRPr="00147FAF">
        <w:rPr>
          <w:sz w:val="18"/>
          <w:szCs w:val="18"/>
          <w:u w:val="none"/>
          <w:vertAlign w:val="baseline"/>
        </w:rPr>
        <w:t xml:space="preserve">Ongoing feedback from students &amp; </w:t>
      </w:r>
      <w:r w:rsidR="008371A7" w:rsidRPr="00147FAF">
        <w:rPr>
          <w:sz w:val="18"/>
          <w:szCs w:val="18"/>
          <w:u w:val="none"/>
          <w:vertAlign w:val="baseline"/>
        </w:rPr>
        <w:t>parents</w:t>
      </w:r>
      <w:r w:rsidR="00FA2B40" w:rsidRPr="00147FAF">
        <w:rPr>
          <w:sz w:val="18"/>
          <w:szCs w:val="18"/>
          <w:u w:val="none"/>
          <w:vertAlign w:val="baseline"/>
        </w:rPr>
        <w:t>/</w:t>
      </w:r>
      <w:r w:rsidR="008371A7" w:rsidRPr="00147FAF">
        <w:rPr>
          <w:sz w:val="18"/>
          <w:szCs w:val="18"/>
          <w:u w:val="none"/>
          <w:vertAlign w:val="baseline"/>
        </w:rPr>
        <w:t xml:space="preserve">carers. </w:t>
      </w:r>
    </w:p>
    <w:p w14:paraId="190F724E" w14:textId="77777777" w:rsidR="009F5BC4" w:rsidRDefault="009F5BC4" w:rsidP="004A54FA">
      <w:pPr>
        <w:rPr>
          <w:b/>
          <w:i/>
        </w:rPr>
      </w:pPr>
    </w:p>
    <w:p w14:paraId="29FAD18E" w14:textId="35304D3A" w:rsidR="004A54FA" w:rsidRPr="004A54FA" w:rsidRDefault="004A54FA" w:rsidP="004A54FA">
      <w:pPr>
        <w:rPr>
          <w:b/>
          <w:i/>
        </w:rPr>
      </w:pPr>
      <w:r w:rsidRPr="004A54FA">
        <w:rPr>
          <w:b/>
          <w:i/>
        </w:rPr>
        <w:t>Plan the learning pathway</w:t>
      </w:r>
    </w:p>
    <w:p w14:paraId="217C3281" w14:textId="1CB947E9" w:rsidR="00F9010A" w:rsidRPr="004A54FA" w:rsidRDefault="004A54FA" w:rsidP="001F17B2">
      <w:r>
        <w:t>P</w:t>
      </w:r>
      <w:r w:rsidR="00F9010A" w:rsidRPr="004A54FA">
        <w:t>lan the learning objectives (concepts</w:t>
      </w:r>
      <w:r w:rsidR="009370FA" w:rsidRPr="004A54FA">
        <w:t>, knowledge or skills to be covered, informed by the Victorian Curriculum</w:t>
      </w:r>
      <w:r w:rsidR="00F9010A" w:rsidRPr="004A54FA">
        <w:t xml:space="preserve">) and the </w:t>
      </w:r>
      <w:r w:rsidR="009370FA" w:rsidRPr="004A54FA">
        <w:t xml:space="preserve">associated </w:t>
      </w:r>
      <w:r w:rsidR="00F9010A" w:rsidRPr="004A54FA">
        <w:t>success criteria (evidence of learning from students</w:t>
      </w:r>
      <w:r w:rsidR="00714A91" w:rsidRPr="004A54FA">
        <w:t>)</w:t>
      </w:r>
      <w:r w:rsidR="00F9010A" w:rsidRPr="004A54FA">
        <w:t xml:space="preserve">. Success criteria can be </w:t>
      </w:r>
      <w:r w:rsidR="00641B36">
        <w:t>differentiated to be</w:t>
      </w:r>
      <w:r w:rsidR="009370FA" w:rsidRPr="004A54FA">
        <w:t xml:space="preserve"> </w:t>
      </w:r>
      <w:r w:rsidR="005E4419">
        <w:t xml:space="preserve">applicable to </w:t>
      </w:r>
      <w:r w:rsidR="00F9010A" w:rsidRPr="00CE1B16">
        <w:rPr>
          <w:i/>
        </w:rPr>
        <w:t>All, Most</w:t>
      </w:r>
      <w:r w:rsidR="00F9010A" w:rsidRPr="004A54FA">
        <w:t xml:space="preserve"> and </w:t>
      </w:r>
      <w:r w:rsidR="00F9010A" w:rsidRPr="00CE1B16">
        <w:rPr>
          <w:i/>
        </w:rPr>
        <w:t>Some</w:t>
      </w:r>
      <w:r w:rsidR="00F9010A" w:rsidRPr="004A54FA">
        <w:t xml:space="preserve"> </w:t>
      </w:r>
      <w:r w:rsidR="005E4419">
        <w:t xml:space="preserve">students in the class, </w:t>
      </w:r>
      <w:r w:rsidR="009370FA" w:rsidRPr="004A54FA">
        <w:t xml:space="preserve">with clear </w:t>
      </w:r>
      <w:r w:rsidR="006960C8" w:rsidRPr="004A54FA">
        <w:t>descriptions</w:t>
      </w:r>
      <w:r w:rsidR="00F9010A" w:rsidRPr="004A54FA">
        <w:t xml:space="preserve"> of </w:t>
      </w:r>
      <w:r w:rsidR="00FE06F0" w:rsidRPr="004A54FA">
        <w:t xml:space="preserve">what </w:t>
      </w:r>
      <w:r w:rsidR="00F9010A" w:rsidRPr="004A54FA">
        <w:t xml:space="preserve">learning </w:t>
      </w:r>
      <w:r w:rsidR="008E1080">
        <w:t>excellence</w:t>
      </w:r>
      <w:r w:rsidR="00FE06F0" w:rsidRPr="004A54FA">
        <w:t xml:space="preserve"> looks like</w:t>
      </w:r>
      <w:r w:rsidR="00F9010A" w:rsidRPr="004A54FA">
        <w:t xml:space="preserve">. </w:t>
      </w:r>
    </w:p>
    <w:p w14:paraId="7D7559E1" w14:textId="23DB91FD" w:rsidR="00714A91" w:rsidRPr="004A54FA" w:rsidRDefault="00F9010A" w:rsidP="001F17B2">
      <w:r w:rsidRPr="004A54FA">
        <w:t>B</w:t>
      </w:r>
      <w:r w:rsidR="008371A7" w:rsidRPr="004A54FA">
        <w:t xml:space="preserve">ased on </w:t>
      </w:r>
      <w:r w:rsidR="00714A91" w:rsidRPr="004A54FA">
        <w:t>information about the</w:t>
      </w:r>
      <w:r w:rsidR="008371A7" w:rsidRPr="004A54FA">
        <w:t xml:space="preserve"> </w:t>
      </w:r>
      <w:r w:rsidR="006960C8" w:rsidRPr="004A54FA">
        <w:t>student’s</w:t>
      </w:r>
      <w:r w:rsidR="008371A7" w:rsidRPr="004A54FA">
        <w:t xml:space="preserve"> readiness, interests and learning profile</w:t>
      </w:r>
      <w:r w:rsidR="00714A91" w:rsidRPr="004A54FA">
        <w:t>s</w:t>
      </w:r>
      <w:r w:rsidR="008371A7" w:rsidRPr="004A54FA">
        <w:t xml:space="preserve">, teachers can </w:t>
      </w:r>
      <w:r w:rsidR="00714A91" w:rsidRPr="004A54FA">
        <w:t>also</w:t>
      </w:r>
      <w:r w:rsidR="008371A7" w:rsidRPr="004A54FA">
        <w:t xml:space="preserve"> plan the learning sequence. They may need to differentiate the: </w:t>
      </w:r>
    </w:p>
    <w:p w14:paraId="419EB661" w14:textId="24D10335" w:rsidR="008371A7" w:rsidRPr="00147FAF" w:rsidRDefault="00244D76" w:rsidP="00147FAF">
      <w:pPr>
        <w:pStyle w:val="ListParagraph"/>
        <w:numPr>
          <w:ilvl w:val="0"/>
          <w:numId w:val="2"/>
        </w:numPr>
        <w:rPr>
          <w:sz w:val="18"/>
          <w:szCs w:val="18"/>
          <w:u w:val="none"/>
          <w:vertAlign w:val="baseline"/>
        </w:rPr>
      </w:pPr>
      <w:r w:rsidRPr="00147FAF">
        <w:rPr>
          <w:b/>
          <w:sz w:val="18"/>
          <w:szCs w:val="18"/>
          <w:u w:val="none"/>
          <w:vertAlign w:val="baseline"/>
        </w:rPr>
        <w:t>C</w:t>
      </w:r>
      <w:r w:rsidR="008371A7" w:rsidRPr="00147FAF">
        <w:rPr>
          <w:b/>
          <w:sz w:val="18"/>
          <w:szCs w:val="18"/>
          <w:u w:val="none"/>
          <w:vertAlign w:val="baseline"/>
        </w:rPr>
        <w:t>ontent</w:t>
      </w:r>
      <w:r w:rsidR="009F5BC4">
        <w:rPr>
          <w:b/>
          <w:sz w:val="18"/>
          <w:szCs w:val="18"/>
          <w:u w:val="none"/>
          <w:vertAlign w:val="baseline"/>
        </w:rPr>
        <w:t>:</w:t>
      </w:r>
      <w:r w:rsidR="008371A7" w:rsidRPr="00147FAF">
        <w:rPr>
          <w:sz w:val="18"/>
          <w:szCs w:val="18"/>
          <w:u w:val="none"/>
          <w:vertAlign w:val="baseline"/>
        </w:rPr>
        <w:t xml:space="preserve"> </w:t>
      </w:r>
      <w:r w:rsidR="008371A7" w:rsidRPr="00147FAF">
        <w:rPr>
          <w:i/>
          <w:sz w:val="18"/>
          <w:szCs w:val="18"/>
          <w:u w:val="none"/>
          <w:vertAlign w:val="baseline"/>
        </w:rPr>
        <w:t>what</w:t>
      </w:r>
      <w:r w:rsidR="008371A7" w:rsidRPr="00147FAF">
        <w:rPr>
          <w:sz w:val="18"/>
          <w:szCs w:val="18"/>
          <w:u w:val="none"/>
          <w:vertAlign w:val="baseline"/>
        </w:rPr>
        <w:t xml:space="preserve"> students are expected to </w:t>
      </w:r>
      <w:proofErr w:type="gramStart"/>
      <w:r w:rsidR="008371A7" w:rsidRPr="00147FAF">
        <w:rPr>
          <w:sz w:val="18"/>
          <w:szCs w:val="18"/>
          <w:u w:val="none"/>
          <w:vertAlign w:val="baseline"/>
        </w:rPr>
        <w:t>learn.</w:t>
      </w:r>
      <w:proofErr w:type="gramEnd"/>
    </w:p>
    <w:p w14:paraId="610B22A8" w14:textId="503FA49D" w:rsidR="008371A7" w:rsidRPr="00147FAF" w:rsidRDefault="00244D76" w:rsidP="002830C2">
      <w:pPr>
        <w:pStyle w:val="ListParagraph"/>
        <w:numPr>
          <w:ilvl w:val="0"/>
          <w:numId w:val="2"/>
        </w:numPr>
        <w:rPr>
          <w:sz w:val="18"/>
          <w:szCs w:val="18"/>
          <w:u w:val="none"/>
          <w:vertAlign w:val="baseline"/>
        </w:rPr>
      </w:pPr>
      <w:r w:rsidRPr="00147FAF">
        <w:rPr>
          <w:b/>
          <w:sz w:val="18"/>
          <w:szCs w:val="18"/>
          <w:u w:val="none"/>
          <w:vertAlign w:val="baseline"/>
        </w:rPr>
        <w:t>P</w:t>
      </w:r>
      <w:r w:rsidR="008371A7" w:rsidRPr="00147FAF">
        <w:rPr>
          <w:b/>
          <w:sz w:val="18"/>
          <w:szCs w:val="18"/>
          <w:u w:val="none"/>
          <w:vertAlign w:val="baseline"/>
        </w:rPr>
        <w:t>rocess</w:t>
      </w:r>
      <w:r w:rsidR="009F5BC4">
        <w:rPr>
          <w:b/>
          <w:sz w:val="18"/>
          <w:szCs w:val="18"/>
          <w:u w:val="none"/>
          <w:vertAlign w:val="baseline"/>
        </w:rPr>
        <w:t>:</w:t>
      </w:r>
      <w:r w:rsidR="008371A7" w:rsidRPr="00147FAF">
        <w:rPr>
          <w:sz w:val="18"/>
          <w:szCs w:val="18"/>
          <w:u w:val="none"/>
          <w:vertAlign w:val="baseline"/>
        </w:rPr>
        <w:t xml:space="preserve"> </w:t>
      </w:r>
      <w:r w:rsidR="008371A7" w:rsidRPr="00147FAF">
        <w:rPr>
          <w:i/>
          <w:sz w:val="18"/>
          <w:szCs w:val="18"/>
          <w:u w:val="none"/>
          <w:vertAlign w:val="baseline"/>
        </w:rPr>
        <w:t>how</w:t>
      </w:r>
      <w:r w:rsidR="008371A7" w:rsidRPr="00147FAF">
        <w:rPr>
          <w:sz w:val="18"/>
          <w:szCs w:val="18"/>
          <w:u w:val="none"/>
          <w:vertAlign w:val="baseline"/>
        </w:rPr>
        <w:t xml:space="preserve"> teachers will teach and how students will explore or undertake their learning. Type of instruction and activities in the lesson</w:t>
      </w:r>
      <w:r w:rsidR="00641B36" w:rsidRPr="00147FAF">
        <w:rPr>
          <w:sz w:val="18"/>
          <w:szCs w:val="18"/>
          <w:u w:val="none"/>
          <w:vertAlign w:val="baseline"/>
        </w:rPr>
        <w:t>s</w:t>
      </w:r>
      <w:r w:rsidR="008371A7" w:rsidRPr="00147FAF">
        <w:rPr>
          <w:sz w:val="18"/>
          <w:szCs w:val="18"/>
          <w:u w:val="none"/>
          <w:vertAlign w:val="baseline"/>
        </w:rPr>
        <w:t>.</w:t>
      </w:r>
      <w:r w:rsidR="009052D6" w:rsidRPr="00147FAF">
        <w:rPr>
          <w:sz w:val="18"/>
          <w:szCs w:val="18"/>
          <w:u w:val="none"/>
          <w:vertAlign w:val="baseline"/>
        </w:rPr>
        <w:t xml:space="preserve"> </w:t>
      </w:r>
      <w:r w:rsidR="008371A7" w:rsidRPr="00147FAF">
        <w:rPr>
          <w:sz w:val="18"/>
          <w:szCs w:val="18"/>
          <w:u w:val="none"/>
          <w:vertAlign w:val="baseline"/>
        </w:rPr>
        <w:t xml:space="preserve"> </w:t>
      </w:r>
    </w:p>
    <w:p w14:paraId="7D1F0609" w14:textId="7D4C1831" w:rsidR="008371A7" w:rsidRPr="00147FAF" w:rsidRDefault="00244D76" w:rsidP="00147FAF">
      <w:pPr>
        <w:pStyle w:val="ListParagraph"/>
        <w:numPr>
          <w:ilvl w:val="0"/>
          <w:numId w:val="2"/>
        </w:numPr>
        <w:rPr>
          <w:sz w:val="18"/>
          <w:szCs w:val="18"/>
          <w:u w:val="none"/>
          <w:vertAlign w:val="baseline"/>
        </w:rPr>
      </w:pPr>
      <w:r w:rsidRPr="00147FAF">
        <w:rPr>
          <w:b/>
          <w:sz w:val="18"/>
          <w:szCs w:val="18"/>
          <w:u w:val="none"/>
          <w:vertAlign w:val="baseline"/>
        </w:rPr>
        <w:t>P</w:t>
      </w:r>
      <w:r w:rsidR="008371A7" w:rsidRPr="00147FAF">
        <w:rPr>
          <w:b/>
          <w:sz w:val="18"/>
          <w:szCs w:val="18"/>
          <w:u w:val="none"/>
          <w:vertAlign w:val="baseline"/>
        </w:rPr>
        <w:t>roduct</w:t>
      </w:r>
      <w:r w:rsidR="009F5BC4">
        <w:rPr>
          <w:b/>
          <w:sz w:val="18"/>
          <w:szCs w:val="18"/>
          <w:u w:val="none"/>
          <w:vertAlign w:val="baseline"/>
        </w:rPr>
        <w:t>:</w:t>
      </w:r>
      <w:r w:rsidR="008371A7" w:rsidRPr="00147FAF">
        <w:rPr>
          <w:sz w:val="18"/>
          <w:szCs w:val="18"/>
          <w:u w:val="none"/>
          <w:vertAlign w:val="baseline"/>
        </w:rPr>
        <w:t xml:space="preserve"> </w:t>
      </w:r>
      <w:r w:rsidR="008371A7" w:rsidRPr="00147FAF">
        <w:rPr>
          <w:i/>
          <w:sz w:val="18"/>
          <w:szCs w:val="18"/>
          <w:u w:val="none"/>
          <w:vertAlign w:val="baseline"/>
        </w:rPr>
        <w:t>how</w:t>
      </w:r>
      <w:r w:rsidR="008371A7" w:rsidRPr="00147FAF">
        <w:rPr>
          <w:sz w:val="18"/>
          <w:szCs w:val="18"/>
          <w:u w:val="none"/>
          <w:vertAlign w:val="baseline"/>
        </w:rPr>
        <w:t xml:space="preserve"> the students demonstrate their learning. </w:t>
      </w:r>
    </w:p>
    <w:p w14:paraId="1544E4FE" w14:textId="6E2B5A58" w:rsidR="004A54FA" w:rsidRPr="00147FAF" w:rsidRDefault="00244D76" w:rsidP="00147FAF">
      <w:pPr>
        <w:pStyle w:val="ListParagraph"/>
        <w:numPr>
          <w:ilvl w:val="0"/>
          <w:numId w:val="2"/>
        </w:numPr>
        <w:rPr>
          <w:sz w:val="18"/>
          <w:szCs w:val="18"/>
          <w:u w:val="none"/>
          <w:vertAlign w:val="baseline"/>
        </w:rPr>
      </w:pPr>
      <w:r w:rsidRPr="00147FAF">
        <w:rPr>
          <w:b/>
          <w:sz w:val="18"/>
          <w:szCs w:val="18"/>
          <w:u w:val="none"/>
          <w:vertAlign w:val="baseline"/>
        </w:rPr>
        <w:t>L</w:t>
      </w:r>
      <w:r w:rsidR="008371A7" w:rsidRPr="00147FAF">
        <w:rPr>
          <w:b/>
          <w:sz w:val="18"/>
          <w:szCs w:val="18"/>
          <w:u w:val="none"/>
          <w:vertAlign w:val="baseline"/>
        </w:rPr>
        <w:t>earning environment</w:t>
      </w:r>
      <w:r w:rsidR="009F5BC4">
        <w:rPr>
          <w:b/>
          <w:sz w:val="18"/>
          <w:szCs w:val="18"/>
          <w:u w:val="none"/>
          <w:vertAlign w:val="baseline"/>
        </w:rPr>
        <w:t>:</w:t>
      </w:r>
      <w:r w:rsidR="008371A7" w:rsidRPr="00147FAF">
        <w:rPr>
          <w:sz w:val="18"/>
          <w:szCs w:val="18"/>
          <w:u w:val="none"/>
          <w:vertAlign w:val="baseline"/>
        </w:rPr>
        <w:t xml:space="preserve"> physical and affective nature of the classroom. Classrooms should be stimulating and </w:t>
      </w:r>
      <w:r w:rsidR="006960C8" w:rsidRPr="00147FAF">
        <w:rPr>
          <w:sz w:val="18"/>
          <w:szCs w:val="18"/>
          <w:u w:val="none"/>
          <w:vertAlign w:val="baseline"/>
        </w:rPr>
        <w:t>conducive</w:t>
      </w:r>
      <w:r w:rsidR="008371A7" w:rsidRPr="00147FAF">
        <w:rPr>
          <w:sz w:val="18"/>
          <w:szCs w:val="18"/>
          <w:u w:val="none"/>
          <w:vertAlign w:val="baseline"/>
        </w:rPr>
        <w:t xml:space="preserve"> to learning, and places where students feel valued, safe and supported to take risks to support their learning.</w:t>
      </w:r>
      <w:r w:rsidR="00FA2B40" w:rsidRPr="009F5BC4">
        <w:rPr>
          <w:rStyle w:val="FootnoteReference"/>
          <w:sz w:val="18"/>
          <w:szCs w:val="18"/>
          <w:u w:val="none"/>
        </w:rPr>
        <w:footnoteReference w:id="9"/>
      </w:r>
    </w:p>
    <w:p w14:paraId="1E4EF808" w14:textId="77777777" w:rsidR="00BE1AA6" w:rsidRPr="00BE1AA6" w:rsidRDefault="00BE1AA6" w:rsidP="00BC3655">
      <w:pPr>
        <w:spacing w:after="0"/>
        <w:ind w:left="720"/>
      </w:pPr>
    </w:p>
    <w:p w14:paraId="24CAAE01" w14:textId="7A18676E" w:rsidR="004A54FA" w:rsidRPr="004A54FA" w:rsidRDefault="004A54FA" w:rsidP="001F17B2">
      <w:pPr>
        <w:rPr>
          <w:b/>
          <w:i/>
        </w:rPr>
      </w:pPr>
      <w:r w:rsidRPr="004A54FA">
        <w:rPr>
          <w:b/>
          <w:i/>
        </w:rPr>
        <w:t xml:space="preserve">Differentiated instructional approaches </w:t>
      </w:r>
    </w:p>
    <w:p w14:paraId="6A1C7D60" w14:textId="2F8D7100" w:rsidR="00D056A3" w:rsidRPr="004A54FA" w:rsidRDefault="00D056A3" w:rsidP="001F17B2">
      <w:r w:rsidRPr="004A54FA">
        <w:t xml:space="preserve">The gradual release and acceptance of responsibility model (GRR) is a structured, evidenced based approach to </w:t>
      </w:r>
      <w:r w:rsidRPr="005E4419">
        <w:t xml:space="preserve">differentiated instruction recommended by </w:t>
      </w:r>
      <w:proofErr w:type="spellStart"/>
      <w:r w:rsidRPr="005E4419">
        <w:t>Sharratt</w:t>
      </w:r>
      <w:proofErr w:type="spellEnd"/>
      <w:r w:rsidR="002D1C67" w:rsidRPr="005E4419">
        <w:t xml:space="preserve"> (</w:t>
      </w:r>
      <w:r w:rsidR="00E45574" w:rsidRPr="005E4419">
        <w:t>2019</w:t>
      </w:r>
      <w:r w:rsidR="002D1C67" w:rsidRPr="005E4419">
        <w:t>)</w:t>
      </w:r>
      <w:r w:rsidRPr="005E4419">
        <w:t>.</w:t>
      </w:r>
      <w:r w:rsidR="008C7253" w:rsidRPr="005E4419">
        <w:t xml:space="preserve"> It </w:t>
      </w:r>
      <w:r w:rsidR="002D1C67" w:rsidRPr="005E4419">
        <w:t>incorporates</w:t>
      </w:r>
      <w:r w:rsidR="00DC5EC6" w:rsidRPr="005E4419">
        <w:t xml:space="preserve"> the,</w:t>
      </w:r>
      <w:r w:rsidR="002D1C67" w:rsidRPr="005E4419">
        <w:t xml:space="preserve"> </w:t>
      </w:r>
      <w:r w:rsidR="00CE1B16" w:rsidRPr="005E4419">
        <w:t>‘</w:t>
      </w:r>
      <w:r w:rsidR="002D1C67" w:rsidRPr="005E4419">
        <w:t>teach, practice and apply</w:t>
      </w:r>
      <w:r w:rsidR="00CE1B16" w:rsidRPr="005E4419">
        <w:t>’</w:t>
      </w:r>
      <w:r w:rsidR="002D1C67" w:rsidRPr="005E4419">
        <w:t xml:space="preserve"> approach many </w:t>
      </w:r>
      <w:r w:rsidR="006960C8" w:rsidRPr="005E4419">
        <w:lastRenderedPageBreak/>
        <w:t>teachers</w:t>
      </w:r>
      <w:r w:rsidR="00DC5EC6" w:rsidRPr="005E4419">
        <w:t xml:space="preserve"> already</w:t>
      </w:r>
      <w:r w:rsidR="002D1C67" w:rsidRPr="005E4419">
        <w:t xml:space="preserve"> use </w:t>
      </w:r>
      <w:r w:rsidR="002D1C67" w:rsidRPr="004A54FA">
        <w:t>to scaffold learning for students</w:t>
      </w:r>
      <w:r w:rsidR="0057721F" w:rsidRPr="004A54FA">
        <w:t xml:space="preserve">. </w:t>
      </w:r>
      <w:r w:rsidR="0057721F" w:rsidRPr="004A54FA">
        <w:rPr>
          <w:rStyle w:val="FootnoteReference"/>
        </w:rPr>
        <w:footnoteReference w:id="10"/>
      </w:r>
      <w:r w:rsidR="0057721F" w:rsidRPr="004A54FA">
        <w:t xml:space="preserve"> </w:t>
      </w:r>
      <w:r w:rsidRPr="004A54FA">
        <w:t>It steps students</w:t>
      </w:r>
      <w:r w:rsidR="00CE1B16">
        <w:t xml:space="preserve"> </w:t>
      </w:r>
      <w:r w:rsidR="00BE1AA6">
        <w:t xml:space="preserve">through </w:t>
      </w:r>
      <w:r w:rsidRPr="004A54FA">
        <w:t xml:space="preserve">their learning using a </w:t>
      </w:r>
      <w:r w:rsidR="006960C8" w:rsidRPr="004A54FA">
        <w:t>5-step</w:t>
      </w:r>
      <w:r w:rsidRPr="004A54FA">
        <w:t xml:space="preserve"> approach: modelling, shared practice, guided practice, independent practice and </w:t>
      </w:r>
      <w:r w:rsidR="006960C8" w:rsidRPr="004A54FA">
        <w:t>student’s</w:t>
      </w:r>
      <w:r w:rsidRPr="004A54FA">
        <w:t xml:space="preserve"> application</w:t>
      </w:r>
      <w:r w:rsidR="001C2616">
        <w:t>.</w:t>
      </w:r>
      <w:r w:rsidR="00E45574" w:rsidRPr="004A54FA">
        <w:rPr>
          <w:rStyle w:val="FootnoteReference"/>
        </w:rPr>
        <w:footnoteReference w:id="11"/>
      </w:r>
    </w:p>
    <w:p w14:paraId="2A1241A7" w14:textId="45B9878F" w:rsidR="008371A7" w:rsidRPr="004A54FA" w:rsidRDefault="004B2E15" w:rsidP="001F17B2">
      <w:r w:rsidRPr="004A54FA">
        <w:t xml:space="preserve">Apply </w:t>
      </w:r>
      <w:r w:rsidR="0057721F" w:rsidRPr="004A54FA">
        <w:t>a</w:t>
      </w:r>
      <w:r w:rsidRPr="004A54FA">
        <w:t xml:space="preserve"> ‘Teaching up’</w:t>
      </w:r>
      <w:r w:rsidR="00714A91" w:rsidRPr="004A54FA">
        <w:t xml:space="preserve"> </w:t>
      </w:r>
      <w:r w:rsidRPr="004A54FA">
        <w:t>approach</w:t>
      </w:r>
      <w:r w:rsidR="00FD091F">
        <w:t>,</w:t>
      </w:r>
      <w:r w:rsidR="00FE06F0" w:rsidRPr="004A54FA">
        <w:t xml:space="preserve"> where the learning progression</w:t>
      </w:r>
      <w:r w:rsidRPr="004A54FA">
        <w:t xml:space="preserve"> starts with basic concepts and skills, </w:t>
      </w:r>
      <w:r w:rsidR="006674B9">
        <w:t>scaffolding the learning through</w:t>
      </w:r>
      <w:r w:rsidRPr="004A54FA">
        <w:t xml:space="preserve"> the proficiencies toward mastery or deeper learning.</w:t>
      </w:r>
      <w:r w:rsidR="006041F2">
        <w:rPr>
          <w:rStyle w:val="FootnoteReference"/>
        </w:rPr>
        <w:footnoteReference w:id="12"/>
      </w:r>
      <w:r w:rsidR="00FD091F">
        <w:t xml:space="preserve"> </w:t>
      </w:r>
      <w:r w:rsidR="00CE1B16">
        <w:rPr>
          <w:shd w:val="clear" w:color="auto" w:fill="FFFFFF"/>
        </w:rPr>
        <w:t>B</w:t>
      </w:r>
      <w:r w:rsidRPr="00CE1B16">
        <w:rPr>
          <w:shd w:val="clear" w:color="auto" w:fill="FFFFFF"/>
        </w:rPr>
        <w:t>loom</w:t>
      </w:r>
      <w:r w:rsidR="00FD091F">
        <w:rPr>
          <w:shd w:val="clear" w:color="auto" w:fill="FFFFFF"/>
        </w:rPr>
        <w:t>’</w:t>
      </w:r>
      <w:r w:rsidRPr="00CE1B16">
        <w:rPr>
          <w:shd w:val="clear" w:color="auto" w:fill="FFFFFF"/>
        </w:rPr>
        <w:t>s</w:t>
      </w:r>
      <w:r w:rsidR="00CE1B16">
        <w:rPr>
          <w:shd w:val="clear" w:color="auto" w:fill="FFFFFF"/>
        </w:rPr>
        <w:t xml:space="preserve"> Taxonomy</w:t>
      </w:r>
      <w:r w:rsidRPr="00CE1B16">
        <w:rPr>
          <w:shd w:val="clear" w:color="auto" w:fill="FFFFFF"/>
        </w:rPr>
        <w:t xml:space="preserve"> </w:t>
      </w:r>
      <w:r w:rsidR="00CE1B16">
        <w:rPr>
          <w:shd w:val="clear" w:color="auto" w:fill="FFFFFF"/>
        </w:rPr>
        <w:t>(</w:t>
      </w:r>
      <w:r w:rsidRPr="00CE1B16">
        <w:rPr>
          <w:shd w:val="clear" w:color="auto" w:fill="FFFFFF"/>
        </w:rPr>
        <w:t>verbs</w:t>
      </w:r>
      <w:r w:rsidR="00CE1B16">
        <w:rPr>
          <w:shd w:val="clear" w:color="auto" w:fill="FFFFFF"/>
        </w:rPr>
        <w:t>)</w:t>
      </w:r>
      <w:r w:rsidRPr="00CE1B16">
        <w:rPr>
          <w:shd w:val="clear" w:color="auto" w:fill="FFFFFF"/>
        </w:rPr>
        <w:t xml:space="preserve"> assists to qualify a deepening </w:t>
      </w:r>
      <w:r w:rsidR="00CE1B16">
        <w:rPr>
          <w:shd w:val="clear" w:color="auto" w:fill="FFFFFF"/>
        </w:rPr>
        <w:t>in</w:t>
      </w:r>
      <w:r w:rsidR="00FD091F">
        <w:rPr>
          <w:shd w:val="clear" w:color="auto" w:fill="FFFFFF"/>
        </w:rPr>
        <w:t xml:space="preserve"> the learning, </w:t>
      </w:r>
      <w:r w:rsidR="00FD091F">
        <w:t>allowing</w:t>
      </w:r>
      <w:r w:rsidRPr="004A54FA">
        <w:t xml:space="preserve"> all students a</w:t>
      </w:r>
      <w:r w:rsidR="00FE06F0" w:rsidRPr="004A54FA">
        <w:t>n individual</w:t>
      </w:r>
      <w:r w:rsidR="001C2616">
        <w:t xml:space="preserve"> entry point.</w:t>
      </w:r>
      <w:r w:rsidR="00FD091F">
        <w:rPr>
          <w:rStyle w:val="FootnoteReference"/>
        </w:rPr>
        <w:footnoteReference w:id="13"/>
      </w:r>
    </w:p>
    <w:p w14:paraId="415F40A8" w14:textId="0215FB2B" w:rsidR="004B2E15" w:rsidRPr="004A54FA" w:rsidRDefault="008371A7" w:rsidP="001F17B2">
      <w:r w:rsidRPr="00CE1B16">
        <w:rPr>
          <w:shd w:val="clear" w:color="auto" w:fill="FFFFFF"/>
        </w:rPr>
        <w:t>Check</w:t>
      </w:r>
      <w:r w:rsidR="00FE06F0" w:rsidRPr="00CE1B16">
        <w:rPr>
          <w:shd w:val="clear" w:color="auto" w:fill="FFFFFF"/>
        </w:rPr>
        <w:t xml:space="preserve">-in </w:t>
      </w:r>
      <w:r w:rsidRPr="00CE1B16">
        <w:rPr>
          <w:shd w:val="clear" w:color="auto" w:fill="FFFFFF"/>
        </w:rPr>
        <w:t xml:space="preserve">regularly </w:t>
      </w:r>
      <w:r w:rsidR="0057721F" w:rsidRPr="00CE1B16">
        <w:rPr>
          <w:shd w:val="clear" w:color="auto" w:fill="FFFFFF"/>
        </w:rPr>
        <w:t xml:space="preserve">and make the learning visible </w:t>
      </w:r>
      <w:r w:rsidR="00FE06F0" w:rsidRPr="00CE1B16">
        <w:rPr>
          <w:shd w:val="clear" w:color="auto" w:fill="FFFFFF"/>
        </w:rPr>
        <w:t>by gathering</w:t>
      </w:r>
      <w:r w:rsidRPr="004A54FA">
        <w:t xml:space="preserve"> data</w:t>
      </w:r>
      <w:r w:rsidR="004B2E15" w:rsidRPr="004A54FA">
        <w:t xml:space="preserve"> </w:t>
      </w:r>
      <w:r w:rsidR="0057721F" w:rsidRPr="004A54FA">
        <w:t>with</w:t>
      </w:r>
      <w:r w:rsidRPr="004A54FA">
        <w:t xml:space="preserve"> formative assessments and instructional practices such as questioning techniques</w:t>
      </w:r>
      <w:r w:rsidR="009370FA" w:rsidRPr="004A54FA">
        <w:t xml:space="preserve"> and exit tickets</w:t>
      </w:r>
      <w:r w:rsidR="001C2616">
        <w:t xml:space="preserve"> (</w:t>
      </w:r>
      <w:r w:rsidR="00310CFC">
        <w:t xml:space="preserve">formative </w:t>
      </w:r>
      <w:r w:rsidR="001C2616">
        <w:t>activities</w:t>
      </w:r>
      <w:r w:rsidR="00310CFC">
        <w:t xml:space="preserve"> at the end of the lesson to evaluate the learning progress</w:t>
      </w:r>
      <w:r w:rsidR="001C2616">
        <w:t>)</w:t>
      </w:r>
      <w:r w:rsidR="004B2E15" w:rsidRPr="004A54FA">
        <w:t xml:space="preserve">. Adjust your </w:t>
      </w:r>
      <w:r w:rsidR="00FE5B8A">
        <w:t>teaching</w:t>
      </w:r>
      <w:r w:rsidR="00FE06F0" w:rsidRPr="004A54FA">
        <w:t xml:space="preserve"> </w:t>
      </w:r>
      <w:r w:rsidR="004B2E15" w:rsidRPr="004A54FA">
        <w:t xml:space="preserve">plan </w:t>
      </w:r>
      <w:r w:rsidR="00FE06F0" w:rsidRPr="004A54FA">
        <w:t>in response to formative feedback, for example</w:t>
      </w:r>
      <w:r w:rsidR="00FE5B8A">
        <w:t xml:space="preserve"> adjust the lesson pace or re-teach certain concepts. </w:t>
      </w:r>
    </w:p>
    <w:p w14:paraId="369B076A" w14:textId="55A08198" w:rsidR="004B2E15" w:rsidRPr="004A54FA" w:rsidRDefault="009052D6" w:rsidP="001F17B2">
      <w:r w:rsidRPr="004A54FA">
        <w:t xml:space="preserve">Consider group and targeted interventions to </w:t>
      </w:r>
      <w:r w:rsidR="004C0F05">
        <w:t>cater for</w:t>
      </w:r>
      <w:r w:rsidRPr="004A54FA">
        <w:t xml:space="preserve"> learning difficulties. These interventions co</w:t>
      </w:r>
      <w:r w:rsidR="00F076AF">
        <w:t>uld be planned</w:t>
      </w:r>
      <w:r w:rsidR="00900217">
        <w:t>,</w:t>
      </w:r>
      <w:r w:rsidR="00F076AF">
        <w:t xml:space="preserve"> for example, </w:t>
      </w:r>
      <w:r w:rsidRPr="004A54FA">
        <w:t>as part of a Professional Learning Community, or in collaboration with Literacy and Numeracy Improvement Teachers (for secondary schools).</w:t>
      </w:r>
    </w:p>
    <w:p w14:paraId="382D41D4" w14:textId="1ABB707F" w:rsidR="00BC3655" w:rsidRDefault="00FA61B8" w:rsidP="00BC3655">
      <w:r w:rsidRPr="004A54FA">
        <w:t xml:space="preserve">Use a range of flexible </w:t>
      </w:r>
      <w:r w:rsidR="00AC3BEB">
        <w:t xml:space="preserve">(not fixed) </w:t>
      </w:r>
      <w:r w:rsidRPr="004A54FA">
        <w:t xml:space="preserve">group activities including collaboration and cooperation </w:t>
      </w:r>
      <w:r w:rsidR="00310CFC">
        <w:t>with</w:t>
      </w:r>
      <w:r w:rsidRPr="004A54FA">
        <w:t xml:space="preserve"> mixed-ability (based on learning profile or interests) </w:t>
      </w:r>
      <w:r w:rsidR="00310CFC">
        <w:t>and ability-based groups to</w:t>
      </w:r>
      <w:r w:rsidRPr="004A54FA">
        <w:t xml:space="preserve"> best support learning. Students grouped well with appropriate materials and scaffolds</w:t>
      </w:r>
      <w:r w:rsidR="004C0F05">
        <w:t>,</w:t>
      </w:r>
      <w:r w:rsidRPr="004A54FA">
        <w:t xml:space="preserve"> can learn from each other. Small group instruction is a</w:t>
      </w:r>
      <w:r w:rsidR="004A54FA">
        <w:t>n</w:t>
      </w:r>
      <w:r w:rsidRPr="004A54FA">
        <w:t xml:space="preserve"> excellent teach</w:t>
      </w:r>
      <w:r w:rsidR="0057721F" w:rsidRPr="004A54FA">
        <w:t xml:space="preserve">ing strategy </w:t>
      </w:r>
      <w:r w:rsidRPr="004A54FA">
        <w:t xml:space="preserve">to </w:t>
      </w:r>
      <w:r w:rsidR="0057721F" w:rsidRPr="004A54FA">
        <w:t>advance</w:t>
      </w:r>
      <w:r w:rsidRPr="004A54FA">
        <w:t xml:space="preserve"> student learning</w:t>
      </w:r>
      <w:r w:rsidR="0057721F" w:rsidRPr="004A54FA">
        <w:t>.</w:t>
      </w:r>
    </w:p>
    <w:p w14:paraId="5E50BF15" w14:textId="3B3C2BD2" w:rsidR="004A54FA" w:rsidRPr="004A54FA" w:rsidRDefault="004A54FA" w:rsidP="00BC3655">
      <w:pPr>
        <w:spacing w:before="240"/>
        <w:rPr>
          <w:b/>
          <w:i/>
        </w:rPr>
      </w:pPr>
      <w:r w:rsidRPr="004A54FA">
        <w:rPr>
          <w:b/>
          <w:i/>
        </w:rPr>
        <w:t xml:space="preserve">Differentiation and student agency </w:t>
      </w:r>
    </w:p>
    <w:p w14:paraId="40E1F1C9" w14:textId="325A4BE6" w:rsidR="00020275" w:rsidRPr="004A54FA" w:rsidRDefault="008371A7" w:rsidP="001F17B2">
      <w:r w:rsidRPr="00E76824">
        <w:t>Students</w:t>
      </w:r>
      <w:r w:rsidR="00020275" w:rsidRPr="00E76824">
        <w:t xml:space="preserve"> </w:t>
      </w:r>
      <w:r w:rsidR="00FA2D18" w:rsidRPr="00E76824">
        <w:t xml:space="preserve">can </w:t>
      </w:r>
      <w:r w:rsidR="00020275" w:rsidRPr="00E76824">
        <w:t>be</w:t>
      </w:r>
      <w:r w:rsidR="00020275" w:rsidRPr="004A54FA">
        <w:t xml:space="preserve">come </w:t>
      </w:r>
      <w:r w:rsidRPr="004A54FA">
        <w:t>agents in the</w:t>
      </w:r>
      <w:r w:rsidR="00020275" w:rsidRPr="004A54FA">
        <w:t>ir own</w:t>
      </w:r>
      <w:r w:rsidRPr="004A54FA">
        <w:t xml:space="preserve"> learning </w:t>
      </w:r>
      <w:r w:rsidR="00D62870" w:rsidRPr="004A54FA">
        <w:t xml:space="preserve">when </w:t>
      </w:r>
      <w:r w:rsidR="00020275" w:rsidRPr="004A54FA">
        <w:t>teachers engage the</w:t>
      </w:r>
      <w:r w:rsidR="00D62870" w:rsidRPr="004A54FA">
        <w:t>m</w:t>
      </w:r>
      <w:r w:rsidR="00020275" w:rsidRPr="004A54FA">
        <w:t xml:space="preserve"> in the </w:t>
      </w:r>
      <w:r w:rsidR="00D62870" w:rsidRPr="004A54FA">
        <w:t xml:space="preserve">learning </w:t>
      </w:r>
      <w:r w:rsidR="00020275" w:rsidRPr="004A54FA">
        <w:t>process</w:t>
      </w:r>
      <w:r w:rsidRPr="004A54FA">
        <w:t>.</w:t>
      </w:r>
      <w:r w:rsidR="009370FA" w:rsidRPr="004A54FA">
        <w:t xml:space="preserve"> </w:t>
      </w:r>
      <w:r w:rsidR="00CE1B16">
        <w:t>This can be achieved when teachers</w:t>
      </w:r>
      <w:r w:rsidR="009370FA" w:rsidRPr="004A54FA">
        <w:t>:</w:t>
      </w:r>
      <w:r w:rsidRPr="004A54FA">
        <w:t xml:space="preserve"> </w:t>
      </w:r>
    </w:p>
    <w:p w14:paraId="47329CAE" w14:textId="1C62AFD9" w:rsidR="0057721F" w:rsidRPr="00147FAF" w:rsidRDefault="00CE1B16" w:rsidP="00147FAF">
      <w:pPr>
        <w:pStyle w:val="ListParagraph"/>
        <w:rPr>
          <w:sz w:val="18"/>
          <w:szCs w:val="18"/>
          <w:u w:val="none"/>
          <w:vertAlign w:val="baseline"/>
        </w:rPr>
      </w:pPr>
      <w:r w:rsidRPr="00147FAF">
        <w:rPr>
          <w:sz w:val="18"/>
          <w:szCs w:val="18"/>
          <w:u w:val="none"/>
          <w:vertAlign w:val="baseline"/>
        </w:rPr>
        <w:t xml:space="preserve">Share </w:t>
      </w:r>
      <w:r w:rsidR="00020275" w:rsidRPr="00147FAF">
        <w:rPr>
          <w:sz w:val="18"/>
          <w:szCs w:val="18"/>
          <w:u w:val="none"/>
          <w:vertAlign w:val="baseline"/>
        </w:rPr>
        <w:t xml:space="preserve">the learning objectives and reflect on </w:t>
      </w:r>
      <w:r w:rsidR="00BE1AA6" w:rsidRPr="00147FAF">
        <w:rPr>
          <w:sz w:val="18"/>
          <w:szCs w:val="18"/>
          <w:u w:val="none"/>
          <w:vertAlign w:val="baseline"/>
        </w:rPr>
        <w:t>the</w:t>
      </w:r>
      <w:r w:rsidR="006960C8" w:rsidRPr="00147FAF">
        <w:rPr>
          <w:sz w:val="18"/>
          <w:szCs w:val="18"/>
          <w:u w:val="none"/>
          <w:vertAlign w:val="baseline"/>
        </w:rPr>
        <w:t xml:space="preserve"> </w:t>
      </w:r>
      <w:r w:rsidR="00020275" w:rsidRPr="00147FAF">
        <w:rPr>
          <w:sz w:val="18"/>
          <w:szCs w:val="18"/>
          <w:u w:val="none"/>
          <w:vertAlign w:val="baseline"/>
        </w:rPr>
        <w:t>learning progress</w:t>
      </w:r>
      <w:r w:rsidR="006960C8" w:rsidRPr="00147FAF">
        <w:rPr>
          <w:sz w:val="18"/>
          <w:szCs w:val="18"/>
          <w:u w:val="none"/>
          <w:vertAlign w:val="baseline"/>
        </w:rPr>
        <w:t xml:space="preserve"> </w:t>
      </w:r>
      <w:r w:rsidR="00020275" w:rsidRPr="00147FAF">
        <w:rPr>
          <w:sz w:val="18"/>
          <w:szCs w:val="18"/>
          <w:u w:val="none"/>
          <w:vertAlign w:val="baseline"/>
        </w:rPr>
        <w:t>and</w:t>
      </w:r>
      <w:r w:rsidR="006960C8" w:rsidRPr="00147FAF">
        <w:rPr>
          <w:sz w:val="18"/>
          <w:szCs w:val="18"/>
          <w:u w:val="none"/>
          <w:vertAlign w:val="baseline"/>
        </w:rPr>
        <w:t xml:space="preserve"> what learning</w:t>
      </w:r>
      <w:r w:rsidR="00020275" w:rsidRPr="00147FAF">
        <w:rPr>
          <w:sz w:val="18"/>
          <w:szCs w:val="18"/>
          <w:u w:val="none"/>
          <w:vertAlign w:val="baseline"/>
        </w:rPr>
        <w:t xml:space="preserve"> is </w:t>
      </w:r>
      <w:r w:rsidR="006960C8" w:rsidRPr="00147FAF">
        <w:rPr>
          <w:sz w:val="18"/>
          <w:szCs w:val="18"/>
          <w:u w:val="none"/>
          <w:vertAlign w:val="baseline"/>
        </w:rPr>
        <w:t>yet to come</w:t>
      </w:r>
      <w:r w:rsidR="00020275" w:rsidRPr="00147FAF">
        <w:rPr>
          <w:sz w:val="18"/>
          <w:szCs w:val="18"/>
          <w:u w:val="none"/>
          <w:vertAlign w:val="baseline"/>
        </w:rPr>
        <w:t>.</w:t>
      </w:r>
    </w:p>
    <w:p w14:paraId="16765F9D" w14:textId="740FEE70" w:rsidR="00020275" w:rsidRPr="00147FAF" w:rsidRDefault="00CE1B16" w:rsidP="00147FAF">
      <w:pPr>
        <w:pStyle w:val="ListParagraph"/>
        <w:rPr>
          <w:sz w:val="18"/>
          <w:szCs w:val="18"/>
          <w:u w:val="none"/>
          <w:vertAlign w:val="baseline"/>
        </w:rPr>
      </w:pPr>
      <w:r w:rsidRPr="00147FAF">
        <w:rPr>
          <w:sz w:val="18"/>
          <w:szCs w:val="18"/>
          <w:u w:val="none"/>
          <w:vertAlign w:val="baseline"/>
        </w:rPr>
        <w:t>Negotiate</w:t>
      </w:r>
      <w:r w:rsidR="002479CE" w:rsidRPr="00147FAF">
        <w:rPr>
          <w:sz w:val="18"/>
          <w:szCs w:val="18"/>
          <w:u w:val="none"/>
          <w:vertAlign w:val="baseline"/>
        </w:rPr>
        <w:t xml:space="preserve"> realistic and challenging </w:t>
      </w:r>
      <w:r w:rsidR="009B0693" w:rsidRPr="00147FAF">
        <w:rPr>
          <w:sz w:val="18"/>
          <w:szCs w:val="18"/>
          <w:u w:val="none"/>
          <w:vertAlign w:val="baseline"/>
        </w:rPr>
        <w:t xml:space="preserve">learning </w:t>
      </w:r>
      <w:r w:rsidR="002479CE" w:rsidRPr="00147FAF">
        <w:rPr>
          <w:sz w:val="18"/>
          <w:szCs w:val="18"/>
          <w:u w:val="none"/>
          <w:vertAlign w:val="baseline"/>
        </w:rPr>
        <w:t>goals</w:t>
      </w:r>
      <w:r w:rsidR="004050B9" w:rsidRPr="00147FAF">
        <w:rPr>
          <w:sz w:val="18"/>
          <w:szCs w:val="18"/>
          <w:u w:val="none"/>
          <w:vertAlign w:val="baseline"/>
        </w:rPr>
        <w:t xml:space="preserve">. </w:t>
      </w:r>
    </w:p>
    <w:p w14:paraId="17253180" w14:textId="446B3517" w:rsidR="001E4660" w:rsidRPr="00147FAF" w:rsidRDefault="00CE1B16" w:rsidP="00147FAF">
      <w:pPr>
        <w:pStyle w:val="ListParagraph"/>
        <w:rPr>
          <w:sz w:val="18"/>
          <w:szCs w:val="18"/>
          <w:u w:val="none"/>
          <w:vertAlign w:val="baseline"/>
        </w:rPr>
      </w:pPr>
      <w:r w:rsidRPr="00147FAF">
        <w:rPr>
          <w:sz w:val="18"/>
          <w:szCs w:val="18"/>
          <w:u w:val="none"/>
          <w:vertAlign w:val="baseline"/>
        </w:rPr>
        <w:t>Support</w:t>
      </w:r>
      <w:r w:rsidR="009370FA" w:rsidRPr="00147FAF">
        <w:rPr>
          <w:sz w:val="18"/>
          <w:szCs w:val="18"/>
          <w:u w:val="none"/>
          <w:vertAlign w:val="baseline"/>
        </w:rPr>
        <w:t xml:space="preserve"> students to </w:t>
      </w:r>
      <w:r w:rsidR="008371A7" w:rsidRPr="00147FAF">
        <w:rPr>
          <w:sz w:val="18"/>
          <w:szCs w:val="18"/>
          <w:u w:val="none"/>
          <w:vertAlign w:val="baseline"/>
        </w:rPr>
        <w:t xml:space="preserve">focus </w:t>
      </w:r>
      <w:r w:rsidR="009370FA" w:rsidRPr="00147FAF">
        <w:rPr>
          <w:sz w:val="18"/>
          <w:szCs w:val="18"/>
          <w:u w:val="none"/>
          <w:vertAlign w:val="baseline"/>
        </w:rPr>
        <w:t xml:space="preserve">their efforts on </w:t>
      </w:r>
      <w:r w:rsidR="008371A7" w:rsidRPr="00147FAF">
        <w:rPr>
          <w:sz w:val="18"/>
          <w:szCs w:val="18"/>
          <w:u w:val="none"/>
          <w:vertAlign w:val="baseline"/>
        </w:rPr>
        <w:t xml:space="preserve">making learning gains </w:t>
      </w:r>
      <w:r w:rsidR="009370FA" w:rsidRPr="00147FAF">
        <w:rPr>
          <w:sz w:val="18"/>
          <w:szCs w:val="18"/>
          <w:u w:val="none"/>
          <w:vertAlign w:val="baseline"/>
        </w:rPr>
        <w:t>(</w:t>
      </w:r>
      <w:r w:rsidR="008371A7" w:rsidRPr="00147FAF">
        <w:rPr>
          <w:sz w:val="18"/>
          <w:szCs w:val="18"/>
          <w:u w:val="none"/>
          <w:vertAlign w:val="baseline"/>
        </w:rPr>
        <w:t>or progress</w:t>
      </w:r>
      <w:r w:rsidR="009370FA" w:rsidRPr="00147FAF">
        <w:rPr>
          <w:sz w:val="18"/>
          <w:szCs w:val="18"/>
          <w:u w:val="none"/>
          <w:vertAlign w:val="baseline"/>
        </w:rPr>
        <w:t>)</w:t>
      </w:r>
      <w:r w:rsidR="008371A7" w:rsidRPr="00147FAF">
        <w:rPr>
          <w:sz w:val="18"/>
          <w:szCs w:val="18"/>
          <w:u w:val="none"/>
          <w:vertAlign w:val="baseline"/>
        </w:rPr>
        <w:t xml:space="preserve"> as a measure of success, rather than </w:t>
      </w:r>
      <w:r w:rsidR="009370FA" w:rsidRPr="00147FAF">
        <w:rPr>
          <w:sz w:val="18"/>
          <w:szCs w:val="18"/>
          <w:u w:val="none"/>
          <w:vertAlign w:val="baseline"/>
        </w:rPr>
        <w:t xml:space="preserve">high </w:t>
      </w:r>
      <w:r w:rsidR="008371A7" w:rsidRPr="00147FAF">
        <w:rPr>
          <w:sz w:val="18"/>
          <w:szCs w:val="18"/>
          <w:u w:val="none"/>
          <w:vertAlign w:val="baseline"/>
        </w:rPr>
        <w:t>grades</w:t>
      </w:r>
      <w:r w:rsidR="004B2E15" w:rsidRPr="00147FAF">
        <w:rPr>
          <w:sz w:val="18"/>
          <w:szCs w:val="18"/>
          <w:u w:val="none"/>
          <w:vertAlign w:val="baseline"/>
        </w:rPr>
        <w:t>.</w:t>
      </w:r>
      <w:r w:rsidR="00020275" w:rsidRPr="00147FAF">
        <w:rPr>
          <w:sz w:val="18"/>
          <w:szCs w:val="18"/>
          <w:u w:val="none"/>
          <w:vertAlign w:val="baseline"/>
        </w:rPr>
        <w:t xml:space="preserve"> </w:t>
      </w:r>
    </w:p>
    <w:p w14:paraId="17D32DDF" w14:textId="20860EA8" w:rsidR="001E4660" w:rsidRPr="00147FAF" w:rsidRDefault="00CE1B16" w:rsidP="00147FAF">
      <w:pPr>
        <w:pStyle w:val="ListParagraph"/>
        <w:rPr>
          <w:sz w:val="18"/>
          <w:szCs w:val="18"/>
          <w:u w:val="none"/>
          <w:vertAlign w:val="baseline"/>
        </w:rPr>
      </w:pPr>
      <w:r w:rsidRPr="00147FAF">
        <w:rPr>
          <w:sz w:val="18"/>
          <w:szCs w:val="18"/>
          <w:u w:val="none"/>
          <w:vertAlign w:val="baseline"/>
        </w:rPr>
        <w:t>Provide</w:t>
      </w:r>
      <w:r w:rsidR="009370FA" w:rsidRPr="00147FAF">
        <w:rPr>
          <w:sz w:val="18"/>
          <w:szCs w:val="18"/>
          <w:u w:val="none"/>
          <w:vertAlign w:val="baseline"/>
        </w:rPr>
        <w:t xml:space="preserve"> </w:t>
      </w:r>
      <w:r w:rsidR="001E4660" w:rsidRPr="00147FAF">
        <w:rPr>
          <w:sz w:val="18"/>
          <w:szCs w:val="18"/>
          <w:u w:val="none"/>
          <w:vertAlign w:val="baseline"/>
        </w:rPr>
        <w:t>choice of content, process and product</w:t>
      </w:r>
      <w:r w:rsidR="009438DC" w:rsidRPr="00147FAF">
        <w:rPr>
          <w:sz w:val="18"/>
          <w:szCs w:val="18"/>
          <w:u w:val="none"/>
          <w:vertAlign w:val="baseline"/>
        </w:rPr>
        <w:t>.</w:t>
      </w:r>
    </w:p>
    <w:p w14:paraId="7062417D" w14:textId="38F1597F" w:rsidR="00CB02EC" w:rsidRPr="00CB02EC" w:rsidRDefault="00CE1B16" w:rsidP="00DB7EC8">
      <w:pPr>
        <w:pStyle w:val="ListParagraph"/>
        <w:rPr>
          <w:sz w:val="18"/>
          <w:szCs w:val="18"/>
          <w:u w:val="none"/>
          <w:vertAlign w:val="baseline"/>
        </w:rPr>
      </w:pPr>
      <w:r w:rsidRPr="00147FAF">
        <w:rPr>
          <w:sz w:val="18"/>
          <w:szCs w:val="18"/>
          <w:u w:val="none"/>
          <w:vertAlign w:val="baseline"/>
        </w:rPr>
        <w:t>Use</w:t>
      </w:r>
      <w:r w:rsidR="009370FA" w:rsidRPr="00147FAF">
        <w:rPr>
          <w:sz w:val="18"/>
          <w:szCs w:val="18"/>
          <w:u w:val="none"/>
          <w:vertAlign w:val="baseline"/>
        </w:rPr>
        <w:t xml:space="preserve"> a</w:t>
      </w:r>
      <w:r w:rsidR="001E4660" w:rsidRPr="00147FAF">
        <w:rPr>
          <w:sz w:val="18"/>
          <w:szCs w:val="18"/>
          <w:u w:val="none"/>
          <w:vertAlign w:val="baseline"/>
        </w:rPr>
        <w:t xml:space="preserve"> variety of collaborative, independent and teacher</w:t>
      </w:r>
      <w:r w:rsidR="004A54FA" w:rsidRPr="00147FAF">
        <w:rPr>
          <w:sz w:val="18"/>
          <w:szCs w:val="18"/>
          <w:u w:val="none"/>
          <w:vertAlign w:val="baseline"/>
        </w:rPr>
        <w:t>-</w:t>
      </w:r>
      <w:r w:rsidR="001E4660" w:rsidRPr="00147FAF">
        <w:rPr>
          <w:sz w:val="18"/>
          <w:szCs w:val="18"/>
          <w:u w:val="none"/>
          <w:vertAlign w:val="baseline"/>
        </w:rPr>
        <w:t xml:space="preserve">directed </w:t>
      </w:r>
      <w:r w:rsidR="006960C8" w:rsidRPr="00147FAF">
        <w:rPr>
          <w:sz w:val="18"/>
          <w:szCs w:val="18"/>
          <w:u w:val="none"/>
          <w:vertAlign w:val="baseline"/>
        </w:rPr>
        <w:t>instruction</w:t>
      </w:r>
      <w:r w:rsidR="001E4660" w:rsidRPr="00147FAF">
        <w:rPr>
          <w:sz w:val="18"/>
          <w:szCs w:val="18"/>
          <w:u w:val="none"/>
          <w:vertAlign w:val="baseline"/>
        </w:rPr>
        <w:t xml:space="preserve"> and a variety of activities</w:t>
      </w:r>
      <w:r w:rsidR="004A54FA" w:rsidRPr="00147FAF">
        <w:rPr>
          <w:sz w:val="18"/>
          <w:szCs w:val="18"/>
          <w:u w:val="none"/>
          <w:vertAlign w:val="baseline"/>
        </w:rPr>
        <w:t>:</w:t>
      </w:r>
      <w:r w:rsidR="001E4660" w:rsidRPr="00147FAF">
        <w:rPr>
          <w:sz w:val="18"/>
          <w:szCs w:val="18"/>
          <w:u w:val="none"/>
          <w:vertAlign w:val="baseline"/>
        </w:rPr>
        <w:t xml:space="preserve"> hands-on, </w:t>
      </w:r>
      <w:r w:rsidR="004A54FA" w:rsidRPr="00147FAF">
        <w:rPr>
          <w:sz w:val="18"/>
          <w:szCs w:val="18"/>
          <w:u w:val="none"/>
          <w:vertAlign w:val="baseline"/>
        </w:rPr>
        <w:t>writing</w:t>
      </w:r>
      <w:r w:rsidR="001E4660" w:rsidRPr="00147FAF">
        <w:rPr>
          <w:sz w:val="18"/>
          <w:szCs w:val="18"/>
          <w:u w:val="none"/>
          <w:vertAlign w:val="baseline"/>
        </w:rPr>
        <w:t xml:space="preserve"> and </w:t>
      </w:r>
      <w:r w:rsidR="004A54FA" w:rsidRPr="00147FAF">
        <w:rPr>
          <w:sz w:val="18"/>
          <w:szCs w:val="18"/>
          <w:u w:val="none"/>
          <w:vertAlign w:val="baseline"/>
        </w:rPr>
        <w:t>discussions.</w:t>
      </w:r>
    </w:p>
    <w:p w14:paraId="61361BC7" w14:textId="77777777" w:rsidR="00465B24" w:rsidRDefault="00465B24" w:rsidP="00DB7EC8"/>
    <w:p w14:paraId="5BE6A74C" w14:textId="1AAFB16B" w:rsidR="002479CE" w:rsidRPr="004A54FA" w:rsidRDefault="002479CE" w:rsidP="00465B24">
      <w:pPr>
        <w:spacing w:after="0"/>
      </w:pPr>
      <w:r w:rsidRPr="00BC3655">
        <w:t>Seek input from</w:t>
      </w:r>
      <w:r w:rsidR="004050B9" w:rsidRPr="00BC3655">
        <w:t xml:space="preserve"> colleagues</w:t>
      </w:r>
      <w:r w:rsidR="00CB02EC">
        <w:t xml:space="preserve">, access the expertise of your Professional Learning Community </w:t>
      </w:r>
      <w:r w:rsidR="004050B9" w:rsidRPr="00BC3655">
        <w:t>and/or learning specialists</w:t>
      </w:r>
      <w:r w:rsidRPr="00BC3655">
        <w:t xml:space="preserve"> in</w:t>
      </w:r>
      <w:r w:rsidRPr="004A54FA">
        <w:t xml:space="preserve"> your school,</w:t>
      </w:r>
      <w:r w:rsidR="004050B9" w:rsidRPr="004A54FA">
        <w:t xml:space="preserve"> </w:t>
      </w:r>
      <w:r w:rsidRPr="004A54FA">
        <w:t xml:space="preserve">to implement a range of teaching strategies that support the different </w:t>
      </w:r>
      <w:r w:rsidR="009438DC">
        <w:t>learning needs.</w:t>
      </w:r>
    </w:p>
    <w:p w14:paraId="6709E77A" w14:textId="6258DFBA" w:rsidR="00D570E8" w:rsidRPr="006B4196" w:rsidRDefault="001023E8" w:rsidP="0095620A">
      <w:pPr>
        <w:pStyle w:val="Heading2"/>
        <w:rPr>
          <w:color w:val="C00000"/>
        </w:rPr>
      </w:pPr>
      <w:r w:rsidRPr="006B4196">
        <w:rPr>
          <w:color w:val="C00000"/>
        </w:rPr>
        <w:t>Advice for school leaders</w:t>
      </w:r>
    </w:p>
    <w:p w14:paraId="3604F000" w14:textId="7E071FB3" w:rsidR="00DC5EC6" w:rsidRPr="00244D76" w:rsidRDefault="00DC5EC6" w:rsidP="001F17B2">
      <w:r w:rsidRPr="00244D76">
        <w:t>International evidence shows that increased funding targeted towards disadvantaged students improves educational outcomes</w:t>
      </w:r>
      <w:r w:rsidRPr="009438DC">
        <w:t>.</w:t>
      </w:r>
      <w:r w:rsidRPr="009438DC">
        <w:rPr>
          <w:rStyle w:val="FootnoteReference"/>
        </w:rPr>
        <w:footnoteReference w:id="14"/>
      </w:r>
      <w:r w:rsidRPr="009438DC">
        <w:t xml:space="preserve"> </w:t>
      </w:r>
      <w:r w:rsidRPr="00244D76">
        <w:t xml:space="preserve"> </w:t>
      </w:r>
      <w:r w:rsidR="00F076AF" w:rsidRPr="00F076AF">
        <w:rPr>
          <w:i/>
        </w:rPr>
        <w:t>The</w:t>
      </w:r>
      <w:r w:rsidR="00F076AF">
        <w:t xml:space="preserve"> </w:t>
      </w:r>
      <w:r w:rsidRPr="00244D76">
        <w:rPr>
          <w:i/>
        </w:rPr>
        <w:t>Equity Funding Planner</w:t>
      </w:r>
      <w:r w:rsidRPr="00244D76">
        <w:t xml:space="preserve"> in </w:t>
      </w:r>
      <w:r w:rsidRPr="00244D76">
        <w:rPr>
          <w:i/>
        </w:rPr>
        <w:t>SPOT</w:t>
      </w:r>
      <w:r w:rsidRPr="00244D76">
        <w:t xml:space="preserve"> can assist leaders to allocate equity funding to support initiatives and practices that improve learning outcomes for disadvantaged students. </w:t>
      </w:r>
    </w:p>
    <w:p w14:paraId="4C7B6157" w14:textId="077531D2" w:rsidR="00B2541D" w:rsidRPr="004A54FA" w:rsidRDefault="00B2541D" w:rsidP="001F17B2">
      <w:r w:rsidRPr="004A54FA">
        <w:t>Consider how groups of students who would benefit from differentiated interventions could be prioritised when developing your school’s Annual Implementation Plan and how best to use equity funding that your school may receive. Key questions to consider include:</w:t>
      </w:r>
    </w:p>
    <w:p w14:paraId="345216DB" w14:textId="0C2A77AC" w:rsidR="00B2541D" w:rsidRPr="00147FAF" w:rsidRDefault="001834A0" w:rsidP="00147FAF">
      <w:pPr>
        <w:pStyle w:val="ListParagraph"/>
        <w:numPr>
          <w:ilvl w:val="0"/>
          <w:numId w:val="6"/>
        </w:numPr>
        <w:rPr>
          <w:sz w:val="18"/>
          <w:szCs w:val="18"/>
          <w:u w:val="none"/>
          <w:vertAlign w:val="baseline"/>
        </w:rPr>
      </w:pPr>
      <w:r w:rsidRPr="00147FAF">
        <w:rPr>
          <w:sz w:val="18"/>
          <w:szCs w:val="18"/>
          <w:u w:val="none"/>
          <w:vertAlign w:val="baseline"/>
        </w:rPr>
        <w:t>W</w:t>
      </w:r>
      <w:r w:rsidR="00B2541D" w:rsidRPr="00147FAF">
        <w:rPr>
          <w:sz w:val="18"/>
          <w:szCs w:val="18"/>
          <w:u w:val="none"/>
          <w:vertAlign w:val="baseline"/>
        </w:rPr>
        <w:t>hether your organisational design and resource allocation are targeted to meet the needs of learners at risk of disengaging from school</w:t>
      </w:r>
    </w:p>
    <w:p w14:paraId="24BE5665" w14:textId="08B539CC" w:rsidR="00147FAF" w:rsidRPr="00172025" w:rsidRDefault="001834A0" w:rsidP="00172025">
      <w:pPr>
        <w:pStyle w:val="ListParagraph"/>
        <w:numPr>
          <w:ilvl w:val="0"/>
          <w:numId w:val="6"/>
        </w:numPr>
        <w:rPr>
          <w:sz w:val="18"/>
          <w:szCs w:val="18"/>
          <w:u w:val="none"/>
          <w:vertAlign w:val="baseline"/>
        </w:rPr>
      </w:pPr>
      <w:r w:rsidRPr="00147FAF">
        <w:rPr>
          <w:sz w:val="18"/>
          <w:szCs w:val="18"/>
          <w:u w:val="none"/>
          <w:vertAlign w:val="baseline"/>
        </w:rPr>
        <w:t>How</w:t>
      </w:r>
      <w:r w:rsidR="00B2541D" w:rsidRPr="00147FAF">
        <w:rPr>
          <w:sz w:val="18"/>
          <w:szCs w:val="18"/>
          <w:u w:val="none"/>
          <w:vertAlign w:val="baseline"/>
        </w:rPr>
        <w:t xml:space="preserve"> your school’s leadership structure and workforce can better support gains in student achievement, engagement and wellbeing.</w:t>
      </w:r>
    </w:p>
    <w:p w14:paraId="46738001" w14:textId="1D8D6B65" w:rsidR="0026212F" w:rsidRPr="004A54FA" w:rsidRDefault="00D62870" w:rsidP="00172025">
      <w:pPr>
        <w:spacing w:before="240"/>
      </w:pPr>
      <w:r w:rsidRPr="004A54FA">
        <w:t>Using a</w:t>
      </w:r>
      <w:r w:rsidR="0026212F" w:rsidRPr="004A54FA">
        <w:t xml:space="preserve"> Response to Intervention</w:t>
      </w:r>
      <w:r w:rsidR="00F076AF">
        <w:t xml:space="preserve"> (RTI)</w:t>
      </w:r>
      <w:r w:rsidR="0026212F" w:rsidRPr="004A54FA">
        <w:t xml:space="preserve"> framework</w:t>
      </w:r>
      <w:r w:rsidR="00417081">
        <w:t xml:space="preserve"> is an effective whole-</w:t>
      </w:r>
      <w:r w:rsidRPr="004A54FA">
        <w:t>school approach</w:t>
      </w:r>
      <w:r w:rsidR="0026212F" w:rsidRPr="004A54FA">
        <w:t xml:space="preserve"> to </w:t>
      </w:r>
      <w:r w:rsidR="006960C8" w:rsidRPr="004A54FA">
        <w:t>differentiated</w:t>
      </w:r>
      <w:r w:rsidR="0026212F" w:rsidRPr="004A54FA">
        <w:t xml:space="preserve"> teaching and learning practices. RTI </w:t>
      </w:r>
      <w:r w:rsidRPr="004A54FA">
        <w:t xml:space="preserve">relies on primary prevention </w:t>
      </w:r>
      <w:r w:rsidR="008E4314">
        <w:lastRenderedPageBreak/>
        <w:t>through</w:t>
      </w:r>
      <w:r w:rsidRPr="004A54FA">
        <w:t xml:space="preserve"> the</w:t>
      </w:r>
      <w:r w:rsidR="0026212F" w:rsidRPr="004A54FA">
        <w:t xml:space="preserve"> provision of consistent, quality </w:t>
      </w:r>
      <w:r w:rsidR="006960C8" w:rsidRPr="004A54FA">
        <w:t>differentiated</w:t>
      </w:r>
      <w:r w:rsidR="0026212F" w:rsidRPr="004A54FA">
        <w:t xml:space="preserve"> teaching practices for </w:t>
      </w:r>
      <w:r w:rsidR="0026212F" w:rsidRPr="00244D76">
        <w:rPr>
          <w:u w:val="single"/>
        </w:rPr>
        <w:t>all</w:t>
      </w:r>
      <w:r w:rsidR="008E4314">
        <w:t xml:space="preserve"> students, followed by</w:t>
      </w:r>
      <w:r w:rsidR="0026212F" w:rsidRPr="004A54FA">
        <w:t xml:space="preserve"> learning interventions to address learning gaps for </w:t>
      </w:r>
      <w:r w:rsidR="0026212F" w:rsidRPr="00244D76">
        <w:rPr>
          <w:u w:val="single"/>
        </w:rPr>
        <w:t>some</w:t>
      </w:r>
      <w:r w:rsidR="00417081">
        <w:t xml:space="preserve"> students.</w:t>
      </w:r>
      <w:r w:rsidR="00417081">
        <w:rPr>
          <w:rStyle w:val="FootnoteReference"/>
        </w:rPr>
        <w:footnoteReference w:id="15"/>
      </w:r>
    </w:p>
    <w:p w14:paraId="3A7212E3" w14:textId="080C16B6" w:rsidR="0026212F" w:rsidRPr="004A54FA" w:rsidRDefault="00BE2DD9" w:rsidP="001F17B2">
      <w:r>
        <w:t xml:space="preserve">Additional data is now available to school leaders through the </w:t>
      </w:r>
      <w:r w:rsidR="00405180" w:rsidRPr="007B1384">
        <w:t>Panorama Dashboards</w:t>
      </w:r>
      <w:r w:rsidR="00405180">
        <w:t xml:space="preserve"> </w:t>
      </w:r>
      <w:r>
        <w:t>that individually identif</w:t>
      </w:r>
      <w:r w:rsidR="009F5BC4">
        <w:t>ies</w:t>
      </w:r>
      <w:r>
        <w:t xml:space="preserve"> students considered as ‘disadvantaged’ and who</w:t>
      </w:r>
      <w:r w:rsidR="007B1384">
        <w:t xml:space="preserve"> attract</w:t>
      </w:r>
      <w:r>
        <w:t xml:space="preserve"> equity funding. </w:t>
      </w:r>
      <w:r w:rsidR="0026212F" w:rsidRPr="004A54FA">
        <w:t>Us</w:t>
      </w:r>
      <w:r>
        <w:t>ing</w:t>
      </w:r>
      <w:r w:rsidR="0026212F" w:rsidRPr="004A54FA">
        <w:t xml:space="preserve"> </w:t>
      </w:r>
      <w:r>
        <w:t>this information alongside other sources</w:t>
      </w:r>
      <w:r w:rsidR="0026212F" w:rsidRPr="004A54FA">
        <w:t xml:space="preserve"> of data </w:t>
      </w:r>
      <w:r>
        <w:t>can help school leaders</w:t>
      </w:r>
      <w:r w:rsidR="0026212F" w:rsidRPr="004A54FA">
        <w:t xml:space="preserve"> identify students</w:t>
      </w:r>
      <w:r w:rsidR="001C0D71">
        <w:t xml:space="preserve"> r</w:t>
      </w:r>
      <w:r w:rsidR="007B1384">
        <w:t>equiring extra support to reach their potential.</w:t>
      </w:r>
      <w:r>
        <w:t xml:space="preserve"> </w:t>
      </w:r>
      <w:r w:rsidR="008E4314">
        <w:t>Leaders</w:t>
      </w:r>
      <w:r w:rsidR="000C61C2">
        <w:t xml:space="preserve"> can</w:t>
      </w:r>
      <w:r w:rsidR="008E4314">
        <w:t xml:space="preserve"> then tailor programs, </w:t>
      </w:r>
      <w:r w:rsidR="0026212F" w:rsidRPr="004A54FA">
        <w:t>interventions</w:t>
      </w:r>
      <w:r>
        <w:t xml:space="preserve"> and initiatives to address their disengagement</w:t>
      </w:r>
      <w:r w:rsidR="0026212F" w:rsidRPr="004A54FA">
        <w:t xml:space="preserve">. Sources of data could include Panorama Dashboards, Attitudes to School Survey data, </w:t>
      </w:r>
      <w:r w:rsidR="00310CFC">
        <w:t>O</w:t>
      </w:r>
      <w:r>
        <w:t>n-</w:t>
      </w:r>
      <w:r w:rsidR="00310CFC">
        <w:t>D</w:t>
      </w:r>
      <w:r w:rsidR="00D038AC" w:rsidRPr="00D038AC">
        <w:t>emand data</w:t>
      </w:r>
      <w:r w:rsidR="00D038AC">
        <w:t xml:space="preserve">, </w:t>
      </w:r>
      <w:r w:rsidR="0026212F" w:rsidRPr="004A54FA">
        <w:t xml:space="preserve">attendance data and direct feedback from students. </w:t>
      </w:r>
    </w:p>
    <w:p w14:paraId="2AE4BE35" w14:textId="4F153854" w:rsidR="00BE2DD9" w:rsidRDefault="00244D76" w:rsidP="001F17B2">
      <w:r>
        <w:t xml:space="preserve">Promote the use of diagnostic tests and tools for teachers and specialist staff </w:t>
      </w:r>
      <w:r w:rsidR="008E4314">
        <w:t>with</w:t>
      </w:r>
      <w:r>
        <w:t xml:space="preserve"> students who are showing limited or no learning growth, to determine their specific learning gaps. </w:t>
      </w:r>
    </w:p>
    <w:p w14:paraId="347E7268" w14:textId="44BB468A" w:rsidR="00B2541D" w:rsidRPr="004A54FA" w:rsidRDefault="00B2541D" w:rsidP="001F17B2">
      <w:r w:rsidRPr="004A54FA">
        <w:t>Prioritise</w:t>
      </w:r>
      <w:r w:rsidR="00244D76">
        <w:t xml:space="preserve"> intervention</w:t>
      </w:r>
      <w:r w:rsidRPr="004A54FA">
        <w:t xml:space="preserve"> support</w:t>
      </w:r>
      <w:r w:rsidR="00244D76">
        <w:t xml:space="preserve"> from trained staff </w:t>
      </w:r>
      <w:r w:rsidR="001B71F9">
        <w:t>with</w:t>
      </w:r>
      <w:r w:rsidRPr="004A54FA">
        <w:t xml:space="preserve"> </w:t>
      </w:r>
      <w:r w:rsidR="000C61C2">
        <w:t xml:space="preserve">small group </w:t>
      </w:r>
      <w:r w:rsidR="001B71F9">
        <w:t>and individual students</w:t>
      </w:r>
      <w:r w:rsidR="00244D76">
        <w:t xml:space="preserve"> in and out of class</w:t>
      </w:r>
      <w:r w:rsidRPr="004A54FA">
        <w:t xml:space="preserve">. </w:t>
      </w:r>
    </w:p>
    <w:p w14:paraId="7649C865" w14:textId="65C4EA33" w:rsidR="0026212F" w:rsidRPr="004A54FA" w:rsidRDefault="0026212F" w:rsidP="001F17B2">
      <w:r w:rsidRPr="004A54FA">
        <w:t xml:space="preserve">Support teachers to develop </w:t>
      </w:r>
      <w:r w:rsidR="000C61C2">
        <w:t>effective</w:t>
      </w:r>
      <w:r w:rsidRPr="004A54FA">
        <w:t xml:space="preserve"> </w:t>
      </w:r>
      <w:r w:rsidR="006960C8" w:rsidRPr="004A54FA">
        <w:t>differentiated</w:t>
      </w:r>
      <w:r w:rsidRPr="004A54FA">
        <w:t xml:space="preserve"> </w:t>
      </w:r>
      <w:r w:rsidR="000C61C2">
        <w:t xml:space="preserve">instructional </w:t>
      </w:r>
      <w:r w:rsidRPr="004A54FA">
        <w:t xml:space="preserve">practices </w:t>
      </w:r>
      <w:r w:rsidR="000C61C2">
        <w:t>by resourcing</w:t>
      </w:r>
      <w:r w:rsidRPr="004A54FA">
        <w:t xml:space="preserve"> </w:t>
      </w:r>
      <w:r w:rsidR="005150D5" w:rsidRPr="004A54FA">
        <w:t>professional development in areas</w:t>
      </w:r>
      <w:r w:rsidR="008E4314">
        <w:t xml:space="preserve"> such as data literacy, using explicit</w:t>
      </w:r>
      <w:r w:rsidR="005150D5" w:rsidRPr="004A54FA">
        <w:t xml:space="preserve"> instruction</w:t>
      </w:r>
      <w:r w:rsidR="00D038AC">
        <w:t xml:space="preserve"> </w:t>
      </w:r>
      <w:r w:rsidR="008E4314">
        <w:t>and</w:t>
      </w:r>
      <w:r w:rsidR="00D038AC" w:rsidRPr="00D038AC">
        <w:t xml:space="preserve"> quality formative assessment for learning</w:t>
      </w:r>
      <w:r w:rsidR="000C61C2">
        <w:t>.</w:t>
      </w:r>
    </w:p>
    <w:p w14:paraId="2211F3D4" w14:textId="1D6A82EE" w:rsidR="0040348A" w:rsidRPr="0040348A" w:rsidRDefault="0040348A" w:rsidP="001F17B2">
      <w:r w:rsidRPr="0040348A">
        <w:t>Encourage staff to use existing initiatives</w:t>
      </w:r>
      <w:r w:rsidR="00D038AC">
        <w:t xml:space="preserve"> </w:t>
      </w:r>
      <w:r w:rsidRPr="0040348A">
        <w:t xml:space="preserve">within the school </w:t>
      </w:r>
      <w:r w:rsidR="008E4314">
        <w:t>to</w:t>
      </w:r>
      <w:r w:rsidRPr="0040348A">
        <w:t xml:space="preserve"> plan and facilitat</w:t>
      </w:r>
      <w:r w:rsidR="008E4314">
        <w:t>e</w:t>
      </w:r>
      <w:r w:rsidRPr="0040348A">
        <w:t xml:space="preserve"> group interventions to </w:t>
      </w:r>
      <w:r w:rsidR="001B71F9">
        <w:t>address</w:t>
      </w:r>
      <w:r w:rsidRPr="0040348A">
        <w:t xml:space="preserve"> learning difficulties. For example, this could be undertaken within a Professional Le</w:t>
      </w:r>
      <w:r w:rsidR="008E4314">
        <w:t>arning Community or by Literacy/</w:t>
      </w:r>
      <w:r w:rsidRPr="0040348A">
        <w:t xml:space="preserve">Numeracy Improvement Teachers </w:t>
      </w:r>
      <w:r w:rsidR="008E4314">
        <w:t>(</w:t>
      </w:r>
      <w:r w:rsidRPr="0040348A">
        <w:t>secondary setting</w:t>
      </w:r>
      <w:r w:rsidR="008E4314">
        <w:t>)</w:t>
      </w:r>
      <w:r w:rsidR="000C61C2">
        <w:t>.</w:t>
      </w:r>
    </w:p>
    <w:p w14:paraId="5C22DE5C" w14:textId="1A2D95D7" w:rsidR="00947B0B" w:rsidRPr="0040348A" w:rsidRDefault="0040348A" w:rsidP="001F17B2">
      <w:r w:rsidRPr="0040348A">
        <w:t xml:space="preserve">Encourage collaboration among teaching staff and </w:t>
      </w:r>
      <w:r w:rsidR="00B2541D">
        <w:t>instructional specialist</w:t>
      </w:r>
      <w:r w:rsidRPr="0040348A">
        <w:t xml:space="preserve">s to implement a range of teaching strategies to support planning and </w:t>
      </w:r>
      <w:r w:rsidR="00417081">
        <w:t>implementation</w:t>
      </w:r>
      <w:r w:rsidRPr="0040348A">
        <w:t xml:space="preserve"> of different learning programs to address students’ individual learning needs. The Victorian Teaching and Learning Model is a useful resource to guide these collaborations.</w:t>
      </w:r>
    </w:p>
    <w:p w14:paraId="4EBBEA0E" w14:textId="39333498" w:rsidR="0040348A" w:rsidRPr="00244D76" w:rsidRDefault="0040348A" w:rsidP="001F17B2">
      <w:pPr>
        <w:rPr>
          <w:rStyle w:val="Hyperlink"/>
          <w:color w:val="auto"/>
          <w:u w:val="none"/>
        </w:rPr>
      </w:pPr>
      <w:r w:rsidRPr="0040348A">
        <w:t>Use the High Impact Teaching Strategies (HITS</w:t>
      </w:r>
      <w:r w:rsidR="001B71F9">
        <w:t xml:space="preserve"> 10</w:t>
      </w:r>
      <w:r w:rsidRPr="0040348A">
        <w:t>) continuum of practice to reflect on whole</w:t>
      </w:r>
      <w:r w:rsidR="00DB7EC8">
        <w:t>-</w:t>
      </w:r>
      <w:r w:rsidRPr="0040348A">
        <w:t>school practices and to promote common understanding of what excellent differ</w:t>
      </w:r>
      <w:r w:rsidR="001B71F9">
        <w:t>entiated teaching may look like.</w:t>
      </w:r>
    </w:p>
    <w:p w14:paraId="35C14C5C" w14:textId="652CB0B8" w:rsidR="00E33CBD" w:rsidRPr="00DB5F90" w:rsidRDefault="00E33CBD" w:rsidP="0095620A">
      <w:pPr>
        <w:pStyle w:val="Heading2"/>
        <w:rPr>
          <w:sz w:val="22"/>
          <w:szCs w:val="22"/>
        </w:rPr>
      </w:pPr>
      <w:r w:rsidRPr="00DB5F90">
        <w:rPr>
          <w:sz w:val="22"/>
          <w:szCs w:val="22"/>
        </w:rPr>
        <w:t>Illustrations of practice</w:t>
      </w:r>
    </w:p>
    <w:p w14:paraId="74AE6363" w14:textId="0250EA17" w:rsidR="00DB5F90" w:rsidRDefault="00DB5F90" w:rsidP="00010983">
      <w:pPr>
        <w:autoSpaceDE w:val="0"/>
        <w:autoSpaceDN w:val="0"/>
        <w:adjustRightInd w:val="0"/>
        <w:spacing w:after="0" w:line="240" w:lineRule="auto"/>
        <w:rPr>
          <w:rFonts w:ascii="Helvetica" w:hAnsi="Helvetica" w:cs="Helvetica"/>
          <w:b/>
          <w:i/>
          <w:color w:val="AF272F" w:themeColor="accent1"/>
        </w:rPr>
      </w:pPr>
    </w:p>
    <w:p w14:paraId="48B7F5DA" w14:textId="774312AC" w:rsidR="00412495" w:rsidRDefault="00FB365B" w:rsidP="00412495">
      <w:pPr>
        <w:autoSpaceDE w:val="0"/>
        <w:autoSpaceDN w:val="0"/>
        <w:adjustRightInd w:val="0"/>
        <w:spacing w:after="0"/>
        <w:rPr>
          <w:rFonts w:ascii="Helvetica" w:hAnsi="Helvetica" w:cs="Helvetica"/>
        </w:rPr>
      </w:pPr>
      <w:r w:rsidRPr="00FB365B">
        <w:rPr>
          <w:rFonts w:ascii="Helvetica" w:hAnsi="Helvetica" w:cs="Helvetica"/>
          <w:b/>
          <w:color w:val="AF272F" w:themeColor="accent1"/>
        </w:rPr>
        <w:t>Case Study:</w:t>
      </w:r>
      <w:r w:rsidRPr="00FB365B">
        <w:rPr>
          <w:rFonts w:ascii="Helvetica" w:hAnsi="Helvetica" w:cs="Helvetica"/>
          <w:color w:val="AF272F" w:themeColor="accent1"/>
        </w:rPr>
        <w:t xml:space="preserve"> </w:t>
      </w:r>
      <w:r w:rsidR="00412495" w:rsidRPr="00FB365B">
        <w:rPr>
          <w:rFonts w:ascii="Helvetica" w:hAnsi="Helvetica" w:cs="Helvetica"/>
          <w:b/>
        </w:rPr>
        <w:t>Diggers Rest Primary School</w:t>
      </w:r>
      <w:r w:rsidR="00412495" w:rsidRPr="00DB5F90">
        <w:rPr>
          <w:rFonts w:ascii="Helvetica" w:hAnsi="Helvetica" w:cs="Helvetica"/>
        </w:rPr>
        <w:t xml:space="preserve"> </w:t>
      </w:r>
      <w:r w:rsidR="00412495">
        <w:rPr>
          <w:rFonts w:ascii="Helvetica" w:hAnsi="Helvetica" w:cs="Helvetica"/>
        </w:rPr>
        <w:t xml:space="preserve">is a small </w:t>
      </w:r>
      <w:r>
        <w:rPr>
          <w:rFonts w:ascii="Helvetica" w:hAnsi="Helvetica" w:cs="Helvetica"/>
        </w:rPr>
        <w:t xml:space="preserve"> </w:t>
      </w:r>
      <w:r w:rsidR="00412495">
        <w:rPr>
          <w:rFonts w:ascii="Helvetica" w:hAnsi="Helvetica" w:cs="Helvetica"/>
        </w:rPr>
        <w:t xml:space="preserve"> school in the South West Region that has experienced significant growth in recent years</w:t>
      </w:r>
      <w:r w:rsidR="00412495" w:rsidRPr="00536FDC">
        <w:rPr>
          <w:rFonts w:ascii="Helvetica" w:hAnsi="Helvetica" w:cs="Helvetica"/>
        </w:rPr>
        <w:t xml:space="preserve"> </w:t>
      </w:r>
      <w:r w:rsidR="00412495">
        <w:rPr>
          <w:rFonts w:ascii="Helvetica" w:hAnsi="Helvetica" w:cs="Helvetica"/>
        </w:rPr>
        <w:t>from a school of 68 to its current enrolment of 265 students. While the student population may have changed, a school-wide focus on quality dif</w:t>
      </w:r>
      <w:r w:rsidR="009F5BC4">
        <w:rPr>
          <w:rFonts w:ascii="Helvetica" w:hAnsi="Helvetica" w:cs="Helvetica"/>
        </w:rPr>
        <w:t>ferentiated teacher instruction</w:t>
      </w:r>
      <w:r w:rsidR="00412495">
        <w:rPr>
          <w:rFonts w:ascii="Helvetica" w:hAnsi="Helvetica" w:cs="Helvetica"/>
        </w:rPr>
        <w:t xml:space="preserve"> has </w:t>
      </w:r>
      <w:r w:rsidR="00417081">
        <w:rPr>
          <w:rFonts w:ascii="Helvetica" w:hAnsi="Helvetica" w:cs="Helvetica"/>
        </w:rPr>
        <w:t>enabled</w:t>
      </w:r>
      <w:r w:rsidR="00412495">
        <w:rPr>
          <w:rFonts w:ascii="Helvetica" w:hAnsi="Helvetica" w:cs="Helvetica"/>
        </w:rPr>
        <w:t xml:space="preserve"> all students </w:t>
      </w:r>
      <w:r w:rsidR="00417081">
        <w:rPr>
          <w:rFonts w:ascii="Helvetica" w:hAnsi="Helvetica" w:cs="Helvetica"/>
        </w:rPr>
        <w:t xml:space="preserve">to </w:t>
      </w:r>
      <w:r w:rsidR="00412495">
        <w:rPr>
          <w:rFonts w:ascii="Helvetica" w:hAnsi="Helvetica" w:cs="Helvetica"/>
        </w:rPr>
        <w:t>participate in a learning program that caters for their individual needs. This approach has had very positive impact on the students</w:t>
      </w:r>
      <w:r w:rsidR="00417081">
        <w:rPr>
          <w:rFonts w:ascii="Helvetica" w:hAnsi="Helvetica" w:cs="Helvetica"/>
        </w:rPr>
        <w:t>’</w:t>
      </w:r>
      <w:r w:rsidR="00412495">
        <w:rPr>
          <w:rFonts w:ascii="Helvetica" w:hAnsi="Helvetica" w:cs="Helvetica"/>
        </w:rPr>
        <w:t xml:space="preserve"> learning confidence and their literacy and numeracy skills. </w:t>
      </w:r>
    </w:p>
    <w:p w14:paraId="0A2DE398" w14:textId="77777777" w:rsidR="00DB5F90" w:rsidRDefault="00DB5F90" w:rsidP="00DB5F90">
      <w:pPr>
        <w:autoSpaceDE w:val="0"/>
        <w:autoSpaceDN w:val="0"/>
        <w:adjustRightInd w:val="0"/>
        <w:spacing w:after="0" w:line="240" w:lineRule="auto"/>
        <w:rPr>
          <w:rFonts w:ascii="Helvetica" w:hAnsi="Helvetica" w:cs="Helvetica"/>
        </w:rPr>
      </w:pPr>
    </w:p>
    <w:p w14:paraId="4F45A6B3" w14:textId="4F983B88" w:rsidR="001B71F9" w:rsidRPr="006B4196" w:rsidRDefault="00BC63FD" w:rsidP="001B71F9">
      <w:pPr>
        <w:autoSpaceDE w:val="0"/>
        <w:autoSpaceDN w:val="0"/>
        <w:adjustRightInd w:val="0"/>
        <w:spacing w:after="0"/>
        <w:rPr>
          <w:rFonts w:ascii="Helvetica" w:hAnsi="Helvetica" w:cs="Helvetica"/>
          <w:b/>
          <w:i/>
          <w:color w:val="C00000"/>
        </w:rPr>
      </w:pPr>
      <w:r>
        <w:rPr>
          <w:b/>
          <w:color w:val="C00000"/>
        </w:rPr>
        <w:t>Read the case study</w:t>
      </w:r>
      <w:r w:rsidR="00FB365B" w:rsidRPr="006B4196">
        <w:rPr>
          <w:b/>
          <w:color w:val="C00000"/>
        </w:rPr>
        <w:t xml:space="preserve">: </w:t>
      </w:r>
      <w:hyperlink r:id="rId12" w:history="1">
        <w:r w:rsidR="001B71F9" w:rsidRPr="00BC63FD">
          <w:rPr>
            <w:rStyle w:val="Hyperlink"/>
            <w:rFonts w:ascii="Helvetica" w:hAnsi="Helvetica" w:cs="Helvetica"/>
            <w:b/>
            <w:i/>
          </w:rPr>
          <w:t xml:space="preserve">Using data </w:t>
        </w:r>
        <w:r w:rsidR="006B4196" w:rsidRPr="00BC63FD">
          <w:rPr>
            <w:rStyle w:val="Hyperlink"/>
            <w:rFonts w:ascii="Helvetica" w:hAnsi="Helvetica" w:cs="Helvetica"/>
            <w:b/>
            <w:i/>
          </w:rPr>
          <w:t xml:space="preserve">to </w:t>
        </w:r>
        <w:r w:rsidR="009F5BC4" w:rsidRPr="00BC63FD">
          <w:rPr>
            <w:rStyle w:val="Hyperlink"/>
            <w:rFonts w:ascii="Helvetica" w:hAnsi="Helvetica" w:cs="Helvetica"/>
            <w:b/>
            <w:i/>
          </w:rPr>
          <w:t>d</w:t>
        </w:r>
        <w:r w:rsidR="006B4196" w:rsidRPr="00BC63FD">
          <w:rPr>
            <w:rStyle w:val="Hyperlink"/>
            <w:rFonts w:ascii="Helvetica" w:hAnsi="Helvetica" w:cs="Helvetica"/>
            <w:b/>
            <w:i/>
          </w:rPr>
          <w:t>rive</w:t>
        </w:r>
        <w:r w:rsidR="001B71F9" w:rsidRPr="00BC63FD">
          <w:rPr>
            <w:rStyle w:val="Hyperlink"/>
            <w:rFonts w:ascii="Helvetica" w:hAnsi="Helvetica" w:cs="Helvetica"/>
            <w:b/>
            <w:i/>
          </w:rPr>
          <w:t xml:space="preserve"> differentiated </w:t>
        </w:r>
        <w:r w:rsidR="006B4196" w:rsidRPr="00BC63FD">
          <w:rPr>
            <w:rStyle w:val="Hyperlink"/>
            <w:rFonts w:ascii="Helvetica" w:hAnsi="Helvetica" w:cs="Helvetica"/>
            <w:b/>
            <w:i/>
          </w:rPr>
          <w:t>teacher practice</w:t>
        </w:r>
      </w:hyperlink>
      <w:r w:rsidR="001B71F9" w:rsidRPr="006B4196">
        <w:rPr>
          <w:rFonts w:ascii="Helvetica" w:hAnsi="Helvetica" w:cs="Helvetica"/>
          <w:b/>
          <w:i/>
          <w:color w:val="C00000"/>
        </w:rPr>
        <w:t xml:space="preserve"> </w:t>
      </w:r>
    </w:p>
    <w:p w14:paraId="612FE4C6" w14:textId="629BA2F1" w:rsidR="00E23B79" w:rsidRPr="006B4196" w:rsidRDefault="005D6AF3" w:rsidP="00E23B79">
      <w:pPr>
        <w:pStyle w:val="Heading2"/>
        <w:rPr>
          <w:color w:val="C00000"/>
        </w:rPr>
      </w:pPr>
      <w:r w:rsidRPr="006B4196">
        <w:rPr>
          <w:color w:val="C00000"/>
        </w:rPr>
        <w:t>START A CONVERSATION</w:t>
      </w:r>
    </w:p>
    <w:p w14:paraId="176B93FD" w14:textId="29150EBC" w:rsidR="005D6AF3" w:rsidRDefault="005D6AF3" w:rsidP="005D6AF3">
      <w:pPr>
        <w:autoSpaceDE w:val="0"/>
        <w:autoSpaceDN w:val="0"/>
        <w:adjustRightInd w:val="0"/>
        <w:spacing w:after="0" w:line="240" w:lineRule="auto"/>
        <w:rPr>
          <w:rFonts w:ascii="Helvetica" w:hAnsi="Helvetica" w:cs="Helvetica"/>
        </w:rPr>
      </w:pPr>
      <w:r>
        <w:rPr>
          <w:rFonts w:ascii="Helvetica" w:hAnsi="Helvetica" w:cs="Helvetica"/>
        </w:rPr>
        <w:t>The questions below offer conversation starters for group</w:t>
      </w:r>
      <w:r w:rsidR="00E040D4">
        <w:rPr>
          <w:rFonts w:ascii="Helvetica" w:hAnsi="Helvetica" w:cs="Helvetica"/>
        </w:rPr>
        <w:t xml:space="preserve"> discussions</w:t>
      </w:r>
      <w:r>
        <w:rPr>
          <w:rFonts w:ascii="Helvetica" w:hAnsi="Helvetica" w:cs="Helvetica"/>
        </w:rPr>
        <w:t xml:space="preserve"> in Professional Learning Communities,</w:t>
      </w:r>
    </w:p>
    <w:p w14:paraId="2399FB7A" w14:textId="3067B052" w:rsidR="005D6AF3" w:rsidRPr="005F0E48" w:rsidRDefault="005D6AF3" w:rsidP="005F0E48">
      <w:pPr>
        <w:autoSpaceDE w:val="0"/>
        <w:autoSpaceDN w:val="0"/>
        <w:adjustRightInd w:val="0"/>
        <w:spacing w:after="0" w:line="240" w:lineRule="auto"/>
        <w:rPr>
          <w:rStyle w:val="Hyperlink"/>
          <w:rFonts w:ascii="Helvetica" w:hAnsi="Helvetica" w:cs="Helvetica"/>
          <w:color w:val="auto"/>
          <w:u w:val="none"/>
        </w:rPr>
      </w:pPr>
      <w:r>
        <w:rPr>
          <w:rFonts w:ascii="Helvetica" w:hAnsi="Helvetica" w:cs="Helvetica"/>
        </w:rPr>
        <w:t>Communities of Practice, teaching teams,</w:t>
      </w:r>
      <w:r w:rsidR="008E1080">
        <w:rPr>
          <w:rFonts w:ascii="Helvetica" w:hAnsi="Helvetica" w:cs="Helvetica"/>
        </w:rPr>
        <w:t xml:space="preserve"> </w:t>
      </w:r>
      <w:r>
        <w:rPr>
          <w:rFonts w:ascii="Helvetica" w:hAnsi="Helvetica" w:cs="Helvetica"/>
        </w:rPr>
        <w:t>or individual conversations with learning specialists and other teachers:</w:t>
      </w:r>
      <w:r w:rsidR="005F0E48" w:rsidRPr="005F0E48">
        <w:rPr>
          <w:rStyle w:val="Hyperlink"/>
          <w:rFonts w:ascii="Helvetica" w:hAnsi="Helvetica" w:cs="Helvetica"/>
          <w:color w:val="auto"/>
          <w:u w:val="none"/>
        </w:rPr>
        <w:t xml:space="preserve"> </w:t>
      </w:r>
    </w:p>
    <w:p w14:paraId="635D6544" w14:textId="00506914" w:rsidR="005F0E48" w:rsidRPr="0062216D" w:rsidRDefault="005F0E48" w:rsidP="00147FAF">
      <w:pPr>
        <w:pStyle w:val="ListParagraph"/>
        <w:rPr>
          <w:rStyle w:val="Hyperlink"/>
          <w:rFonts w:ascii="Helvetica" w:hAnsi="Helvetica" w:cs="Helvetica"/>
          <w:color w:val="auto"/>
          <w:sz w:val="18"/>
          <w:szCs w:val="18"/>
          <w:u w:val="none"/>
          <w:vertAlign w:val="baseline"/>
        </w:rPr>
      </w:pPr>
      <w:r w:rsidRPr="0062216D">
        <w:rPr>
          <w:rStyle w:val="Hyperlink"/>
          <w:rFonts w:ascii="Helvetica" w:hAnsi="Helvetica" w:cs="Helvetica"/>
          <w:color w:val="auto"/>
          <w:sz w:val="18"/>
          <w:szCs w:val="18"/>
          <w:u w:val="none"/>
          <w:vertAlign w:val="baseline"/>
        </w:rPr>
        <w:t>How can we assess prior knowledge?</w:t>
      </w:r>
    </w:p>
    <w:p w14:paraId="27DBE12F" w14:textId="07C6F595" w:rsidR="00FE5B8A" w:rsidRPr="0062216D" w:rsidRDefault="00FE5B8A" w:rsidP="00147FAF">
      <w:pPr>
        <w:pStyle w:val="ListParagraph"/>
        <w:rPr>
          <w:rStyle w:val="Hyperlink"/>
          <w:rFonts w:ascii="Helvetica" w:hAnsi="Helvetica" w:cs="Helvetica"/>
          <w:color w:val="auto"/>
          <w:sz w:val="18"/>
          <w:szCs w:val="18"/>
          <w:u w:val="none"/>
          <w:vertAlign w:val="baseline"/>
        </w:rPr>
      </w:pPr>
      <w:r w:rsidRPr="0062216D">
        <w:rPr>
          <w:rStyle w:val="Hyperlink"/>
          <w:rFonts w:ascii="Helvetica" w:hAnsi="Helvetica" w:cs="Helvetica"/>
          <w:color w:val="auto"/>
          <w:sz w:val="18"/>
          <w:szCs w:val="18"/>
          <w:u w:val="none"/>
          <w:vertAlign w:val="baseline"/>
        </w:rPr>
        <w:t>What ongoing formative assessment tools can we employ to respond to student needs?</w:t>
      </w:r>
    </w:p>
    <w:p w14:paraId="7D9FE135" w14:textId="7344951C" w:rsidR="005F0E48" w:rsidRPr="0062216D" w:rsidRDefault="005F0E48" w:rsidP="00147FAF">
      <w:pPr>
        <w:pStyle w:val="ListParagraph"/>
        <w:rPr>
          <w:rStyle w:val="Hyperlink"/>
          <w:rFonts w:ascii="Helvetica" w:hAnsi="Helvetica" w:cs="Helvetica"/>
          <w:color w:val="auto"/>
          <w:sz w:val="18"/>
          <w:szCs w:val="18"/>
          <w:u w:val="none"/>
          <w:vertAlign w:val="baseline"/>
        </w:rPr>
      </w:pPr>
      <w:r w:rsidRPr="0062216D">
        <w:rPr>
          <w:rStyle w:val="Hyperlink"/>
          <w:rFonts w:ascii="Helvetica" w:hAnsi="Helvetica" w:cs="Helvetica"/>
          <w:color w:val="auto"/>
          <w:sz w:val="18"/>
          <w:szCs w:val="18"/>
          <w:u w:val="none"/>
          <w:vertAlign w:val="baseline"/>
        </w:rPr>
        <w:t xml:space="preserve">How well do we collaborate with </w:t>
      </w:r>
      <w:r w:rsidR="00135EA2" w:rsidRPr="0062216D">
        <w:rPr>
          <w:rStyle w:val="Hyperlink"/>
          <w:rFonts w:ascii="Helvetica" w:hAnsi="Helvetica" w:cs="Helvetica"/>
          <w:color w:val="auto"/>
          <w:sz w:val="18"/>
          <w:szCs w:val="18"/>
          <w:u w:val="none"/>
          <w:vertAlign w:val="baseline"/>
        </w:rPr>
        <w:t>students</w:t>
      </w:r>
      <w:r w:rsidRPr="0062216D">
        <w:rPr>
          <w:rStyle w:val="Hyperlink"/>
          <w:rFonts w:ascii="Helvetica" w:hAnsi="Helvetica" w:cs="Helvetica"/>
          <w:color w:val="auto"/>
          <w:sz w:val="18"/>
          <w:szCs w:val="18"/>
          <w:u w:val="none"/>
          <w:vertAlign w:val="baseline"/>
        </w:rPr>
        <w:t xml:space="preserve"> to co-design goals to progress their learning?</w:t>
      </w:r>
    </w:p>
    <w:p w14:paraId="221C6BDE" w14:textId="684BCE19" w:rsidR="00C26FA9" w:rsidRPr="00147FAF" w:rsidRDefault="00C26FA9" w:rsidP="00147FAF">
      <w:pPr>
        <w:pStyle w:val="ListParagraph"/>
        <w:rPr>
          <w:rStyle w:val="Hyperlink"/>
          <w:rFonts w:ascii="Helvetica" w:hAnsi="Helvetica" w:cs="Helvetica"/>
          <w:color w:val="auto"/>
          <w:sz w:val="18"/>
          <w:szCs w:val="18"/>
          <w:u w:val="none"/>
          <w:vertAlign w:val="baseline"/>
        </w:rPr>
      </w:pPr>
      <w:r w:rsidRPr="0062216D">
        <w:rPr>
          <w:rStyle w:val="Hyperlink"/>
          <w:rFonts w:ascii="Helvetica" w:hAnsi="Helvetica" w:cs="Helvetica"/>
          <w:color w:val="auto"/>
          <w:sz w:val="18"/>
          <w:szCs w:val="18"/>
          <w:u w:val="none"/>
          <w:vertAlign w:val="baseline"/>
        </w:rPr>
        <w:t xml:space="preserve">How can the classroom environment support the </w:t>
      </w:r>
      <w:r w:rsidRPr="00147FAF">
        <w:rPr>
          <w:rStyle w:val="Hyperlink"/>
          <w:rFonts w:ascii="Helvetica" w:hAnsi="Helvetica" w:cs="Helvetica"/>
          <w:color w:val="auto"/>
          <w:sz w:val="18"/>
          <w:szCs w:val="18"/>
          <w:u w:val="none"/>
          <w:vertAlign w:val="baseline"/>
        </w:rPr>
        <w:t>student to learn?</w:t>
      </w:r>
    </w:p>
    <w:p w14:paraId="7E3B140F" w14:textId="13C602F4" w:rsidR="005F0E48" w:rsidRPr="00147FAF" w:rsidRDefault="005F0E48" w:rsidP="00147FAF">
      <w:pPr>
        <w:pStyle w:val="ListParagraph"/>
        <w:rPr>
          <w:sz w:val="18"/>
          <w:szCs w:val="18"/>
          <w:u w:val="none"/>
          <w:vertAlign w:val="baseline"/>
        </w:rPr>
      </w:pPr>
      <w:r w:rsidRPr="00147FAF">
        <w:rPr>
          <w:sz w:val="18"/>
          <w:szCs w:val="18"/>
          <w:u w:val="none"/>
          <w:vertAlign w:val="baseline"/>
        </w:rPr>
        <w:t>Where are we located on the continuum of practice for HITS 10: Differentiated teaching practice?</w:t>
      </w:r>
    </w:p>
    <w:p w14:paraId="2E6C0131" w14:textId="34A22EA0" w:rsidR="005F0E48" w:rsidRPr="00147FAF" w:rsidRDefault="005F0E48" w:rsidP="00147FAF">
      <w:pPr>
        <w:pStyle w:val="ListParagraph"/>
        <w:rPr>
          <w:sz w:val="18"/>
          <w:szCs w:val="18"/>
          <w:u w:val="none"/>
          <w:vertAlign w:val="baseline"/>
        </w:rPr>
      </w:pPr>
      <w:r w:rsidRPr="00147FAF">
        <w:rPr>
          <w:sz w:val="18"/>
          <w:szCs w:val="18"/>
          <w:u w:val="none"/>
          <w:vertAlign w:val="baseline"/>
        </w:rPr>
        <w:t>What professional learning will support us to improve our practice?</w:t>
      </w:r>
    </w:p>
    <w:p w14:paraId="4CFE94E6" w14:textId="068286C1" w:rsidR="00494C4A" w:rsidRPr="008D4D01" w:rsidRDefault="008B03F0" w:rsidP="0095620A">
      <w:pPr>
        <w:pStyle w:val="Heading2"/>
      </w:pPr>
      <w:r>
        <w:t>RESOURCES AND TOOLS</w:t>
      </w:r>
    </w:p>
    <w:p w14:paraId="16E96416" w14:textId="4D5406C1" w:rsidR="00A5104F" w:rsidRDefault="00F64123" w:rsidP="00F64123">
      <w:r>
        <w:t>Relevant resources and tools include:</w:t>
      </w:r>
    </w:p>
    <w:p w14:paraId="0A5616D3" w14:textId="66A0E673" w:rsidR="00436725" w:rsidRPr="00147FAF" w:rsidRDefault="00781C66" w:rsidP="00147FAF">
      <w:pPr>
        <w:pStyle w:val="ListParagraph"/>
        <w:rPr>
          <w:rStyle w:val="Hyperlink"/>
          <w:color w:val="0070C0"/>
          <w:sz w:val="18"/>
          <w:szCs w:val="18"/>
          <w:u w:val="none"/>
          <w:vertAlign w:val="baseline"/>
        </w:rPr>
      </w:pPr>
      <w:hyperlink r:id="rId13" w:history="1">
        <w:r w:rsidR="00436725" w:rsidRPr="00147FAF">
          <w:rPr>
            <w:rStyle w:val="Hyperlink"/>
            <w:color w:val="0070C0"/>
            <w:sz w:val="18"/>
            <w:szCs w:val="18"/>
            <w:vertAlign w:val="baseline"/>
          </w:rPr>
          <w:t>Abilities Based Learning and Education Support</w:t>
        </w:r>
      </w:hyperlink>
    </w:p>
    <w:p w14:paraId="3C17DEF7" w14:textId="77777777" w:rsidR="006805C2" w:rsidRPr="006805C2" w:rsidRDefault="00781C66" w:rsidP="006805C2">
      <w:pPr>
        <w:pStyle w:val="ListParagraph"/>
        <w:rPr>
          <w:rStyle w:val="Hyperlink"/>
          <w:color w:val="0070C0"/>
          <w:sz w:val="18"/>
          <w:szCs w:val="18"/>
          <w:u w:val="none"/>
          <w:vertAlign w:val="baseline"/>
        </w:rPr>
      </w:pPr>
      <w:hyperlink r:id="rId14" w:history="1">
        <w:r w:rsidR="00F64123" w:rsidRPr="00147FAF">
          <w:rPr>
            <w:rStyle w:val="Hyperlink"/>
            <w:color w:val="0070C0"/>
            <w:sz w:val="18"/>
            <w:szCs w:val="18"/>
            <w:vertAlign w:val="baseline"/>
          </w:rPr>
          <w:t>High Impact Teaching Strategies</w:t>
        </w:r>
      </w:hyperlink>
    </w:p>
    <w:p w14:paraId="322E1FD1" w14:textId="77777777" w:rsidR="006805C2" w:rsidRPr="006805C2" w:rsidRDefault="00781C66" w:rsidP="006805C2">
      <w:pPr>
        <w:pStyle w:val="ListParagraph"/>
        <w:rPr>
          <w:color w:val="0070C0"/>
          <w:sz w:val="18"/>
          <w:szCs w:val="18"/>
          <w:u w:val="none"/>
          <w:vertAlign w:val="baseline"/>
        </w:rPr>
      </w:pPr>
      <w:hyperlink r:id="rId15" w:history="1">
        <w:r w:rsidR="00F64123" w:rsidRPr="006805C2">
          <w:rPr>
            <w:rStyle w:val="Hyperlink"/>
            <w:color w:val="0070C0"/>
            <w:sz w:val="18"/>
            <w:szCs w:val="18"/>
            <w:vertAlign w:val="baseline"/>
          </w:rPr>
          <w:t>Middle years literacy and numeracy support initiative</w:t>
        </w:r>
      </w:hyperlink>
    </w:p>
    <w:p w14:paraId="4F524519" w14:textId="07751833" w:rsidR="00436725" w:rsidRPr="006805C2" w:rsidRDefault="00781C66" w:rsidP="006805C2">
      <w:pPr>
        <w:pStyle w:val="ListParagraph"/>
        <w:rPr>
          <w:color w:val="0070C0"/>
          <w:sz w:val="18"/>
          <w:szCs w:val="18"/>
          <w:u w:val="none"/>
          <w:vertAlign w:val="baseline"/>
        </w:rPr>
      </w:pPr>
      <w:hyperlink r:id="rId16" w:history="1">
        <w:r w:rsidR="00436725" w:rsidRPr="006805C2">
          <w:rPr>
            <w:rStyle w:val="Hyperlink"/>
            <w:color w:val="0070C0"/>
            <w:sz w:val="18"/>
            <w:szCs w:val="18"/>
            <w:vertAlign w:val="baseline"/>
          </w:rPr>
          <w:t>Pedagogical Model</w:t>
        </w:r>
      </w:hyperlink>
    </w:p>
    <w:p w14:paraId="378ED126" w14:textId="3294AB44" w:rsidR="00135EA2" w:rsidRPr="00147FAF" w:rsidRDefault="00781C66" w:rsidP="00147FAF">
      <w:pPr>
        <w:pStyle w:val="ListParagraph"/>
        <w:rPr>
          <w:rStyle w:val="Hyperlink"/>
          <w:color w:val="0070C0"/>
          <w:sz w:val="18"/>
          <w:szCs w:val="18"/>
          <w:u w:val="none"/>
          <w:vertAlign w:val="baseline"/>
        </w:rPr>
      </w:pPr>
      <w:hyperlink r:id="rId17" w:history="1">
        <w:r w:rsidR="00135EA2" w:rsidRPr="00147FAF">
          <w:rPr>
            <w:rStyle w:val="Hyperlink"/>
            <w:color w:val="0070C0"/>
            <w:sz w:val="18"/>
            <w:szCs w:val="18"/>
            <w:vertAlign w:val="baseline"/>
          </w:rPr>
          <w:t>Disability standards for education</w:t>
        </w:r>
      </w:hyperlink>
    </w:p>
    <w:p w14:paraId="3A8560FA" w14:textId="77777777" w:rsidR="00B2541D" w:rsidRDefault="00B2541D" w:rsidP="00B2541D">
      <w:pPr>
        <w:rPr>
          <w:rStyle w:val="Hyperlink"/>
          <w:color w:val="0070C0"/>
        </w:rPr>
      </w:pPr>
    </w:p>
    <w:p w14:paraId="0C7B274C" w14:textId="303CADDF" w:rsidR="00B2541D" w:rsidRPr="00A5104F" w:rsidRDefault="00B2541D" w:rsidP="00B2541D">
      <w:pPr>
        <w:rPr>
          <w:rStyle w:val="Hyperlink"/>
          <w:b/>
          <w:i/>
          <w:color w:val="AF272F" w:themeColor="accent1"/>
          <w:u w:val="none"/>
        </w:rPr>
      </w:pPr>
      <w:r w:rsidRPr="00A5104F">
        <w:rPr>
          <w:rStyle w:val="Hyperlink"/>
          <w:b/>
          <w:i/>
          <w:color w:val="AF272F" w:themeColor="accent1"/>
          <w:u w:val="none"/>
        </w:rPr>
        <w:t xml:space="preserve">For school </w:t>
      </w:r>
      <w:r w:rsidR="00A5104F">
        <w:rPr>
          <w:rStyle w:val="Hyperlink"/>
          <w:b/>
          <w:i/>
          <w:color w:val="AF272F" w:themeColor="accent1"/>
          <w:u w:val="none"/>
        </w:rPr>
        <w:t>l</w:t>
      </w:r>
      <w:r w:rsidRPr="00A5104F">
        <w:rPr>
          <w:rStyle w:val="Hyperlink"/>
          <w:b/>
          <w:i/>
          <w:color w:val="AF272F" w:themeColor="accent1"/>
          <w:u w:val="none"/>
        </w:rPr>
        <w:t xml:space="preserve">eaders </w:t>
      </w:r>
    </w:p>
    <w:p w14:paraId="11B37554" w14:textId="74C55FDC" w:rsidR="00B2541D" w:rsidRPr="00BC63FD" w:rsidRDefault="00BC63FD" w:rsidP="00147FAF">
      <w:pPr>
        <w:pStyle w:val="ListParagraph"/>
        <w:rPr>
          <w:rStyle w:val="Hyperlink"/>
        </w:rPr>
      </w:pPr>
      <w:r>
        <w:rPr>
          <w:sz w:val="18"/>
          <w:szCs w:val="18"/>
          <w:vertAlign w:val="baseline"/>
        </w:rPr>
        <w:fldChar w:fldCharType="begin"/>
      </w:r>
      <w:r>
        <w:rPr>
          <w:sz w:val="18"/>
          <w:szCs w:val="18"/>
          <w:vertAlign w:val="baseline"/>
        </w:rPr>
        <w:instrText xml:space="preserve"> HYPERLINK "https://www.vcaa.vic.edu.au/Pages/insightplatform/assessment-tools.aspx" </w:instrText>
      </w:r>
      <w:r>
        <w:rPr>
          <w:sz w:val="18"/>
          <w:szCs w:val="18"/>
          <w:vertAlign w:val="baseline"/>
        </w:rPr>
        <w:fldChar w:fldCharType="separate"/>
      </w:r>
      <w:r w:rsidR="00B2541D" w:rsidRPr="00BC63FD">
        <w:rPr>
          <w:rStyle w:val="Hyperlink"/>
          <w:sz w:val="18"/>
          <w:szCs w:val="18"/>
          <w:vertAlign w:val="baseline"/>
        </w:rPr>
        <w:t>Insight assessment platform tools</w:t>
      </w:r>
    </w:p>
    <w:p w14:paraId="3E4853F0" w14:textId="22F7C869" w:rsidR="006805C2" w:rsidRPr="00F75A03" w:rsidRDefault="00BC63FD" w:rsidP="006805C2">
      <w:pPr>
        <w:pStyle w:val="ListParagraph"/>
        <w:rPr>
          <w:rStyle w:val="Hyperlink"/>
          <w:color w:val="auto"/>
          <w:sz w:val="18"/>
          <w:szCs w:val="18"/>
          <w:u w:val="none"/>
          <w:vertAlign w:val="baseline"/>
        </w:rPr>
      </w:pPr>
      <w:r>
        <w:rPr>
          <w:sz w:val="18"/>
          <w:szCs w:val="18"/>
          <w:vertAlign w:val="baseline"/>
        </w:rPr>
        <w:fldChar w:fldCharType="end"/>
      </w:r>
      <w:hyperlink r:id="rId18" w:history="1">
        <w:r w:rsidR="00B2541D" w:rsidRPr="00BC63FD">
          <w:rPr>
            <w:rStyle w:val="Hyperlink"/>
            <w:sz w:val="18"/>
            <w:szCs w:val="18"/>
            <w:vertAlign w:val="baseline"/>
          </w:rPr>
          <w:t>Panorama Dashboard</w:t>
        </w:r>
      </w:hyperlink>
    </w:p>
    <w:p w14:paraId="3E199070" w14:textId="13BCF2FE" w:rsidR="004362E5" w:rsidRPr="00F75A03" w:rsidRDefault="00B2541D" w:rsidP="006805C2">
      <w:pPr>
        <w:pStyle w:val="ListParagraph"/>
        <w:rPr>
          <w:sz w:val="18"/>
          <w:szCs w:val="18"/>
          <w:u w:val="none"/>
          <w:vertAlign w:val="baseline"/>
        </w:rPr>
      </w:pPr>
      <w:r w:rsidRPr="00F75A03">
        <w:rPr>
          <w:sz w:val="18"/>
          <w:szCs w:val="18"/>
          <w:u w:val="none"/>
          <w:vertAlign w:val="baseline"/>
        </w:rPr>
        <w:t>Equity planning and intervention guide</w:t>
      </w:r>
      <w:r w:rsidR="00BC63FD">
        <w:rPr>
          <w:sz w:val="18"/>
          <w:szCs w:val="18"/>
          <w:u w:val="none"/>
          <w:vertAlign w:val="baseline"/>
        </w:rPr>
        <w:t xml:space="preserve"> (Found within the resources in </w:t>
      </w:r>
      <w:hyperlink r:id="rId19" w:history="1">
        <w:r w:rsidR="00BC63FD" w:rsidRPr="00BC63FD">
          <w:rPr>
            <w:rStyle w:val="Hyperlink"/>
            <w:sz w:val="18"/>
            <w:szCs w:val="18"/>
            <w:vertAlign w:val="baseline"/>
          </w:rPr>
          <w:t>SPOT</w:t>
        </w:r>
      </w:hyperlink>
      <w:r w:rsidR="00BC63FD">
        <w:rPr>
          <w:sz w:val="18"/>
          <w:szCs w:val="18"/>
          <w:u w:val="none"/>
          <w:vertAlign w:val="baseline"/>
        </w:rPr>
        <w:t>)</w:t>
      </w:r>
    </w:p>
    <w:p w14:paraId="53E4A195" w14:textId="4597ED75" w:rsidR="00B2541D" w:rsidRPr="00F75A03" w:rsidRDefault="00781C66" w:rsidP="00147FAF">
      <w:pPr>
        <w:pStyle w:val="ListParagraph"/>
        <w:rPr>
          <w:sz w:val="18"/>
          <w:szCs w:val="18"/>
          <w:u w:val="none"/>
          <w:vertAlign w:val="baseline"/>
        </w:rPr>
      </w:pPr>
      <w:hyperlink r:id="rId20" w:history="1">
        <w:r w:rsidR="00AB1C11" w:rsidRPr="00BC63FD">
          <w:rPr>
            <w:rStyle w:val="Hyperlink"/>
            <w:sz w:val="18"/>
            <w:szCs w:val="18"/>
            <w:vertAlign w:val="baseline"/>
          </w:rPr>
          <w:t xml:space="preserve">Strategic </w:t>
        </w:r>
        <w:r w:rsidR="00EB65E7" w:rsidRPr="00BC63FD">
          <w:rPr>
            <w:rStyle w:val="Hyperlink"/>
            <w:sz w:val="18"/>
            <w:szCs w:val="18"/>
            <w:vertAlign w:val="baseline"/>
          </w:rPr>
          <w:t>r</w:t>
        </w:r>
        <w:r w:rsidR="00AB1C11" w:rsidRPr="00BC63FD">
          <w:rPr>
            <w:rStyle w:val="Hyperlink"/>
            <w:sz w:val="18"/>
            <w:szCs w:val="18"/>
            <w:vertAlign w:val="baseline"/>
          </w:rPr>
          <w:t xml:space="preserve">esource </w:t>
        </w:r>
        <w:r w:rsidR="00EB65E7" w:rsidRPr="00BC63FD">
          <w:rPr>
            <w:rStyle w:val="Hyperlink"/>
            <w:sz w:val="18"/>
            <w:szCs w:val="18"/>
            <w:vertAlign w:val="baseline"/>
          </w:rPr>
          <w:t>m</w:t>
        </w:r>
        <w:r w:rsidR="00AB1C11" w:rsidRPr="00BC63FD">
          <w:rPr>
            <w:rStyle w:val="Hyperlink"/>
            <w:sz w:val="18"/>
            <w:szCs w:val="18"/>
            <w:vertAlign w:val="baseline"/>
          </w:rPr>
          <w:t xml:space="preserve">anagement </w:t>
        </w:r>
        <w:r w:rsidR="00EB65E7" w:rsidRPr="00BC63FD">
          <w:rPr>
            <w:rStyle w:val="Hyperlink"/>
            <w:sz w:val="18"/>
            <w:szCs w:val="18"/>
            <w:vertAlign w:val="baseline"/>
          </w:rPr>
          <w:t>g</w:t>
        </w:r>
        <w:r w:rsidR="00AB1C11" w:rsidRPr="00BC63FD">
          <w:rPr>
            <w:rStyle w:val="Hyperlink"/>
            <w:sz w:val="18"/>
            <w:szCs w:val="18"/>
            <w:vertAlign w:val="baseline"/>
          </w:rPr>
          <w:t xml:space="preserve">uidelines for </w:t>
        </w:r>
        <w:r w:rsidR="00EB65E7" w:rsidRPr="00BC63FD">
          <w:rPr>
            <w:rStyle w:val="Hyperlink"/>
            <w:sz w:val="18"/>
            <w:szCs w:val="18"/>
            <w:vertAlign w:val="baseline"/>
          </w:rPr>
          <w:t>s</w:t>
        </w:r>
        <w:r w:rsidR="00AB1C11" w:rsidRPr="00BC63FD">
          <w:rPr>
            <w:rStyle w:val="Hyperlink"/>
            <w:sz w:val="18"/>
            <w:szCs w:val="18"/>
            <w:vertAlign w:val="baseline"/>
          </w:rPr>
          <w:t>chools</w:t>
        </w:r>
      </w:hyperlink>
    </w:p>
    <w:p w14:paraId="3AE17B7B" w14:textId="77777777" w:rsidR="00EB65E7" w:rsidRPr="00EB65E7" w:rsidRDefault="00EB65E7" w:rsidP="00EB65E7">
      <w:pPr>
        <w:rPr>
          <w:color w:val="0070C0"/>
        </w:rPr>
      </w:pPr>
    </w:p>
    <w:p w14:paraId="4FA55E20" w14:textId="7256927D" w:rsidR="005D6AF3" w:rsidRPr="005D6AF3" w:rsidRDefault="005D6AF3" w:rsidP="005D6AF3">
      <w:pPr>
        <w:autoSpaceDE w:val="0"/>
        <w:autoSpaceDN w:val="0"/>
        <w:adjustRightInd w:val="0"/>
        <w:spacing w:after="0" w:line="240" w:lineRule="auto"/>
        <w:rPr>
          <w:rFonts w:ascii="Helvetica" w:hAnsi="Helvetica" w:cs="Helvetica"/>
        </w:rPr>
      </w:pPr>
      <w:r w:rsidRPr="005D6AF3">
        <w:rPr>
          <w:rFonts w:ascii="Helvetica" w:hAnsi="Helvetica" w:cs="Helvetica"/>
        </w:rPr>
        <w:t>For more information or to share your feedback, please</w:t>
      </w:r>
    </w:p>
    <w:p w14:paraId="16D0325D" w14:textId="6319AF06" w:rsidR="005D6AF3" w:rsidRPr="001B71F9" w:rsidRDefault="005D6AF3" w:rsidP="005D6AF3">
      <w:pPr>
        <w:autoSpaceDE w:val="0"/>
        <w:autoSpaceDN w:val="0"/>
        <w:adjustRightInd w:val="0"/>
        <w:spacing w:after="0" w:line="240" w:lineRule="auto"/>
        <w:rPr>
          <w:rFonts w:ascii="Helvetica" w:hAnsi="Helvetica" w:cs="Helvetica"/>
          <w:color w:val="004EA8" w:themeColor="hyperlink"/>
          <w:u w:val="single"/>
        </w:rPr>
      </w:pPr>
      <w:proofErr w:type="gramStart"/>
      <w:r w:rsidRPr="005D6AF3">
        <w:rPr>
          <w:rFonts w:ascii="Helvetica" w:hAnsi="Helvetica" w:cs="Helvetica"/>
        </w:rPr>
        <w:t>email</w:t>
      </w:r>
      <w:proofErr w:type="gramEnd"/>
      <w:r w:rsidRPr="005D6AF3">
        <w:rPr>
          <w:rFonts w:ascii="Helvetica" w:hAnsi="Helvetica" w:cs="Helvetica"/>
        </w:rPr>
        <w:t xml:space="preserve">: </w:t>
      </w:r>
      <w:hyperlink r:id="rId21" w:history="1">
        <w:r w:rsidRPr="00285545">
          <w:rPr>
            <w:rStyle w:val="Hyperlink"/>
            <w:rFonts w:ascii="Helvetica" w:hAnsi="Helvetica" w:cs="Helvetica"/>
          </w:rPr>
          <w:t>professional.practice@edumail.vic.gov.au</w:t>
        </w:r>
      </w:hyperlink>
      <w:bookmarkEnd w:id="0"/>
    </w:p>
    <w:sectPr w:rsidR="005D6AF3" w:rsidRPr="001B71F9" w:rsidSect="00230E53">
      <w:headerReference w:type="default" r:id="rId22"/>
      <w:footerReference w:type="default" r:id="rId23"/>
      <w:pgSz w:w="11900" w:h="16840"/>
      <w:pgMar w:top="3289" w:right="1134" w:bottom="1702" w:left="737" w:header="624" w:footer="1134"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38C41" w14:textId="77777777" w:rsidR="00781C66" w:rsidRDefault="00781C66" w:rsidP="008766A4">
      <w:r>
        <w:separator/>
      </w:r>
    </w:p>
  </w:endnote>
  <w:endnote w:type="continuationSeparator" w:id="0">
    <w:p w14:paraId="2A306492" w14:textId="77777777" w:rsidR="00781C66" w:rsidRDefault="00781C66" w:rsidP="008766A4">
      <w:r>
        <w:continuationSeparator/>
      </w:r>
    </w:p>
  </w:endnote>
  <w:endnote w:type="continuationNotice" w:id="1">
    <w:p w14:paraId="116BFFBF" w14:textId="77777777" w:rsidR="00781C66" w:rsidRDefault="00781C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Minion Pro"/>
    <w:panose1 w:val="02040503050306020203"/>
    <w:charset w:val="4D"/>
    <w:family w:val="auto"/>
    <w:notTrueType/>
    <w:pitch w:val="default"/>
    <w:sig w:usb0="00000003" w:usb1="00000000" w:usb2="00000000" w:usb3="00000000" w:csb0="00000001" w:csb1="00000000"/>
  </w:font>
  <w:font w:name="Lucida Grande">
    <w:altName w:val="Times New Roman"/>
    <w:charset w:val="00"/>
    <w:family w:val="swiss"/>
    <w:pitch w:val="variable"/>
    <w:sig w:usb0="E1000AEF" w:usb1="5000A1FF" w:usb2="00000000" w:usb3="00000000" w:csb0="000001BF" w:csb1="00000000"/>
  </w:font>
  <w:font w:name="VIC Medium">
    <w:altName w:val="VIC Medium"/>
    <w:panose1 w:val="00000600000000000000"/>
    <w:charset w:val="00"/>
    <w:family w:val="modern"/>
    <w:notTrueType/>
    <w:pitch w:val="variable"/>
    <w:sig w:usb0="00000007" w:usb1="00000000" w:usb2="00000000" w:usb3="00000000" w:csb0="00000093" w:csb1="00000000"/>
  </w:font>
  <w:font w:name="Geneva">
    <w:charset w:val="00"/>
    <w:family w:val="swiss"/>
    <w:pitch w:val="variable"/>
    <w:sig w:usb0="E00002FF" w:usb1="5200205F" w:usb2="00A0C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3871E" w14:textId="1D4DA8FF" w:rsidR="009370FA" w:rsidRPr="003E29B5" w:rsidRDefault="009370FA" w:rsidP="008766A4">
    <w:r w:rsidRPr="003E29B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474D8" w14:textId="77777777" w:rsidR="00781C66" w:rsidRDefault="00781C66" w:rsidP="008766A4">
      <w:r>
        <w:separator/>
      </w:r>
    </w:p>
  </w:footnote>
  <w:footnote w:type="continuationSeparator" w:id="0">
    <w:p w14:paraId="1E43864B" w14:textId="77777777" w:rsidR="00781C66" w:rsidRDefault="00781C66" w:rsidP="008766A4">
      <w:r>
        <w:continuationSeparator/>
      </w:r>
    </w:p>
  </w:footnote>
  <w:footnote w:type="continuationNotice" w:id="1">
    <w:p w14:paraId="1A07D2E1" w14:textId="77777777" w:rsidR="00781C66" w:rsidRDefault="00781C66">
      <w:pPr>
        <w:spacing w:after="0" w:line="240" w:lineRule="auto"/>
      </w:pPr>
    </w:p>
  </w:footnote>
  <w:footnote w:id="2">
    <w:p w14:paraId="7125CD23" w14:textId="3AD3E3C6" w:rsidR="007B1384" w:rsidRPr="007612B4" w:rsidRDefault="007612B4" w:rsidP="007612B4">
      <w:pPr>
        <w:ind w:left="360" w:hanging="360"/>
        <w:rPr>
          <w:vertAlign w:val="superscript"/>
        </w:rPr>
      </w:pPr>
      <w:r w:rsidRPr="007612B4">
        <w:rPr>
          <w:vertAlign w:val="superscript"/>
        </w:rPr>
        <w:t>*</w:t>
      </w:r>
      <w:r>
        <w:rPr>
          <w:vertAlign w:val="superscript"/>
        </w:rPr>
        <w:t xml:space="preserve"> </w:t>
      </w:r>
      <w:r w:rsidR="007B1384" w:rsidRPr="007612B4">
        <w:rPr>
          <w:vertAlign w:val="superscript"/>
        </w:rPr>
        <w:t>Note: this was form</w:t>
      </w:r>
      <w:r w:rsidR="009F5BC4">
        <w:rPr>
          <w:vertAlign w:val="superscript"/>
        </w:rPr>
        <w:t>er</w:t>
      </w:r>
      <w:r w:rsidR="007B1384" w:rsidRPr="007612B4">
        <w:rPr>
          <w:vertAlign w:val="superscript"/>
        </w:rPr>
        <w:t xml:space="preserve">ly referred to as an </w:t>
      </w:r>
      <w:r w:rsidR="007B1384" w:rsidRPr="007612B4">
        <w:rPr>
          <w:b/>
          <w:i/>
          <w:vertAlign w:val="superscript"/>
        </w:rPr>
        <w:t xml:space="preserve">Individual </w:t>
      </w:r>
      <w:r w:rsidR="009F5BC4">
        <w:rPr>
          <w:b/>
          <w:i/>
          <w:vertAlign w:val="superscript"/>
        </w:rPr>
        <w:t xml:space="preserve">Learning </w:t>
      </w:r>
      <w:r w:rsidR="007B1384" w:rsidRPr="007612B4">
        <w:rPr>
          <w:b/>
          <w:i/>
          <w:vertAlign w:val="superscript"/>
        </w:rPr>
        <w:t>Plan (ILP)</w:t>
      </w:r>
    </w:p>
    <w:p w14:paraId="699D8375" w14:textId="426D2B60" w:rsidR="00560608" w:rsidRPr="00900217" w:rsidRDefault="00560608" w:rsidP="001B63F4">
      <w:pPr>
        <w:shd w:val="clear" w:color="auto" w:fill="FFFFFF"/>
        <w:spacing w:after="0" w:line="240" w:lineRule="auto"/>
        <w:textAlignment w:val="baseline"/>
        <w:outlineLvl w:val="3"/>
        <w:rPr>
          <w:rFonts w:eastAsia="Times New Roman"/>
          <w:bCs/>
          <w:vertAlign w:val="superscript"/>
          <w:lang w:eastAsia="en-AU"/>
        </w:rPr>
      </w:pPr>
      <w:r w:rsidRPr="00900217">
        <w:rPr>
          <w:rStyle w:val="FootnoteReference"/>
        </w:rPr>
        <w:footnoteRef/>
      </w:r>
      <w:r w:rsidRPr="00900217">
        <w:rPr>
          <w:vertAlign w:val="superscript"/>
        </w:rPr>
        <w:t xml:space="preserve"> </w:t>
      </w:r>
      <w:r w:rsidRPr="00900217">
        <w:rPr>
          <w:rFonts w:eastAsia="Times New Roman"/>
          <w:iCs/>
          <w:vertAlign w:val="superscript"/>
          <w:lang w:eastAsia="en-AU"/>
        </w:rPr>
        <w:t xml:space="preserve">Tomlinson, Carol Ann and Moon, Tonya. (2013). </w:t>
      </w:r>
      <w:r w:rsidR="00816A30" w:rsidRPr="00900217">
        <w:rPr>
          <w:rFonts w:eastAsia="Times New Roman"/>
          <w:bCs/>
          <w:vertAlign w:val="superscript"/>
          <w:lang w:eastAsia="en-AU"/>
        </w:rPr>
        <w:t xml:space="preserve">Assessment and Student </w:t>
      </w:r>
      <w:r w:rsidRPr="00900217">
        <w:rPr>
          <w:rFonts w:eastAsia="Times New Roman"/>
          <w:bCs/>
          <w:vertAlign w:val="superscript"/>
          <w:lang w:eastAsia="en-AU"/>
        </w:rPr>
        <w:t xml:space="preserve">Success in a Differentiated Classroom. </w:t>
      </w:r>
      <w:r w:rsidRPr="00900217">
        <w:rPr>
          <w:rFonts w:eastAsia="Times New Roman"/>
          <w:iCs/>
          <w:vertAlign w:val="superscript"/>
          <w:lang w:eastAsia="en-AU"/>
        </w:rPr>
        <w:t xml:space="preserve">ASCD Books. </w:t>
      </w:r>
    </w:p>
  </w:footnote>
  <w:footnote w:id="3">
    <w:p w14:paraId="4C7BEEDC" w14:textId="308DCC0B" w:rsidR="00FA61B8" w:rsidRPr="00900217" w:rsidRDefault="00FA61B8" w:rsidP="001B63F4">
      <w:pPr>
        <w:spacing w:after="0" w:line="240" w:lineRule="auto"/>
        <w:rPr>
          <w:vertAlign w:val="superscript"/>
        </w:rPr>
      </w:pPr>
      <w:r w:rsidRPr="00900217">
        <w:rPr>
          <w:rStyle w:val="FootnoteReference"/>
        </w:rPr>
        <w:footnoteRef/>
      </w:r>
      <w:r w:rsidRPr="00900217">
        <w:rPr>
          <w:vertAlign w:val="superscript"/>
        </w:rPr>
        <w:t xml:space="preserve"> </w:t>
      </w:r>
      <w:proofErr w:type="spellStart"/>
      <w:r w:rsidRPr="00900217">
        <w:rPr>
          <w:vertAlign w:val="superscript"/>
        </w:rPr>
        <w:t>Subban</w:t>
      </w:r>
      <w:proofErr w:type="spellEnd"/>
      <w:r w:rsidRPr="00900217">
        <w:rPr>
          <w:vertAlign w:val="superscript"/>
        </w:rPr>
        <w:t xml:space="preserve">, Pearl. (2006). </w:t>
      </w:r>
      <w:proofErr w:type="gramStart"/>
      <w:r w:rsidR="00816A30" w:rsidRPr="00900217">
        <w:rPr>
          <w:vertAlign w:val="superscript"/>
        </w:rPr>
        <w:t>Differentiated</w:t>
      </w:r>
      <w:proofErr w:type="gramEnd"/>
      <w:r w:rsidRPr="00900217">
        <w:rPr>
          <w:vertAlign w:val="superscript"/>
        </w:rPr>
        <w:t xml:space="preserve"> instruction: A research basis. International Education Journal, 2006 Vol 7, 935-947.</w:t>
      </w:r>
    </w:p>
  </w:footnote>
  <w:footnote w:id="4">
    <w:p w14:paraId="74BF5AB6" w14:textId="77777777" w:rsidR="00BD3165" w:rsidRPr="008F3D0B" w:rsidRDefault="00BD3165" w:rsidP="001B63F4">
      <w:pPr>
        <w:pStyle w:val="FootnoteText"/>
        <w:rPr>
          <w:vertAlign w:val="superscript"/>
        </w:rPr>
      </w:pPr>
      <w:r w:rsidRPr="00900217">
        <w:rPr>
          <w:rStyle w:val="FootnoteReference"/>
          <w:sz w:val="18"/>
          <w:szCs w:val="18"/>
        </w:rPr>
        <w:footnoteRef/>
      </w:r>
      <w:r w:rsidRPr="00900217">
        <w:rPr>
          <w:sz w:val="18"/>
          <w:szCs w:val="18"/>
          <w:vertAlign w:val="superscript"/>
        </w:rPr>
        <w:t xml:space="preserve"> Hattie, J. (2011). Visible Learning for Teachers: Maximizing Impact on Learning. Routledge: New York, NY.</w:t>
      </w:r>
    </w:p>
  </w:footnote>
  <w:footnote w:id="5">
    <w:p w14:paraId="72B3A0B6" w14:textId="180540BC" w:rsidR="006041F2" w:rsidRPr="00900217" w:rsidRDefault="006041F2" w:rsidP="001B63F4">
      <w:pPr>
        <w:pStyle w:val="FootnoteText"/>
        <w:rPr>
          <w:sz w:val="18"/>
          <w:szCs w:val="18"/>
        </w:rPr>
      </w:pPr>
      <w:r w:rsidRPr="00900217">
        <w:rPr>
          <w:rStyle w:val="FootnoteReference"/>
          <w:sz w:val="18"/>
          <w:szCs w:val="18"/>
        </w:rPr>
        <w:footnoteRef/>
      </w:r>
      <w:r w:rsidRPr="00900217">
        <w:rPr>
          <w:sz w:val="18"/>
          <w:szCs w:val="18"/>
        </w:rPr>
        <w:t xml:space="preserve"> </w:t>
      </w:r>
      <w:proofErr w:type="spellStart"/>
      <w:r w:rsidRPr="00900217">
        <w:rPr>
          <w:sz w:val="18"/>
          <w:szCs w:val="18"/>
          <w:vertAlign w:val="superscript"/>
        </w:rPr>
        <w:t>Subban</w:t>
      </w:r>
      <w:proofErr w:type="spellEnd"/>
      <w:r w:rsidRPr="00900217">
        <w:rPr>
          <w:sz w:val="18"/>
          <w:szCs w:val="18"/>
          <w:vertAlign w:val="superscript"/>
        </w:rPr>
        <w:t>, Pearl. (2006).</w:t>
      </w:r>
    </w:p>
  </w:footnote>
  <w:footnote w:id="6">
    <w:p w14:paraId="57377F1D" w14:textId="745D7B82" w:rsidR="006041F2" w:rsidRPr="00900217" w:rsidRDefault="006041F2" w:rsidP="006041F2">
      <w:pPr>
        <w:pStyle w:val="FootnoteText"/>
        <w:rPr>
          <w:sz w:val="18"/>
          <w:szCs w:val="18"/>
        </w:rPr>
      </w:pPr>
      <w:r w:rsidRPr="00900217">
        <w:rPr>
          <w:rStyle w:val="FootnoteReference"/>
          <w:sz w:val="18"/>
          <w:szCs w:val="18"/>
        </w:rPr>
        <w:footnoteRef/>
      </w:r>
      <w:r w:rsidRPr="00900217">
        <w:rPr>
          <w:sz w:val="18"/>
          <w:szCs w:val="18"/>
        </w:rPr>
        <w:t xml:space="preserve"> </w:t>
      </w:r>
      <w:r w:rsidR="009F5BC4">
        <w:rPr>
          <w:sz w:val="18"/>
          <w:szCs w:val="18"/>
          <w:vertAlign w:val="superscript"/>
        </w:rPr>
        <w:t>ibid.</w:t>
      </w:r>
    </w:p>
  </w:footnote>
  <w:footnote w:id="7">
    <w:p w14:paraId="61BDE175" w14:textId="38E6EDB8" w:rsidR="00560608" w:rsidRPr="00900217" w:rsidRDefault="00560608">
      <w:pPr>
        <w:pStyle w:val="FootnoteText"/>
        <w:rPr>
          <w:sz w:val="18"/>
          <w:szCs w:val="18"/>
          <w:vertAlign w:val="superscript"/>
        </w:rPr>
      </w:pPr>
      <w:r w:rsidRPr="00900217">
        <w:rPr>
          <w:rStyle w:val="FootnoteReference"/>
          <w:sz w:val="18"/>
          <w:szCs w:val="18"/>
        </w:rPr>
        <w:footnoteRef/>
      </w:r>
      <w:r w:rsidRPr="00900217">
        <w:rPr>
          <w:sz w:val="18"/>
          <w:szCs w:val="18"/>
          <w:vertAlign w:val="superscript"/>
        </w:rPr>
        <w:t xml:space="preserve"> </w:t>
      </w:r>
      <w:proofErr w:type="spellStart"/>
      <w:r w:rsidRPr="00900217">
        <w:rPr>
          <w:rFonts w:cs="Geneva"/>
          <w:sz w:val="18"/>
          <w:szCs w:val="18"/>
          <w:vertAlign w:val="superscript"/>
        </w:rPr>
        <w:t>Wiliam</w:t>
      </w:r>
      <w:proofErr w:type="spellEnd"/>
      <w:r w:rsidRPr="00900217">
        <w:rPr>
          <w:rFonts w:cs="Geneva"/>
          <w:sz w:val="18"/>
          <w:szCs w:val="18"/>
          <w:vertAlign w:val="superscript"/>
        </w:rPr>
        <w:t xml:space="preserve">, D. (2011). </w:t>
      </w:r>
      <w:r w:rsidRPr="00900217">
        <w:rPr>
          <w:rFonts w:cs="Geneva"/>
          <w:i/>
          <w:iCs/>
          <w:sz w:val="18"/>
          <w:szCs w:val="18"/>
          <w:vertAlign w:val="superscript"/>
        </w:rPr>
        <w:t>Embedded formative assessment</w:t>
      </w:r>
      <w:r w:rsidRPr="00900217">
        <w:rPr>
          <w:rFonts w:cs="Geneva"/>
          <w:sz w:val="18"/>
          <w:szCs w:val="18"/>
          <w:vertAlign w:val="superscript"/>
        </w:rPr>
        <w:t>. Bloomington, Solution Tree.</w:t>
      </w:r>
    </w:p>
  </w:footnote>
  <w:footnote w:id="8">
    <w:p w14:paraId="5928A0A1" w14:textId="0E51F559" w:rsidR="00317FF5" w:rsidRDefault="00317FF5">
      <w:pPr>
        <w:pStyle w:val="FootnoteText"/>
        <w:rPr>
          <w:sz w:val="18"/>
          <w:szCs w:val="18"/>
          <w:vertAlign w:val="superscript"/>
        </w:rPr>
      </w:pPr>
      <w:r w:rsidRPr="00900217">
        <w:rPr>
          <w:rStyle w:val="FootnoteReference"/>
          <w:sz w:val="18"/>
          <w:szCs w:val="18"/>
        </w:rPr>
        <w:footnoteRef/>
      </w:r>
      <w:r w:rsidR="00662538">
        <w:rPr>
          <w:sz w:val="18"/>
          <w:szCs w:val="18"/>
          <w:vertAlign w:val="superscript"/>
        </w:rPr>
        <w:t xml:space="preserve"> </w:t>
      </w:r>
      <w:r w:rsidR="001B63F4">
        <w:rPr>
          <w:sz w:val="18"/>
          <w:szCs w:val="18"/>
          <w:vertAlign w:val="superscript"/>
        </w:rPr>
        <w:t xml:space="preserve">FISO: </w:t>
      </w:r>
      <w:hyperlink r:id="rId1" w:history="1">
        <w:r w:rsidR="00662538" w:rsidRPr="006F383B">
          <w:rPr>
            <w:rStyle w:val="Hyperlink"/>
            <w:sz w:val="18"/>
            <w:szCs w:val="18"/>
            <w:vertAlign w:val="superscript"/>
          </w:rPr>
          <w:t>https://www.education.vic.gov.au/school/teachers/management/improvement/Pages/improvement-model.aspx</w:t>
        </w:r>
      </w:hyperlink>
    </w:p>
    <w:p w14:paraId="7F19598C" w14:textId="77777777" w:rsidR="00662538" w:rsidRPr="00900217" w:rsidRDefault="00662538">
      <w:pPr>
        <w:pStyle w:val="FootnoteText"/>
        <w:rPr>
          <w:sz w:val="16"/>
          <w:szCs w:val="16"/>
          <w:vertAlign w:val="superscript"/>
        </w:rPr>
      </w:pPr>
    </w:p>
  </w:footnote>
  <w:footnote w:id="9">
    <w:p w14:paraId="70E26243" w14:textId="77777777" w:rsidR="00FA2B40" w:rsidRPr="00900217" w:rsidRDefault="00FA2B40" w:rsidP="00FA2B40">
      <w:pPr>
        <w:pStyle w:val="FootnoteText"/>
        <w:rPr>
          <w:sz w:val="18"/>
          <w:szCs w:val="18"/>
          <w:vertAlign w:val="superscript"/>
        </w:rPr>
      </w:pPr>
      <w:r w:rsidRPr="00900217">
        <w:rPr>
          <w:rStyle w:val="FootnoteReference"/>
          <w:sz w:val="18"/>
          <w:szCs w:val="18"/>
        </w:rPr>
        <w:footnoteRef/>
      </w:r>
      <w:r w:rsidRPr="00900217">
        <w:rPr>
          <w:sz w:val="18"/>
          <w:szCs w:val="18"/>
          <w:vertAlign w:val="superscript"/>
        </w:rPr>
        <w:t xml:space="preserve"> Tomlinson, Carol Ann. (2013). </w:t>
      </w:r>
      <w:r w:rsidRPr="00900217">
        <w:rPr>
          <w:i/>
          <w:sz w:val="18"/>
          <w:szCs w:val="18"/>
          <w:vertAlign w:val="superscript"/>
        </w:rPr>
        <w:t>Differentiated instruction</w:t>
      </w:r>
      <w:r w:rsidRPr="00900217">
        <w:rPr>
          <w:sz w:val="18"/>
          <w:szCs w:val="18"/>
          <w:vertAlign w:val="superscript"/>
        </w:rPr>
        <w:t>. Fundamentals of Gifted Education- considering multiple perspectives. Routledge. New York.</w:t>
      </w:r>
    </w:p>
  </w:footnote>
  <w:footnote w:id="10">
    <w:p w14:paraId="614E077A" w14:textId="582ACEC0" w:rsidR="0057721F" w:rsidRPr="00900217" w:rsidRDefault="0057721F" w:rsidP="001C2616">
      <w:pPr>
        <w:rPr>
          <w:vertAlign w:val="superscript"/>
        </w:rPr>
      </w:pPr>
      <w:r w:rsidRPr="00900217">
        <w:rPr>
          <w:rStyle w:val="FootnoteReference"/>
        </w:rPr>
        <w:footnoteRef/>
      </w:r>
      <w:r w:rsidRPr="00900217">
        <w:rPr>
          <w:vertAlign w:val="superscript"/>
        </w:rPr>
        <w:t xml:space="preserve"> Campbell, Bruce. (2009). </w:t>
      </w:r>
      <w:r w:rsidRPr="00900217">
        <w:rPr>
          <w:i/>
          <w:vertAlign w:val="superscript"/>
        </w:rPr>
        <w:t>To- With- By: A three-tiered model for differentiation instruction</w:t>
      </w:r>
      <w:r w:rsidRPr="00900217">
        <w:rPr>
          <w:vertAlign w:val="superscript"/>
        </w:rPr>
        <w:t>. The NERA Journal (2009), Vol 14.</w:t>
      </w:r>
    </w:p>
  </w:footnote>
  <w:footnote w:id="11">
    <w:p w14:paraId="2E637AEF" w14:textId="4DEC7E58" w:rsidR="00E45574" w:rsidRPr="00900217" w:rsidRDefault="00E45574">
      <w:pPr>
        <w:pStyle w:val="FootnoteText"/>
        <w:rPr>
          <w:sz w:val="18"/>
          <w:szCs w:val="18"/>
        </w:rPr>
      </w:pPr>
      <w:r w:rsidRPr="00900217">
        <w:rPr>
          <w:rStyle w:val="FootnoteReference"/>
          <w:sz w:val="18"/>
          <w:szCs w:val="18"/>
        </w:rPr>
        <w:footnoteRef/>
      </w:r>
      <w:r w:rsidRPr="00900217">
        <w:rPr>
          <w:sz w:val="18"/>
          <w:szCs w:val="18"/>
        </w:rPr>
        <w:t xml:space="preserve"> </w:t>
      </w:r>
      <w:proofErr w:type="spellStart"/>
      <w:r w:rsidRPr="00900217">
        <w:rPr>
          <w:sz w:val="18"/>
          <w:szCs w:val="18"/>
          <w:vertAlign w:val="superscript"/>
          <w:lang w:val="en-US"/>
        </w:rPr>
        <w:t>Sharratt</w:t>
      </w:r>
      <w:proofErr w:type="spellEnd"/>
      <w:r w:rsidRPr="00900217">
        <w:rPr>
          <w:sz w:val="18"/>
          <w:szCs w:val="18"/>
          <w:vertAlign w:val="superscript"/>
          <w:lang w:val="en-US"/>
        </w:rPr>
        <w:t>, L. (2019). Clarity: What Matters Most in Learning, Teaching, and Leading. Thousand Oaks, California: Corwin.</w:t>
      </w:r>
    </w:p>
  </w:footnote>
  <w:footnote w:id="12">
    <w:p w14:paraId="21684787" w14:textId="27D5BB00" w:rsidR="006041F2" w:rsidRPr="00900217" w:rsidRDefault="006041F2">
      <w:pPr>
        <w:pStyle w:val="FootnoteText"/>
        <w:rPr>
          <w:sz w:val="18"/>
          <w:szCs w:val="18"/>
        </w:rPr>
      </w:pPr>
      <w:r w:rsidRPr="00900217">
        <w:rPr>
          <w:rStyle w:val="FootnoteReference"/>
          <w:sz w:val="18"/>
          <w:szCs w:val="18"/>
        </w:rPr>
        <w:footnoteRef/>
      </w:r>
      <w:r w:rsidRPr="00900217">
        <w:rPr>
          <w:sz w:val="18"/>
          <w:szCs w:val="18"/>
        </w:rPr>
        <w:t xml:space="preserve"> </w:t>
      </w:r>
      <w:r w:rsidRPr="00900217">
        <w:rPr>
          <w:rFonts w:eastAsia="Times New Roman"/>
          <w:iCs/>
          <w:sz w:val="18"/>
          <w:szCs w:val="18"/>
          <w:vertAlign w:val="superscript"/>
          <w:lang w:eastAsia="en-AU"/>
        </w:rPr>
        <w:t>Tomlinson, Carol Ann and Moon, Tonya. (2013)</w:t>
      </w:r>
    </w:p>
  </w:footnote>
  <w:footnote w:id="13">
    <w:p w14:paraId="46D1DA54" w14:textId="793E203C" w:rsidR="00DB7EC8" w:rsidRPr="00900217" w:rsidRDefault="00FD091F">
      <w:pPr>
        <w:pStyle w:val="FootnoteText"/>
        <w:rPr>
          <w:sz w:val="18"/>
          <w:szCs w:val="18"/>
          <w:vertAlign w:val="superscript"/>
        </w:rPr>
      </w:pPr>
      <w:r w:rsidRPr="00900217">
        <w:rPr>
          <w:rStyle w:val="FootnoteReference"/>
          <w:sz w:val="18"/>
          <w:szCs w:val="18"/>
        </w:rPr>
        <w:footnoteRef/>
      </w:r>
      <w:r w:rsidRPr="00900217">
        <w:rPr>
          <w:sz w:val="18"/>
          <w:szCs w:val="18"/>
          <w:vertAlign w:val="superscript"/>
        </w:rPr>
        <w:t xml:space="preserve"> </w:t>
      </w:r>
      <w:r w:rsidR="0070322E">
        <w:rPr>
          <w:sz w:val="18"/>
          <w:szCs w:val="18"/>
          <w:vertAlign w:val="superscript"/>
        </w:rPr>
        <w:t xml:space="preserve">Australian Government Department of Education and Training. (2019). </w:t>
      </w:r>
      <w:r w:rsidR="008748BD">
        <w:rPr>
          <w:sz w:val="18"/>
          <w:szCs w:val="18"/>
          <w:vertAlign w:val="superscript"/>
        </w:rPr>
        <w:t>Digital Technology Hub</w:t>
      </w:r>
      <w:r w:rsidR="0070322E">
        <w:rPr>
          <w:sz w:val="18"/>
          <w:szCs w:val="18"/>
          <w:vertAlign w:val="superscript"/>
        </w:rPr>
        <w:t>. Retrieved</w:t>
      </w:r>
      <w:r w:rsidR="0003487A">
        <w:rPr>
          <w:sz w:val="18"/>
          <w:szCs w:val="18"/>
          <w:vertAlign w:val="superscript"/>
        </w:rPr>
        <w:t xml:space="preserve"> 15 April 2019</w:t>
      </w:r>
      <w:r w:rsidR="0070322E">
        <w:rPr>
          <w:sz w:val="18"/>
          <w:szCs w:val="18"/>
          <w:vertAlign w:val="superscript"/>
        </w:rPr>
        <w:t>:</w:t>
      </w:r>
      <w:r w:rsidR="0003487A">
        <w:rPr>
          <w:sz w:val="18"/>
          <w:szCs w:val="18"/>
          <w:vertAlign w:val="superscript"/>
        </w:rPr>
        <w:t xml:space="preserve"> </w:t>
      </w:r>
      <w:hyperlink r:id="rId2" w:history="1">
        <w:r w:rsidR="0070322E" w:rsidRPr="006F383B">
          <w:rPr>
            <w:rStyle w:val="Hyperlink"/>
            <w:sz w:val="18"/>
            <w:szCs w:val="18"/>
            <w:vertAlign w:val="superscript"/>
          </w:rPr>
          <w:t>https://www.digitaltechnologieshub.edu.au/teachers/assessment/assessment-framework/blooms-taxonomy</w:t>
        </w:r>
      </w:hyperlink>
    </w:p>
  </w:footnote>
  <w:footnote w:id="14">
    <w:p w14:paraId="7B883309" w14:textId="7103AD57" w:rsidR="00662538" w:rsidRPr="00900217" w:rsidRDefault="00DC5EC6" w:rsidP="00DC5EC6">
      <w:pPr>
        <w:pStyle w:val="FootnoteText"/>
        <w:rPr>
          <w:sz w:val="18"/>
          <w:szCs w:val="18"/>
          <w:vertAlign w:val="superscript"/>
        </w:rPr>
      </w:pPr>
      <w:r w:rsidRPr="00900217">
        <w:rPr>
          <w:rStyle w:val="FootnoteReference"/>
          <w:sz w:val="18"/>
          <w:szCs w:val="18"/>
        </w:rPr>
        <w:footnoteRef/>
      </w:r>
      <w:r w:rsidRPr="00900217">
        <w:rPr>
          <w:sz w:val="18"/>
          <w:szCs w:val="18"/>
          <w:vertAlign w:val="superscript"/>
        </w:rPr>
        <w:t xml:space="preserve"> </w:t>
      </w:r>
      <w:r w:rsidR="0070322E" w:rsidRPr="00900217">
        <w:rPr>
          <w:sz w:val="18"/>
          <w:szCs w:val="18"/>
          <w:vertAlign w:val="superscript"/>
        </w:rPr>
        <w:t>OECD</w:t>
      </w:r>
      <w:r w:rsidR="0070322E">
        <w:rPr>
          <w:sz w:val="18"/>
          <w:szCs w:val="18"/>
          <w:vertAlign w:val="superscript"/>
        </w:rPr>
        <w:t>. (</w:t>
      </w:r>
      <w:r w:rsidR="0070322E" w:rsidRPr="00900217">
        <w:rPr>
          <w:sz w:val="18"/>
          <w:szCs w:val="18"/>
          <w:vertAlign w:val="superscript"/>
        </w:rPr>
        <w:t>201</w:t>
      </w:r>
      <w:r w:rsidR="00662538">
        <w:rPr>
          <w:sz w:val="18"/>
          <w:szCs w:val="18"/>
          <w:vertAlign w:val="superscript"/>
        </w:rPr>
        <w:t>2</w:t>
      </w:r>
      <w:r w:rsidR="0070322E">
        <w:rPr>
          <w:sz w:val="18"/>
          <w:szCs w:val="18"/>
          <w:vertAlign w:val="superscript"/>
        </w:rPr>
        <w:t xml:space="preserve">). </w:t>
      </w:r>
      <w:r w:rsidRPr="00900217">
        <w:rPr>
          <w:sz w:val="18"/>
          <w:szCs w:val="18"/>
          <w:vertAlign w:val="superscript"/>
        </w:rPr>
        <w:t>Equity and Quality in Education, Supporting Dis</w:t>
      </w:r>
      <w:r w:rsidR="007328E5">
        <w:rPr>
          <w:sz w:val="18"/>
          <w:szCs w:val="18"/>
          <w:vertAlign w:val="superscript"/>
        </w:rPr>
        <w:t>advantaged Students and Schools.</w:t>
      </w:r>
      <w:r w:rsidRPr="00900217">
        <w:rPr>
          <w:sz w:val="18"/>
          <w:szCs w:val="18"/>
          <w:vertAlign w:val="superscript"/>
        </w:rPr>
        <w:t xml:space="preserve"> OECD</w:t>
      </w:r>
      <w:r w:rsidR="00662538">
        <w:rPr>
          <w:sz w:val="18"/>
          <w:szCs w:val="18"/>
          <w:vertAlign w:val="superscript"/>
        </w:rPr>
        <w:t xml:space="preserve"> Publishing: </w:t>
      </w:r>
      <w:hyperlink r:id="rId3" w:history="1">
        <w:r w:rsidR="00662538" w:rsidRPr="006F383B">
          <w:rPr>
            <w:rStyle w:val="Hyperlink"/>
            <w:sz w:val="18"/>
            <w:szCs w:val="18"/>
            <w:vertAlign w:val="superscript"/>
          </w:rPr>
          <w:t>http://dx.doi.org/10.1787/9789264130854-en</w:t>
        </w:r>
      </w:hyperlink>
    </w:p>
  </w:footnote>
  <w:footnote w:id="15">
    <w:p w14:paraId="7F5C8481" w14:textId="23A12922" w:rsidR="0086769D" w:rsidRPr="00900217" w:rsidRDefault="00417081">
      <w:pPr>
        <w:pStyle w:val="FootnoteText"/>
        <w:rPr>
          <w:sz w:val="18"/>
          <w:szCs w:val="18"/>
          <w:vertAlign w:val="superscript"/>
        </w:rPr>
      </w:pPr>
      <w:r w:rsidRPr="00900217">
        <w:rPr>
          <w:rStyle w:val="FootnoteReference"/>
          <w:sz w:val="18"/>
          <w:szCs w:val="18"/>
        </w:rPr>
        <w:footnoteRef/>
      </w:r>
      <w:r w:rsidR="00900217" w:rsidRPr="00900217">
        <w:rPr>
          <w:sz w:val="18"/>
          <w:szCs w:val="18"/>
          <w:vertAlign w:val="superscript"/>
        </w:rPr>
        <w:t xml:space="preserve"> </w:t>
      </w:r>
      <w:r w:rsidR="0086769D">
        <w:rPr>
          <w:sz w:val="18"/>
          <w:szCs w:val="18"/>
          <w:vertAlign w:val="superscript"/>
        </w:rPr>
        <w:t xml:space="preserve">DET. In Our Classrooms. Retrieved 30 April 2019: </w:t>
      </w:r>
      <w:hyperlink r:id="rId4" w:history="1">
        <w:r w:rsidR="0086769D" w:rsidRPr="006F383B">
          <w:rPr>
            <w:rStyle w:val="Hyperlink"/>
            <w:sz w:val="18"/>
            <w:szCs w:val="18"/>
            <w:vertAlign w:val="superscript"/>
          </w:rPr>
          <w:t>https://www.education.vic.gov.au/school/teachers/classrooms/Pages/aproacheseppdiff.aspx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6305E" w14:textId="6B073056" w:rsidR="009370FA" w:rsidRPr="003E29B5" w:rsidRDefault="00926801" w:rsidP="008766A4">
    <w:r>
      <w:rPr>
        <w:noProof/>
        <w:lang w:eastAsia="en-AU"/>
      </w:rPr>
      <mc:AlternateContent>
        <mc:Choice Requires="wps">
          <w:drawing>
            <wp:anchor distT="45720" distB="45720" distL="114300" distR="114300" simplePos="0" relativeHeight="251661312" behindDoc="0" locked="0" layoutInCell="1" allowOverlap="1" wp14:anchorId="0DD64C08" wp14:editId="691BDE80">
              <wp:simplePos x="0" y="0"/>
              <wp:positionH relativeFrom="column">
                <wp:posOffset>5044870</wp:posOffset>
              </wp:positionH>
              <wp:positionV relativeFrom="paragraph">
                <wp:posOffset>137601</wp:posOffset>
              </wp:positionV>
              <wp:extent cx="1647825" cy="5854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585470"/>
                      </a:xfrm>
                      <a:prstGeom prst="rect">
                        <a:avLst/>
                      </a:prstGeom>
                      <a:noFill/>
                      <a:ln w="9525">
                        <a:noFill/>
                        <a:miter lim="800000"/>
                        <a:headEnd/>
                        <a:tailEnd/>
                      </a:ln>
                    </wps:spPr>
                    <wps:txbx>
                      <w:txbxContent>
                        <w:p w14:paraId="247DE91D" w14:textId="7464ADC6" w:rsidR="00926801" w:rsidRPr="00B24ECE" w:rsidRDefault="00926801" w:rsidP="00926801">
                          <w:pPr>
                            <w:rPr>
                              <w:b/>
                              <w:color w:val="FFFFFF" w:themeColor="background1"/>
                              <w:sz w:val="28"/>
                              <w:szCs w:val="28"/>
                            </w:rPr>
                          </w:pPr>
                          <w:r>
                            <w:rPr>
                              <w:b/>
                              <w:color w:val="FFFFFF" w:themeColor="background1"/>
                              <w:sz w:val="28"/>
                              <w:szCs w:val="28"/>
                            </w:rPr>
                            <w:t>Professional Practice Note 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D64C08" id="_x0000_t202" coordsize="21600,21600" o:spt="202" path="m,l,21600r21600,l21600,xe">
              <v:stroke joinstyle="miter"/>
              <v:path gradientshapeok="t" o:connecttype="rect"/>
            </v:shapetype>
            <v:shape id="Text Box 2" o:spid="_x0000_s1026" type="#_x0000_t202" style="position:absolute;margin-left:397.25pt;margin-top:10.85pt;width:129.75pt;height:46.1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" filled="f" stroked="f">
              <v:textbox style="mso-fit-shape-to-text:t">
                <w:txbxContent>
                  <w:p w14:paraId="247DE91D" w14:textId="7464ADC6" w:rsidR="00926801" w:rsidRPr="00B24ECE" w:rsidRDefault="00926801" w:rsidP="00926801">
                    <w:pPr>
                      <w:rPr>
                        <w:b/>
                        <w:color w:val="FFFFFF" w:themeColor="background1"/>
                        <w:sz w:val="28"/>
                        <w:szCs w:val="28"/>
                      </w:rPr>
                    </w:pPr>
                    <w:r>
                      <w:rPr>
                        <w:b/>
                        <w:color w:val="FFFFFF" w:themeColor="background1"/>
                        <w:sz w:val="28"/>
                        <w:szCs w:val="28"/>
                      </w:rPr>
                      <w:t>Professional Practice Note 16</w:t>
                    </w:r>
                  </w:p>
                </w:txbxContent>
              </v:textbox>
              <w10:wrap type="square"/>
            </v:shape>
          </w:pict>
        </mc:Fallback>
      </mc:AlternateContent>
    </w:r>
    <w:r w:rsidR="002A185B">
      <w:rPr>
        <w:noProof/>
        <w:lang w:eastAsia="en-AU"/>
      </w:rPr>
      <w:drawing>
        <wp:anchor distT="0" distB="0" distL="114300" distR="114300" simplePos="0" relativeHeight="251659264" behindDoc="1" locked="0" layoutInCell="1" allowOverlap="1" wp14:anchorId="1BED6308" wp14:editId="789F21D9">
          <wp:simplePos x="0" y="0"/>
          <wp:positionH relativeFrom="page">
            <wp:posOffset>34580</wp:posOffset>
          </wp:positionH>
          <wp:positionV relativeFrom="page">
            <wp:posOffset>-811</wp:posOffset>
          </wp:positionV>
          <wp:extent cx="7560000" cy="10692000"/>
          <wp:effectExtent l="0" t="0" r="3175" b="0"/>
          <wp:wrapNone/>
          <wp:docPr id="4" name="Picture 4" descr="Professional Practise Note 15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tsheet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2E7D"/>
    <w:multiLevelType w:val="hybridMultilevel"/>
    <w:tmpl w:val="694AC9D8"/>
    <w:lvl w:ilvl="0" w:tplc="5006866C">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A4382C"/>
    <w:multiLevelType w:val="hybridMultilevel"/>
    <w:tmpl w:val="5E1E3710"/>
    <w:lvl w:ilvl="0" w:tplc="D032A98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B3C2A20"/>
    <w:multiLevelType w:val="hybridMultilevel"/>
    <w:tmpl w:val="5C6648CA"/>
    <w:lvl w:ilvl="0" w:tplc="0180C6E4">
      <w:numFmt w:val="bullet"/>
      <w:pStyle w:val="ListParagraph"/>
      <w:lvlText w:val=""/>
      <w:lvlJc w:val="left"/>
      <w:pPr>
        <w:ind w:left="360" w:hanging="360"/>
      </w:pPr>
      <w:rPr>
        <w:rFonts w:ascii="Symbol" w:eastAsiaTheme="minorEastAsia" w:hAnsi="Symbol" w:cs="Arial" w:hint="default"/>
        <w:color w:val="auto"/>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05B234D"/>
    <w:multiLevelType w:val="hybridMultilevel"/>
    <w:tmpl w:val="F8A682DA"/>
    <w:lvl w:ilvl="0" w:tplc="548CDE86">
      <w:numFmt w:val="bullet"/>
      <w:lvlText w:val=""/>
      <w:lvlJc w:val="left"/>
      <w:pPr>
        <w:ind w:left="360" w:hanging="360"/>
      </w:pPr>
      <w:rPr>
        <w:rFonts w:ascii="Symbol" w:eastAsiaTheme="minorEastAsia" w:hAnsi="Symbol" w:cs="Arial" w:hint="default"/>
        <w:sz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3B54810"/>
    <w:multiLevelType w:val="hybridMultilevel"/>
    <w:tmpl w:val="B3BE0D30"/>
    <w:lvl w:ilvl="0" w:tplc="C1A66EA2">
      <w:numFmt w:val="bullet"/>
      <w:lvlText w:val=""/>
      <w:lvlJc w:val="left"/>
      <w:pPr>
        <w:ind w:left="360" w:hanging="360"/>
      </w:pPr>
      <w:rPr>
        <w:rFonts w:ascii="Symbol" w:eastAsiaTheme="minorEastAsia"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D04551F"/>
    <w:multiLevelType w:val="hybridMultilevel"/>
    <w:tmpl w:val="64D84C4C"/>
    <w:lvl w:ilvl="0" w:tplc="59C68B22">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562962"/>
    <w:multiLevelType w:val="hybridMultilevel"/>
    <w:tmpl w:val="CEEA6B32"/>
    <w:lvl w:ilvl="0" w:tplc="FD9E248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AB289B"/>
    <w:multiLevelType w:val="hybridMultilevel"/>
    <w:tmpl w:val="C82A8500"/>
    <w:lvl w:ilvl="0" w:tplc="C45EE4B4">
      <w:start w:val="1"/>
      <w:numFmt w:val="decimal"/>
      <w:lvlText w:val="%1."/>
      <w:lvlJc w:val="left"/>
      <w:pPr>
        <w:ind w:left="360" w:hanging="360"/>
      </w:pPr>
      <w:rPr>
        <w:rFonts w:hint="default"/>
        <w:b/>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CB14B3C"/>
    <w:multiLevelType w:val="hybridMultilevel"/>
    <w:tmpl w:val="CDAA704C"/>
    <w:lvl w:ilvl="0" w:tplc="0C090001">
      <w:start w:val="1"/>
      <w:numFmt w:val="bullet"/>
      <w:pStyle w:val="ListNumber"/>
      <w:lvlText w:val=""/>
      <w:lvlJc w:val="left"/>
      <w:pPr>
        <w:tabs>
          <w:tab w:val="num" w:pos="720"/>
        </w:tabs>
        <w:ind w:left="720" w:hanging="360"/>
      </w:pPr>
      <w:rPr>
        <w:rFonts w:ascii="Symbol" w:hAnsi="Symbol" w:hint="default"/>
        <w:b w:val="0"/>
        <w:sz w:val="24"/>
        <w:szCs w:val="24"/>
      </w:rPr>
    </w:lvl>
    <w:lvl w:ilvl="1" w:tplc="0C090001">
      <w:start w:val="1"/>
      <w:numFmt w:val="bullet"/>
      <w:lvlText w:val=""/>
      <w:lvlJc w:val="left"/>
      <w:pPr>
        <w:tabs>
          <w:tab w:val="num" w:pos="1495"/>
        </w:tabs>
        <w:ind w:left="1495" w:hanging="360"/>
      </w:pPr>
      <w:rPr>
        <w:rFonts w:ascii="Symbol" w:hAnsi="Symbol" w:hint="default"/>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9" w15:restartNumberingAfterBreak="0">
    <w:nsid w:val="5E9C48CB"/>
    <w:multiLevelType w:val="hybridMultilevel"/>
    <w:tmpl w:val="C20E38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8222038"/>
    <w:multiLevelType w:val="hybridMultilevel"/>
    <w:tmpl w:val="99B67DBE"/>
    <w:lvl w:ilvl="0" w:tplc="4560EF14">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5C66E7C"/>
    <w:multiLevelType w:val="hybridMultilevel"/>
    <w:tmpl w:val="C852963A"/>
    <w:lvl w:ilvl="0" w:tplc="C19E5ABE">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D3F2612"/>
    <w:multiLevelType w:val="hybridMultilevel"/>
    <w:tmpl w:val="683AD496"/>
    <w:lvl w:ilvl="0" w:tplc="0F4E955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1"/>
  </w:num>
  <w:num w:numId="5">
    <w:abstractNumId w:val="6"/>
  </w:num>
  <w:num w:numId="6">
    <w:abstractNumId w:val="9"/>
  </w:num>
  <w:num w:numId="7">
    <w:abstractNumId w:val="11"/>
  </w:num>
  <w:num w:numId="8">
    <w:abstractNumId w:val="12"/>
  </w:num>
  <w:num w:numId="9">
    <w:abstractNumId w:val="4"/>
  </w:num>
  <w:num w:numId="10">
    <w:abstractNumId w:val="3"/>
  </w:num>
  <w:num w:numId="11">
    <w:abstractNumId w:val="2"/>
  </w:num>
  <w:num w:numId="12">
    <w:abstractNumId w:val="10"/>
  </w:num>
  <w:num w:numId="13">
    <w:abstractNumId w:val="0"/>
  </w:num>
  <w:num w:numId="14">
    <w:abstractNumId w:val="2"/>
  </w:num>
  <w:num w:numId="15">
    <w:abstractNumId w:val="2"/>
  </w:num>
  <w:num w:numId="1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48"/>
    <w:rsid w:val="00002751"/>
    <w:rsid w:val="000047D8"/>
    <w:rsid w:val="00004886"/>
    <w:rsid w:val="00007A51"/>
    <w:rsid w:val="00010635"/>
    <w:rsid w:val="00010983"/>
    <w:rsid w:val="00017713"/>
    <w:rsid w:val="0001779A"/>
    <w:rsid w:val="00017ED0"/>
    <w:rsid w:val="00020275"/>
    <w:rsid w:val="000311A9"/>
    <w:rsid w:val="00031B80"/>
    <w:rsid w:val="0003487A"/>
    <w:rsid w:val="00037C5E"/>
    <w:rsid w:val="0004089F"/>
    <w:rsid w:val="00040CA5"/>
    <w:rsid w:val="000450B6"/>
    <w:rsid w:val="00046C5E"/>
    <w:rsid w:val="00047E99"/>
    <w:rsid w:val="000528F5"/>
    <w:rsid w:val="000529BE"/>
    <w:rsid w:val="00056053"/>
    <w:rsid w:val="000568D2"/>
    <w:rsid w:val="000619AB"/>
    <w:rsid w:val="00062AF4"/>
    <w:rsid w:val="00062DA9"/>
    <w:rsid w:val="000646E5"/>
    <w:rsid w:val="00065681"/>
    <w:rsid w:val="000708FE"/>
    <w:rsid w:val="00072277"/>
    <w:rsid w:val="00072FFE"/>
    <w:rsid w:val="00073762"/>
    <w:rsid w:val="0007564B"/>
    <w:rsid w:val="000837FF"/>
    <w:rsid w:val="0008453A"/>
    <w:rsid w:val="00084C97"/>
    <w:rsid w:val="00085ACF"/>
    <w:rsid w:val="00087024"/>
    <w:rsid w:val="00090A4A"/>
    <w:rsid w:val="000928A0"/>
    <w:rsid w:val="00093298"/>
    <w:rsid w:val="000933B8"/>
    <w:rsid w:val="00094148"/>
    <w:rsid w:val="000A5A6C"/>
    <w:rsid w:val="000B0254"/>
    <w:rsid w:val="000B364A"/>
    <w:rsid w:val="000B57F3"/>
    <w:rsid w:val="000B7380"/>
    <w:rsid w:val="000C008D"/>
    <w:rsid w:val="000C0515"/>
    <w:rsid w:val="000C1CAD"/>
    <w:rsid w:val="000C24A2"/>
    <w:rsid w:val="000C3ACF"/>
    <w:rsid w:val="000C4641"/>
    <w:rsid w:val="000C4CE1"/>
    <w:rsid w:val="000C6041"/>
    <w:rsid w:val="000C6108"/>
    <w:rsid w:val="000C61C2"/>
    <w:rsid w:val="000D30EA"/>
    <w:rsid w:val="000D3321"/>
    <w:rsid w:val="000D4407"/>
    <w:rsid w:val="000D4AC1"/>
    <w:rsid w:val="000D5470"/>
    <w:rsid w:val="000E1585"/>
    <w:rsid w:val="000E1743"/>
    <w:rsid w:val="000E3152"/>
    <w:rsid w:val="000E4F50"/>
    <w:rsid w:val="000E5D35"/>
    <w:rsid w:val="000E7752"/>
    <w:rsid w:val="000F36D2"/>
    <w:rsid w:val="00100F5E"/>
    <w:rsid w:val="00101C2B"/>
    <w:rsid w:val="001023E8"/>
    <w:rsid w:val="00102897"/>
    <w:rsid w:val="00103290"/>
    <w:rsid w:val="0010358C"/>
    <w:rsid w:val="00106DFA"/>
    <w:rsid w:val="001075D1"/>
    <w:rsid w:val="00111B75"/>
    <w:rsid w:val="00112988"/>
    <w:rsid w:val="00112F5E"/>
    <w:rsid w:val="001207AC"/>
    <w:rsid w:val="00125498"/>
    <w:rsid w:val="00127D48"/>
    <w:rsid w:val="0013028F"/>
    <w:rsid w:val="00133F4C"/>
    <w:rsid w:val="00135EA2"/>
    <w:rsid w:val="00137D8C"/>
    <w:rsid w:val="0014310A"/>
    <w:rsid w:val="001433B8"/>
    <w:rsid w:val="00146F8F"/>
    <w:rsid w:val="00147FAF"/>
    <w:rsid w:val="001509D3"/>
    <w:rsid w:val="001663FF"/>
    <w:rsid w:val="00167682"/>
    <w:rsid w:val="00171BCB"/>
    <w:rsid w:val="00172025"/>
    <w:rsid w:val="001724FF"/>
    <w:rsid w:val="001726E8"/>
    <w:rsid w:val="0017700E"/>
    <w:rsid w:val="0018037C"/>
    <w:rsid w:val="001824CB"/>
    <w:rsid w:val="00182626"/>
    <w:rsid w:val="00182671"/>
    <w:rsid w:val="00183040"/>
    <w:rsid w:val="001834A0"/>
    <w:rsid w:val="001903CC"/>
    <w:rsid w:val="0019094E"/>
    <w:rsid w:val="001A7338"/>
    <w:rsid w:val="001A7AEF"/>
    <w:rsid w:val="001B326E"/>
    <w:rsid w:val="001B37B5"/>
    <w:rsid w:val="001B39B1"/>
    <w:rsid w:val="001B515A"/>
    <w:rsid w:val="001B63F4"/>
    <w:rsid w:val="001B71F9"/>
    <w:rsid w:val="001C0D23"/>
    <w:rsid w:val="001C0D71"/>
    <w:rsid w:val="001C2616"/>
    <w:rsid w:val="001D4E0B"/>
    <w:rsid w:val="001E0E1B"/>
    <w:rsid w:val="001E1DCF"/>
    <w:rsid w:val="001E39C1"/>
    <w:rsid w:val="001E4660"/>
    <w:rsid w:val="001E4E81"/>
    <w:rsid w:val="001F0C63"/>
    <w:rsid w:val="001F17B2"/>
    <w:rsid w:val="001F38BC"/>
    <w:rsid w:val="001F5106"/>
    <w:rsid w:val="00201652"/>
    <w:rsid w:val="00201955"/>
    <w:rsid w:val="002021C2"/>
    <w:rsid w:val="00202A29"/>
    <w:rsid w:val="002079EF"/>
    <w:rsid w:val="0021039A"/>
    <w:rsid w:val="00211DAA"/>
    <w:rsid w:val="00214A37"/>
    <w:rsid w:val="00216739"/>
    <w:rsid w:val="0021775A"/>
    <w:rsid w:val="00220ADE"/>
    <w:rsid w:val="00225C89"/>
    <w:rsid w:val="00225F45"/>
    <w:rsid w:val="00230E53"/>
    <w:rsid w:val="0023347C"/>
    <w:rsid w:val="002364F9"/>
    <w:rsid w:val="00242A01"/>
    <w:rsid w:val="00244D76"/>
    <w:rsid w:val="00245F50"/>
    <w:rsid w:val="002479CE"/>
    <w:rsid w:val="00247FA3"/>
    <w:rsid w:val="002501E5"/>
    <w:rsid w:val="00250891"/>
    <w:rsid w:val="00256B79"/>
    <w:rsid w:val="0026212F"/>
    <w:rsid w:val="00267747"/>
    <w:rsid w:val="00270D4D"/>
    <w:rsid w:val="00275A8D"/>
    <w:rsid w:val="00280C0E"/>
    <w:rsid w:val="00282424"/>
    <w:rsid w:val="00282536"/>
    <w:rsid w:val="002830C2"/>
    <w:rsid w:val="00283D10"/>
    <w:rsid w:val="002840C6"/>
    <w:rsid w:val="00284E66"/>
    <w:rsid w:val="00290FCC"/>
    <w:rsid w:val="00293271"/>
    <w:rsid w:val="002A0051"/>
    <w:rsid w:val="002A185B"/>
    <w:rsid w:val="002A3FD2"/>
    <w:rsid w:val="002A6771"/>
    <w:rsid w:val="002B236A"/>
    <w:rsid w:val="002B5705"/>
    <w:rsid w:val="002B6745"/>
    <w:rsid w:val="002C24E9"/>
    <w:rsid w:val="002C3E8A"/>
    <w:rsid w:val="002C405F"/>
    <w:rsid w:val="002C7C8B"/>
    <w:rsid w:val="002D1C67"/>
    <w:rsid w:val="002D6E6E"/>
    <w:rsid w:val="002D7D71"/>
    <w:rsid w:val="002E7F02"/>
    <w:rsid w:val="002F1468"/>
    <w:rsid w:val="002F2E65"/>
    <w:rsid w:val="002F3323"/>
    <w:rsid w:val="002F334C"/>
    <w:rsid w:val="002F5863"/>
    <w:rsid w:val="002F6B38"/>
    <w:rsid w:val="002F796D"/>
    <w:rsid w:val="00301B5B"/>
    <w:rsid w:val="00307F47"/>
    <w:rsid w:val="00310CFC"/>
    <w:rsid w:val="003168B1"/>
    <w:rsid w:val="00317FF5"/>
    <w:rsid w:val="00320841"/>
    <w:rsid w:val="0032339B"/>
    <w:rsid w:val="003238D3"/>
    <w:rsid w:val="00326851"/>
    <w:rsid w:val="00326F48"/>
    <w:rsid w:val="003312B9"/>
    <w:rsid w:val="00334038"/>
    <w:rsid w:val="0033697E"/>
    <w:rsid w:val="00340180"/>
    <w:rsid w:val="00343113"/>
    <w:rsid w:val="00343CCA"/>
    <w:rsid w:val="00344056"/>
    <w:rsid w:val="00351147"/>
    <w:rsid w:val="00353C0D"/>
    <w:rsid w:val="00361684"/>
    <w:rsid w:val="00364186"/>
    <w:rsid w:val="0037421B"/>
    <w:rsid w:val="003753C3"/>
    <w:rsid w:val="00375E79"/>
    <w:rsid w:val="00380A30"/>
    <w:rsid w:val="00381497"/>
    <w:rsid w:val="003821E1"/>
    <w:rsid w:val="00382234"/>
    <w:rsid w:val="0038357D"/>
    <w:rsid w:val="003837FC"/>
    <w:rsid w:val="00384EED"/>
    <w:rsid w:val="00385860"/>
    <w:rsid w:val="003858BE"/>
    <w:rsid w:val="00385BD4"/>
    <w:rsid w:val="00386D7C"/>
    <w:rsid w:val="0039219E"/>
    <w:rsid w:val="00394AF6"/>
    <w:rsid w:val="00396023"/>
    <w:rsid w:val="0039651B"/>
    <w:rsid w:val="003A1889"/>
    <w:rsid w:val="003A538B"/>
    <w:rsid w:val="003A5D3F"/>
    <w:rsid w:val="003A70B7"/>
    <w:rsid w:val="003B01B0"/>
    <w:rsid w:val="003B1542"/>
    <w:rsid w:val="003B66A5"/>
    <w:rsid w:val="003C110C"/>
    <w:rsid w:val="003C467C"/>
    <w:rsid w:val="003C530C"/>
    <w:rsid w:val="003C5861"/>
    <w:rsid w:val="003C7C1A"/>
    <w:rsid w:val="003D0A48"/>
    <w:rsid w:val="003D3526"/>
    <w:rsid w:val="003D5274"/>
    <w:rsid w:val="003E29B5"/>
    <w:rsid w:val="003E3015"/>
    <w:rsid w:val="003E4F98"/>
    <w:rsid w:val="003E5347"/>
    <w:rsid w:val="003E5361"/>
    <w:rsid w:val="003E7B35"/>
    <w:rsid w:val="003F0073"/>
    <w:rsid w:val="003F0FDB"/>
    <w:rsid w:val="003F18AC"/>
    <w:rsid w:val="003F3F5F"/>
    <w:rsid w:val="003F593D"/>
    <w:rsid w:val="003F607E"/>
    <w:rsid w:val="003F63AA"/>
    <w:rsid w:val="004028DD"/>
    <w:rsid w:val="00402906"/>
    <w:rsid w:val="0040348A"/>
    <w:rsid w:val="004050B9"/>
    <w:rsid w:val="00405180"/>
    <w:rsid w:val="00410A6C"/>
    <w:rsid w:val="00412495"/>
    <w:rsid w:val="00414475"/>
    <w:rsid w:val="00417081"/>
    <w:rsid w:val="0041726C"/>
    <w:rsid w:val="00421707"/>
    <w:rsid w:val="00421746"/>
    <w:rsid w:val="00422435"/>
    <w:rsid w:val="00424A3A"/>
    <w:rsid w:val="00424F9D"/>
    <w:rsid w:val="00426D80"/>
    <w:rsid w:val="00431DD1"/>
    <w:rsid w:val="00433573"/>
    <w:rsid w:val="004362E5"/>
    <w:rsid w:val="00436725"/>
    <w:rsid w:val="00440E87"/>
    <w:rsid w:val="00444FA5"/>
    <w:rsid w:val="0044626A"/>
    <w:rsid w:val="00452E79"/>
    <w:rsid w:val="004537CE"/>
    <w:rsid w:val="00456E30"/>
    <w:rsid w:val="004572D1"/>
    <w:rsid w:val="004573B3"/>
    <w:rsid w:val="004573C9"/>
    <w:rsid w:val="00461E0C"/>
    <w:rsid w:val="004624EB"/>
    <w:rsid w:val="00462A9C"/>
    <w:rsid w:val="00463851"/>
    <w:rsid w:val="00463F1B"/>
    <w:rsid w:val="00464351"/>
    <w:rsid w:val="00465B24"/>
    <w:rsid w:val="00470C26"/>
    <w:rsid w:val="00472E9F"/>
    <w:rsid w:val="00482897"/>
    <w:rsid w:val="00494C4A"/>
    <w:rsid w:val="004A001F"/>
    <w:rsid w:val="004A06B3"/>
    <w:rsid w:val="004A1C8F"/>
    <w:rsid w:val="004A1D27"/>
    <w:rsid w:val="004A2C7E"/>
    <w:rsid w:val="004A54FA"/>
    <w:rsid w:val="004A71D1"/>
    <w:rsid w:val="004B2E15"/>
    <w:rsid w:val="004B2F64"/>
    <w:rsid w:val="004B300C"/>
    <w:rsid w:val="004C062D"/>
    <w:rsid w:val="004C0F05"/>
    <w:rsid w:val="004C3BD3"/>
    <w:rsid w:val="004C4984"/>
    <w:rsid w:val="004C4D57"/>
    <w:rsid w:val="004C60FE"/>
    <w:rsid w:val="004D13D7"/>
    <w:rsid w:val="004D18C8"/>
    <w:rsid w:val="004D2CC7"/>
    <w:rsid w:val="004E1BAE"/>
    <w:rsid w:val="004E34AD"/>
    <w:rsid w:val="004E4F04"/>
    <w:rsid w:val="004E6B4C"/>
    <w:rsid w:val="004F1B95"/>
    <w:rsid w:val="004F2241"/>
    <w:rsid w:val="004F2E2E"/>
    <w:rsid w:val="004F6FED"/>
    <w:rsid w:val="00507490"/>
    <w:rsid w:val="00507B22"/>
    <w:rsid w:val="00510935"/>
    <w:rsid w:val="0051117D"/>
    <w:rsid w:val="00511666"/>
    <w:rsid w:val="00512886"/>
    <w:rsid w:val="00512922"/>
    <w:rsid w:val="00512E3A"/>
    <w:rsid w:val="005150D5"/>
    <w:rsid w:val="00517E9F"/>
    <w:rsid w:val="00524525"/>
    <w:rsid w:val="00530190"/>
    <w:rsid w:val="005375BF"/>
    <w:rsid w:val="00537716"/>
    <w:rsid w:val="005407BB"/>
    <w:rsid w:val="005426E5"/>
    <w:rsid w:val="00544AD9"/>
    <w:rsid w:val="005528FF"/>
    <w:rsid w:val="0055605B"/>
    <w:rsid w:val="00557268"/>
    <w:rsid w:val="00560608"/>
    <w:rsid w:val="0056601C"/>
    <w:rsid w:val="00566AA2"/>
    <w:rsid w:val="00566FA9"/>
    <w:rsid w:val="005678B0"/>
    <w:rsid w:val="0057209D"/>
    <w:rsid w:val="0057721F"/>
    <w:rsid w:val="005849E0"/>
    <w:rsid w:val="0058668E"/>
    <w:rsid w:val="00586E14"/>
    <w:rsid w:val="0058738C"/>
    <w:rsid w:val="00587BA4"/>
    <w:rsid w:val="005946A1"/>
    <w:rsid w:val="00596923"/>
    <w:rsid w:val="005A5FB9"/>
    <w:rsid w:val="005B3C98"/>
    <w:rsid w:val="005C0AFB"/>
    <w:rsid w:val="005C3D0E"/>
    <w:rsid w:val="005C406B"/>
    <w:rsid w:val="005C754E"/>
    <w:rsid w:val="005D1F1F"/>
    <w:rsid w:val="005D3856"/>
    <w:rsid w:val="005D6AF3"/>
    <w:rsid w:val="005E1B87"/>
    <w:rsid w:val="005E4419"/>
    <w:rsid w:val="005E451E"/>
    <w:rsid w:val="005E6B0E"/>
    <w:rsid w:val="005F0B06"/>
    <w:rsid w:val="005F0E48"/>
    <w:rsid w:val="005F149C"/>
    <w:rsid w:val="005F150A"/>
    <w:rsid w:val="005F159C"/>
    <w:rsid w:val="005F2D2D"/>
    <w:rsid w:val="0060003F"/>
    <w:rsid w:val="00600CE3"/>
    <w:rsid w:val="00601CAF"/>
    <w:rsid w:val="006041F2"/>
    <w:rsid w:val="00605841"/>
    <w:rsid w:val="00610D9C"/>
    <w:rsid w:val="00616C5C"/>
    <w:rsid w:val="0062216D"/>
    <w:rsid w:val="00623981"/>
    <w:rsid w:val="006255DD"/>
    <w:rsid w:val="00627377"/>
    <w:rsid w:val="00627EC9"/>
    <w:rsid w:val="006300B4"/>
    <w:rsid w:val="00633D21"/>
    <w:rsid w:val="00636831"/>
    <w:rsid w:val="00641B36"/>
    <w:rsid w:val="0064290D"/>
    <w:rsid w:val="0064326C"/>
    <w:rsid w:val="00643648"/>
    <w:rsid w:val="0064511F"/>
    <w:rsid w:val="006456A4"/>
    <w:rsid w:val="00657445"/>
    <w:rsid w:val="00662538"/>
    <w:rsid w:val="00663AFB"/>
    <w:rsid w:val="00665047"/>
    <w:rsid w:val="006674B9"/>
    <w:rsid w:val="00667E07"/>
    <w:rsid w:val="006709B6"/>
    <w:rsid w:val="00674059"/>
    <w:rsid w:val="00675A30"/>
    <w:rsid w:val="00676EA2"/>
    <w:rsid w:val="006805C2"/>
    <w:rsid w:val="00681A21"/>
    <w:rsid w:val="006827FA"/>
    <w:rsid w:val="00687ED7"/>
    <w:rsid w:val="006903EC"/>
    <w:rsid w:val="006953E8"/>
    <w:rsid w:val="006960C8"/>
    <w:rsid w:val="00696317"/>
    <w:rsid w:val="006A1A8F"/>
    <w:rsid w:val="006A6D39"/>
    <w:rsid w:val="006A7CEF"/>
    <w:rsid w:val="006B0CBC"/>
    <w:rsid w:val="006B351F"/>
    <w:rsid w:val="006B3CE5"/>
    <w:rsid w:val="006B4196"/>
    <w:rsid w:val="006B49E3"/>
    <w:rsid w:val="006B7ECC"/>
    <w:rsid w:val="006C03DA"/>
    <w:rsid w:val="006C0F25"/>
    <w:rsid w:val="006C268E"/>
    <w:rsid w:val="006C546C"/>
    <w:rsid w:val="006C5AC0"/>
    <w:rsid w:val="006C7B3B"/>
    <w:rsid w:val="006E0E24"/>
    <w:rsid w:val="006E6E8F"/>
    <w:rsid w:val="006E7C89"/>
    <w:rsid w:val="006F20C3"/>
    <w:rsid w:val="006F5205"/>
    <w:rsid w:val="006F5362"/>
    <w:rsid w:val="0070322E"/>
    <w:rsid w:val="00706C0C"/>
    <w:rsid w:val="00706C8E"/>
    <w:rsid w:val="0071280C"/>
    <w:rsid w:val="0071433B"/>
    <w:rsid w:val="00714A91"/>
    <w:rsid w:val="00721190"/>
    <w:rsid w:val="007245AF"/>
    <w:rsid w:val="007300D6"/>
    <w:rsid w:val="00730BFE"/>
    <w:rsid w:val="007328E5"/>
    <w:rsid w:val="00735713"/>
    <w:rsid w:val="00736445"/>
    <w:rsid w:val="0073655D"/>
    <w:rsid w:val="0073724D"/>
    <w:rsid w:val="00742D95"/>
    <w:rsid w:val="00744388"/>
    <w:rsid w:val="007450C9"/>
    <w:rsid w:val="00746411"/>
    <w:rsid w:val="007464BE"/>
    <w:rsid w:val="00750A42"/>
    <w:rsid w:val="00750F09"/>
    <w:rsid w:val="00756698"/>
    <w:rsid w:val="007612B4"/>
    <w:rsid w:val="00763A49"/>
    <w:rsid w:val="007642DA"/>
    <w:rsid w:val="00765EE8"/>
    <w:rsid w:val="007673F1"/>
    <w:rsid w:val="00767F37"/>
    <w:rsid w:val="00772156"/>
    <w:rsid w:val="00772CBD"/>
    <w:rsid w:val="007749CC"/>
    <w:rsid w:val="0078060F"/>
    <w:rsid w:val="00781A5E"/>
    <w:rsid w:val="00781C66"/>
    <w:rsid w:val="00784AB7"/>
    <w:rsid w:val="00784E5B"/>
    <w:rsid w:val="007864D8"/>
    <w:rsid w:val="00790D33"/>
    <w:rsid w:val="00792041"/>
    <w:rsid w:val="007978C1"/>
    <w:rsid w:val="00797B10"/>
    <w:rsid w:val="007B1376"/>
    <w:rsid w:val="007B1384"/>
    <w:rsid w:val="007B35E5"/>
    <w:rsid w:val="007B4FD7"/>
    <w:rsid w:val="007B7042"/>
    <w:rsid w:val="007B727D"/>
    <w:rsid w:val="007C1F1B"/>
    <w:rsid w:val="007C620E"/>
    <w:rsid w:val="007C7C75"/>
    <w:rsid w:val="007D178D"/>
    <w:rsid w:val="007D46F5"/>
    <w:rsid w:val="007E4053"/>
    <w:rsid w:val="007E7CEC"/>
    <w:rsid w:val="007F06C8"/>
    <w:rsid w:val="007F12FE"/>
    <w:rsid w:val="00805002"/>
    <w:rsid w:val="008063E2"/>
    <w:rsid w:val="008074FE"/>
    <w:rsid w:val="0081066B"/>
    <w:rsid w:val="00814900"/>
    <w:rsid w:val="008160CC"/>
    <w:rsid w:val="00816A30"/>
    <w:rsid w:val="00816ED5"/>
    <w:rsid w:val="008274E2"/>
    <w:rsid w:val="0083368E"/>
    <w:rsid w:val="00834485"/>
    <w:rsid w:val="008371A7"/>
    <w:rsid w:val="00840BB8"/>
    <w:rsid w:val="00841065"/>
    <w:rsid w:val="00846BA9"/>
    <w:rsid w:val="008563B3"/>
    <w:rsid w:val="00860993"/>
    <w:rsid w:val="0086491B"/>
    <w:rsid w:val="00865323"/>
    <w:rsid w:val="00865463"/>
    <w:rsid w:val="00865A11"/>
    <w:rsid w:val="00866E14"/>
    <w:rsid w:val="00866E98"/>
    <w:rsid w:val="0086769D"/>
    <w:rsid w:val="008748BD"/>
    <w:rsid w:val="008766A4"/>
    <w:rsid w:val="00880494"/>
    <w:rsid w:val="00887406"/>
    <w:rsid w:val="00891B29"/>
    <w:rsid w:val="00893F32"/>
    <w:rsid w:val="00895413"/>
    <w:rsid w:val="008955F4"/>
    <w:rsid w:val="008A45AF"/>
    <w:rsid w:val="008A5778"/>
    <w:rsid w:val="008A6090"/>
    <w:rsid w:val="008A6CB9"/>
    <w:rsid w:val="008B03F0"/>
    <w:rsid w:val="008B4CD0"/>
    <w:rsid w:val="008B6BEE"/>
    <w:rsid w:val="008C46E9"/>
    <w:rsid w:val="008C4FDD"/>
    <w:rsid w:val="008C7253"/>
    <w:rsid w:val="008D07C0"/>
    <w:rsid w:val="008D1ADE"/>
    <w:rsid w:val="008D2845"/>
    <w:rsid w:val="008D2C7D"/>
    <w:rsid w:val="008D4D01"/>
    <w:rsid w:val="008E1080"/>
    <w:rsid w:val="008E20D8"/>
    <w:rsid w:val="008E2EDA"/>
    <w:rsid w:val="008E4314"/>
    <w:rsid w:val="008E6E4A"/>
    <w:rsid w:val="008E71DF"/>
    <w:rsid w:val="008F0248"/>
    <w:rsid w:val="008F05D1"/>
    <w:rsid w:val="008F3D0B"/>
    <w:rsid w:val="008F73F4"/>
    <w:rsid w:val="00900217"/>
    <w:rsid w:val="00900B34"/>
    <w:rsid w:val="00905181"/>
    <w:rsid w:val="009052D6"/>
    <w:rsid w:val="0090537C"/>
    <w:rsid w:val="0091570B"/>
    <w:rsid w:val="0091796B"/>
    <w:rsid w:val="00924703"/>
    <w:rsid w:val="00926801"/>
    <w:rsid w:val="0093259E"/>
    <w:rsid w:val="009335C2"/>
    <w:rsid w:val="0093694C"/>
    <w:rsid w:val="009370FA"/>
    <w:rsid w:val="009415BA"/>
    <w:rsid w:val="00941AA2"/>
    <w:rsid w:val="00941FC3"/>
    <w:rsid w:val="0094253A"/>
    <w:rsid w:val="009438DC"/>
    <w:rsid w:val="009448AC"/>
    <w:rsid w:val="00947B0B"/>
    <w:rsid w:val="00950C88"/>
    <w:rsid w:val="009535EC"/>
    <w:rsid w:val="0095620A"/>
    <w:rsid w:val="00960854"/>
    <w:rsid w:val="00960C0D"/>
    <w:rsid w:val="00964A4B"/>
    <w:rsid w:val="0096792E"/>
    <w:rsid w:val="00971AE7"/>
    <w:rsid w:val="00973219"/>
    <w:rsid w:val="00980015"/>
    <w:rsid w:val="009805FF"/>
    <w:rsid w:val="00983CD3"/>
    <w:rsid w:val="00986651"/>
    <w:rsid w:val="00993747"/>
    <w:rsid w:val="009A39D2"/>
    <w:rsid w:val="009B0693"/>
    <w:rsid w:val="009B15B0"/>
    <w:rsid w:val="009B1AC3"/>
    <w:rsid w:val="009B323A"/>
    <w:rsid w:val="009B3760"/>
    <w:rsid w:val="009B40D9"/>
    <w:rsid w:val="009B442A"/>
    <w:rsid w:val="009B5ECE"/>
    <w:rsid w:val="009B6516"/>
    <w:rsid w:val="009C1DF6"/>
    <w:rsid w:val="009C40A0"/>
    <w:rsid w:val="009C5A94"/>
    <w:rsid w:val="009C5AF7"/>
    <w:rsid w:val="009C7DDB"/>
    <w:rsid w:val="009D0975"/>
    <w:rsid w:val="009D30CE"/>
    <w:rsid w:val="009D3F89"/>
    <w:rsid w:val="009D558D"/>
    <w:rsid w:val="009E0920"/>
    <w:rsid w:val="009E1EA0"/>
    <w:rsid w:val="009E6DDD"/>
    <w:rsid w:val="009E72BF"/>
    <w:rsid w:val="009F1FD7"/>
    <w:rsid w:val="009F2302"/>
    <w:rsid w:val="009F5BC4"/>
    <w:rsid w:val="009F6B01"/>
    <w:rsid w:val="00A00C0E"/>
    <w:rsid w:val="00A0161A"/>
    <w:rsid w:val="00A0408F"/>
    <w:rsid w:val="00A041E0"/>
    <w:rsid w:val="00A04C3D"/>
    <w:rsid w:val="00A05AFC"/>
    <w:rsid w:val="00A07C7B"/>
    <w:rsid w:val="00A12175"/>
    <w:rsid w:val="00A14C2C"/>
    <w:rsid w:val="00A20DB8"/>
    <w:rsid w:val="00A21C33"/>
    <w:rsid w:val="00A23D87"/>
    <w:rsid w:val="00A25317"/>
    <w:rsid w:val="00A27CEF"/>
    <w:rsid w:val="00A370F2"/>
    <w:rsid w:val="00A37269"/>
    <w:rsid w:val="00A44340"/>
    <w:rsid w:val="00A46851"/>
    <w:rsid w:val="00A5104F"/>
    <w:rsid w:val="00A56488"/>
    <w:rsid w:val="00A568D6"/>
    <w:rsid w:val="00A57EFB"/>
    <w:rsid w:val="00A61042"/>
    <w:rsid w:val="00A65A21"/>
    <w:rsid w:val="00A66145"/>
    <w:rsid w:val="00A70B1D"/>
    <w:rsid w:val="00A71352"/>
    <w:rsid w:val="00A7198B"/>
    <w:rsid w:val="00A81D50"/>
    <w:rsid w:val="00A83BFE"/>
    <w:rsid w:val="00A842BC"/>
    <w:rsid w:val="00A86F91"/>
    <w:rsid w:val="00A900A5"/>
    <w:rsid w:val="00A94A50"/>
    <w:rsid w:val="00AA1D29"/>
    <w:rsid w:val="00AA3371"/>
    <w:rsid w:val="00AA46DE"/>
    <w:rsid w:val="00AA4FB2"/>
    <w:rsid w:val="00AA6265"/>
    <w:rsid w:val="00AA6CFA"/>
    <w:rsid w:val="00AB1C11"/>
    <w:rsid w:val="00AC1840"/>
    <w:rsid w:val="00AC3BEB"/>
    <w:rsid w:val="00AC56F5"/>
    <w:rsid w:val="00AD058E"/>
    <w:rsid w:val="00AD315D"/>
    <w:rsid w:val="00AD6742"/>
    <w:rsid w:val="00AE0B13"/>
    <w:rsid w:val="00AE2147"/>
    <w:rsid w:val="00AE51F9"/>
    <w:rsid w:val="00AE5932"/>
    <w:rsid w:val="00AE6CB8"/>
    <w:rsid w:val="00AE7992"/>
    <w:rsid w:val="00AF0125"/>
    <w:rsid w:val="00AF4FB0"/>
    <w:rsid w:val="00AF591C"/>
    <w:rsid w:val="00AF5954"/>
    <w:rsid w:val="00AF671E"/>
    <w:rsid w:val="00B00A39"/>
    <w:rsid w:val="00B00C6A"/>
    <w:rsid w:val="00B04920"/>
    <w:rsid w:val="00B1320A"/>
    <w:rsid w:val="00B20D93"/>
    <w:rsid w:val="00B2541D"/>
    <w:rsid w:val="00B26466"/>
    <w:rsid w:val="00B27816"/>
    <w:rsid w:val="00B27D66"/>
    <w:rsid w:val="00B27E64"/>
    <w:rsid w:val="00B313C6"/>
    <w:rsid w:val="00B313E8"/>
    <w:rsid w:val="00B313F1"/>
    <w:rsid w:val="00B31A38"/>
    <w:rsid w:val="00B3256F"/>
    <w:rsid w:val="00B357A8"/>
    <w:rsid w:val="00B36B8F"/>
    <w:rsid w:val="00B37A4D"/>
    <w:rsid w:val="00B37E8F"/>
    <w:rsid w:val="00B41016"/>
    <w:rsid w:val="00B41D6D"/>
    <w:rsid w:val="00B42CB3"/>
    <w:rsid w:val="00B42E42"/>
    <w:rsid w:val="00B463A6"/>
    <w:rsid w:val="00B521CF"/>
    <w:rsid w:val="00B60218"/>
    <w:rsid w:val="00B65A24"/>
    <w:rsid w:val="00B66316"/>
    <w:rsid w:val="00B72540"/>
    <w:rsid w:val="00B75DA8"/>
    <w:rsid w:val="00B7655A"/>
    <w:rsid w:val="00B7726A"/>
    <w:rsid w:val="00B778FF"/>
    <w:rsid w:val="00B81A84"/>
    <w:rsid w:val="00B86814"/>
    <w:rsid w:val="00B87E1D"/>
    <w:rsid w:val="00BA4978"/>
    <w:rsid w:val="00BB3693"/>
    <w:rsid w:val="00BB3FD7"/>
    <w:rsid w:val="00BB7FA2"/>
    <w:rsid w:val="00BC1167"/>
    <w:rsid w:val="00BC1DC3"/>
    <w:rsid w:val="00BC3655"/>
    <w:rsid w:val="00BC63FD"/>
    <w:rsid w:val="00BC7296"/>
    <w:rsid w:val="00BD1DF4"/>
    <w:rsid w:val="00BD1EC1"/>
    <w:rsid w:val="00BD219F"/>
    <w:rsid w:val="00BD3165"/>
    <w:rsid w:val="00BD355C"/>
    <w:rsid w:val="00BD3762"/>
    <w:rsid w:val="00BE1AA6"/>
    <w:rsid w:val="00BE2401"/>
    <w:rsid w:val="00BE2DD9"/>
    <w:rsid w:val="00BE493B"/>
    <w:rsid w:val="00BE5EAC"/>
    <w:rsid w:val="00BE6FC0"/>
    <w:rsid w:val="00BF1374"/>
    <w:rsid w:val="00BF17CC"/>
    <w:rsid w:val="00BF1B29"/>
    <w:rsid w:val="00BF20DF"/>
    <w:rsid w:val="00BF33B0"/>
    <w:rsid w:val="00BF6AD8"/>
    <w:rsid w:val="00BF6D77"/>
    <w:rsid w:val="00C028E6"/>
    <w:rsid w:val="00C0363F"/>
    <w:rsid w:val="00C06348"/>
    <w:rsid w:val="00C06679"/>
    <w:rsid w:val="00C10031"/>
    <w:rsid w:val="00C10192"/>
    <w:rsid w:val="00C1150E"/>
    <w:rsid w:val="00C12663"/>
    <w:rsid w:val="00C14CF5"/>
    <w:rsid w:val="00C17403"/>
    <w:rsid w:val="00C206D8"/>
    <w:rsid w:val="00C26FA9"/>
    <w:rsid w:val="00C31DDF"/>
    <w:rsid w:val="00C32BA1"/>
    <w:rsid w:val="00C33631"/>
    <w:rsid w:val="00C35E9F"/>
    <w:rsid w:val="00C3691D"/>
    <w:rsid w:val="00C4004B"/>
    <w:rsid w:val="00C440CB"/>
    <w:rsid w:val="00C45F42"/>
    <w:rsid w:val="00C55EB3"/>
    <w:rsid w:val="00C566AB"/>
    <w:rsid w:val="00C56F93"/>
    <w:rsid w:val="00C6063B"/>
    <w:rsid w:val="00C64D33"/>
    <w:rsid w:val="00C66E20"/>
    <w:rsid w:val="00C67DAD"/>
    <w:rsid w:val="00C72D9A"/>
    <w:rsid w:val="00C74A75"/>
    <w:rsid w:val="00C76244"/>
    <w:rsid w:val="00C80147"/>
    <w:rsid w:val="00C82EE1"/>
    <w:rsid w:val="00C84239"/>
    <w:rsid w:val="00C86485"/>
    <w:rsid w:val="00C86AA3"/>
    <w:rsid w:val="00C905EA"/>
    <w:rsid w:val="00C91903"/>
    <w:rsid w:val="00C94144"/>
    <w:rsid w:val="00C96C6D"/>
    <w:rsid w:val="00C96F9E"/>
    <w:rsid w:val="00CA34E8"/>
    <w:rsid w:val="00CB02EC"/>
    <w:rsid w:val="00CB2CEF"/>
    <w:rsid w:val="00CB60C7"/>
    <w:rsid w:val="00CB6B0A"/>
    <w:rsid w:val="00CC04B1"/>
    <w:rsid w:val="00CC1D6E"/>
    <w:rsid w:val="00CC2118"/>
    <w:rsid w:val="00CC4044"/>
    <w:rsid w:val="00CC78C6"/>
    <w:rsid w:val="00CD1500"/>
    <w:rsid w:val="00CD2FB9"/>
    <w:rsid w:val="00CD3509"/>
    <w:rsid w:val="00CD68C2"/>
    <w:rsid w:val="00CD76E9"/>
    <w:rsid w:val="00CD7E22"/>
    <w:rsid w:val="00CE1B16"/>
    <w:rsid w:val="00CE688D"/>
    <w:rsid w:val="00CE77A8"/>
    <w:rsid w:val="00CF09C8"/>
    <w:rsid w:val="00CF706C"/>
    <w:rsid w:val="00CF7E71"/>
    <w:rsid w:val="00D027E9"/>
    <w:rsid w:val="00D038AC"/>
    <w:rsid w:val="00D056A3"/>
    <w:rsid w:val="00D070D7"/>
    <w:rsid w:val="00D11044"/>
    <w:rsid w:val="00D11EBF"/>
    <w:rsid w:val="00D14ADC"/>
    <w:rsid w:val="00D153F4"/>
    <w:rsid w:val="00D1699E"/>
    <w:rsid w:val="00D17D78"/>
    <w:rsid w:val="00D20050"/>
    <w:rsid w:val="00D31299"/>
    <w:rsid w:val="00D36E05"/>
    <w:rsid w:val="00D373BF"/>
    <w:rsid w:val="00D45815"/>
    <w:rsid w:val="00D51E49"/>
    <w:rsid w:val="00D521C7"/>
    <w:rsid w:val="00D52FDB"/>
    <w:rsid w:val="00D53218"/>
    <w:rsid w:val="00D53E79"/>
    <w:rsid w:val="00D54090"/>
    <w:rsid w:val="00D54126"/>
    <w:rsid w:val="00D551DB"/>
    <w:rsid w:val="00D570E8"/>
    <w:rsid w:val="00D62870"/>
    <w:rsid w:val="00D70409"/>
    <w:rsid w:val="00D8063E"/>
    <w:rsid w:val="00D82E6B"/>
    <w:rsid w:val="00D843C7"/>
    <w:rsid w:val="00D85A0C"/>
    <w:rsid w:val="00D900E2"/>
    <w:rsid w:val="00D957A1"/>
    <w:rsid w:val="00DA3637"/>
    <w:rsid w:val="00DA5477"/>
    <w:rsid w:val="00DA5B3E"/>
    <w:rsid w:val="00DA7FEA"/>
    <w:rsid w:val="00DB5268"/>
    <w:rsid w:val="00DB5F90"/>
    <w:rsid w:val="00DB7EC8"/>
    <w:rsid w:val="00DC1A35"/>
    <w:rsid w:val="00DC1CEB"/>
    <w:rsid w:val="00DC3CCC"/>
    <w:rsid w:val="00DC5EC6"/>
    <w:rsid w:val="00DC776D"/>
    <w:rsid w:val="00DD0BA6"/>
    <w:rsid w:val="00DD544F"/>
    <w:rsid w:val="00DD7A54"/>
    <w:rsid w:val="00DE17C3"/>
    <w:rsid w:val="00DE530F"/>
    <w:rsid w:val="00DE6EC9"/>
    <w:rsid w:val="00DE6EF5"/>
    <w:rsid w:val="00DF031C"/>
    <w:rsid w:val="00E00736"/>
    <w:rsid w:val="00E034B3"/>
    <w:rsid w:val="00E039E3"/>
    <w:rsid w:val="00E040D4"/>
    <w:rsid w:val="00E040F2"/>
    <w:rsid w:val="00E04B06"/>
    <w:rsid w:val="00E04E4F"/>
    <w:rsid w:val="00E10318"/>
    <w:rsid w:val="00E11026"/>
    <w:rsid w:val="00E125F2"/>
    <w:rsid w:val="00E13310"/>
    <w:rsid w:val="00E140AF"/>
    <w:rsid w:val="00E23B58"/>
    <w:rsid w:val="00E23B79"/>
    <w:rsid w:val="00E30298"/>
    <w:rsid w:val="00E32BEC"/>
    <w:rsid w:val="00E33029"/>
    <w:rsid w:val="00E33CBD"/>
    <w:rsid w:val="00E44A14"/>
    <w:rsid w:val="00E45574"/>
    <w:rsid w:val="00E45B83"/>
    <w:rsid w:val="00E46993"/>
    <w:rsid w:val="00E47A4A"/>
    <w:rsid w:val="00E509BB"/>
    <w:rsid w:val="00E5136A"/>
    <w:rsid w:val="00E52323"/>
    <w:rsid w:val="00E52B81"/>
    <w:rsid w:val="00E55E38"/>
    <w:rsid w:val="00E56DE0"/>
    <w:rsid w:val="00E57A82"/>
    <w:rsid w:val="00E6723B"/>
    <w:rsid w:val="00E677C9"/>
    <w:rsid w:val="00E7120A"/>
    <w:rsid w:val="00E719EA"/>
    <w:rsid w:val="00E72216"/>
    <w:rsid w:val="00E73388"/>
    <w:rsid w:val="00E76824"/>
    <w:rsid w:val="00E821E2"/>
    <w:rsid w:val="00E86183"/>
    <w:rsid w:val="00E9085F"/>
    <w:rsid w:val="00E92189"/>
    <w:rsid w:val="00E93186"/>
    <w:rsid w:val="00E9558C"/>
    <w:rsid w:val="00E96341"/>
    <w:rsid w:val="00EA3B32"/>
    <w:rsid w:val="00EA4D2A"/>
    <w:rsid w:val="00EA61DF"/>
    <w:rsid w:val="00EA648A"/>
    <w:rsid w:val="00EA679B"/>
    <w:rsid w:val="00EA6811"/>
    <w:rsid w:val="00EB2CE0"/>
    <w:rsid w:val="00EB5225"/>
    <w:rsid w:val="00EB64E8"/>
    <w:rsid w:val="00EB65E7"/>
    <w:rsid w:val="00EB6C8C"/>
    <w:rsid w:val="00EB6DF1"/>
    <w:rsid w:val="00EC2057"/>
    <w:rsid w:val="00EC2201"/>
    <w:rsid w:val="00EC4546"/>
    <w:rsid w:val="00EC56A6"/>
    <w:rsid w:val="00EC6828"/>
    <w:rsid w:val="00EC7086"/>
    <w:rsid w:val="00ED0B79"/>
    <w:rsid w:val="00ED1171"/>
    <w:rsid w:val="00ED17CE"/>
    <w:rsid w:val="00ED323F"/>
    <w:rsid w:val="00EE03F8"/>
    <w:rsid w:val="00EE1580"/>
    <w:rsid w:val="00EE3EC4"/>
    <w:rsid w:val="00EE41DA"/>
    <w:rsid w:val="00EE585B"/>
    <w:rsid w:val="00EE707D"/>
    <w:rsid w:val="00EE753B"/>
    <w:rsid w:val="00EE75B9"/>
    <w:rsid w:val="00EF4EF8"/>
    <w:rsid w:val="00EF5474"/>
    <w:rsid w:val="00EF669F"/>
    <w:rsid w:val="00EF6EB9"/>
    <w:rsid w:val="00F01A9D"/>
    <w:rsid w:val="00F02FE3"/>
    <w:rsid w:val="00F040D0"/>
    <w:rsid w:val="00F05941"/>
    <w:rsid w:val="00F06340"/>
    <w:rsid w:val="00F076AF"/>
    <w:rsid w:val="00F07F41"/>
    <w:rsid w:val="00F227E7"/>
    <w:rsid w:val="00F313F5"/>
    <w:rsid w:val="00F33E51"/>
    <w:rsid w:val="00F35012"/>
    <w:rsid w:val="00F37D33"/>
    <w:rsid w:val="00F5089E"/>
    <w:rsid w:val="00F50DE8"/>
    <w:rsid w:val="00F5105E"/>
    <w:rsid w:val="00F511B2"/>
    <w:rsid w:val="00F54177"/>
    <w:rsid w:val="00F57ADB"/>
    <w:rsid w:val="00F6128A"/>
    <w:rsid w:val="00F619F8"/>
    <w:rsid w:val="00F62C3D"/>
    <w:rsid w:val="00F63352"/>
    <w:rsid w:val="00F63F47"/>
    <w:rsid w:val="00F64123"/>
    <w:rsid w:val="00F67AA6"/>
    <w:rsid w:val="00F719BF"/>
    <w:rsid w:val="00F75A03"/>
    <w:rsid w:val="00F8137B"/>
    <w:rsid w:val="00F81484"/>
    <w:rsid w:val="00F85A94"/>
    <w:rsid w:val="00F86C02"/>
    <w:rsid w:val="00F9010A"/>
    <w:rsid w:val="00F93138"/>
    <w:rsid w:val="00F942D7"/>
    <w:rsid w:val="00F94346"/>
    <w:rsid w:val="00FA129C"/>
    <w:rsid w:val="00FA2B40"/>
    <w:rsid w:val="00FA2D18"/>
    <w:rsid w:val="00FA61B8"/>
    <w:rsid w:val="00FB0572"/>
    <w:rsid w:val="00FB365B"/>
    <w:rsid w:val="00FB4976"/>
    <w:rsid w:val="00FB7570"/>
    <w:rsid w:val="00FC5EF4"/>
    <w:rsid w:val="00FD091F"/>
    <w:rsid w:val="00FD20D8"/>
    <w:rsid w:val="00FD22A1"/>
    <w:rsid w:val="00FD24F5"/>
    <w:rsid w:val="00FD4EAE"/>
    <w:rsid w:val="00FD51EC"/>
    <w:rsid w:val="00FD6E86"/>
    <w:rsid w:val="00FE06F0"/>
    <w:rsid w:val="00FE1058"/>
    <w:rsid w:val="00FE10AC"/>
    <w:rsid w:val="00FE37EF"/>
    <w:rsid w:val="00FE3C4F"/>
    <w:rsid w:val="00FE54EC"/>
    <w:rsid w:val="00FE5B8A"/>
    <w:rsid w:val="00FF078A"/>
    <w:rsid w:val="00FF4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9FCCD2"/>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6A4"/>
    <w:pPr>
      <w:spacing w:after="120" w:line="240" w:lineRule="atLeast"/>
    </w:pPr>
    <w:rPr>
      <w:rFonts w:ascii="Arial" w:hAnsi="Arial" w:cs="Arial"/>
      <w:sz w:val="18"/>
      <w:szCs w:val="18"/>
      <w:lang w:val="en-AU"/>
    </w:rPr>
  </w:style>
  <w:style w:type="paragraph" w:styleId="Heading1">
    <w:name w:val="heading 1"/>
    <w:basedOn w:val="Normal"/>
    <w:next w:val="Normal"/>
    <w:link w:val="Heading1Char"/>
    <w:uiPriority w:val="9"/>
    <w:qFormat/>
    <w:rsid w:val="005E1B87"/>
    <w:pPr>
      <w:keepNext/>
      <w:keepLines/>
      <w:spacing w:after="40"/>
      <w:outlineLvl w:val="0"/>
    </w:pPr>
    <w:rPr>
      <w:rFonts w:eastAsiaTheme="majorEastAsia" w:cstheme="majorBidi"/>
      <w:b/>
      <w:bCs/>
      <w:caps/>
      <w:color w:val="AF272F" w:themeColor="accent1"/>
      <w:sz w:val="20"/>
      <w:szCs w:val="20"/>
    </w:rPr>
  </w:style>
  <w:style w:type="paragraph" w:styleId="Heading2">
    <w:name w:val="heading 2"/>
    <w:basedOn w:val="Heading1"/>
    <w:next w:val="Normal"/>
    <w:link w:val="Heading2Char"/>
    <w:uiPriority w:val="9"/>
    <w:unhideWhenUsed/>
    <w:qFormat/>
    <w:rsid w:val="003D5274"/>
    <w:pPr>
      <w:pBdr>
        <w:top w:val="single" w:sz="8" w:space="3" w:color="C00000"/>
      </w:pBdr>
      <w:spacing w:before="200"/>
      <w:outlineLvl w:val="1"/>
    </w:pPr>
    <w:rPr>
      <w:bCs w:val="0"/>
    </w:rPr>
  </w:style>
  <w:style w:type="paragraph" w:styleId="Heading3">
    <w:name w:val="heading 3"/>
    <w:basedOn w:val="Normal"/>
    <w:next w:val="Normal"/>
    <w:link w:val="Heading3Char"/>
    <w:uiPriority w:val="9"/>
    <w:unhideWhenUsed/>
    <w:qFormat/>
    <w:rsid w:val="003D5274"/>
    <w:pPr>
      <w:keepNext/>
      <w:keepLines/>
      <w:spacing w:before="40" w:after="0"/>
      <w:outlineLvl w:val="2"/>
    </w:pPr>
    <w:rPr>
      <w:rFonts w:asciiTheme="majorHAnsi" w:eastAsiaTheme="majorEastAsia" w:hAnsiTheme="majorHAnsi" w:cstheme="majorBidi"/>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EB6C8C"/>
    <w:pPr>
      <w:numPr>
        <w:ilvl w:val="1"/>
      </w:numPr>
      <w:spacing w:after="48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EB6C8C"/>
    <w:rPr>
      <w:rFonts w:ascii="Arial" w:eastAsiaTheme="majorEastAsia" w:hAnsi="Arial"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326F48"/>
    <w:rPr>
      <w:b/>
      <w:bCs/>
      <w:i/>
      <w:iCs/>
      <w:color w:val="AF272F" w:themeColor="accent1"/>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5E1B87"/>
    <w:rPr>
      <w:rFonts w:ascii="Arial" w:eastAsiaTheme="majorEastAsia" w:hAnsi="Arial" w:cstheme="majorBidi"/>
      <w:b/>
      <w:bCs/>
      <w:caps/>
      <w:color w:val="AF272F" w:themeColor="accent1"/>
      <w:sz w:val="20"/>
      <w:szCs w:val="20"/>
    </w:rPr>
  </w:style>
  <w:style w:type="paragraph" w:styleId="Title">
    <w:name w:val="Title"/>
    <w:next w:val="Subtitle"/>
    <w:link w:val="TitleChar"/>
    <w:uiPriority w:val="10"/>
    <w:qFormat/>
    <w:rsid w:val="005E1B87"/>
    <w:pPr>
      <w:spacing w:after="120" w:line="340" w:lineRule="atLeast"/>
      <w:outlineLvl w:val="0"/>
    </w:pPr>
    <w:rPr>
      <w:rFonts w:ascii="Arial" w:eastAsiaTheme="majorEastAsia" w:hAnsi="Arial" w:cstheme="majorBidi"/>
      <w:b/>
      <w:color w:val="AF272F" w:themeColor="accent1"/>
      <w:spacing w:val="5"/>
      <w:kern w:val="28"/>
      <w:sz w:val="44"/>
      <w:szCs w:val="52"/>
    </w:rPr>
  </w:style>
  <w:style w:type="character" w:customStyle="1" w:styleId="TitleChar">
    <w:name w:val="Title Char"/>
    <w:basedOn w:val="DefaultParagraphFont"/>
    <w:link w:val="Title"/>
    <w:uiPriority w:val="10"/>
    <w:rsid w:val="005E1B87"/>
    <w:rPr>
      <w:rFonts w:ascii="Arial" w:eastAsiaTheme="majorEastAsia" w:hAnsi="Arial" w:cstheme="majorBidi"/>
      <w:b/>
      <w:color w:val="AF272F" w:themeColor="accent1"/>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3D5274"/>
    <w:rPr>
      <w:rFonts w:ascii="Arial" w:eastAsiaTheme="majorEastAsia" w:hAnsi="Arial" w:cstheme="majorBidi"/>
      <w:b/>
      <w:caps/>
      <w:color w:val="AF272F" w:themeColor="accent1"/>
      <w:sz w:val="20"/>
      <w:szCs w:val="20"/>
    </w:rPr>
  </w:style>
  <w:style w:type="character" w:styleId="Strong">
    <w:name w:val="Strong"/>
    <w:basedOn w:val="DefaultParagraphFont"/>
    <w:uiPriority w:val="22"/>
    <w:qFormat/>
    <w:rsid w:val="00980015"/>
    <w:rPr>
      <w:b/>
      <w:bCs/>
    </w:rPr>
  </w:style>
  <w:style w:type="paragraph" w:styleId="Header">
    <w:name w:val="header"/>
    <w:basedOn w:val="Normal"/>
    <w:link w:val="HeaderChar"/>
    <w:uiPriority w:val="99"/>
    <w:unhideWhenUsed/>
    <w:rsid w:val="009415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15BA"/>
    <w:rPr>
      <w:rFonts w:ascii="Arial" w:hAnsi="Arial" w:cs="Arial"/>
      <w:sz w:val="18"/>
      <w:szCs w:val="18"/>
    </w:rPr>
  </w:style>
  <w:style w:type="paragraph" w:styleId="FootnoteText">
    <w:name w:val="footnote text"/>
    <w:basedOn w:val="Normal"/>
    <w:link w:val="FootnoteTextChar"/>
    <w:uiPriority w:val="99"/>
    <w:semiHidden/>
    <w:unhideWhenUsed/>
    <w:rsid w:val="00E330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3029"/>
    <w:rPr>
      <w:rFonts w:ascii="Arial" w:hAnsi="Arial" w:cs="Arial"/>
      <w:sz w:val="20"/>
      <w:szCs w:val="20"/>
    </w:rPr>
  </w:style>
  <w:style w:type="character" w:styleId="FootnoteReference">
    <w:name w:val="footnote reference"/>
    <w:basedOn w:val="DefaultParagraphFont"/>
    <w:uiPriority w:val="99"/>
    <w:semiHidden/>
    <w:unhideWhenUsed/>
    <w:rsid w:val="00E33029"/>
    <w:rPr>
      <w:vertAlign w:val="superscript"/>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
    <w:basedOn w:val="Normal"/>
    <w:link w:val="ListParagraphChar"/>
    <w:autoRedefine/>
    <w:uiPriority w:val="34"/>
    <w:qFormat/>
    <w:rsid w:val="00147FAF"/>
    <w:pPr>
      <w:numPr>
        <w:numId w:val="11"/>
      </w:numPr>
      <w:shd w:val="clear" w:color="auto" w:fill="FFFFFF"/>
      <w:autoSpaceDE w:val="0"/>
      <w:autoSpaceDN w:val="0"/>
      <w:adjustRightInd w:val="0"/>
      <w:spacing w:before="120" w:after="0" w:line="300" w:lineRule="atLeast"/>
      <w:textAlignment w:val="baseline"/>
      <w:outlineLvl w:val="3"/>
    </w:pPr>
    <w:rPr>
      <w:sz w:val="20"/>
      <w:szCs w:val="20"/>
      <w:u w:val="single"/>
      <w:vertAlign w:val="superscript"/>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
    <w:link w:val="ListParagraph"/>
    <w:uiPriority w:val="34"/>
    <w:rsid w:val="00147FAF"/>
    <w:rPr>
      <w:rFonts w:ascii="Arial" w:hAnsi="Arial" w:cs="Arial"/>
      <w:sz w:val="20"/>
      <w:szCs w:val="20"/>
      <w:u w:val="single"/>
      <w:shd w:val="clear" w:color="auto" w:fill="FFFFFF"/>
      <w:vertAlign w:val="superscript"/>
      <w:lang w:val="en-AU"/>
    </w:rPr>
  </w:style>
  <w:style w:type="paragraph" w:styleId="BodyText">
    <w:name w:val="Body Text"/>
    <w:basedOn w:val="ListNumber"/>
    <w:link w:val="BodyTextChar"/>
    <w:rsid w:val="004028DD"/>
    <w:pPr>
      <w:numPr>
        <w:numId w:val="0"/>
      </w:numPr>
      <w:spacing w:after="120"/>
      <w:ind w:left="1760" w:hanging="680"/>
      <w:contextualSpacing w:val="0"/>
    </w:pPr>
    <w:rPr>
      <w:rFonts w:ascii="Arial" w:hAnsi="Arial"/>
      <w:lang w:eastAsia="en-US"/>
    </w:rPr>
  </w:style>
  <w:style w:type="character" w:customStyle="1" w:styleId="BodyTextChar">
    <w:name w:val="Body Text Char"/>
    <w:basedOn w:val="DefaultParagraphFont"/>
    <w:link w:val="BodyText"/>
    <w:rsid w:val="004028DD"/>
    <w:rPr>
      <w:rFonts w:ascii="Arial" w:eastAsia="Times New Roman" w:hAnsi="Arial" w:cs="Arial"/>
      <w:noProof/>
      <w:lang w:val="en-AU"/>
    </w:rPr>
  </w:style>
  <w:style w:type="paragraph" w:styleId="ListNumber">
    <w:name w:val="List Number"/>
    <w:basedOn w:val="Normal"/>
    <w:uiPriority w:val="99"/>
    <w:unhideWhenUsed/>
    <w:rsid w:val="004028DD"/>
    <w:pPr>
      <w:numPr>
        <w:numId w:val="1"/>
      </w:numPr>
      <w:spacing w:after="0" w:line="240" w:lineRule="auto"/>
      <w:contextualSpacing/>
    </w:pPr>
    <w:rPr>
      <w:rFonts w:ascii="Times New Roman" w:eastAsia="Times New Roman" w:hAnsi="Times New Roman"/>
      <w:noProof/>
      <w:sz w:val="24"/>
      <w:szCs w:val="24"/>
      <w:lang w:eastAsia="en-AU"/>
    </w:rPr>
  </w:style>
  <w:style w:type="character" w:styleId="Hyperlink">
    <w:name w:val="Hyperlink"/>
    <w:basedOn w:val="DefaultParagraphFont"/>
    <w:uiPriority w:val="99"/>
    <w:unhideWhenUsed/>
    <w:rsid w:val="003C530C"/>
    <w:rPr>
      <w:color w:val="004EA8" w:themeColor="hyperlink"/>
      <w:u w:val="single"/>
    </w:rPr>
  </w:style>
  <w:style w:type="character" w:styleId="CommentReference">
    <w:name w:val="annotation reference"/>
    <w:basedOn w:val="DefaultParagraphFont"/>
    <w:uiPriority w:val="99"/>
    <w:semiHidden/>
    <w:unhideWhenUsed/>
    <w:rsid w:val="001509D3"/>
    <w:rPr>
      <w:sz w:val="16"/>
      <w:szCs w:val="16"/>
    </w:rPr>
  </w:style>
  <w:style w:type="paragraph" w:styleId="CommentText">
    <w:name w:val="annotation text"/>
    <w:basedOn w:val="Normal"/>
    <w:link w:val="CommentTextChar"/>
    <w:uiPriority w:val="99"/>
    <w:semiHidden/>
    <w:unhideWhenUsed/>
    <w:rsid w:val="001509D3"/>
    <w:pPr>
      <w:spacing w:line="240" w:lineRule="auto"/>
    </w:pPr>
    <w:rPr>
      <w:sz w:val="20"/>
      <w:szCs w:val="20"/>
    </w:rPr>
  </w:style>
  <w:style w:type="character" w:customStyle="1" w:styleId="CommentTextChar">
    <w:name w:val="Comment Text Char"/>
    <w:basedOn w:val="DefaultParagraphFont"/>
    <w:link w:val="CommentText"/>
    <w:uiPriority w:val="99"/>
    <w:semiHidden/>
    <w:rsid w:val="001509D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509D3"/>
    <w:rPr>
      <w:b/>
      <w:bCs/>
    </w:rPr>
  </w:style>
  <w:style w:type="character" w:customStyle="1" w:styleId="CommentSubjectChar">
    <w:name w:val="Comment Subject Char"/>
    <w:basedOn w:val="CommentTextChar"/>
    <w:link w:val="CommentSubject"/>
    <w:uiPriority w:val="99"/>
    <w:semiHidden/>
    <w:rsid w:val="001509D3"/>
    <w:rPr>
      <w:rFonts w:ascii="Arial" w:hAnsi="Arial" w:cs="Arial"/>
      <w:b/>
      <w:bCs/>
      <w:sz w:val="20"/>
      <w:szCs w:val="20"/>
    </w:rPr>
  </w:style>
  <w:style w:type="character" w:customStyle="1" w:styleId="A7">
    <w:name w:val="A7"/>
    <w:uiPriority w:val="99"/>
    <w:rsid w:val="00C566AB"/>
    <w:rPr>
      <w:rFonts w:ascii="VIC Medium" w:hAnsi="VIC Medium" w:cs="VIC Medium"/>
      <w:color w:val="000000"/>
      <w:sz w:val="16"/>
      <w:szCs w:val="16"/>
      <w:u w:val="single"/>
    </w:rPr>
  </w:style>
  <w:style w:type="character" w:styleId="FollowedHyperlink">
    <w:name w:val="FollowedHyperlink"/>
    <w:basedOn w:val="DefaultParagraphFont"/>
    <w:uiPriority w:val="99"/>
    <w:semiHidden/>
    <w:unhideWhenUsed/>
    <w:rsid w:val="00A07C7B"/>
    <w:rPr>
      <w:color w:val="87189D" w:themeColor="followedHyperlink"/>
      <w:u w:val="single"/>
    </w:rPr>
  </w:style>
  <w:style w:type="paragraph" w:styleId="Revision">
    <w:name w:val="Revision"/>
    <w:hidden/>
    <w:uiPriority w:val="99"/>
    <w:semiHidden/>
    <w:rsid w:val="007C7C75"/>
    <w:rPr>
      <w:rFonts w:ascii="Arial" w:hAnsi="Arial" w:cs="Arial"/>
      <w:sz w:val="18"/>
      <w:szCs w:val="18"/>
    </w:rPr>
  </w:style>
  <w:style w:type="character" w:styleId="EndnoteReference">
    <w:name w:val="endnote reference"/>
    <w:basedOn w:val="DefaultParagraphFont"/>
    <w:uiPriority w:val="99"/>
    <w:semiHidden/>
    <w:unhideWhenUsed/>
    <w:rsid w:val="000D5470"/>
    <w:rPr>
      <w:vertAlign w:val="superscript"/>
    </w:rPr>
  </w:style>
  <w:style w:type="character" w:customStyle="1" w:styleId="Heading3Char">
    <w:name w:val="Heading 3 Char"/>
    <w:basedOn w:val="DefaultParagraphFont"/>
    <w:link w:val="Heading3"/>
    <w:uiPriority w:val="9"/>
    <w:rsid w:val="003D5274"/>
    <w:rPr>
      <w:rFonts w:asciiTheme="majorHAnsi" w:eastAsiaTheme="majorEastAsia" w:hAnsiTheme="majorHAnsi" w:cstheme="majorBidi"/>
      <w:b/>
      <w:sz w:val="20"/>
    </w:rPr>
  </w:style>
  <w:style w:type="character" w:customStyle="1" w:styleId="UnresolvedMention">
    <w:name w:val="Unresolved Mention"/>
    <w:basedOn w:val="DefaultParagraphFont"/>
    <w:uiPriority w:val="99"/>
    <w:semiHidden/>
    <w:unhideWhenUsed/>
    <w:rsid w:val="00135E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715055">
      <w:bodyDiv w:val="1"/>
      <w:marLeft w:val="0"/>
      <w:marRight w:val="0"/>
      <w:marTop w:val="0"/>
      <w:marBottom w:val="0"/>
      <w:divBdr>
        <w:top w:val="none" w:sz="0" w:space="0" w:color="auto"/>
        <w:left w:val="none" w:sz="0" w:space="0" w:color="auto"/>
        <w:bottom w:val="none" w:sz="0" w:space="0" w:color="auto"/>
        <w:right w:val="none" w:sz="0" w:space="0" w:color="auto"/>
      </w:divBdr>
    </w:div>
    <w:div w:id="807476408">
      <w:bodyDiv w:val="1"/>
      <w:marLeft w:val="0"/>
      <w:marRight w:val="0"/>
      <w:marTop w:val="0"/>
      <w:marBottom w:val="0"/>
      <w:divBdr>
        <w:top w:val="none" w:sz="0" w:space="0" w:color="auto"/>
        <w:left w:val="none" w:sz="0" w:space="0" w:color="auto"/>
        <w:bottom w:val="none" w:sz="0" w:space="0" w:color="auto"/>
        <w:right w:val="none" w:sz="0" w:space="0" w:color="auto"/>
      </w:divBdr>
      <w:divsChild>
        <w:div w:id="1710837850">
          <w:marLeft w:val="0"/>
          <w:marRight w:val="0"/>
          <w:marTop w:val="0"/>
          <w:marBottom w:val="0"/>
          <w:divBdr>
            <w:top w:val="none" w:sz="0" w:space="0" w:color="auto"/>
            <w:left w:val="none" w:sz="0" w:space="0" w:color="auto"/>
            <w:bottom w:val="none" w:sz="0" w:space="0" w:color="auto"/>
            <w:right w:val="none" w:sz="0" w:space="0" w:color="auto"/>
          </w:divBdr>
          <w:divsChild>
            <w:div w:id="942109316">
              <w:marLeft w:val="0"/>
              <w:marRight w:val="0"/>
              <w:marTop w:val="0"/>
              <w:marBottom w:val="0"/>
              <w:divBdr>
                <w:top w:val="none" w:sz="0" w:space="0" w:color="auto"/>
                <w:left w:val="none" w:sz="0" w:space="0" w:color="auto"/>
                <w:bottom w:val="none" w:sz="0" w:space="0" w:color="auto"/>
                <w:right w:val="none" w:sz="0" w:space="0" w:color="auto"/>
              </w:divBdr>
              <w:divsChild>
                <w:div w:id="1151679497">
                  <w:marLeft w:val="0"/>
                  <w:marRight w:val="0"/>
                  <w:marTop w:val="0"/>
                  <w:marBottom w:val="0"/>
                  <w:divBdr>
                    <w:top w:val="none" w:sz="0" w:space="0" w:color="auto"/>
                    <w:left w:val="none" w:sz="0" w:space="0" w:color="auto"/>
                    <w:bottom w:val="none" w:sz="0" w:space="0" w:color="auto"/>
                    <w:right w:val="none" w:sz="0" w:space="0" w:color="auto"/>
                  </w:divBdr>
                  <w:divsChild>
                    <w:div w:id="2010136309">
                      <w:marLeft w:val="375"/>
                      <w:marRight w:val="375"/>
                      <w:marTop w:val="0"/>
                      <w:marBottom w:val="0"/>
                      <w:divBdr>
                        <w:top w:val="none" w:sz="0" w:space="0" w:color="auto"/>
                        <w:left w:val="none" w:sz="0" w:space="0" w:color="auto"/>
                        <w:bottom w:val="none" w:sz="0" w:space="0" w:color="auto"/>
                        <w:right w:val="none" w:sz="0" w:space="0" w:color="auto"/>
                      </w:divBdr>
                      <w:divsChild>
                        <w:div w:id="1976175166">
                          <w:marLeft w:val="120"/>
                          <w:marRight w:val="0"/>
                          <w:marTop w:val="0"/>
                          <w:marBottom w:val="0"/>
                          <w:divBdr>
                            <w:top w:val="none" w:sz="0" w:space="0" w:color="auto"/>
                            <w:left w:val="none" w:sz="0" w:space="0" w:color="auto"/>
                            <w:bottom w:val="single" w:sz="6" w:space="0" w:color="AAAAAA"/>
                            <w:right w:val="none" w:sz="0" w:space="0" w:color="auto"/>
                          </w:divBdr>
                          <w:divsChild>
                            <w:div w:id="656227382">
                              <w:marLeft w:val="0"/>
                              <w:marRight w:val="0"/>
                              <w:marTop w:val="0"/>
                              <w:marBottom w:val="0"/>
                              <w:divBdr>
                                <w:top w:val="none" w:sz="0" w:space="0" w:color="auto"/>
                                <w:left w:val="none" w:sz="0" w:space="0" w:color="auto"/>
                                <w:bottom w:val="none" w:sz="0" w:space="0" w:color="auto"/>
                                <w:right w:val="none" w:sz="0" w:space="0" w:color="auto"/>
                              </w:divBdr>
                              <w:divsChild>
                                <w:div w:id="105203781">
                                  <w:marLeft w:val="0"/>
                                  <w:marRight w:val="0"/>
                                  <w:marTop w:val="0"/>
                                  <w:marBottom w:val="0"/>
                                  <w:divBdr>
                                    <w:top w:val="none" w:sz="0" w:space="0" w:color="auto"/>
                                    <w:left w:val="none" w:sz="0" w:space="0" w:color="auto"/>
                                    <w:bottom w:val="none" w:sz="0" w:space="0" w:color="auto"/>
                                    <w:right w:val="none" w:sz="0" w:space="0" w:color="auto"/>
                                  </w:divBdr>
                                  <w:divsChild>
                                    <w:div w:id="1434283833">
                                      <w:marLeft w:val="-225"/>
                                      <w:marRight w:val="-195"/>
                                      <w:marTop w:val="0"/>
                                      <w:marBottom w:val="75"/>
                                      <w:divBdr>
                                        <w:top w:val="none" w:sz="0" w:space="0" w:color="auto"/>
                                        <w:left w:val="none" w:sz="0" w:space="0" w:color="auto"/>
                                        <w:bottom w:val="none" w:sz="0" w:space="0" w:color="auto"/>
                                        <w:right w:val="none" w:sz="0" w:space="0" w:color="auto"/>
                                      </w:divBdr>
                                      <w:divsChild>
                                        <w:div w:id="21437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3628851">
      <w:bodyDiv w:val="1"/>
      <w:marLeft w:val="0"/>
      <w:marRight w:val="0"/>
      <w:marTop w:val="0"/>
      <w:marBottom w:val="0"/>
      <w:divBdr>
        <w:top w:val="none" w:sz="0" w:space="0" w:color="auto"/>
        <w:left w:val="none" w:sz="0" w:space="0" w:color="auto"/>
        <w:bottom w:val="none" w:sz="0" w:space="0" w:color="auto"/>
        <w:right w:val="none" w:sz="0" w:space="0" w:color="auto"/>
      </w:divBdr>
    </w:div>
    <w:div w:id="1611038380">
      <w:bodyDiv w:val="1"/>
      <w:marLeft w:val="0"/>
      <w:marRight w:val="0"/>
      <w:marTop w:val="0"/>
      <w:marBottom w:val="0"/>
      <w:divBdr>
        <w:top w:val="none" w:sz="0" w:space="0" w:color="auto"/>
        <w:left w:val="none" w:sz="0" w:space="0" w:color="auto"/>
        <w:bottom w:val="none" w:sz="0" w:space="0" w:color="auto"/>
        <w:right w:val="none" w:sz="0" w:space="0" w:color="auto"/>
      </w:divBdr>
    </w:div>
    <w:div w:id="1758551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vic.gov.au/school/teachers/learningneeds/Pages/ables.aspx" TargetMode="External"/><Relationship Id="rId18" Type="http://schemas.openxmlformats.org/officeDocument/2006/relationships/hyperlink" Target="https://edugate.eduweb.vic.gov.au/edrms/keyprocess/TEB/Panorama/Pages/panorama.aspx" TargetMode="External"/><Relationship Id="rId3" Type="http://schemas.openxmlformats.org/officeDocument/2006/relationships/customXml" Target="../customXml/item3.xml"/><Relationship Id="rId21" Type="http://schemas.openxmlformats.org/officeDocument/2006/relationships/hyperlink" Target="mailto:professional.practice@edumail.vic.gov.au" TargetMode="External"/><Relationship Id="rId7" Type="http://schemas.openxmlformats.org/officeDocument/2006/relationships/settings" Target="settings.xml"/><Relationship Id="rId12" Type="http://schemas.openxmlformats.org/officeDocument/2006/relationships/hyperlink" Target="https://www.education.vic.gov.au/school/teachers/classrooms/Pages/approachesppn16diggersrest.aspx" TargetMode="External"/><Relationship Id="rId17" Type="http://schemas.openxmlformats.org/officeDocument/2006/relationships/hyperlink" Target="https://www.education.gov.au/disability-standards-education-200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ducation.vic.gov.au/Documents/school/teachers/teachingresources/practice/pedagogicalmodel.pdf" TargetMode="External"/><Relationship Id="rId20" Type="http://schemas.openxmlformats.org/officeDocument/2006/relationships/hyperlink" Target="https://edugate.eduweb.vic.gov.au/edrms/project/fiso/Shared%20Documents/Strategic%20Resource%20Management%20Guidelines.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vic.gov.au/school/teachers/teachingresources/practice/improve/Pages/Victorianteachingandlearningmodel.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ducation.vic.gov.au/school/teachers/management/finance/Pages/srpref118.aspx"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apps.edustar.vic.edu.au/spot/v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Documents/school/teachers/support/highimpactteachstrat.pdf"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x.doi.org/10.1787/9789264130854-en" TargetMode="External"/><Relationship Id="rId2" Type="http://schemas.openxmlformats.org/officeDocument/2006/relationships/hyperlink" Target="https://www.digitaltechnologieshub.edu.au/teachers/assessment/assessment-framework/blooms-taxonomy" TargetMode="External"/><Relationship Id="rId1" Type="http://schemas.openxmlformats.org/officeDocument/2006/relationships/hyperlink" Target="https://www.education.vic.gov.au/school/teachers/management/improvement/Pages/improvement-model.aspx" TargetMode="External"/><Relationship Id="rId4" Type="http://schemas.openxmlformats.org/officeDocument/2006/relationships/hyperlink" Target="https://www.education.vic.gov.au/school/teachers/classrooms/Pages/aproacheseppdiff.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state">
      <a:dk1>
        <a:srgbClr val="000000"/>
      </a:dk1>
      <a:lt1>
        <a:srgbClr val="FFFFFF"/>
      </a:lt1>
      <a:dk2>
        <a:srgbClr val="53565A"/>
      </a:dk2>
      <a:lt2>
        <a:srgbClr val="D9D9D6"/>
      </a:lt2>
      <a:accent1>
        <a:srgbClr val="AF272F"/>
      </a:accent1>
      <a:accent2>
        <a:srgbClr val="BC95C8"/>
      </a:accent2>
      <a:accent3>
        <a:srgbClr val="F6BE00"/>
      </a:accent3>
      <a:accent4>
        <a:srgbClr val="00B7BD"/>
      </a:accent4>
      <a:accent5>
        <a:srgbClr val="004EA8"/>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PublishingExpirationDate xmlns="http://schemas.microsoft.com/sharepoint/v3" xsi:nil="true"/>
    <RoutingRuleDescription xmlns="http://schemas.microsoft.com/sharepoint/v3" xsi:nil="true"/>
    <PublishingStartDate xmlns="76b566cd-adb9-46c2-964b-22eba181fd0b" xsi:nil="true"/>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6202286A144D49B4910758875C2743" ma:contentTypeVersion="11" ma:contentTypeDescription="Create a new document." ma:contentTypeScope="" ma:versionID="7e046610d019910208f829c1071664a4">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b958a5f4ab638d897b9fd67766ee3246"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2:PublishingStartDate" minOccurs="0"/>
                <xsd:element ref="ns1:PublishingExpirationDate" minOccurs="0"/>
                <xsd:element ref="ns1:RoutingRuleDescription" minOccurs="0"/>
                <xsd:element ref="ns3:TaxCatchAll"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9" nillable="true" ma:displayName="Scheduling End Date" ma:internalName="PublishingExpirationDate">
      <xsd:simpleType>
        <xsd:restriction base="dms:Unknown"/>
      </xsd:simpleType>
    </xsd:element>
    <xsd:element name="RoutingRuleDescription" ma:index="10"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hyperlink" ma:index="1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14"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D6C9A-9555-42B6-AA8A-6F7A4F79A0B1}">
  <ds:schemaRefs>
    <ds:schemaRef ds:uri="http://schemas.microsoft.com/office/2006/metadata/properties"/>
    <ds:schemaRef ds:uri="http://schemas.microsoft.com/office/infopath/2007/PartnerControls"/>
    <ds:schemaRef ds:uri="cb9114c1-daad-44dd-acad-30f4246641f2"/>
    <ds:schemaRef ds:uri="http://schemas.microsoft.com/sharepoint/v3"/>
    <ds:schemaRef ds:uri="76b566cd-adb9-46c2-964b-22eba181fd0b"/>
  </ds:schemaRefs>
</ds:datastoreItem>
</file>

<file path=customXml/itemProps2.xml><?xml version="1.0" encoding="utf-8"?>
<ds:datastoreItem xmlns:ds="http://schemas.openxmlformats.org/officeDocument/2006/customXml" ds:itemID="{96EFAA0F-C977-4E84-B551-42B7CB466B32}"/>
</file>

<file path=customXml/itemProps3.xml><?xml version="1.0" encoding="utf-8"?>
<ds:datastoreItem xmlns:ds="http://schemas.openxmlformats.org/officeDocument/2006/customXml" ds:itemID="{8C561DAB-2615-401A-85FA-66DB225D01A3}">
  <ds:schemaRefs>
    <ds:schemaRef ds:uri="http://schemas.microsoft.com/sharepoint/v3/contenttype/forms"/>
  </ds:schemaRefs>
</ds:datastoreItem>
</file>

<file path=customXml/itemProps4.xml><?xml version="1.0" encoding="utf-8"?>
<ds:datastoreItem xmlns:ds="http://schemas.openxmlformats.org/officeDocument/2006/customXml" ds:itemID="{BA2BDEAE-0605-4A67-9981-0867518A2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2289</Words>
  <Characters>13049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2019-05-29T00:25:00Z</dcterms:created>
  <dcterms:modified xsi:type="dcterms:W3CDTF">2019-05-29T00:25:00Z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0x010100266202286A144D49B4910758875C2743</vt:lpwstr>
  </property>
  <property fmtid="{D5CDD505-2E9C-101B-9397-08002B2CF9AE}" pid="3" name="DEECD_Author">
    <vt:lpwstr>94;#Education|5232e41c-5101-41fe-b638-7d41d1371531</vt:lpwstr>
  </property>
  <property fmtid="{D5CDD505-2E9C-101B-9397-08002B2CF9AE}" pid="4" name="a319977fc8504e09982f090ae1d7c602">
    <vt:lpwstr>Page|eb523acf-a821-456c-a76b-7607578309d7</vt:lpwstr>
  </property>
  <property fmtid="{D5CDD505-2E9C-101B-9397-08002B2CF9AE}" pid="5" name="DEECD_ItemType">
    <vt:lpwstr>101;#Page|eb523acf-a821-456c-a76b-7607578309d7</vt:lpwstr>
  </property>
  <property fmtid="{D5CDD505-2E9C-101B-9397-08002B2CF9AE}" pid="6" name="ofbb8b9a280a423a91cf717fb81349cd">
    <vt:lpwstr>Education|5232e41c-5101-41fe-b638-7d41d1371531</vt:lpwstr>
  </property>
</Properties>
</file>