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5539" w14:textId="0AF5145F" w:rsidR="00E33029" w:rsidRPr="00256B79" w:rsidRDefault="00CA34E8" w:rsidP="007978C1">
      <w:pPr>
        <w:pStyle w:val="Title"/>
        <w:rPr>
          <w:b w:val="0"/>
        </w:rPr>
      </w:pPr>
      <w:r>
        <w:rPr>
          <w:rStyle w:val="SubtleEmphasis"/>
          <w:b w:val="0"/>
          <w:i w:val="0"/>
          <w:iCs w:val="0"/>
          <w:color w:val="AF272F" w:themeColor="accent1"/>
        </w:rPr>
        <w:t>PEER OBSERVATION, FEEDBACK AND REFLECTION</w:t>
      </w:r>
    </w:p>
    <w:p w14:paraId="1FC87F75" w14:textId="35A6A4DD" w:rsidR="005946A1" w:rsidRPr="00D900E2" w:rsidRDefault="008A5778" w:rsidP="007978C1">
      <w:pPr>
        <w:spacing w:before="120"/>
        <w:rPr>
          <w:b/>
        </w:rPr>
      </w:pPr>
      <w:r w:rsidRPr="00D900E2">
        <w:rPr>
          <w:b/>
        </w:rPr>
        <w:t>OVERVIEW</w:t>
      </w:r>
    </w:p>
    <w:p w14:paraId="3939C217" w14:textId="796D04B0" w:rsidR="00BD219F" w:rsidRPr="003E5347" w:rsidRDefault="00BF1B29" w:rsidP="001B3B93">
      <w:pPr>
        <w:pStyle w:val="ListParagraph"/>
      </w:pPr>
      <w:r>
        <w:t>Peer observation</w:t>
      </w:r>
      <w:r w:rsidR="0032339B">
        <w:t xml:space="preserve">, including </w:t>
      </w:r>
      <w:r>
        <w:t xml:space="preserve">feedback </w:t>
      </w:r>
      <w:r w:rsidR="0032339B">
        <w:t xml:space="preserve">and reflection, is </w:t>
      </w:r>
      <w:r>
        <w:t>a core component of creating a professional community and building collective efficacy</w:t>
      </w:r>
      <w:r w:rsidR="00C35E9F">
        <w:t>.</w:t>
      </w:r>
      <w:r>
        <w:rPr>
          <w:rStyle w:val="FootnoteReference"/>
        </w:rPr>
        <w:footnoteReference w:id="2"/>
      </w:r>
      <w:r w:rsidRPr="00605841">
        <w:rPr>
          <w:color w:val="000000" w:themeColor="text1"/>
        </w:rPr>
        <w:t xml:space="preserve"> </w:t>
      </w:r>
    </w:p>
    <w:p w14:paraId="4025ED83" w14:textId="107C6F82" w:rsidR="005946A1" w:rsidRDefault="000450B6" w:rsidP="001B3B93">
      <w:pPr>
        <w:pStyle w:val="ListParagraph"/>
      </w:pPr>
      <w:r>
        <w:t>Effective</w:t>
      </w:r>
      <w:r w:rsidR="00993747">
        <w:t xml:space="preserve"> peer observation </w:t>
      </w:r>
      <w:r>
        <w:t xml:space="preserve">can help teachers to </w:t>
      </w:r>
      <w:r w:rsidR="00840BB8">
        <w:t>continue to improve</w:t>
      </w:r>
      <w:r>
        <w:t xml:space="preserve"> </w:t>
      </w:r>
      <w:r w:rsidR="00B72540">
        <w:t xml:space="preserve">their </w:t>
      </w:r>
      <w:r>
        <w:t>practice in ways that better promote student learning.</w:t>
      </w:r>
    </w:p>
    <w:p w14:paraId="747AF92D" w14:textId="50FA261A" w:rsidR="00BD219F" w:rsidRDefault="00087024" w:rsidP="001B3B93">
      <w:pPr>
        <w:pStyle w:val="ListParagraph"/>
      </w:pPr>
      <w:r>
        <w:t xml:space="preserve">Peer observation is a developmental opportunity for teachers. </w:t>
      </w:r>
    </w:p>
    <w:p w14:paraId="0E30D361" w14:textId="2EF383A4" w:rsidR="000450B6" w:rsidRDefault="007864D8" w:rsidP="007978C1">
      <w:pPr>
        <w:spacing w:before="120"/>
        <w:rPr>
          <w:color w:val="000000" w:themeColor="text1"/>
        </w:rPr>
      </w:pPr>
      <w:r w:rsidRPr="007864D8">
        <w:rPr>
          <w:b/>
        </w:rPr>
        <w:t>PURPOSE</w:t>
      </w:r>
    </w:p>
    <w:p w14:paraId="5CC14CCB" w14:textId="4F0E016B" w:rsidR="007864D8" w:rsidRDefault="000450B6" w:rsidP="007978C1">
      <w:pPr>
        <w:spacing w:before="120"/>
        <w:rPr>
          <w:color w:val="000000" w:themeColor="text1"/>
        </w:rPr>
      </w:pPr>
      <w:r>
        <w:rPr>
          <w:color w:val="000000" w:themeColor="text1"/>
        </w:rPr>
        <w:t>This Professional Practice Note provides guidance to school leaders and teachers on implementing peer observation, including feedback and reflection, to improve teacher professional practice.</w:t>
      </w:r>
    </w:p>
    <w:p w14:paraId="18A134D0" w14:textId="4B1758F7" w:rsidR="00BF1B29" w:rsidRPr="001B3B93" w:rsidRDefault="00250891" w:rsidP="001B3B93">
      <w:pPr>
        <w:spacing w:before="120"/>
        <w:rPr>
          <w:color w:val="000000" w:themeColor="text1"/>
        </w:rPr>
      </w:pPr>
      <w:r>
        <w:rPr>
          <w:color w:val="000000" w:themeColor="text1"/>
        </w:rPr>
        <w:t xml:space="preserve">Many schools already use peer observation and feedback. </w:t>
      </w:r>
      <w:r w:rsidR="000450B6">
        <w:rPr>
          <w:color w:val="000000" w:themeColor="text1"/>
        </w:rPr>
        <w:t xml:space="preserve">This Professional </w:t>
      </w:r>
      <w:r w:rsidR="000450B6" w:rsidRPr="00A14C2C">
        <w:rPr>
          <w:color w:val="000000" w:themeColor="text1"/>
        </w:rPr>
        <w:t>Practice Note</w:t>
      </w:r>
      <w:r w:rsidRPr="00A14C2C">
        <w:rPr>
          <w:color w:val="000000" w:themeColor="text1"/>
        </w:rPr>
        <w:t xml:space="preserve"> can be a useful reference point for future planning and improvement</w:t>
      </w:r>
      <w:r w:rsidR="00C35E9F">
        <w:rPr>
          <w:color w:val="000000" w:themeColor="text1"/>
        </w:rPr>
        <w:t xml:space="preserve">. </w:t>
      </w:r>
      <w:r w:rsidR="00A07C7B" w:rsidRPr="00A14C2C">
        <w:rPr>
          <w:color w:val="000000" w:themeColor="text1"/>
        </w:rPr>
        <w:t>This note and accompanying guide can support schools at all stages of implementing peer observation.</w:t>
      </w:r>
      <w:r w:rsidR="00BF1B29" w:rsidRPr="001B3B93">
        <w:rPr>
          <w:color w:val="000000" w:themeColor="text1"/>
        </w:rPr>
        <w:t xml:space="preserve"> </w:t>
      </w:r>
    </w:p>
    <w:p w14:paraId="456751C7" w14:textId="6799F6E2" w:rsidR="00BF1B29" w:rsidRDefault="00BF1B29" w:rsidP="00BF1B29">
      <w:pPr>
        <w:spacing w:line="240" w:lineRule="auto"/>
        <w:rPr>
          <w:b/>
          <w:sz w:val="14"/>
          <w:szCs w:val="14"/>
        </w:rPr>
      </w:pPr>
      <w:r w:rsidRPr="00C96C6D">
        <w:rPr>
          <w:b/>
          <w:i/>
          <w:color w:val="C00000"/>
        </w:rPr>
        <w:t>Research shows observation of classroom teaching, linked to timely and useful feedback that focuses on improvement, is a particularly useful tool for teacher development</w:t>
      </w:r>
      <w:r>
        <w:rPr>
          <w:b/>
          <w:i/>
          <w:color w:val="C00000"/>
        </w:rPr>
        <w:t xml:space="preserve"> </w:t>
      </w:r>
      <w:r>
        <w:rPr>
          <w:rStyle w:val="FootnoteReference"/>
          <w:b/>
          <w:sz w:val="14"/>
          <w:szCs w:val="14"/>
        </w:rPr>
        <w:footnoteReference w:id="3"/>
      </w:r>
      <w:r>
        <w:rPr>
          <w:b/>
          <w:sz w:val="14"/>
          <w:szCs w:val="14"/>
        </w:rPr>
        <w:t xml:space="preserve"> </w:t>
      </w:r>
    </w:p>
    <w:p w14:paraId="30051041" w14:textId="58FEBC0B" w:rsidR="002840C6" w:rsidRPr="00BF1B29" w:rsidRDefault="00BF1B29" w:rsidP="00BF1B29">
      <w:pPr>
        <w:spacing w:line="240" w:lineRule="auto"/>
        <w:rPr>
          <w:b/>
          <w:sz w:val="14"/>
          <w:szCs w:val="14"/>
        </w:rPr>
      </w:pPr>
      <w:r>
        <w:rPr>
          <w:b/>
          <w:sz w:val="14"/>
          <w:szCs w:val="14"/>
        </w:rPr>
        <w:t>Australian Institute for Teaching and School Leadership (AITSL)</w:t>
      </w:r>
    </w:p>
    <w:p w14:paraId="21FD502F" w14:textId="10E7A20B" w:rsidR="005528FF" w:rsidRPr="005528FF" w:rsidRDefault="005528FF" w:rsidP="007978C1">
      <w:pPr>
        <w:spacing w:before="120"/>
        <w:rPr>
          <w:b/>
        </w:rPr>
      </w:pPr>
      <w:r w:rsidRPr="005528FF">
        <w:rPr>
          <w:b/>
        </w:rPr>
        <w:t>BUILDING CAPABILITY THROUGH PEER OBSERVATION</w:t>
      </w:r>
      <w:r w:rsidR="00E5136A">
        <w:rPr>
          <w:b/>
        </w:rPr>
        <w:t>, FEEDBACK AND REFLECTION</w:t>
      </w:r>
    </w:p>
    <w:p w14:paraId="7551CB97" w14:textId="1DB2D4A3" w:rsidR="00605841" w:rsidRPr="00A07C7B" w:rsidRDefault="00B20D93" w:rsidP="00B04920">
      <w:pPr>
        <w:spacing w:before="120"/>
        <w:rPr>
          <w:color w:val="000000" w:themeColor="text1"/>
        </w:rPr>
      </w:pPr>
      <w:r w:rsidRPr="00A07C7B">
        <w:rPr>
          <w:color w:val="000000" w:themeColor="text1"/>
        </w:rPr>
        <w:t>Evidence shows that when done well, peer observation, including feedback and reflection, is a high impact approach to improving professional practice and can be an important part of a teacher’s professional development</w:t>
      </w:r>
      <w:r w:rsidR="00C35E9F">
        <w:rPr>
          <w:color w:val="000000" w:themeColor="text1"/>
        </w:rPr>
        <w:t>.</w:t>
      </w:r>
      <w:r w:rsidRPr="00A07C7B">
        <w:rPr>
          <w:rStyle w:val="FootnoteReference"/>
          <w:color w:val="000000" w:themeColor="text1"/>
        </w:rPr>
        <w:footnoteReference w:id="4"/>
      </w:r>
      <w:r w:rsidR="00B04920" w:rsidRPr="00A07C7B">
        <w:rPr>
          <w:color w:val="000000" w:themeColor="text1"/>
        </w:rPr>
        <w:t xml:space="preserve"> </w:t>
      </w:r>
    </w:p>
    <w:p w14:paraId="2716AA88" w14:textId="1EB8DDCF" w:rsidR="00605841" w:rsidRPr="00A07C7B" w:rsidRDefault="00605841" w:rsidP="00605841">
      <w:r w:rsidRPr="00A07C7B">
        <w:rPr>
          <w:color w:val="000000" w:themeColor="text1"/>
        </w:rPr>
        <w:t xml:space="preserve">Peer observation is supported by the Performance and Development </w:t>
      </w:r>
      <w:r w:rsidR="00F94346" w:rsidRPr="00A07C7B">
        <w:rPr>
          <w:color w:val="000000" w:themeColor="text1"/>
        </w:rPr>
        <w:t>whole-of-practice approach</w:t>
      </w:r>
      <w:r w:rsidRPr="00A07C7B">
        <w:rPr>
          <w:color w:val="000000" w:themeColor="text1"/>
        </w:rPr>
        <w:t xml:space="preserve">, and focusses on </w:t>
      </w:r>
      <w:r w:rsidRPr="00A07C7B">
        <w:rPr>
          <w:color w:val="000000" w:themeColor="text1"/>
        </w:rPr>
        <w:t>practice improvement</w:t>
      </w:r>
      <w:r w:rsidR="00F94346" w:rsidRPr="00A07C7B">
        <w:rPr>
          <w:color w:val="000000" w:themeColor="text1"/>
        </w:rPr>
        <w:t>, not assessment</w:t>
      </w:r>
      <w:r w:rsidRPr="00A07C7B">
        <w:rPr>
          <w:color w:val="000000" w:themeColor="text1"/>
        </w:rPr>
        <w:t xml:space="preserve">. The </w:t>
      </w:r>
      <w:r w:rsidRPr="00A07C7B">
        <w:rPr>
          <w:i/>
          <w:color w:val="000000" w:themeColor="text1"/>
        </w:rPr>
        <w:t xml:space="preserve">Practice Principles for Excellence in Teaching and Learning </w:t>
      </w:r>
      <w:r w:rsidR="004A52F3">
        <w:rPr>
          <w:color w:val="000000" w:themeColor="text1"/>
        </w:rPr>
        <w:t xml:space="preserve">and the </w:t>
      </w:r>
      <w:r w:rsidR="004A52F3" w:rsidRPr="004A52F3">
        <w:rPr>
          <w:i/>
          <w:color w:val="000000" w:themeColor="text1"/>
        </w:rPr>
        <w:t>High Impact Teaching Strategies</w:t>
      </w:r>
      <w:r w:rsidR="004A52F3">
        <w:rPr>
          <w:color w:val="000000" w:themeColor="text1"/>
        </w:rPr>
        <w:t xml:space="preserve"> also provide an opportunity for teachers to focus on improving their knowledge and skills using evidence-based strategies that enhance the precision and impact of their practice</w:t>
      </w:r>
      <w:r w:rsidRPr="00A07C7B">
        <w:rPr>
          <w:color w:val="000000" w:themeColor="text1"/>
        </w:rPr>
        <w:t>.</w:t>
      </w:r>
      <w:r w:rsidRPr="00A07C7B">
        <w:rPr>
          <w:rStyle w:val="FootnoteReference"/>
          <w:color w:val="000000" w:themeColor="text1"/>
        </w:rPr>
        <w:footnoteReference w:id="5"/>
      </w:r>
    </w:p>
    <w:p w14:paraId="2EA80858" w14:textId="66248F1D" w:rsidR="00112F5E" w:rsidRPr="00A07C7B" w:rsidRDefault="007864D8" w:rsidP="007978C1">
      <w:pPr>
        <w:spacing w:before="120"/>
        <w:rPr>
          <w:color w:val="000000" w:themeColor="text1"/>
        </w:rPr>
      </w:pPr>
      <w:r w:rsidRPr="00A07C7B">
        <w:rPr>
          <w:color w:val="000000" w:themeColor="text1"/>
        </w:rPr>
        <w:t>Peer observation enables teachers to</w:t>
      </w:r>
      <w:r w:rsidR="005528FF" w:rsidRPr="00A07C7B">
        <w:rPr>
          <w:color w:val="000000" w:themeColor="text1"/>
        </w:rPr>
        <w:t xml:space="preserve"> access feedback on their practice, </w:t>
      </w:r>
      <w:r w:rsidRPr="00A07C7B">
        <w:rPr>
          <w:color w:val="000000" w:themeColor="text1"/>
        </w:rPr>
        <w:t>build their individual capability and develop a shared understanding of effective practice</w:t>
      </w:r>
      <w:r w:rsidR="003F63AA" w:rsidRPr="00A07C7B">
        <w:rPr>
          <w:color w:val="000000" w:themeColor="text1"/>
        </w:rPr>
        <w:t xml:space="preserve">. </w:t>
      </w:r>
    </w:p>
    <w:p w14:paraId="149F0254" w14:textId="77777777" w:rsidR="00F94346" w:rsidRPr="00A07C7B" w:rsidRDefault="00F94346" w:rsidP="00F94346">
      <w:pPr>
        <w:spacing w:before="120"/>
        <w:rPr>
          <w:color w:val="000000" w:themeColor="text1"/>
        </w:rPr>
      </w:pPr>
      <w:r w:rsidRPr="00A07C7B">
        <w:rPr>
          <w:color w:val="000000" w:themeColor="text1"/>
        </w:rPr>
        <w:t>The MET Project study has identified that classroom observation is one of the key measures of great teaching when combined with student surveys and student achievement gains.</w:t>
      </w:r>
      <w:r w:rsidRPr="00A07C7B">
        <w:rPr>
          <w:rStyle w:val="FootnoteReference"/>
          <w:color w:val="000000" w:themeColor="text1"/>
        </w:rPr>
        <w:footnoteReference w:id="6"/>
      </w:r>
    </w:p>
    <w:p w14:paraId="58FD2C46" w14:textId="66B35F39" w:rsidR="007864D8" w:rsidRPr="007864D8" w:rsidRDefault="00F6128A" w:rsidP="00F94346">
      <w:pPr>
        <w:spacing w:before="120"/>
        <w:rPr>
          <w:color w:val="000000" w:themeColor="text1"/>
        </w:rPr>
      </w:pPr>
      <w:r w:rsidRPr="00A07C7B">
        <w:rPr>
          <w:color w:val="000000" w:themeColor="text1"/>
        </w:rPr>
        <w:t>Peer observation benefits</w:t>
      </w:r>
      <w:r w:rsidRPr="007864D8">
        <w:rPr>
          <w:color w:val="000000" w:themeColor="text1"/>
        </w:rPr>
        <w:t xml:space="preserve"> teachers through </w:t>
      </w:r>
      <w:r w:rsidR="004A52F3">
        <w:rPr>
          <w:color w:val="000000" w:themeColor="text1"/>
        </w:rPr>
        <w:t xml:space="preserve">a </w:t>
      </w:r>
      <w:r w:rsidRPr="007864D8">
        <w:rPr>
          <w:color w:val="000000" w:themeColor="text1"/>
        </w:rPr>
        <w:t xml:space="preserve">structured feedback </w:t>
      </w:r>
      <w:r w:rsidR="004A52F3">
        <w:rPr>
          <w:color w:val="000000" w:themeColor="text1"/>
        </w:rPr>
        <w:t xml:space="preserve">dialogue </w:t>
      </w:r>
      <w:r w:rsidRPr="007864D8">
        <w:rPr>
          <w:color w:val="000000" w:themeColor="text1"/>
        </w:rPr>
        <w:t>against a set</w:t>
      </w:r>
      <w:r>
        <w:rPr>
          <w:color w:val="000000" w:themeColor="text1"/>
        </w:rPr>
        <w:t xml:space="preserve"> of agreed</w:t>
      </w:r>
      <w:r w:rsidRPr="007864D8">
        <w:rPr>
          <w:color w:val="000000" w:themeColor="text1"/>
        </w:rPr>
        <w:t xml:space="preserve"> criteria with </w:t>
      </w:r>
      <w:r>
        <w:rPr>
          <w:color w:val="000000" w:themeColor="text1"/>
        </w:rPr>
        <w:t>a</w:t>
      </w:r>
      <w:r w:rsidRPr="007864D8">
        <w:rPr>
          <w:color w:val="000000" w:themeColor="text1"/>
        </w:rPr>
        <w:t xml:space="preserve"> focus on progressing student learning.</w:t>
      </w:r>
      <w:r>
        <w:rPr>
          <w:color w:val="000000" w:themeColor="text1"/>
        </w:rPr>
        <w:t xml:space="preserve"> </w:t>
      </w:r>
      <w:r w:rsidR="004A52F3">
        <w:rPr>
          <w:color w:val="000000" w:themeColor="text1"/>
        </w:rPr>
        <w:t xml:space="preserve">Using </w:t>
      </w:r>
      <w:r w:rsidR="007864D8" w:rsidRPr="007864D8">
        <w:rPr>
          <w:color w:val="000000" w:themeColor="text1"/>
        </w:rPr>
        <w:t>an inquiry cycle, teachers can evaluate the impact of their practice on student lear</w:t>
      </w:r>
      <w:r w:rsidR="009C5AF7">
        <w:rPr>
          <w:color w:val="000000" w:themeColor="text1"/>
        </w:rPr>
        <w:t>ning</w:t>
      </w:r>
      <w:r w:rsidR="007864D8" w:rsidRPr="007864D8">
        <w:rPr>
          <w:color w:val="000000" w:themeColor="text1"/>
        </w:rPr>
        <w:t xml:space="preserve"> growth and identify areas for improvement</w:t>
      </w:r>
      <w:r w:rsidR="00CF706C">
        <w:rPr>
          <w:color w:val="000000" w:themeColor="text1"/>
        </w:rPr>
        <w:t>.</w:t>
      </w:r>
    </w:p>
    <w:p w14:paraId="58A3FA5C" w14:textId="5BAD72F4" w:rsidR="00230E53" w:rsidRPr="00B86814" w:rsidRDefault="00250891" w:rsidP="007978C1">
      <w:pPr>
        <w:spacing w:before="120"/>
        <w:rPr>
          <w:color w:val="000000" w:themeColor="text1"/>
        </w:rPr>
      </w:pPr>
      <w:r>
        <w:rPr>
          <w:color w:val="000000" w:themeColor="text1"/>
        </w:rPr>
        <w:t xml:space="preserve">Peer observation </w:t>
      </w:r>
      <w:r w:rsidR="0038357D">
        <w:rPr>
          <w:color w:val="000000" w:themeColor="text1"/>
        </w:rPr>
        <w:t>can also be</w:t>
      </w:r>
      <w:r>
        <w:rPr>
          <w:color w:val="000000" w:themeColor="text1"/>
        </w:rPr>
        <w:t xml:space="preserve"> a professional learning opportunity </w:t>
      </w:r>
      <w:r w:rsidR="004A52F3">
        <w:rPr>
          <w:color w:val="000000" w:themeColor="text1"/>
        </w:rPr>
        <w:t>within the context of professional</w:t>
      </w:r>
      <w:r w:rsidR="00171BCB">
        <w:rPr>
          <w:color w:val="000000" w:themeColor="text1"/>
        </w:rPr>
        <w:t xml:space="preserve"> lea</w:t>
      </w:r>
      <w:r w:rsidR="007F5539">
        <w:rPr>
          <w:color w:val="000000" w:themeColor="text1"/>
        </w:rPr>
        <w:t>r</w:t>
      </w:r>
      <w:r w:rsidR="00171BCB">
        <w:rPr>
          <w:color w:val="000000" w:themeColor="text1"/>
        </w:rPr>
        <w:t>ning t</w:t>
      </w:r>
      <w:r w:rsidR="00E040F2">
        <w:rPr>
          <w:color w:val="000000" w:themeColor="text1"/>
        </w:rPr>
        <w:t>eams</w:t>
      </w:r>
      <w:r w:rsidR="00F94346">
        <w:rPr>
          <w:color w:val="000000" w:themeColor="text1"/>
        </w:rPr>
        <w:t xml:space="preserve">, as it allows teachers to build </w:t>
      </w:r>
      <w:r w:rsidR="00F94346" w:rsidRPr="00B86814">
        <w:rPr>
          <w:color w:val="000000" w:themeColor="text1"/>
        </w:rPr>
        <w:t>their capacity i</w:t>
      </w:r>
      <w:r w:rsidR="00A07C7B" w:rsidRPr="00B86814">
        <w:rPr>
          <w:color w:val="000000" w:themeColor="text1"/>
        </w:rPr>
        <w:t xml:space="preserve">n giving and receiving feedback and </w:t>
      </w:r>
      <w:r w:rsidR="00C35E9F">
        <w:rPr>
          <w:color w:val="000000" w:themeColor="text1"/>
        </w:rPr>
        <w:t>creates opportunities</w:t>
      </w:r>
      <w:r w:rsidR="00A07C7B" w:rsidRPr="00B86814">
        <w:rPr>
          <w:color w:val="000000" w:themeColor="text1"/>
        </w:rPr>
        <w:t xml:space="preserve"> to </w:t>
      </w:r>
      <w:r w:rsidR="00C35E9F">
        <w:rPr>
          <w:color w:val="000000" w:themeColor="text1"/>
        </w:rPr>
        <w:t>learn</w:t>
      </w:r>
      <w:r w:rsidR="00C35E9F" w:rsidRPr="00B86814">
        <w:rPr>
          <w:color w:val="000000" w:themeColor="text1"/>
        </w:rPr>
        <w:t xml:space="preserve"> </w:t>
      </w:r>
      <w:r w:rsidR="00A07C7B" w:rsidRPr="00B86814">
        <w:rPr>
          <w:color w:val="000000" w:themeColor="text1"/>
        </w:rPr>
        <w:t xml:space="preserve">new strategies, modelled by </w:t>
      </w:r>
      <w:r w:rsidR="00E445BF">
        <w:rPr>
          <w:color w:val="000000" w:themeColor="text1"/>
        </w:rPr>
        <w:t>experienced</w:t>
      </w:r>
      <w:r w:rsidR="00E445BF" w:rsidRPr="00B86814">
        <w:rPr>
          <w:color w:val="000000" w:themeColor="text1"/>
        </w:rPr>
        <w:t xml:space="preserve"> </w:t>
      </w:r>
      <w:r w:rsidR="00A07C7B" w:rsidRPr="00B86814">
        <w:rPr>
          <w:color w:val="000000" w:themeColor="text1"/>
        </w:rPr>
        <w:t>colleagues.</w:t>
      </w:r>
    </w:p>
    <w:p w14:paraId="2859DFC1" w14:textId="1CEA5198" w:rsidR="002840C6" w:rsidRPr="00B86814" w:rsidRDefault="00C35E9F" w:rsidP="007978C1">
      <w:pPr>
        <w:spacing w:before="120"/>
        <w:rPr>
          <w:color w:val="000000" w:themeColor="text1"/>
        </w:rPr>
      </w:pPr>
      <w:r>
        <w:rPr>
          <w:color w:val="000000" w:themeColor="text1"/>
        </w:rPr>
        <w:t xml:space="preserve">Whole-of-school </w:t>
      </w:r>
      <w:r w:rsidR="00230E53" w:rsidRPr="00B86814">
        <w:rPr>
          <w:color w:val="000000" w:themeColor="text1"/>
        </w:rPr>
        <w:t>implement</w:t>
      </w:r>
      <w:r w:rsidR="00E040F2" w:rsidRPr="00B86814">
        <w:rPr>
          <w:color w:val="000000" w:themeColor="text1"/>
        </w:rPr>
        <w:t xml:space="preserve">ation </w:t>
      </w:r>
      <w:r w:rsidR="00E56DE0" w:rsidRPr="00B86814">
        <w:rPr>
          <w:color w:val="000000" w:themeColor="text1"/>
        </w:rPr>
        <w:t>of</w:t>
      </w:r>
      <w:r w:rsidR="00230E53" w:rsidRPr="00B86814">
        <w:rPr>
          <w:color w:val="000000" w:themeColor="text1"/>
        </w:rPr>
        <w:t xml:space="preserve"> peer observation and feedback </w:t>
      </w:r>
      <w:r w:rsidR="00E56DE0" w:rsidRPr="00B86814">
        <w:rPr>
          <w:color w:val="000000" w:themeColor="text1"/>
        </w:rPr>
        <w:t>should meet t</w:t>
      </w:r>
      <w:r w:rsidR="00230E53" w:rsidRPr="00B86814">
        <w:rPr>
          <w:color w:val="000000" w:themeColor="text1"/>
        </w:rPr>
        <w:t xml:space="preserve">he needs of staff and </w:t>
      </w:r>
      <w:r w:rsidR="004A52F3">
        <w:rPr>
          <w:color w:val="000000" w:themeColor="text1"/>
        </w:rPr>
        <w:t xml:space="preserve">further </w:t>
      </w:r>
      <w:r w:rsidR="00230E53" w:rsidRPr="00B86814">
        <w:rPr>
          <w:color w:val="000000" w:themeColor="text1"/>
        </w:rPr>
        <w:t xml:space="preserve">the school’s priorities. </w:t>
      </w:r>
    </w:p>
    <w:p w14:paraId="5EEE9CCD" w14:textId="77777777" w:rsidR="00B20D93" w:rsidRPr="00B86814" w:rsidRDefault="00B20D93" w:rsidP="00B20D93">
      <w:pPr>
        <w:spacing w:before="120"/>
        <w:rPr>
          <w:b/>
        </w:rPr>
      </w:pPr>
      <w:r w:rsidRPr="00B86814">
        <w:rPr>
          <w:b/>
        </w:rPr>
        <w:t>LINKS TO THE PROFESSIONAL PRACTICE ELEMENTS</w:t>
      </w:r>
    </w:p>
    <w:p w14:paraId="03025864" w14:textId="6D557424" w:rsidR="00B20D93" w:rsidRPr="00B86814" w:rsidRDefault="00B20D93" w:rsidP="00B20D93">
      <w:pPr>
        <w:spacing w:before="120"/>
        <w:rPr>
          <w:color w:val="000000" w:themeColor="text1"/>
        </w:rPr>
      </w:pPr>
      <w:r w:rsidRPr="00B86814">
        <w:rPr>
          <w:color w:val="000000" w:themeColor="text1"/>
        </w:rPr>
        <w:t xml:space="preserve">The Victorian Government Schools Agreement 2017 </w:t>
      </w:r>
      <w:r w:rsidR="0005239A">
        <w:rPr>
          <w:color w:val="000000" w:themeColor="text1"/>
        </w:rPr>
        <w:t xml:space="preserve">(VGSA 2017) </w:t>
      </w:r>
      <w:r w:rsidRPr="00B86814">
        <w:rPr>
          <w:color w:val="000000" w:themeColor="text1"/>
        </w:rPr>
        <w:t xml:space="preserve">provides opportunities for teachers to engage in peer observation through the professional practice elements. </w:t>
      </w:r>
    </w:p>
    <w:p w14:paraId="0C05A7BC" w14:textId="498B7CAF" w:rsidR="00B20D93" w:rsidRPr="00B86814" w:rsidRDefault="00B20D93" w:rsidP="00B20D93">
      <w:pPr>
        <w:spacing w:before="120"/>
        <w:rPr>
          <w:color w:val="000000" w:themeColor="text1"/>
        </w:rPr>
      </w:pPr>
      <w:r w:rsidRPr="00B86814">
        <w:rPr>
          <w:color w:val="000000" w:themeColor="text1"/>
        </w:rPr>
        <w:t xml:space="preserve">The professional practice elements </w:t>
      </w:r>
      <w:r w:rsidR="00C35E9F">
        <w:rPr>
          <w:color w:val="000000" w:themeColor="text1"/>
        </w:rPr>
        <w:t>include</w:t>
      </w:r>
      <w:r w:rsidR="00C35E9F" w:rsidRPr="00B86814">
        <w:rPr>
          <w:color w:val="000000" w:themeColor="text1"/>
        </w:rPr>
        <w:t xml:space="preserve"> </w:t>
      </w:r>
      <w:r w:rsidRPr="00B86814">
        <w:rPr>
          <w:color w:val="000000" w:themeColor="text1"/>
        </w:rPr>
        <w:t>the new lea</w:t>
      </w:r>
      <w:r w:rsidR="00A14C2C" w:rsidRPr="00B86814">
        <w:rPr>
          <w:color w:val="000000" w:themeColor="text1"/>
        </w:rPr>
        <w:t>rning specialist classification and the</w:t>
      </w:r>
      <w:r w:rsidRPr="00B86814">
        <w:rPr>
          <w:color w:val="000000" w:themeColor="text1"/>
        </w:rPr>
        <w:t xml:space="preserve"> four professional practice days per annum for t</w:t>
      </w:r>
      <w:r w:rsidR="00A14C2C" w:rsidRPr="00B86814">
        <w:rPr>
          <w:color w:val="000000" w:themeColor="text1"/>
        </w:rPr>
        <w:t>eachers.</w:t>
      </w:r>
    </w:p>
    <w:p w14:paraId="50007BA4" w14:textId="77777777" w:rsidR="00B20D93" w:rsidRPr="00B86814" w:rsidRDefault="00B20D93" w:rsidP="00B20D93">
      <w:pPr>
        <w:spacing w:before="120"/>
        <w:rPr>
          <w:color w:val="000000" w:themeColor="text1"/>
        </w:rPr>
      </w:pPr>
      <w:r w:rsidRPr="00B86814">
        <w:rPr>
          <w:color w:val="000000" w:themeColor="text1"/>
        </w:rPr>
        <w:t>Teachers can nominate to use their professional practice days for peer observation, including feedback and reflection, should they choose this as their focus.</w:t>
      </w:r>
    </w:p>
    <w:p w14:paraId="3D9410B8" w14:textId="0998B55F" w:rsidR="00B20D93" w:rsidRPr="00B86814" w:rsidRDefault="00B20D93" w:rsidP="00B20D93">
      <w:pPr>
        <w:spacing w:before="120"/>
        <w:rPr>
          <w:color w:val="000000" w:themeColor="text1"/>
        </w:rPr>
      </w:pPr>
      <w:r w:rsidRPr="00B86814">
        <w:rPr>
          <w:color w:val="000000" w:themeColor="text1"/>
        </w:rPr>
        <w:lastRenderedPageBreak/>
        <w:t xml:space="preserve">The learning specialist role provides increased capacity within schools for highly skilled classroom practitioners to support their colleagues to improve their practice, including through </w:t>
      </w:r>
      <w:r w:rsidR="00BF1B29" w:rsidRPr="00B86814">
        <w:rPr>
          <w:color w:val="000000" w:themeColor="text1"/>
        </w:rPr>
        <w:t>demonstration lessons</w:t>
      </w:r>
      <w:r w:rsidRPr="00B86814">
        <w:rPr>
          <w:color w:val="000000" w:themeColor="text1"/>
        </w:rPr>
        <w:t xml:space="preserve"> and seeking feedback. </w:t>
      </w:r>
    </w:p>
    <w:p w14:paraId="43727D35" w14:textId="05721A49" w:rsidR="000450B6" w:rsidRPr="00B86814" w:rsidRDefault="000450B6" w:rsidP="007978C1">
      <w:pPr>
        <w:spacing w:before="120"/>
        <w:rPr>
          <w:color w:val="000000" w:themeColor="text1"/>
        </w:rPr>
      </w:pPr>
      <w:r w:rsidRPr="00B86814">
        <w:rPr>
          <w:b/>
        </w:rPr>
        <w:t>PROFESSIONAL LEARNING COMMUNITIES AND PEER OBSERVATION</w:t>
      </w:r>
      <w:r w:rsidR="00E5136A" w:rsidRPr="00B86814">
        <w:rPr>
          <w:b/>
        </w:rPr>
        <w:t>, FEEDBACK AND REFLECTION</w:t>
      </w:r>
    </w:p>
    <w:p w14:paraId="1A3A366B" w14:textId="78C32C2F" w:rsidR="000450B6" w:rsidRPr="00B86814" w:rsidRDefault="004A52F3" w:rsidP="007978C1">
      <w:pPr>
        <w:spacing w:before="120"/>
        <w:rPr>
          <w:color w:val="000000" w:themeColor="text1"/>
        </w:rPr>
      </w:pPr>
      <w:r>
        <w:rPr>
          <w:color w:val="000000" w:themeColor="text1"/>
        </w:rPr>
        <w:t>P</w:t>
      </w:r>
      <w:r w:rsidRPr="00B86814">
        <w:rPr>
          <w:color w:val="000000" w:themeColor="text1"/>
        </w:rPr>
        <w:t xml:space="preserve">eer </w:t>
      </w:r>
      <w:r w:rsidR="000450B6" w:rsidRPr="00B86814">
        <w:rPr>
          <w:color w:val="000000" w:themeColor="text1"/>
        </w:rPr>
        <w:t>observation is best implemented within the context of a supportive, collaborative team structure</w:t>
      </w:r>
      <w:r>
        <w:rPr>
          <w:color w:val="000000" w:themeColor="text1"/>
        </w:rPr>
        <w:t>, such as w</w:t>
      </w:r>
      <w:r w:rsidRPr="00B86814">
        <w:rPr>
          <w:color w:val="000000" w:themeColor="text1"/>
        </w:rPr>
        <w:t>ithin professional learning communities,</w:t>
      </w:r>
    </w:p>
    <w:p w14:paraId="46466A62" w14:textId="67965A90" w:rsidR="000450B6" w:rsidRPr="00B86814" w:rsidRDefault="000450B6" w:rsidP="007978C1">
      <w:pPr>
        <w:spacing w:before="120"/>
        <w:rPr>
          <w:color w:val="000000" w:themeColor="text1"/>
        </w:rPr>
      </w:pPr>
      <w:r w:rsidRPr="00B86814">
        <w:rPr>
          <w:color w:val="000000" w:themeColor="text1"/>
        </w:rPr>
        <w:t xml:space="preserve">Members of a team </w:t>
      </w:r>
      <w:r w:rsidR="00A14C2C" w:rsidRPr="00B86814">
        <w:rPr>
          <w:color w:val="000000" w:themeColor="text1"/>
        </w:rPr>
        <w:t xml:space="preserve">may </w:t>
      </w:r>
      <w:r w:rsidRPr="00B86814">
        <w:rPr>
          <w:color w:val="000000" w:themeColor="text1"/>
        </w:rPr>
        <w:t xml:space="preserve">identify an area of teaching practice that they would like to focus on. In preparation, team members can develop a shared understanding of </w:t>
      </w:r>
      <w:r w:rsidR="00F6128A" w:rsidRPr="00B86814">
        <w:rPr>
          <w:color w:val="000000" w:themeColor="text1"/>
        </w:rPr>
        <w:t>effective teaching in that area</w:t>
      </w:r>
      <w:r w:rsidRPr="00B86814">
        <w:rPr>
          <w:color w:val="000000" w:themeColor="text1"/>
        </w:rPr>
        <w:t xml:space="preserve"> and use this understanding to inform the feedback provided following an observation. The feedback should</w:t>
      </w:r>
      <w:r w:rsidR="009C5AF7" w:rsidRPr="00B86814">
        <w:rPr>
          <w:color w:val="000000" w:themeColor="text1"/>
        </w:rPr>
        <w:t xml:space="preserve"> be</w:t>
      </w:r>
      <w:r w:rsidRPr="00B86814">
        <w:rPr>
          <w:color w:val="000000" w:themeColor="text1"/>
        </w:rPr>
        <w:t xml:space="preserve"> constructive, developmental and</w:t>
      </w:r>
      <w:r w:rsidR="00E56DE0" w:rsidRPr="00B86814">
        <w:rPr>
          <w:color w:val="000000" w:themeColor="text1"/>
        </w:rPr>
        <w:t xml:space="preserve"> actionable</w:t>
      </w:r>
      <w:r w:rsidRPr="00B86814">
        <w:rPr>
          <w:color w:val="000000" w:themeColor="text1"/>
        </w:rPr>
        <w:t>.</w:t>
      </w:r>
    </w:p>
    <w:p w14:paraId="6E8EDD8F" w14:textId="281FD262" w:rsidR="00CF09C8" w:rsidRPr="00B86814" w:rsidRDefault="00CF09C8" w:rsidP="007978C1">
      <w:pPr>
        <w:spacing w:before="120"/>
        <w:rPr>
          <w:color w:val="000000" w:themeColor="text1"/>
        </w:rPr>
      </w:pPr>
      <w:r w:rsidRPr="00B86814">
        <w:rPr>
          <w:color w:val="000000" w:themeColor="text1"/>
        </w:rPr>
        <w:t xml:space="preserve">Alternatively, a teacher might identify an area of </w:t>
      </w:r>
      <w:r w:rsidR="00E445BF">
        <w:rPr>
          <w:color w:val="000000" w:themeColor="text1"/>
        </w:rPr>
        <w:t>their</w:t>
      </w:r>
      <w:r w:rsidRPr="00B86814">
        <w:rPr>
          <w:color w:val="000000" w:themeColor="text1"/>
        </w:rPr>
        <w:t xml:space="preserve"> practice on which to focus, and engage peers in observing a lesson related to that a</w:t>
      </w:r>
      <w:r w:rsidR="00E56DE0" w:rsidRPr="00B86814">
        <w:rPr>
          <w:color w:val="000000" w:themeColor="text1"/>
        </w:rPr>
        <w:t xml:space="preserve">rea of practice. The teacher should </w:t>
      </w:r>
      <w:r w:rsidRPr="00B86814">
        <w:rPr>
          <w:color w:val="000000" w:themeColor="text1"/>
        </w:rPr>
        <w:t>engage with the observer before</w:t>
      </w:r>
      <w:r w:rsidR="00C35E9F">
        <w:rPr>
          <w:color w:val="000000" w:themeColor="text1"/>
        </w:rPr>
        <w:t>hand</w:t>
      </w:r>
      <w:r w:rsidRPr="00B86814">
        <w:rPr>
          <w:color w:val="000000" w:themeColor="text1"/>
        </w:rPr>
        <w:t xml:space="preserve"> to ensure that all parties are aware o</w:t>
      </w:r>
      <w:r w:rsidR="00F6128A" w:rsidRPr="00B86814">
        <w:rPr>
          <w:color w:val="000000" w:themeColor="text1"/>
        </w:rPr>
        <w:t xml:space="preserve">f the focus areas of the lesson, </w:t>
      </w:r>
      <w:r w:rsidRPr="00B86814">
        <w:rPr>
          <w:color w:val="000000" w:themeColor="text1"/>
        </w:rPr>
        <w:t xml:space="preserve">how observations will be </w:t>
      </w:r>
      <w:r w:rsidR="00EA648A" w:rsidRPr="00B86814">
        <w:rPr>
          <w:color w:val="000000" w:themeColor="text1"/>
        </w:rPr>
        <w:t>recorded</w:t>
      </w:r>
      <w:r w:rsidRPr="00B86814">
        <w:rPr>
          <w:color w:val="000000" w:themeColor="text1"/>
        </w:rPr>
        <w:t xml:space="preserve"> and</w:t>
      </w:r>
      <w:r w:rsidR="00C12663" w:rsidRPr="00B86814">
        <w:rPr>
          <w:color w:val="000000" w:themeColor="text1"/>
        </w:rPr>
        <w:t xml:space="preserve"> </w:t>
      </w:r>
      <w:r w:rsidR="004A52F3">
        <w:rPr>
          <w:color w:val="000000" w:themeColor="text1"/>
        </w:rPr>
        <w:t xml:space="preserve">determine the </w:t>
      </w:r>
      <w:r w:rsidR="00C12663" w:rsidRPr="00B86814">
        <w:rPr>
          <w:color w:val="000000" w:themeColor="text1"/>
        </w:rPr>
        <w:t>opportunities to reflect and provide feedback</w:t>
      </w:r>
      <w:r w:rsidRPr="00B86814">
        <w:rPr>
          <w:color w:val="000000" w:themeColor="text1"/>
        </w:rPr>
        <w:t>.</w:t>
      </w:r>
    </w:p>
    <w:p w14:paraId="45FA0527" w14:textId="0E8A8DAC" w:rsidR="00002751" w:rsidRPr="00B86814" w:rsidRDefault="00AD058E" w:rsidP="007978C1">
      <w:pPr>
        <w:spacing w:line="240" w:lineRule="auto"/>
        <w:rPr>
          <w:b/>
        </w:rPr>
      </w:pPr>
      <w:r w:rsidRPr="00B86814">
        <w:rPr>
          <w:b/>
        </w:rPr>
        <w:t xml:space="preserve">ADVICE FOR TEACHERS </w:t>
      </w:r>
    </w:p>
    <w:p w14:paraId="51909A93" w14:textId="05D4B454" w:rsidR="00E445BF" w:rsidRDefault="00E445BF" w:rsidP="001B3B93">
      <w:pPr>
        <w:pStyle w:val="ListParagraph"/>
      </w:pPr>
      <w:r>
        <w:t>Peers</w:t>
      </w:r>
      <w:r w:rsidRPr="00B86814">
        <w:t xml:space="preserve"> </w:t>
      </w:r>
      <w:r w:rsidR="002364F9" w:rsidRPr="00B86814">
        <w:t xml:space="preserve">need to be </w:t>
      </w:r>
      <w:r w:rsidR="00BF1B29" w:rsidRPr="00B86814">
        <w:t>engaged in</w:t>
      </w:r>
      <w:r w:rsidR="00072277" w:rsidRPr="00B86814">
        <w:t xml:space="preserve"> establishing observation arrangements including nominating who will conduct the observation and the timing of the observation prior to any observations occurring</w:t>
      </w:r>
      <w:r w:rsidR="00C35E9F">
        <w:t xml:space="preserve">. </w:t>
      </w:r>
    </w:p>
    <w:p w14:paraId="0FEAAB0F" w14:textId="19C2645A" w:rsidR="00FE3C4F" w:rsidRPr="00B86814" w:rsidRDefault="00BF1B29" w:rsidP="001B3B93">
      <w:pPr>
        <w:pStyle w:val="ListParagraph"/>
      </w:pPr>
      <w:r w:rsidRPr="00B86814">
        <w:t>Schools’ agreed consultation arrangements will be used in discussion</w:t>
      </w:r>
      <w:r w:rsidR="00171BCB" w:rsidRPr="00B86814">
        <w:t>s</w:t>
      </w:r>
      <w:r w:rsidRPr="00B86814">
        <w:t xml:space="preserve"> regarding the </w:t>
      </w:r>
      <w:proofErr w:type="spellStart"/>
      <w:r w:rsidRPr="00B86814">
        <w:t>organi</w:t>
      </w:r>
      <w:r w:rsidR="00171BCB" w:rsidRPr="00B86814">
        <w:t>s</w:t>
      </w:r>
      <w:r w:rsidRPr="00B86814">
        <w:t>ation</w:t>
      </w:r>
      <w:proofErr w:type="spellEnd"/>
      <w:r w:rsidRPr="00B86814">
        <w:t xml:space="preserve"> of teachers</w:t>
      </w:r>
      <w:r w:rsidR="00171BCB" w:rsidRPr="00B86814">
        <w:t>’ work,</w:t>
      </w:r>
      <w:r w:rsidRPr="00B86814">
        <w:t xml:space="preserve"> which includes peer observation.</w:t>
      </w:r>
    </w:p>
    <w:p w14:paraId="4EA31274" w14:textId="2C6DBA5B" w:rsidR="00C566AB" w:rsidRPr="00171BCB" w:rsidRDefault="00250891" w:rsidP="001B3B93">
      <w:pPr>
        <w:pStyle w:val="ListParagraph"/>
      </w:pPr>
      <w:r w:rsidRPr="00B86814">
        <w:t>O</w:t>
      </w:r>
      <w:r w:rsidR="00C566AB" w:rsidRPr="00B86814">
        <w:t>bservations could involve observing a re</w:t>
      </w:r>
      <w:r w:rsidR="00840BB8" w:rsidRPr="00B86814">
        <w:t>search-based teaching strategy, or focusing on an area</w:t>
      </w:r>
      <w:r w:rsidR="00840BB8">
        <w:t xml:space="preserve"> of practice as identified by the teacher, such as lesson pace or </w:t>
      </w:r>
      <w:r w:rsidR="00840BB8" w:rsidRPr="00171BCB">
        <w:t>student participation</w:t>
      </w:r>
      <w:r w:rsidRPr="00171BCB">
        <w:t>.</w:t>
      </w:r>
    </w:p>
    <w:p w14:paraId="66ED4E48" w14:textId="35C8CEFC" w:rsidR="00AD058E" w:rsidRDefault="00102897" w:rsidP="001B3B93">
      <w:pPr>
        <w:pStyle w:val="ListParagraph"/>
      </w:pPr>
      <w:r w:rsidRPr="00171BCB">
        <w:t xml:space="preserve">Reflection and related professional conversations are </w:t>
      </w:r>
      <w:r w:rsidR="00A07C7B" w:rsidRPr="00171BCB">
        <w:t>a critical</w:t>
      </w:r>
      <w:r w:rsidR="00A07C7B">
        <w:t xml:space="preserve"> </w:t>
      </w:r>
      <w:r w:rsidRPr="00102897">
        <w:t xml:space="preserve">part of the peer observation process — </w:t>
      </w:r>
      <w:r w:rsidR="00840BB8">
        <w:t>and</w:t>
      </w:r>
      <w:r w:rsidRPr="00102897">
        <w:t xml:space="preserve"> can be considered as work directly related to the teaching and learning program of a teacher’s </w:t>
      </w:r>
      <w:r w:rsidR="00FE3C4F">
        <w:t>class(es)</w:t>
      </w:r>
      <w:r w:rsidR="00C35E9F">
        <w:t>.</w:t>
      </w:r>
      <w:r w:rsidR="00FE3C4F">
        <w:rPr>
          <w:rStyle w:val="FootnoteReference"/>
          <w:color w:val="000000" w:themeColor="text1"/>
        </w:rPr>
        <w:footnoteReference w:id="7"/>
      </w:r>
    </w:p>
    <w:p w14:paraId="3838D79E" w14:textId="3ED5D1F1" w:rsidR="007F5539" w:rsidRDefault="00250891" w:rsidP="00DB0868">
      <w:pPr>
        <w:pStyle w:val="ListParagraph"/>
      </w:pPr>
      <w:r>
        <w:t>T</w:t>
      </w:r>
      <w:r w:rsidR="00AD058E">
        <w:t>eachers can choose to include peer observation in their Performance and Development Plan as a source of evidence of improved teacher practice.</w:t>
      </w:r>
    </w:p>
    <w:p w14:paraId="2BE3E6A4" w14:textId="77777777" w:rsidR="00DB0868" w:rsidRPr="00DB0868" w:rsidRDefault="00DB0868" w:rsidP="00DB0868">
      <w:pPr>
        <w:pStyle w:val="ListParagraph"/>
        <w:numPr>
          <w:ilvl w:val="0"/>
          <w:numId w:val="0"/>
        </w:numPr>
        <w:ind w:left="357"/>
      </w:pPr>
    </w:p>
    <w:p w14:paraId="0DB6BB04" w14:textId="37737100" w:rsidR="00AD058E" w:rsidRPr="00887406" w:rsidRDefault="00AD058E" w:rsidP="00887406">
      <w:pPr>
        <w:spacing w:line="240" w:lineRule="auto"/>
        <w:rPr>
          <w:b/>
        </w:rPr>
      </w:pPr>
      <w:r w:rsidRPr="00887406">
        <w:rPr>
          <w:b/>
        </w:rPr>
        <w:t xml:space="preserve">ADVICE FOR SCHOOL LEADERS </w:t>
      </w:r>
    </w:p>
    <w:p w14:paraId="240E183C" w14:textId="07393000" w:rsidR="00AD058E" w:rsidRDefault="00250891" w:rsidP="001B3B93">
      <w:pPr>
        <w:pStyle w:val="ListParagraph"/>
      </w:pPr>
      <w:r>
        <w:t>S</w:t>
      </w:r>
      <w:r w:rsidR="00AD058E">
        <w:t xml:space="preserve">chool leaders </w:t>
      </w:r>
      <w:r w:rsidR="007761BF">
        <w:t>are encouraged to</w:t>
      </w:r>
      <w:r w:rsidR="00E445BF">
        <w:t xml:space="preserve"> focus on building</w:t>
      </w:r>
      <w:r w:rsidR="00AD058E">
        <w:t xml:space="preserve"> a culture that is respectful, trusting and supportive</w:t>
      </w:r>
      <w:r w:rsidR="004A1C8F">
        <w:t>, and establishing the preconditions for success in peer observation</w:t>
      </w:r>
      <w:r w:rsidR="000450B6">
        <w:t>.</w:t>
      </w:r>
      <w:r w:rsidR="004A52F3" w:rsidRPr="004A52F3">
        <w:rPr>
          <w:color w:val="000000" w:themeColor="text1"/>
        </w:rPr>
        <w:t xml:space="preserve"> </w:t>
      </w:r>
      <w:r w:rsidR="004A52F3" w:rsidRPr="00B86814">
        <w:rPr>
          <w:color w:val="000000" w:themeColor="text1"/>
        </w:rPr>
        <w:t>Professional learning in schools has a greater impact and benefit for school staff when teachers and school leaders agree on the protocols and processes required for effective learning.</w:t>
      </w:r>
    </w:p>
    <w:p w14:paraId="6C4CD94E" w14:textId="37CC88E7" w:rsidR="00230E53" w:rsidRPr="000C6108" w:rsidRDefault="00B20D93" w:rsidP="001B3B93">
      <w:pPr>
        <w:pStyle w:val="ListParagraph"/>
      </w:pPr>
      <w:r>
        <w:t xml:space="preserve">School leaders </w:t>
      </w:r>
      <w:r w:rsidR="00C35E9F">
        <w:t xml:space="preserve">should </w:t>
      </w:r>
      <w:r w:rsidR="00364186">
        <w:t xml:space="preserve">engage collaboratively with staff to </w:t>
      </w:r>
      <w:r w:rsidR="00230E53">
        <w:t>establish protocols, procedures and structures that support peer observation</w:t>
      </w:r>
      <w:r w:rsidR="008C46E9">
        <w:t>, feedback and reflection</w:t>
      </w:r>
      <w:r w:rsidR="00230E53">
        <w:t xml:space="preserve"> as a core part of scho</w:t>
      </w:r>
      <w:r w:rsidR="00364186">
        <w:t>ol-based professional learning</w:t>
      </w:r>
      <w:r w:rsidR="00230E53">
        <w:t>.</w:t>
      </w:r>
      <w:r w:rsidR="00230E53" w:rsidRPr="000C6108">
        <w:t xml:space="preserve"> </w:t>
      </w:r>
    </w:p>
    <w:p w14:paraId="2851E87C" w14:textId="265E3076" w:rsidR="00AD058E" w:rsidRDefault="00250891" w:rsidP="001B3B93">
      <w:pPr>
        <w:pStyle w:val="ListParagraph"/>
      </w:pPr>
      <w:r>
        <w:t>S</w:t>
      </w:r>
      <w:r w:rsidR="00DD3B43">
        <w:t>chool</w:t>
      </w:r>
      <w:r w:rsidR="00AD058E">
        <w:t xml:space="preserve"> </w:t>
      </w:r>
      <w:r w:rsidR="00A14C2C">
        <w:t xml:space="preserve">leaders should </w:t>
      </w:r>
      <w:r w:rsidR="00AD058E">
        <w:t>ensure that peer observation is planned, scheduled and aligned with School Strategic Plans and Annual Implementation Plans so that school priorities are clearly articulated</w:t>
      </w:r>
      <w:r w:rsidR="00887406">
        <w:t>, and described as a develop</w:t>
      </w:r>
      <w:r w:rsidR="00BF1B29">
        <w:t>mental opportunity for teachers</w:t>
      </w:r>
      <w:r w:rsidR="00887406">
        <w:t xml:space="preserve">. </w:t>
      </w:r>
    </w:p>
    <w:p w14:paraId="0FC51BE1" w14:textId="6B790E71" w:rsidR="00AD058E" w:rsidRDefault="00250891" w:rsidP="001B3B93">
      <w:pPr>
        <w:pStyle w:val="ListParagraph"/>
      </w:pPr>
      <w:r>
        <w:t>W</w:t>
      </w:r>
      <w:r w:rsidR="00AD058E" w:rsidRPr="00CB60C7">
        <w:t xml:space="preserve">hen implementing peer observation for the first time, consider a staged approach, </w:t>
      </w:r>
      <w:r w:rsidR="00C35E9F">
        <w:t>where there are opportunities</w:t>
      </w:r>
      <w:r w:rsidR="00AD058E" w:rsidRPr="00CB60C7">
        <w:t xml:space="preserve"> </w:t>
      </w:r>
      <w:r w:rsidR="00AD058E">
        <w:t>to</w:t>
      </w:r>
      <w:r w:rsidR="00C35E9F">
        <w:t xml:space="preserve"> </w:t>
      </w:r>
      <w:r w:rsidR="00AD058E">
        <w:t>r</w:t>
      </w:r>
      <w:r w:rsidR="009B5ECE">
        <w:t>eflect</w:t>
      </w:r>
      <w:r w:rsidR="00C35E9F">
        <w:t xml:space="preserve">, </w:t>
      </w:r>
      <w:r w:rsidR="009B5ECE">
        <w:t xml:space="preserve">adjust </w:t>
      </w:r>
      <w:r w:rsidR="00C35E9F">
        <w:t xml:space="preserve">and improve </w:t>
      </w:r>
      <w:r w:rsidR="009B5ECE">
        <w:t>processes</w:t>
      </w:r>
      <w:r w:rsidR="00C35E9F">
        <w:t xml:space="preserve"> over time.</w:t>
      </w:r>
    </w:p>
    <w:p w14:paraId="0F7C53A5" w14:textId="388BF0F2" w:rsidR="00250891" w:rsidRDefault="00250891" w:rsidP="001B3B93">
      <w:pPr>
        <w:pStyle w:val="ListParagraph"/>
      </w:pPr>
      <w:r>
        <w:t>Consider h</w:t>
      </w:r>
      <w:r w:rsidR="00DD3B43">
        <w:t xml:space="preserve">ow peer observation can support </w:t>
      </w:r>
      <w:r>
        <w:t>establishing and embedding a professional learning community within the school.</w:t>
      </w:r>
    </w:p>
    <w:p w14:paraId="1E174A15" w14:textId="08257FB0" w:rsidR="00102897" w:rsidRPr="007978C1" w:rsidRDefault="00C35E9F" w:rsidP="001B3B93">
      <w:pPr>
        <w:pStyle w:val="ListParagraph"/>
      </w:pPr>
      <w:r>
        <w:t>C</w:t>
      </w:r>
      <w:r w:rsidR="00633D21">
        <w:t xml:space="preserve">onsider how peer observation </w:t>
      </w:r>
      <w:r w:rsidR="005F159C">
        <w:t xml:space="preserve">can </w:t>
      </w:r>
      <w:r w:rsidR="005F159C" w:rsidRPr="00171BCB">
        <w:t>support graduate teachers</w:t>
      </w:r>
      <w:r w:rsidR="00A07C7B" w:rsidRPr="00171BCB">
        <w:t xml:space="preserve"> in observing and learning from experience</w:t>
      </w:r>
      <w:r w:rsidR="00A14C2C">
        <w:t>d</w:t>
      </w:r>
      <w:r w:rsidR="00A07C7B" w:rsidRPr="00171BCB">
        <w:t xml:space="preserve"> teachers and</w:t>
      </w:r>
      <w:r w:rsidR="005F159C" w:rsidRPr="00171BCB">
        <w:t xml:space="preserve"> in undertaking an evidence-based process to describe</w:t>
      </w:r>
      <w:r w:rsidR="005F159C">
        <w:t xml:space="preserve"> their development of practice to meet the proficient level of the Australian Professional Standards for Teachers.</w:t>
      </w:r>
    </w:p>
    <w:p w14:paraId="4CFE94E6" w14:textId="77777777" w:rsidR="00494C4A" w:rsidRDefault="00494C4A" w:rsidP="007978C1">
      <w:pPr>
        <w:spacing w:before="120"/>
        <w:rPr>
          <w:b/>
        </w:rPr>
      </w:pPr>
      <w:r>
        <w:rPr>
          <w:b/>
        </w:rPr>
        <w:t>USEFUL LINKS</w:t>
      </w:r>
    </w:p>
    <w:p w14:paraId="50F02D45" w14:textId="3BF125F3" w:rsidR="008B43D4" w:rsidRPr="008B43D4" w:rsidRDefault="00136679" w:rsidP="001B3B93">
      <w:pPr>
        <w:pStyle w:val="ListParagraph"/>
        <w:rPr>
          <w:color w:val="000000" w:themeColor="text1"/>
        </w:rPr>
      </w:pPr>
      <w:hyperlink r:id="rId11" w:history="1">
        <w:r w:rsidR="008B43D4" w:rsidRPr="002F5DC2">
          <w:rPr>
            <w:rStyle w:val="Hyperlink"/>
          </w:rPr>
          <w:t>Practice Principles for Excellence in Teaching and Learning</w:t>
        </w:r>
      </w:hyperlink>
      <w:r w:rsidR="008B43D4">
        <w:rPr>
          <w:color w:val="000000" w:themeColor="text1"/>
        </w:rPr>
        <w:t xml:space="preserve"> </w:t>
      </w:r>
    </w:p>
    <w:p w14:paraId="31B47B4A" w14:textId="6126B86C" w:rsidR="00494C4A" w:rsidRPr="00A07C7B" w:rsidRDefault="00136679" w:rsidP="001B3B93">
      <w:pPr>
        <w:pStyle w:val="ListParagraph"/>
        <w:rPr>
          <w:rStyle w:val="Hyperlink"/>
          <w:color w:val="000000" w:themeColor="text1"/>
          <w:u w:val="none"/>
        </w:rPr>
      </w:pPr>
      <w:hyperlink r:id="rId12" w:history="1">
        <w:r w:rsidR="00F86C02" w:rsidRPr="00F86C02">
          <w:rPr>
            <w:rStyle w:val="Hyperlink"/>
          </w:rPr>
          <w:t>High Impact Teaching Strategies</w:t>
        </w:r>
      </w:hyperlink>
    </w:p>
    <w:p w14:paraId="257DEB31" w14:textId="7554684A" w:rsidR="00A07C7B" w:rsidRPr="00B357A8" w:rsidRDefault="00136679" w:rsidP="001B3B93">
      <w:pPr>
        <w:pStyle w:val="ListParagraph"/>
        <w:rPr>
          <w:rStyle w:val="Hyperlink"/>
          <w:color w:val="000000" w:themeColor="text1"/>
          <w:u w:val="none"/>
        </w:rPr>
      </w:pPr>
      <w:hyperlink r:id="rId13" w:history="1">
        <w:r w:rsidR="00A07C7B" w:rsidRPr="00A07C7B">
          <w:rPr>
            <w:rStyle w:val="Hyperlink"/>
          </w:rPr>
          <w:t xml:space="preserve">‘How to’ Guide: Introducing classroom observation, </w:t>
        </w:r>
        <w:r w:rsidR="00A07C7B" w:rsidRPr="00A07C7B">
          <w:rPr>
            <w:rStyle w:val="Hyperlink"/>
            <w:i/>
          </w:rPr>
          <w:t>AITSL</w:t>
        </w:r>
      </w:hyperlink>
    </w:p>
    <w:p w14:paraId="5A1F39D1" w14:textId="77777777" w:rsidR="00A07C7B" w:rsidRPr="00F86C02" w:rsidRDefault="00136679" w:rsidP="001B3B93">
      <w:pPr>
        <w:pStyle w:val="ListParagraph"/>
        <w:rPr>
          <w:color w:val="000000" w:themeColor="text1"/>
        </w:rPr>
      </w:pPr>
      <w:hyperlink r:id="rId14" w:history="1">
        <w:r w:rsidR="00A07C7B" w:rsidRPr="00F86C02">
          <w:rPr>
            <w:rStyle w:val="Hyperlink"/>
          </w:rPr>
          <w:t xml:space="preserve">Improve </w:t>
        </w:r>
        <w:r w:rsidR="00A07C7B">
          <w:rPr>
            <w:rStyle w:val="Hyperlink"/>
          </w:rPr>
          <w:t>Y</w:t>
        </w:r>
        <w:r w:rsidR="00A07C7B" w:rsidRPr="00F86C02">
          <w:rPr>
            <w:rStyle w:val="Hyperlink"/>
          </w:rPr>
          <w:t xml:space="preserve">our </w:t>
        </w:r>
        <w:r w:rsidR="00A07C7B">
          <w:rPr>
            <w:rStyle w:val="Hyperlink"/>
          </w:rPr>
          <w:t>C</w:t>
        </w:r>
        <w:r w:rsidR="00A07C7B" w:rsidRPr="00F86C02">
          <w:rPr>
            <w:rStyle w:val="Hyperlink"/>
          </w:rPr>
          <w:t xml:space="preserve">lassroom </w:t>
        </w:r>
        <w:r w:rsidR="00A07C7B">
          <w:rPr>
            <w:rStyle w:val="Hyperlink"/>
          </w:rPr>
          <w:t>P</w:t>
        </w:r>
        <w:r w:rsidR="00A07C7B" w:rsidRPr="00F86C02">
          <w:rPr>
            <w:rStyle w:val="Hyperlink"/>
          </w:rPr>
          <w:t xml:space="preserve">ractice, </w:t>
        </w:r>
        <w:r w:rsidR="00A07C7B" w:rsidRPr="00F86C02">
          <w:rPr>
            <w:rStyle w:val="Hyperlink"/>
            <w:i/>
          </w:rPr>
          <w:t>AITSL</w:t>
        </w:r>
      </w:hyperlink>
    </w:p>
    <w:p w14:paraId="04F3FD18" w14:textId="72BDB29C" w:rsidR="00B357A8" w:rsidRPr="00DD7A54" w:rsidRDefault="00136679" w:rsidP="001B3B93">
      <w:pPr>
        <w:pStyle w:val="ListParagraph"/>
        <w:rPr>
          <w:color w:val="000000" w:themeColor="text1"/>
        </w:rPr>
      </w:pPr>
      <w:hyperlink r:id="rId15" w:history="1">
        <w:r w:rsidR="00B357A8" w:rsidRPr="00B3256F">
          <w:rPr>
            <w:rStyle w:val="Hyperlink"/>
          </w:rPr>
          <w:t>Supporting Provisionally Registered Teachers</w:t>
        </w:r>
      </w:hyperlink>
    </w:p>
    <w:p w14:paraId="2AC6F5D6" w14:textId="02C0CD7E" w:rsidR="00396023" w:rsidRPr="00385860" w:rsidRDefault="00840BB8" w:rsidP="007978C1">
      <w:pPr>
        <w:spacing w:before="120"/>
        <w:rPr>
          <w:b/>
        </w:rPr>
      </w:pPr>
      <w:r>
        <w:rPr>
          <w:b/>
        </w:rPr>
        <w:t>CONTACT</w:t>
      </w:r>
    </w:p>
    <w:p w14:paraId="2862F764" w14:textId="15FF58FD" w:rsidR="00980015" w:rsidRPr="006B49E3" w:rsidRDefault="00840BB8" w:rsidP="007978C1">
      <w:pPr>
        <w:pStyle w:val="BodyText"/>
        <w:tabs>
          <w:tab w:val="left" w:pos="720"/>
        </w:tabs>
        <w:spacing w:before="120"/>
        <w:ind w:left="0" w:firstLine="0"/>
        <w:rPr>
          <w:sz w:val="18"/>
          <w:szCs w:val="18"/>
        </w:rPr>
      </w:pPr>
      <w:r>
        <w:rPr>
          <w:rFonts w:eastAsiaTheme="minorEastAsia"/>
          <w:noProof w:val="0"/>
          <w:color w:val="000000" w:themeColor="text1"/>
          <w:sz w:val="18"/>
          <w:szCs w:val="18"/>
          <w:lang w:val="en-US"/>
        </w:rPr>
        <w:t xml:space="preserve">If you have </w:t>
      </w:r>
      <w:r w:rsidR="00CF09C8">
        <w:rPr>
          <w:rFonts w:eastAsiaTheme="minorEastAsia"/>
          <w:noProof w:val="0"/>
          <w:color w:val="000000" w:themeColor="text1"/>
          <w:sz w:val="18"/>
          <w:szCs w:val="18"/>
          <w:lang w:val="en-US"/>
        </w:rPr>
        <w:t>any queries</w:t>
      </w:r>
      <w:r>
        <w:rPr>
          <w:rFonts w:eastAsiaTheme="minorEastAsia"/>
          <w:noProof w:val="0"/>
          <w:color w:val="000000" w:themeColor="text1"/>
          <w:sz w:val="18"/>
          <w:szCs w:val="18"/>
          <w:lang w:val="en-US"/>
        </w:rPr>
        <w:t xml:space="preserve"> </w:t>
      </w:r>
      <w:r w:rsidRPr="00840BB8">
        <w:rPr>
          <w:rFonts w:eastAsiaTheme="minorEastAsia"/>
          <w:noProof w:val="0"/>
          <w:color w:val="000000" w:themeColor="text1"/>
          <w:sz w:val="18"/>
          <w:szCs w:val="18"/>
          <w:lang w:val="en-US"/>
        </w:rPr>
        <w:t>related to the professional practice elements of the VGSA 201</w:t>
      </w:r>
      <w:r>
        <w:rPr>
          <w:rFonts w:eastAsiaTheme="minorEastAsia"/>
          <w:noProof w:val="0"/>
          <w:color w:val="000000" w:themeColor="text1"/>
          <w:sz w:val="18"/>
          <w:szCs w:val="18"/>
          <w:lang w:val="en-US"/>
        </w:rPr>
        <w:t xml:space="preserve">7, please contact </w:t>
      </w:r>
      <w:hyperlink r:id="rId16" w:history="1">
        <w:r w:rsidR="00767F37" w:rsidRPr="009F4E53">
          <w:rPr>
            <w:rStyle w:val="Hyperlink"/>
            <w:sz w:val="18"/>
            <w:szCs w:val="18"/>
          </w:rPr>
          <w:t>professional.practice@edu</w:t>
        </w:r>
        <w:r w:rsidR="00D21E21">
          <w:rPr>
            <w:rStyle w:val="Hyperlink"/>
            <w:sz w:val="18"/>
            <w:szCs w:val="18"/>
          </w:rPr>
          <w:t>cation</w:t>
        </w:r>
        <w:r w:rsidR="00767F37" w:rsidRPr="009F4E53">
          <w:rPr>
            <w:rStyle w:val="Hyperlink"/>
            <w:sz w:val="18"/>
            <w:szCs w:val="18"/>
          </w:rPr>
          <w:t>.vic.gov.au</w:t>
        </w:r>
      </w:hyperlink>
      <w:r>
        <w:rPr>
          <w:rStyle w:val="Hyperlink"/>
          <w:sz w:val="18"/>
          <w:szCs w:val="18"/>
        </w:rPr>
        <w:t>.</w:t>
      </w:r>
    </w:p>
    <w:sectPr w:rsidR="00980015" w:rsidRPr="006B49E3" w:rsidSect="00230E53">
      <w:headerReference w:type="default" r:id="rId17"/>
      <w:footerReference w:type="default" r:id="rId18"/>
      <w:pgSz w:w="11900" w:h="16840"/>
      <w:pgMar w:top="3289" w:right="1134" w:bottom="1702" w:left="737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2836" w14:textId="77777777" w:rsidR="00136679" w:rsidRDefault="00136679" w:rsidP="008766A4">
      <w:r>
        <w:separator/>
      </w:r>
    </w:p>
  </w:endnote>
  <w:endnote w:type="continuationSeparator" w:id="0">
    <w:p w14:paraId="63EE513E" w14:textId="77777777" w:rsidR="00136679" w:rsidRDefault="00136679" w:rsidP="008766A4">
      <w:r>
        <w:continuationSeparator/>
      </w:r>
    </w:p>
  </w:endnote>
  <w:endnote w:type="continuationNotice" w:id="1">
    <w:p w14:paraId="167EBF63" w14:textId="77777777" w:rsidR="00136679" w:rsidRDefault="001366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IC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871E" w14:textId="1D4DA8FF" w:rsidR="002364F9" w:rsidRPr="003E29B5" w:rsidRDefault="002364F9" w:rsidP="008766A4"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11DC" w14:textId="77777777" w:rsidR="00136679" w:rsidRDefault="00136679" w:rsidP="008766A4">
      <w:r>
        <w:separator/>
      </w:r>
    </w:p>
  </w:footnote>
  <w:footnote w:type="continuationSeparator" w:id="0">
    <w:p w14:paraId="0A852F9D" w14:textId="77777777" w:rsidR="00136679" w:rsidRDefault="00136679" w:rsidP="008766A4">
      <w:r>
        <w:continuationSeparator/>
      </w:r>
    </w:p>
  </w:footnote>
  <w:footnote w:type="continuationNotice" w:id="1">
    <w:p w14:paraId="00FEF730" w14:textId="77777777" w:rsidR="00136679" w:rsidRDefault="00136679">
      <w:pPr>
        <w:spacing w:after="0" w:line="240" w:lineRule="auto"/>
      </w:pPr>
    </w:p>
  </w:footnote>
  <w:footnote w:id="2">
    <w:p w14:paraId="5FA31A20" w14:textId="77777777" w:rsidR="00BF1B29" w:rsidRPr="00605841" w:rsidRDefault="00BF1B29" w:rsidP="00BF1B29">
      <w:pPr>
        <w:spacing w:after="0" w:line="240" w:lineRule="auto"/>
        <w:rPr>
          <w:sz w:val="12"/>
          <w:szCs w:val="12"/>
        </w:rPr>
      </w:pPr>
      <w:r w:rsidRPr="00062DA9">
        <w:rPr>
          <w:rStyle w:val="FootnoteReference"/>
          <w:sz w:val="12"/>
          <w:szCs w:val="12"/>
        </w:rPr>
        <w:footnoteRef/>
      </w:r>
      <w:r w:rsidRPr="00062DA9">
        <w:rPr>
          <w:sz w:val="12"/>
          <w:szCs w:val="12"/>
        </w:rPr>
        <w:t xml:space="preserve"> </w:t>
      </w:r>
      <w:r w:rsidRPr="00062DA9">
        <w:rPr>
          <w:sz w:val="12"/>
          <w:szCs w:val="12"/>
          <w:lang w:val="en-AU"/>
        </w:rPr>
        <w:t xml:space="preserve">Goddard, R. D., </w:t>
      </w:r>
      <w:proofErr w:type="spellStart"/>
      <w:r w:rsidRPr="00062DA9">
        <w:rPr>
          <w:sz w:val="12"/>
          <w:szCs w:val="12"/>
          <w:lang w:val="en-AU"/>
        </w:rPr>
        <w:t>Skrla</w:t>
      </w:r>
      <w:proofErr w:type="spellEnd"/>
      <w:r w:rsidRPr="00062DA9">
        <w:rPr>
          <w:sz w:val="12"/>
          <w:szCs w:val="12"/>
          <w:lang w:val="en-AU"/>
        </w:rPr>
        <w:t xml:space="preserve">, L., &amp; </w:t>
      </w:r>
      <w:proofErr w:type="spellStart"/>
      <w:r w:rsidRPr="00062DA9">
        <w:rPr>
          <w:sz w:val="12"/>
          <w:szCs w:val="12"/>
          <w:lang w:val="en-AU"/>
        </w:rPr>
        <w:t>Salloum</w:t>
      </w:r>
      <w:proofErr w:type="spellEnd"/>
      <w:r w:rsidRPr="00062DA9">
        <w:rPr>
          <w:sz w:val="12"/>
          <w:szCs w:val="12"/>
          <w:lang w:val="en-AU"/>
        </w:rPr>
        <w:t xml:space="preserve">, S. J. (2017). The Role of Collective Efficacy in </w:t>
      </w:r>
      <w:r w:rsidRPr="00605841">
        <w:rPr>
          <w:sz w:val="12"/>
          <w:szCs w:val="12"/>
          <w:lang w:val="en-AU"/>
        </w:rPr>
        <w:t>Closing Student Achievement Gaps: A Mixed Methods Study of School Leadership for Excellence and Equity. Journal Of Education For Students Placed At Risk, 22(4), 220-236. doi:10.1080/10824669.2017.1348900</w:t>
      </w:r>
    </w:p>
  </w:footnote>
  <w:footnote w:id="3">
    <w:p w14:paraId="04C66ADA" w14:textId="7B372E9E" w:rsidR="00BF1B29" w:rsidRPr="005F0B06" w:rsidRDefault="00BF1B29" w:rsidP="00BF1B29">
      <w:pPr>
        <w:pStyle w:val="FootnoteText"/>
        <w:rPr>
          <w:sz w:val="18"/>
          <w:szCs w:val="18"/>
          <w:lang w:val="en-AU"/>
        </w:rPr>
      </w:pPr>
      <w:r w:rsidRPr="00062DA9">
        <w:rPr>
          <w:rStyle w:val="FootnoteReference"/>
          <w:sz w:val="12"/>
          <w:szCs w:val="12"/>
        </w:rPr>
        <w:footnoteRef/>
      </w:r>
      <w:r w:rsidRPr="00062DA9">
        <w:rPr>
          <w:sz w:val="12"/>
          <w:szCs w:val="12"/>
        </w:rPr>
        <w:t xml:space="preserve"> AITSL</w:t>
      </w:r>
      <w:r w:rsidR="00F46D76">
        <w:rPr>
          <w:sz w:val="12"/>
          <w:szCs w:val="12"/>
        </w:rPr>
        <w:t>,</w:t>
      </w:r>
      <w:r w:rsidRPr="00062DA9">
        <w:rPr>
          <w:sz w:val="12"/>
          <w:szCs w:val="12"/>
        </w:rPr>
        <w:t xml:space="preserve"> Teacher Performance and Development Framework</w:t>
      </w:r>
      <w:r w:rsidR="00F46D76">
        <w:rPr>
          <w:sz w:val="12"/>
          <w:szCs w:val="12"/>
        </w:rPr>
        <w:t>,</w:t>
      </w:r>
      <w:r w:rsidRPr="00062DA9">
        <w:rPr>
          <w:sz w:val="12"/>
          <w:szCs w:val="12"/>
        </w:rPr>
        <w:t xml:space="preserve"> </w:t>
      </w:r>
      <w:r w:rsidRPr="00062DA9">
        <w:rPr>
          <w:rStyle w:val="Hyperlink"/>
          <w:sz w:val="12"/>
          <w:szCs w:val="12"/>
        </w:rPr>
        <w:t>https://www.aitsl.edu.au/docs/default-source/default-document-library/australian_teacher_performance_and_development_framework_august_2012.pdf?sfvrsn=e7c2ec3c_0</w:t>
      </w:r>
      <w:r w:rsidRPr="005F0B06">
        <w:rPr>
          <w:sz w:val="18"/>
          <w:szCs w:val="18"/>
        </w:rPr>
        <w:t xml:space="preserve"> </w:t>
      </w:r>
    </w:p>
  </w:footnote>
  <w:footnote w:id="4">
    <w:p w14:paraId="0FE5B440" w14:textId="77777777" w:rsidR="00B20D93" w:rsidRPr="00605841" w:rsidRDefault="00B20D93" w:rsidP="00B20D93">
      <w:pPr>
        <w:pStyle w:val="FootnoteText"/>
        <w:rPr>
          <w:sz w:val="12"/>
          <w:szCs w:val="12"/>
          <w:lang w:val="en-AU"/>
        </w:rPr>
      </w:pPr>
      <w:r w:rsidRPr="00605841">
        <w:rPr>
          <w:rStyle w:val="FootnoteReference"/>
          <w:sz w:val="12"/>
          <w:szCs w:val="12"/>
        </w:rPr>
        <w:footnoteRef/>
      </w:r>
      <w:r w:rsidRPr="00605841">
        <w:rPr>
          <w:sz w:val="12"/>
          <w:szCs w:val="12"/>
        </w:rPr>
        <w:t xml:space="preserve"> DuFour, R., &amp; </w:t>
      </w:r>
      <w:proofErr w:type="spellStart"/>
      <w:r w:rsidRPr="00605841">
        <w:rPr>
          <w:sz w:val="12"/>
          <w:szCs w:val="12"/>
        </w:rPr>
        <w:t>Eaker</w:t>
      </w:r>
      <w:proofErr w:type="spellEnd"/>
      <w:r w:rsidRPr="00605841">
        <w:rPr>
          <w:sz w:val="12"/>
          <w:szCs w:val="12"/>
        </w:rPr>
        <w:t xml:space="preserve">, R. E. (1998), </w:t>
      </w:r>
      <w:r w:rsidRPr="00605841">
        <w:rPr>
          <w:i/>
          <w:iCs/>
          <w:sz w:val="12"/>
          <w:szCs w:val="12"/>
        </w:rPr>
        <w:t>Professional learning communities at work: best practices for enhancing student achieveme</w:t>
      </w:r>
      <w:r w:rsidRPr="00605841">
        <w:rPr>
          <w:i/>
          <w:sz w:val="12"/>
          <w:szCs w:val="12"/>
        </w:rPr>
        <w:t>nt</w:t>
      </w:r>
      <w:r w:rsidRPr="00605841">
        <w:rPr>
          <w:sz w:val="12"/>
          <w:szCs w:val="12"/>
        </w:rPr>
        <w:t>. Bloomington, Ind.: National Education Service; Alexandria, Va. ASCD, c1998.</w:t>
      </w:r>
    </w:p>
  </w:footnote>
  <w:footnote w:id="5">
    <w:p w14:paraId="2B98ED36" w14:textId="0B9F3D69" w:rsidR="00605841" w:rsidRPr="00605841" w:rsidRDefault="00605841" w:rsidP="00605841">
      <w:pPr>
        <w:pStyle w:val="FootnoteText"/>
        <w:rPr>
          <w:sz w:val="12"/>
          <w:szCs w:val="12"/>
          <w:lang w:val="en-AU"/>
        </w:rPr>
      </w:pPr>
      <w:r w:rsidRPr="00605841">
        <w:rPr>
          <w:rStyle w:val="FootnoteReference"/>
          <w:sz w:val="12"/>
          <w:szCs w:val="12"/>
        </w:rPr>
        <w:footnoteRef/>
      </w:r>
      <w:r w:rsidR="00D23BCF">
        <w:rPr>
          <w:sz w:val="12"/>
          <w:szCs w:val="12"/>
        </w:rPr>
        <w:t xml:space="preserve"> </w:t>
      </w:r>
      <w:r w:rsidR="00DB0868">
        <w:rPr>
          <w:sz w:val="12"/>
          <w:szCs w:val="12"/>
        </w:rPr>
        <w:t>DET</w:t>
      </w:r>
      <w:r w:rsidR="00F46D76" w:rsidRPr="00F46D76">
        <w:rPr>
          <w:sz w:val="12"/>
          <w:szCs w:val="12"/>
        </w:rPr>
        <w:t xml:space="preserve">, Practice Principles for Excellence </w:t>
      </w:r>
      <w:r w:rsidR="00C056C8">
        <w:rPr>
          <w:sz w:val="12"/>
          <w:szCs w:val="12"/>
        </w:rPr>
        <w:t>i</w:t>
      </w:r>
      <w:r w:rsidR="00F46D76" w:rsidRPr="00F46D76">
        <w:rPr>
          <w:sz w:val="12"/>
          <w:szCs w:val="12"/>
        </w:rPr>
        <w:t xml:space="preserve">n Teaching and Learning, </w:t>
      </w:r>
      <w:hyperlink r:id="rId1" w:history="1">
        <w:r w:rsidRPr="00605841">
          <w:rPr>
            <w:rStyle w:val="Hyperlink"/>
            <w:sz w:val="12"/>
            <w:szCs w:val="12"/>
          </w:rPr>
          <w:t>http://www.education.vic.gov.au/school/teachers/teachingresources/practice/Pages/principlesexcellence.aspx</w:t>
        </w:r>
      </w:hyperlink>
      <w:r w:rsidRPr="00605841">
        <w:rPr>
          <w:sz w:val="12"/>
          <w:szCs w:val="12"/>
        </w:rPr>
        <w:t xml:space="preserve"> </w:t>
      </w:r>
    </w:p>
  </w:footnote>
  <w:footnote w:id="6">
    <w:p w14:paraId="332901F8" w14:textId="02438467" w:rsidR="00F94346" w:rsidRPr="00605841" w:rsidRDefault="00F94346" w:rsidP="00F94346">
      <w:pPr>
        <w:pStyle w:val="FootnoteText"/>
        <w:rPr>
          <w:lang w:val="en-AU"/>
        </w:rPr>
      </w:pPr>
      <w:r w:rsidRPr="00605841">
        <w:rPr>
          <w:rStyle w:val="FootnoteReference"/>
          <w:sz w:val="12"/>
          <w:szCs w:val="12"/>
        </w:rPr>
        <w:footnoteRef/>
      </w:r>
      <w:r w:rsidRPr="00605841">
        <w:rPr>
          <w:sz w:val="12"/>
          <w:szCs w:val="12"/>
        </w:rPr>
        <w:t xml:space="preserve"> </w:t>
      </w:r>
      <w:r w:rsidR="00F46D76">
        <w:rPr>
          <w:sz w:val="12"/>
          <w:szCs w:val="12"/>
        </w:rPr>
        <w:t>Bill and Melinda Gates Foundation, 2013,</w:t>
      </w:r>
      <w:r w:rsidR="00F46D76" w:rsidRPr="00F46D76">
        <w:t xml:space="preserve"> </w:t>
      </w:r>
      <w:r w:rsidR="00F46D76" w:rsidRPr="00F46D76">
        <w:rPr>
          <w:i/>
          <w:sz w:val="12"/>
          <w:szCs w:val="12"/>
        </w:rPr>
        <w:t xml:space="preserve">Measures of Effective Teaching Project Releases Final Research Report,  </w:t>
      </w:r>
      <w:hyperlink r:id="rId2" w:history="1">
        <w:r w:rsidRPr="00605841">
          <w:rPr>
            <w:rStyle w:val="Hyperlink"/>
            <w:sz w:val="12"/>
            <w:szCs w:val="12"/>
          </w:rPr>
          <w:t>https://www.gatesfoundation.org/media-center/press-releases/2013/01/measures-of-effective-teaching-project-releases-final-research-report</w:t>
        </w:r>
      </w:hyperlink>
      <w:r>
        <w:t xml:space="preserve"> </w:t>
      </w:r>
    </w:p>
  </w:footnote>
  <w:footnote w:id="7">
    <w:p w14:paraId="3A09B5A2" w14:textId="50858CD5" w:rsidR="002364F9" w:rsidRPr="001724FF" w:rsidRDefault="002364F9" w:rsidP="00FE3C4F">
      <w:pPr>
        <w:pStyle w:val="FootnoteText"/>
        <w:rPr>
          <w:sz w:val="14"/>
          <w:szCs w:val="14"/>
          <w:lang w:val="en-AU"/>
        </w:rPr>
      </w:pPr>
      <w:r w:rsidRPr="001724FF">
        <w:rPr>
          <w:rStyle w:val="FootnoteReference"/>
          <w:sz w:val="14"/>
          <w:szCs w:val="14"/>
        </w:rPr>
        <w:footnoteRef/>
      </w:r>
      <w:r w:rsidRPr="001724FF">
        <w:rPr>
          <w:sz w:val="14"/>
          <w:szCs w:val="14"/>
        </w:rPr>
        <w:t xml:space="preserve"> Clause 22 Sub Clause 8 (a) of the VGSA 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305E" w14:textId="34000DF2" w:rsidR="002364F9" w:rsidRPr="003E29B5" w:rsidRDefault="002364F9" w:rsidP="008766A4">
    <w:r>
      <w:rPr>
        <w:noProof/>
        <w:lang w:val="en-AU" w:eastAsia="en-AU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3233300" wp14:editId="1F481202">
              <wp:simplePos x="0" y="0"/>
              <wp:positionH relativeFrom="column">
                <wp:posOffset>5372100</wp:posOffset>
              </wp:positionH>
              <wp:positionV relativeFrom="paragraph">
                <wp:posOffset>559435</wp:posOffset>
              </wp:positionV>
              <wp:extent cx="1647825" cy="58547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585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B9B536" w14:textId="07638772" w:rsidR="002364F9" w:rsidRPr="00B24ECE" w:rsidRDefault="002364F9" w:rsidP="00B31A38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Professional Practice Note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2333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3pt;margin-top:44.05pt;width:129.75pt;height:46.1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" filled="f" stroked="f">
              <v:textbox style="mso-fit-shape-to-text:t">
                <w:txbxContent>
                  <w:p w14:paraId="75B9B536" w14:textId="07638772" w:rsidR="002364F9" w:rsidRPr="00B24ECE" w:rsidRDefault="002364F9" w:rsidP="00B31A38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Professional Practice Note 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6BB7B5ED" wp14:editId="36BB2C8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4" name="Picture 4" descr="'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tsheet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32D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E6E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23C9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91E9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1B063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026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9C2D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388E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09C9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1E20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CB83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9C776C"/>
    <w:multiLevelType w:val="hybridMultilevel"/>
    <w:tmpl w:val="341EED3C"/>
    <w:lvl w:ilvl="0" w:tplc="D22A2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8177C"/>
    <w:multiLevelType w:val="hybridMultilevel"/>
    <w:tmpl w:val="27124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16018"/>
    <w:multiLevelType w:val="hybridMultilevel"/>
    <w:tmpl w:val="CC9C1B10"/>
    <w:lvl w:ilvl="0" w:tplc="A5C86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E3F49"/>
    <w:multiLevelType w:val="hybridMultilevel"/>
    <w:tmpl w:val="86F87860"/>
    <w:lvl w:ilvl="0" w:tplc="65BA20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B14B3C"/>
    <w:multiLevelType w:val="hybridMultilevel"/>
    <w:tmpl w:val="CDAA704C"/>
    <w:lvl w:ilvl="0" w:tplc="0C090001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8C4562"/>
    <w:multiLevelType w:val="hybridMultilevel"/>
    <w:tmpl w:val="86307636"/>
    <w:lvl w:ilvl="0" w:tplc="5FB8AA1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F6F6B"/>
    <w:multiLevelType w:val="hybridMultilevel"/>
    <w:tmpl w:val="FA4275F8"/>
    <w:lvl w:ilvl="0" w:tplc="1062F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594607">
    <w:abstractNumId w:val="10"/>
  </w:num>
  <w:num w:numId="2" w16cid:durableId="86466495">
    <w:abstractNumId w:val="8"/>
  </w:num>
  <w:num w:numId="3" w16cid:durableId="21904080">
    <w:abstractNumId w:val="7"/>
  </w:num>
  <w:num w:numId="4" w16cid:durableId="1970817081">
    <w:abstractNumId w:val="6"/>
  </w:num>
  <w:num w:numId="5" w16cid:durableId="1211183758">
    <w:abstractNumId w:val="5"/>
  </w:num>
  <w:num w:numId="6" w16cid:durableId="1027219481">
    <w:abstractNumId w:val="9"/>
  </w:num>
  <w:num w:numId="7" w16cid:durableId="70203794">
    <w:abstractNumId w:val="4"/>
  </w:num>
  <w:num w:numId="8" w16cid:durableId="564726675">
    <w:abstractNumId w:val="3"/>
  </w:num>
  <w:num w:numId="9" w16cid:durableId="809052770">
    <w:abstractNumId w:val="2"/>
  </w:num>
  <w:num w:numId="10" w16cid:durableId="527838875">
    <w:abstractNumId w:val="1"/>
  </w:num>
  <w:num w:numId="11" w16cid:durableId="1818296923">
    <w:abstractNumId w:val="0"/>
  </w:num>
  <w:num w:numId="12" w16cid:durableId="365519410">
    <w:abstractNumId w:val="11"/>
  </w:num>
  <w:num w:numId="13" w16cid:durableId="2083529017">
    <w:abstractNumId w:val="15"/>
  </w:num>
  <w:num w:numId="14" w16cid:durableId="167523846">
    <w:abstractNumId w:val="14"/>
  </w:num>
  <w:num w:numId="15" w16cid:durableId="1508715356">
    <w:abstractNumId w:val="13"/>
  </w:num>
  <w:num w:numId="16" w16cid:durableId="685210737">
    <w:abstractNumId w:val="17"/>
  </w:num>
  <w:num w:numId="17" w16cid:durableId="1568877131">
    <w:abstractNumId w:val="17"/>
  </w:num>
  <w:num w:numId="18" w16cid:durableId="421533626">
    <w:abstractNumId w:val="17"/>
  </w:num>
  <w:num w:numId="19" w16cid:durableId="2084184644">
    <w:abstractNumId w:val="12"/>
  </w:num>
  <w:num w:numId="20" w16cid:durableId="1102264558">
    <w:abstractNumId w:val="16"/>
  </w:num>
  <w:num w:numId="21" w16cid:durableId="2099822">
    <w:abstractNumId w:val="17"/>
  </w:num>
  <w:num w:numId="22" w16cid:durableId="434446974">
    <w:abstractNumId w:val="17"/>
  </w:num>
  <w:num w:numId="23" w16cid:durableId="1942445567">
    <w:abstractNumId w:val="17"/>
  </w:num>
  <w:num w:numId="24" w16cid:durableId="1822849820">
    <w:abstractNumId w:val="17"/>
  </w:num>
  <w:num w:numId="25" w16cid:durableId="367535886">
    <w:abstractNumId w:val="17"/>
  </w:num>
  <w:num w:numId="26" w16cid:durableId="972908879">
    <w:abstractNumId w:val="17"/>
  </w:num>
  <w:num w:numId="27" w16cid:durableId="19459929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48"/>
    <w:rsid w:val="00002751"/>
    <w:rsid w:val="00004886"/>
    <w:rsid w:val="0001779A"/>
    <w:rsid w:val="00037C5E"/>
    <w:rsid w:val="0004089F"/>
    <w:rsid w:val="000450B6"/>
    <w:rsid w:val="0005239A"/>
    <w:rsid w:val="000529BE"/>
    <w:rsid w:val="00062DA9"/>
    <w:rsid w:val="00065681"/>
    <w:rsid w:val="00072277"/>
    <w:rsid w:val="00072FFE"/>
    <w:rsid w:val="00073762"/>
    <w:rsid w:val="0007564B"/>
    <w:rsid w:val="00084C97"/>
    <w:rsid w:val="000852A3"/>
    <w:rsid w:val="00085ACF"/>
    <w:rsid w:val="00087024"/>
    <w:rsid w:val="000B0254"/>
    <w:rsid w:val="000C008D"/>
    <w:rsid w:val="000C1CAD"/>
    <w:rsid w:val="000C3ACF"/>
    <w:rsid w:val="000C4CE1"/>
    <w:rsid w:val="000C6041"/>
    <w:rsid w:val="000C6108"/>
    <w:rsid w:val="000D30EA"/>
    <w:rsid w:val="000D3161"/>
    <w:rsid w:val="000D4407"/>
    <w:rsid w:val="000E3152"/>
    <w:rsid w:val="000E4F50"/>
    <w:rsid w:val="000E68E8"/>
    <w:rsid w:val="000E7752"/>
    <w:rsid w:val="00100F5E"/>
    <w:rsid w:val="00101C2B"/>
    <w:rsid w:val="00102897"/>
    <w:rsid w:val="00106DFA"/>
    <w:rsid w:val="00111B75"/>
    <w:rsid w:val="00112988"/>
    <w:rsid w:val="00112F5E"/>
    <w:rsid w:val="001207AC"/>
    <w:rsid w:val="00127D48"/>
    <w:rsid w:val="00133F4C"/>
    <w:rsid w:val="00136679"/>
    <w:rsid w:val="0014310A"/>
    <w:rsid w:val="00146F8F"/>
    <w:rsid w:val="001509D3"/>
    <w:rsid w:val="00167682"/>
    <w:rsid w:val="00171BCB"/>
    <w:rsid w:val="001724FF"/>
    <w:rsid w:val="0018037C"/>
    <w:rsid w:val="00182671"/>
    <w:rsid w:val="00183040"/>
    <w:rsid w:val="001903CC"/>
    <w:rsid w:val="001A2CBB"/>
    <w:rsid w:val="001A7338"/>
    <w:rsid w:val="001A7AEF"/>
    <w:rsid w:val="001B3B93"/>
    <w:rsid w:val="001B515A"/>
    <w:rsid w:val="001D4E0B"/>
    <w:rsid w:val="001E1DCF"/>
    <w:rsid w:val="001E39C1"/>
    <w:rsid w:val="001F0C63"/>
    <w:rsid w:val="00201955"/>
    <w:rsid w:val="002021C2"/>
    <w:rsid w:val="0021039A"/>
    <w:rsid w:val="00211DAA"/>
    <w:rsid w:val="00214A37"/>
    <w:rsid w:val="00220ADE"/>
    <w:rsid w:val="00220F18"/>
    <w:rsid w:val="00230E53"/>
    <w:rsid w:val="002364F9"/>
    <w:rsid w:val="00242A01"/>
    <w:rsid w:val="00246D41"/>
    <w:rsid w:val="00247BA2"/>
    <w:rsid w:val="00247FA3"/>
    <w:rsid w:val="00250891"/>
    <w:rsid w:val="00256B79"/>
    <w:rsid w:val="00267747"/>
    <w:rsid w:val="00270D4D"/>
    <w:rsid w:val="00283D10"/>
    <w:rsid w:val="002840C6"/>
    <w:rsid w:val="00284E66"/>
    <w:rsid w:val="00290FCC"/>
    <w:rsid w:val="00295506"/>
    <w:rsid w:val="002A0051"/>
    <w:rsid w:val="002C3E8A"/>
    <w:rsid w:val="002C7C8B"/>
    <w:rsid w:val="002F3323"/>
    <w:rsid w:val="002F334C"/>
    <w:rsid w:val="002F5DC2"/>
    <w:rsid w:val="00320841"/>
    <w:rsid w:val="0032339B"/>
    <w:rsid w:val="00326F48"/>
    <w:rsid w:val="0033697E"/>
    <w:rsid w:val="00340180"/>
    <w:rsid w:val="00343CCA"/>
    <w:rsid w:val="00351147"/>
    <w:rsid w:val="00353C0D"/>
    <w:rsid w:val="00355CB0"/>
    <w:rsid w:val="00364186"/>
    <w:rsid w:val="0037421B"/>
    <w:rsid w:val="00380A30"/>
    <w:rsid w:val="00381497"/>
    <w:rsid w:val="00382234"/>
    <w:rsid w:val="0038357D"/>
    <w:rsid w:val="00385860"/>
    <w:rsid w:val="003858BE"/>
    <w:rsid w:val="00385BD4"/>
    <w:rsid w:val="00396023"/>
    <w:rsid w:val="0039651B"/>
    <w:rsid w:val="003A1889"/>
    <w:rsid w:val="003A538B"/>
    <w:rsid w:val="003A70B7"/>
    <w:rsid w:val="003B01B0"/>
    <w:rsid w:val="003B1542"/>
    <w:rsid w:val="003C530C"/>
    <w:rsid w:val="003D0A48"/>
    <w:rsid w:val="003E29B5"/>
    <w:rsid w:val="003E3015"/>
    <w:rsid w:val="003E4F98"/>
    <w:rsid w:val="003E5347"/>
    <w:rsid w:val="003E5361"/>
    <w:rsid w:val="003F18AC"/>
    <w:rsid w:val="003F593D"/>
    <w:rsid w:val="003F63AA"/>
    <w:rsid w:val="004028DD"/>
    <w:rsid w:val="00410A6C"/>
    <w:rsid w:val="0041726C"/>
    <w:rsid w:val="004204C9"/>
    <w:rsid w:val="00422435"/>
    <w:rsid w:val="00424F9D"/>
    <w:rsid w:val="00426D80"/>
    <w:rsid w:val="00431DD1"/>
    <w:rsid w:val="00440E87"/>
    <w:rsid w:val="00452E79"/>
    <w:rsid w:val="004537CE"/>
    <w:rsid w:val="004572D1"/>
    <w:rsid w:val="00461E0C"/>
    <w:rsid w:val="004624EB"/>
    <w:rsid w:val="00464307"/>
    <w:rsid w:val="00482897"/>
    <w:rsid w:val="00494C4A"/>
    <w:rsid w:val="004A001F"/>
    <w:rsid w:val="004A06B3"/>
    <w:rsid w:val="004A1C8F"/>
    <w:rsid w:val="004A1D27"/>
    <w:rsid w:val="004A52F3"/>
    <w:rsid w:val="004B2F64"/>
    <w:rsid w:val="004C062D"/>
    <w:rsid w:val="004C3BD3"/>
    <w:rsid w:val="004C60FE"/>
    <w:rsid w:val="004E1BAE"/>
    <w:rsid w:val="004E34AD"/>
    <w:rsid w:val="004E6B4C"/>
    <w:rsid w:val="004F6FED"/>
    <w:rsid w:val="00507490"/>
    <w:rsid w:val="00507B22"/>
    <w:rsid w:val="00510935"/>
    <w:rsid w:val="00511666"/>
    <w:rsid w:val="00512886"/>
    <w:rsid w:val="00512922"/>
    <w:rsid w:val="00517E9F"/>
    <w:rsid w:val="00524525"/>
    <w:rsid w:val="00530190"/>
    <w:rsid w:val="00536196"/>
    <w:rsid w:val="005375BF"/>
    <w:rsid w:val="00537716"/>
    <w:rsid w:val="005407BB"/>
    <w:rsid w:val="005528FF"/>
    <w:rsid w:val="00566AA2"/>
    <w:rsid w:val="00566FA9"/>
    <w:rsid w:val="005678B0"/>
    <w:rsid w:val="005849E0"/>
    <w:rsid w:val="0058668E"/>
    <w:rsid w:val="0058738C"/>
    <w:rsid w:val="00587BA4"/>
    <w:rsid w:val="005946A1"/>
    <w:rsid w:val="00595737"/>
    <w:rsid w:val="00596923"/>
    <w:rsid w:val="005B3C98"/>
    <w:rsid w:val="005D1432"/>
    <w:rsid w:val="005E1B87"/>
    <w:rsid w:val="005E6B0E"/>
    <w:rsid w:val="005F0B06"/>
    <w:rsid w:val="005F150A"/>
    <w:rsid w:val="005F159C"/>
    <w:rsid w:val="00601CAF"/>
    <w:rsid w:val="00605841"/>
    <w:rsid w:val="00616C5C"/>
    <w:rsid w:val="00623981"/>
    <w:rsid w:val="00627EC9"/>
    <w:rsid w:val="006300B4"/>
    <w:rsid w:val="00633D21"/>
    <w:rsid w:val="0064290D"/>
    <w:rsid w:val="00643648"/>
    <w:rsid w:val="0064511F"/>
    <w:rsid w:val="006456A4"/>
    <w:rsid w:val="00657445"/>
    <w:rsid w:val="00665047"/>
    <w:rsid w:val="00667E07"/>
    <w:rsid w:val="00674059"/>
    <w:rsid w:val="00676EA2"/>
    <w:rsid w:val="00681A21"/>
    <w:rsid w:val="006827FA"/>
    <w:rsid w:val="00687ED7"/>
    <w:rsid w:val="006903EC"/>
    <w:rsid w:val="006953E8"/>
    <w:rsid w:val="00696317"/>
    <w:rsid w:val="006A1A8F"/>
    <w:rsid w:val="006B49E3"/>
    <w:rsid w:val="006B7ECC"/>
    <w:rsid w:val="006C0F25"/>
    <w:rsid w:val="006C546C"/>
    <w:rsid w:val="006C5AC0"/>
    <w:rsid w:val="006E0E24"/>
    <w:rsid w:val="006E7C89"/>
    <w:rsid w:val="006F20C3"/>
    <w:rsid w:val="007300D6"/>
    <w:rsid w:val="0073655D"/>
    <w:rsid w:val="0073724D"/>
    <w:rsid w:val="007450C9"/>
    <w:rsid w:val="007464BE"/>
    <w:rsid w:val="00763A49"/>
    <w:rsid w:val="007673F1"/>
    <w:rsid w:val="00767F37"/>
    <w:rsid w:val="007749CC"/>
    <w:rsid w:val="007761BF"/>
    <w:rsid w:val="00781A5E"/>
    <w:rsid w:val="007864D8"/>
    <w:rsid w:val="00792041"/>
    <w:rsid w:val="007978C1"/>
    <w:rsid w:val="00797B10"/>
    <w:rsid w:val="007B35E5"/>
    <w:rsid w:val="007B727D"/>
    <w:rsid w:val="007C7C75"/>
    <w:rsid w:val="007D178D"/>
    <w:rsid w:val="007D46F5"/>
    <w:rsid w:val="007D63C5"/>
    <w:rsid w:val="007E7CEC"/>
    <w:rsid w:val="007F06C8"/>
    <w:rsid w:val="007F12FE"/>
    <w:rsid w:val="007F5539"/>
    <w:rsid w:val="008063E2"/>
    <w:rsid w:val="008074FE"/>
    <w:rsid w:val="00814900"/>
    <w:rsid w:val="00816ED5"/>
    <w:rsid w:val="008274E2"/>
    <w:rsid w:val="0083368E"/>
    <w:rsid w:val="00834485"/>
    <w:rsid w:val="00840BB8"/>
    <w:rsid w:val="00841065"/>
    <w:rsid w:val="00860993"/>
    <w:rsid w:val="0086491B"/>
    <w:rsid w:val="00865A11"/>
    <w:rsid w:val="008766A4"/>
    <w:rsid w:val="00880494"/>
    <w:rsid w:val="00887406"/>
    <w:rsid w:val="00891B29"/>
    <w:rsid w:val="00893F32"/>
    <w:rsid w:val="008955F4"/>
    <w:rsid w:val="008A45AF"/>
    <w:rsid w:val="008A5778"/>
    <w:rsid w:val="008A6CB9"/>
    <w:rsid w:val="008B43D4"/>
    <w:rsid w:val="008B4CD0"/>
    <w:rsid w:val="008C46E9"/>
    <w:rsid w:val="008E20D8"/>
    <w:rsid w:val="008F73F4"/>
    <w:rsid w:val="00900B34"/>
    <w:rsid w:val="00901AA6"/>
    <w:rsid w:val="0091796B"/>
    <w:rsid w:val="0093259E"/>
    <w:rsid w:val="009335C2"/>
    <w:rsid w:val="009415BA"/>
    <w:rsid w:val="00941AA2"/>
    <w:rsid w:val="009535EC"/>
    <w:rsid w:val="00956DB9"/>
    <w:rsid w:val="00980015"/>
    <w:rsid w:val="009805FF"/>
    <w:rsid w:val="00993747"/>
    <w:rsid w:val="009B323A"/>
    <w:rsid w:val="009B40D9"/>
    <w:rsid w:val="009B442A"/>
    <w:rsid w:val="009B5ECE"/>
    <w:rsid w:val="009B6516"/>
    <w:rsid w:val="009C5A94"/>
    <w:rsid w:val="009C5AF7"/>
    <w:rsid w:val="009C7DDB"/>
    <w:rsid w:val="009D0975"/>
    <w:rsid w:val="009D30CE"/>
    <w:rsid w:val="009E0920"/>
    <w:rsid w:val="009E1EA0"/>
    <w:rsid w:val="009E6DDD"/>
    <w:rsid w:val="009F1FD7"/>
    <w:rsid w:val="009F2302"/>
    <w:rsid w:val="009F6B01"/>
    <w:rsid w:val="00A00C0E"/>
    <w:rsid w:val="00A0161A"/>
    <w:rsid w:val="00A0408F"/>
    <w:rsid w:val="00A05AFC"/>
    <w:rsid w:val="00A07C7B"/>
    <w:rsid w:val="00A14C2C"/>
    <w:rsid w:val="00A2158D"/>
    <w:rsid w:val="00A21C33"/>
    <w:rsid w:val="00A27CEF"/>
    <w:rsid w:val="00A3636D"/>
    <w:rsid w:val="00A37269"/>
    <w:rsid w:val="00A61042"/>
    <w:rsid w:val="00A66145"/>
    <w:rsid w:val="00A70B1D"/>
    <w:rsid w:val="00A71352"/>
    <w:rsid w:val="00A7198B"/>
    <w:rsid w:val="00A81D50"/>
    <w:rsid w:val="00A900A5"/>
    <w:rsid w:val="00AA1D29"/>
    <w:rsid w:val="00AA46DE"/>
    <w:rsid w:val="00AA6CFA"/>
    <w:rsid w:val="00AD058E"/>
    <w:rsid w:val="00AD315D"/>
    <w:rsid w:val="00AD6742"/>
    <w:rsid w:val="00AE2147"/>
    <w:rsid w:val="00AE7992"/>
    <w:rsid w:val="00AF671E"/>
    <w:rsid w:val="00B04920"/>
    <w:rsid w:val="00B20D93"/>
    <w:rsid w:val="00B26466"/>
    <w:rsid w:val="00B27D66"/>
    <w:rsid w:val="00B313E8"/>
    <w:rsid w:val="00B313F1"/>
    <w:rsid w:val="00B31A38"/>
    <w:rsid w:val="00B3256F"/>
    <w:rsid w:val="00B357A8"/>
    <w:rsid w:val="00B36B8F"/>
    <w:rsid w:val="00B41D6D"/>
    <w:rsid w:val="00B42CB3"/>
    <w:rsid w:val="00B60218"/>
    <w:rsid w:val="00B72540"/>
    <w:rsid w:val="00B7726A"/>
    <w:rsid w:val="00B86814"/>
    <w:rsid w:val="00B87E1D"/>
    <w:rsid w:val="00BC1167"/>
    <w:rsid w:val="00BC7296"/>
    <w:rsid w:val="00BD1DF4"/>
    <w:rsid w:val="00BD1EC1"/>
    <w:rsid w:val="00BD219F"/>
    <w:rsid w:val="00BD355C"/>
    <w:rsid w:val="00BD7DA7"/>
    <w:rsid w:val="00BE2401"/>
    <w:rsid w:val="00BF1374"/>
    <w:rsid w:val="00BF17CC"/>
    <w:rsid w:val="00BF1B29"/>
    <w:rsid w:val="00BF20DF"/>
    <w:rsid w:val="00BF33B0"/>
    <w:rsid w:val="00BF6AD8"/>
    <w:rsid w:val="00C028E6"/>
    <w:rsid w:val="00C0363F"/>
    <w:rsid w:val="00C056C8"/>
    <w:rsid w:val="00C06348"/>
    <w:rsid w:val="00C10031"/>
    <w:rsid w:val="00C12663"/>
    <w:rsid w:val="00C14CF5"/>
    <w:rsid w:val="00C31DDF"/>
    <w:rsid w:val="00C35E9F"/>
    <w:rsid w:val="00C3691D"/>
    <w:rsid w:val="00C440CB"/>
    <w:rsid w:val="00C45F42"/>
    <w:rsid w:val="00C566AB"/>
    <w:rsid w:val="00C63A21"/>
    <w:rsid w:val="00C64D33"/>
    <w:rsid w:val="00C66E20"/>
    <w:rsid w:val="00C72D9A"/>
    <w:rsid w:val="00C86485"/>
    <w:rsid w:val="00C905EA"/>
    <w:rsid w:val="00C91903"/>
    <w:rsid w:val="00C94144"/>
    <w:rsid w:val="00C96C6D"/>
    <w:rsid w:val="00CA34E8"/>
    <w:rsid w:val="00CB60C7"/>
    <w:rsid w:val="00CC04B1"/>
    <w:rsid w:val="00CC1D6E"/>
    <w:rsid w:val="00CD1500"/>
    <w:rsid w:val="00CD3509"/>
    <w:rsid w:val="00CD68C2"/>
    <w:rsid w:val="00CE77A8"/>
    <w:rsid w:val="00CF09C8"/>
    <w:rsid w:val="00CF706C"/>
    <w:rsid w:val="00CF7E71"/>
    <w:rsid w:val="00D11044"/>
    <w:rsid w:val="00D11EBF"/>
    <w:rsid w:val="00D1699E"/>
    <w:rsid w:val="00D20050"/>
    <w:rsid w:val="00D21E21"/>
    <w:rsid w:val="00D23BCF"/>
    <w:rsid w:val="00D31299"/>
    <w:rsid w:val="00D36E05"/>
    <w:rsid w:val="00D521C7"/>
    <w:rsid w:val="00D53218"/>
    <w:rsid w:val="00D54090"/>
    <w:rsid w:val="00D551DB"/>
    <w:rsid w:val="00D8063E"/>
    <w:rsid w:val="00D82E6B"/>
    <w:rsid w:val="00D85A0C"/>
    <w:rsid w:val="00D900E2"/>
    <w:rsid w:val="00DA5477"/>
    <w:rsid w:val="00DB0868"/>
    <w:rsid w:val="00DB5268"/>
    <w:rsid w:val="00DC3CCC"/>
    <w:rsid w:val="00DD0BA6"/>
    <w:rsid w:val="00DD3B43"/>
    <w:rsid w:val="00DD544F"/>
    <w:rsid w:val="00DD7A54"/>
    <w:rsid w:val="00E040F2"/>
    <w:rsid w:val="00E04B06"/>
    <w:rsid w:val="00E04E4F"/>
    <w:rsid w:val="00E12984"/>
    <w:rsid w:val="00E1317C"/>
    <w:rsid w:val="00E23B58"/>
    <w:rsid w:val="00E30298"/>
    <w:rsid w:val="00E32BEC"/>
    <w:rsid w:val="00E33029"/>
    <w:rsid w:val="00E445BF"/>
    <w:rsid w:val="00E45B83"/>
    <w:rsid w:val="00E5136A"/>
    <w:rsid w:val="00E52B81"/>
    <w:rsid w:val="00E56DE0"/>
    <w:rsid w:val="00E62958"/>
    <w:rsid w:val="00E677C9"/>
    <w:rsid w:val="00E72216"/>
    <w:rsid w:val="00E73388"/>
    <w:rsid w:val="00E821E2"/>
    <w:rsid w:val="00E9085F"/>
    <w:rsid w:val="00E93186"/>
    <w:rsid w:val="00E9558C"/>
    <w:rsid w:val="00E96341"/>
    <w:rsid w:val="00EA648A"/>
    <w:rsid w:val="00EB6C8C"/>
    <w:rsid w:val="00EC56A6"/>
    <w:rsid w:val="00EC6828"/>
    <w:rsid w:val="00ED0B79"/>
    <w:rsid w:val="00ED17CE"/>
    <w:rsid w:val="00ED323F"/>
    <w:rsid w:val="00EE3EC4"/>
    <w:rsid w:val="00EE41DA"/>
    <w:rsid w:val="00EE585B"/>
    <w:rsid w:val="00EF5474"/>
    <w:rsid w:val="00EF6EB9"/>
    <w:rsid w:val="00F01A9D"/>
    <w:rsid w:val="00F02FE3"/>
    <w:rsid w:val="00F040D0"/>
    <w:rsid w:val="00F05941"/>
    <w:rsid w:val="00F07F41"/>
    <w:rsid w:val="00F313F5"/>
    <w:rsid w:val="00F33E51"/>
    <w:rsid w:val="00F35012"/>
    <w:rsid w:val="00F37D33"/>
    <w:rsid w:val="00F46D76"/>
    <w:rsid w:val="00F5105E"/>
    <w:rsid w:val="00F57ADB"/>
    <w:rsid w:val="00F6128A"/>
    <w:rsid w:val="00F619F8"/>
    <w:rsid w:val="00F62C3D"/>
    <w:rsid w:val="00F63352"/>
    <w:rsid w:val="00F67AA6"/>
    <w:rsid w:val="00F85A94"/>
    <w:rsid w:val="00F86C02"/>
    <w:rsid w:val="00F942D7"/>
    <w:rsid w:val="00F94346"/>
    <w:rsid w:val="00FC5EF4"/>
    <w:rsid w:val="00FD22A1"/>
    <w:rsid w:val="00FD24F5"/>
    <w:rsid w:val="00FD4EAE"/>
    <w:rsid w:val="00FD51EC"/>
    <w:rsid w:val="00FE3C4F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9FCCD2"/>
  <w14:defaultImageDpi w14:val="330"/>
  <w15:docId w15:val="{C969A5B8-8548-413D-9B51-DED13823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B87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 w:themeColor="accent1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41D6D"/>
    <w:pPr>
      <w:pBdr>
        <w:top w:val="single" w:sz="8" w:space="3" w:color="000000" w:themeColor="text1"/>
      </w:pBdr>
      <w:spacing w:before="200"/>
      <w:outlineLvl w:val="1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C8C"/>
    <w:pPr>
      <w:numPr>
        <w:ilvl w:val="1"/>
      </w:numPr>
      <w:spacing w:after="48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EB6C8C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326F48"/>
    <w:rPr>
      <w:b/>
      <w:bCs/>
      <w:i/>
      <w:iCs/>
      <w:color w:val="AF272F" w:themeColor="accent1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E1B87"/>
    <w:rPr>
      <w:rFonts w:ascii="Arial" w:eastAsiaTheme="majorEastAsia" w:hAnsi="Arial" w:cstheme="majorBidi"/>
      <w:b/>
      <w:bCs/>
      <w:caps/>
      <w:color w:val="AF272F" w:themeColor="accent1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5E1B87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 w:themeColor="accent1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1B87"/>
    <w:rPr>
      <w:rFonts w:ascii="Arial" w:eastAsiaTheme="majorEastAsia" w:hAnsi="Arial" w:cstheme="majorBidi"/>
      <w:b/>
      <w:color w:val="AF272F" w:themeColor="accent1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41D6D"/>
    <w:rPr>
      <w:rFonts w:ascii="Arial" w:eastAsiaTheme="majorEastAsia" w:hAnsi="Arial" w:cstheme="majorBidi"/>
      <w:b/>
      <w:caps/>
      <w:color w:val="000000" w:themeColor="text1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1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BA"/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30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302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3029"/>
    <w:rPr>
      <w:vertAlign w:val="superscript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"/>
    <w:basedOn w:val="Normal"/>
    <w:link w:val="ListParagraphChar"/>
    <w:autoRedefine/>
    <w:uiPriority w:val="34"/>
    <w:qFormat/>
    <w:rsid w:val="001B3B93"/>
    <w:pPr>
      <w:numPr>
        <w:numId w:val="20"/>
      </w:numPr>
      <w:spacing w:after="0"/>
      <w:ind w:left="357" w:hanging="357"/>
    </w:p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"/>
    <w:link w:val="ListParagraph"/>
    <w:uiPriority w:val="34"/>
    <w:rsid w:val="001B3B93"/>
    <w:rPr>
      <w:rFonts w:ascii="Arial" w:hAnsi="Arial" w:cs="Arial"/>
      <w:sz w:val="18"/>
      <w:szCs w:val="18"/>
    </w:rPr>
  </w:style>
  <w:style w:type="paragraph" w:styleId="BodyText">
    <w:name w:val="Body Text"/>
    <w:basedOn w:val="ListNumber"/>
    <w:link w:val="BodyTextChar"/>
    <w:rsid w:val="004028DD"/>
    <w:pPr>
      <w:numPr>
        <w:numId w:val="0"/>
      </w:numPr>
      <w:spacing w:after="120"/>
      <w:ind w:left="1760" w:hanging="680"/>
      <w:contextualSpacing w:val="0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4028DD"/>
    <w:rPr>
      <w:rFonts w:ascii="Arial" w:eastAsia="Times New Roman" w:hAnsi="Arial" w:cs="Arial"/>
      <w:noProof/>
      <w:lang w:val="en-AU"/>
    </w:rPr>
  </w:style>
  <w:style w:type="paragraph" w:styleId="ListNumber">
    <w:name w:val="List Number"/>
    <w:basedOn w:val="Normal"/>
    <w:uiPriority w:val="99"/>
    <w:unhideWhenUsed/>
    <w:rsid w:val="004028DD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/>
      <w:noProof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3C530C"/>
    <w:rPr>
      <w:color w:val="004EA8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0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9D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9D3"/>
    <w:rPr>
      <w:rFonts w:ascii="Arial" w:hAnsi="Arial" w:cs="Arial"/>
      <w:b/>
      <w:bCs/>
      <w:sz w:val="20"/>
      <w:szCs w:val="20"/>
    </w:rPr>
  </w:style>
  <w:style w:type="character" w:customStyle="1" w:styleId="A7">
    <w:name w:val="A7"/>
    <w:uiPriority w:val="99"/>
    <w:rsid w:val="00C566AB"/>
    <w:rPr>
      <w:rFonts w:ascii="VIC Medium" w:hAnsi="VIC Medium" w:cs="VIC Medium"/>
      <w:color w:val="000000"/>
      <w:sz w:val="16"/>
      <w:szCs w:val="1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7C7B"/>
    <w:rPr>
      <w:color w:val="87189D" w:themeColor="followedHyperlink"/>
      <w:u w:val="single"/>
    </w:rPr>
  </w:style>
  <w:style w:type="paragraph" w:styleId="Revision">
    <w:name w:val="Revision"/>
    <w:hidden/>
    <w:uiPriority w:val="99"/>
    <w:semiHidden/>
    <w:rsid w:val="007C7C7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6309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516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AAAAA"/>
                            <w:right w:val="none" w:sz="0" w:space="0" w:color="auto"/>
                          </w:divBdr>
                          <w:divsChild>
                            <w:div w:id="6562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83833">
                                      <w:marLeft w:val="-225"/>
                                      <w:marRight w:val="-19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76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itsl.edu.au/docs/default-source/default-document-library/how-to-guide---introducing-classroom-observation.pdf?sfvrsn=bfabec3c_2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Documents/school/teachers/support/highimpactteachstrat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ofessional.practice@edumail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Documents/school/teachers/support/practiceprinciple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it.vic.edu.au/registered-teacher/moving-to-full-registratio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itsl.edu.au/tools-resources/resource/looking-at-classroom-practice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atesfoundation.org/media-center/press-releases/2013/01/measures-of-effective-teaching-project-releases-final-research-report" TargetMode="External"/><Relationship Id="rId1" Type="http://schemas.openxmlformats.org/officeDocument/2006/relationships/hyperlink" Target="http://www.education.vic.gov.au/school/teachers/teachingresources/practice/Pages/principlesexcellenc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PPN#4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57ED3-1B4B-4E65-B312-2B171910FDC3}"/>
</file>

<file path=customXml/itemProps3.xml><?xml version="1.0" encoding="utf-8"?>
<ds:datastoreItem xmlns:ds="http://schemas.openxmlformats.org/officeDocument/2006/customXml" ds:itemID="{F112DD5B-45A5-40A2-A120-DA7DF80DAA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Chitran Graham</cp:lastModifiedBy>
  <cp:revision>6</cp:revision>
  <cp:lastPrinted>2018-02-21T02:59:00Z</cp:lastPrinted>
  <dcterms:created xsi:type="dcterms:W3CDTF">2018-06-07T23:34:00Z</dcterms:created>
  <dcterms:modified xsi:type="dcterms:W3CDTF">2022-07-11T03:45:00Z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UniqueId">
    <vt:lpwstr>{3d522d9a-37d6-4096-b21c-5bc6cd6086cd}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{03dc8113-b288-4f44-a289-6e7ea0196235}</vt:lpwstr>
  </property>
  <property fmtid="{D5CDD505-2E9C-101B-9397-08002B2CF9AE}" pid="6" name="RecordPoint_ActiveItemListId">
    <vt:lpwstr>{6ef9849d-c3c7-4026-8b61-646835e4ac4e}</vt:lpwstr>
  </property>
  <property fmtid="{D5CDD505-2E9C-101B-9397-08002B2CF9AE}" pid="7" name="RecordPoint_ActiveItemWebId">
    <vt:lpwstr>{69c6d17e-4966-4cea-b47f-eb6dea2170e9}</vt:lpwstr>
  </property>
  <property fmtid="{D5CDD505-2E9C-101B-9397-08002B2CF9AE}" pid="8" name="RecordPoint_RecordNumberSubmitted">
    <vt:lpwstr>R2018/103868</vt:lpwstr>
  </property>
  <property fmtid="{D5CDD505-2E9C-101B-9397-08002B2CF9AE}" pid="9" name="RecordPoint_SubmissionCompleted">
    <vt:lpwstr>2018-02-23T15:24:33.7661718+11:00</vt:lpwstr>
  </property>
  <property fmtid="{D5CDD505-2E9C-101B-9397-08002B2CF9AE}" pid="10" name="DET_EDRMS_RCS">
    <vt:lpwstr>20;#1.2.2 Project Documentation|a3ce4c3c-7960-4756-834e-8cbbf9028802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SubjectCategory">
    <vt:lpwstr/>
  </property>
  <property fmtid="{D5CDD505-2E9C-101B-9397-08002B2CF9AE}" pid="18" name="DEECD_ItemType">
    <vt:lpwstr>101;#Page|eb523acf-a821-456c-a76b-7607578309d7</vt:lpwstr>
  </property>
  <property fmtid="{D5CDD505-2E9C-101B-9397-08002B2CF9AE}" pid="19" name="DEECD_Audience">
    <vt:lpwstr/>
  </property>
</Properties>
</file>