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C2BF" w14:textId="7865C5AD" w:rsidR="00EB6C8C" w:rsidRPr="00D8262A" w:rsidRDefault="00D95055" w:rsidP="00A16ABA">
      <w:pPr>
        <w:pStyle w:val="Heading1"/>
        <w:spacing w:before="120"/>
        <w:ind w:right="-170"/>
        <w:rPr>
          <w:b w:val="0"/>
          <w:sz w:val="44"/>
          <w:szCs w:val="44"/>
        </w:rPr>
      </w:pPr>
      <w:r>
        <w:rPr>
          <w:b w:val="0"/>
          <w:sz w:val="44"/>
          <w:szCs w:val="44"/>
        </w:rPr>
        <w:t>using the practice princ</w:t>
      </w:r>
      <w:r w:rsidR="001C22F3">
        <w:rPr>
          <w:b w:val="0"/>
          <w:sz w:val="44"/>
          <w:szCs w:val="44"/>
        </w:rPr>
        <w:t>I</w:t>
      </w:r>
      <w:r>
        <w:rPr>
          <w:b w:val="0"/>
          <w:sz w:val="44"/>
          <w:szCs w:val="44"/>
        </w:rPr>
        <w:t>ples to guide literacy learning</w:t>
      </w:r>
    </w:p>
    <w:p w14:paraId="0A678D95" w14:textId="0AD87D72" w:rsidR="00C55920" w:rsidRPr="00652739" w:rsidRDefault="00472469" w:rsidP="00102DB6">
      <w:pPr>
        <w:pStyle w:val="Quote"/>
        <w:spacing w:line="240" w:lineRule="auto"/>
        <w:jc w:val="both"/>
        <w:rPr>
          <w:i/>
          <w:sz w:val="20"/>
        </w:rPr>
      </w:pPr>
      <w:r w:rsidRPr="00652739">
        <w:rPr>
          <w:i/>
          <w:sz w:val="20"/>
        </w:rPr>
        <w:t>“</w:t>
      </w:r>
      <w:r w:rsidR="00652739" w:rsidRPr="00652739">
        <w:rPr>
          <w:i/>
          <w:sz w:val="20"/>
        </w:rPr>
        <w:t xml:space="preserve">The </w:t>
      </w:r>
      <w:r w:rsidR="00652739">
        <w:rPr>
          <w:i/>
          <w:sz w:val="20"/>
        </w:rPr>
        <w:t>P</w:t>
      </w:r>
      <w:r w:rsidR="00652739" w:rsidRPr="00652739">
        <w:rPr>
          <w:i/>
          <w:sz w:val="20"/>
        </w:rPr>
        <w:t xml:space="preserve">ractice </w:t>
      </w:r>
      <w:r w:rsidR="00652739">
        <w:rPr>
          <w:i/>
          <w:sz w:val="20"/>
        </w:rPr>
        <w:t>P</w:t>
      </w:r>
      <w:r w:rsidR="00652739" w:rsidRPr="00652739">
        <w:rPr>
          <w:i/>
          <w:sz w:val="20"/>
        </w:rPr>
        <w:t xml:space="preserve">rinciples provide a reference point, they provide a conversation. We know that we’re striving for excellence, using </w:t>
      </w:r>
      <w:r w:rsidR="00652739">
        <w:rPr>
          <w:i/>
          <w:sz w:val="20"/>
        </w:rPr>
        <w:t>the P</w:t>
      </w:r>
      <w:r w:rsidR="00652739" w:rsidRPr="00652739">
        <w:rPr>
          <w:i/>
          <w:sz w:val="20"/>
        </w:rPr>
        <w:t xml:space="preserve">ractice </w:t>
      </w:r>
      <w:r w:rsidR="00652739">
        <w:rPr>
          <w:i/>
          <w:sz w:val="20"/>
        </w:rPr>
        <w:t>P</w:t>
      </w:r>
      <w:r w:rsidR="00652739" w:rsidRPr="00652739">
        <w:rPr>
          <w:i/>
          <w:sz w:val="20"/>
        </w:rPr>
        <w:t>rinciples as our mechanism.</w:t>
      </w:r>
      <w:r w:rsidRPr="00652739">
        <w:rPr>
          <w:i/>
          <w:sz w:val="20"/>
        </w:rPr>
        <w:t>”</w:t>
      </w:r>
    </w:p>
    <w:p w14:paraId="2055A11E" w14:textId="77777777" w:rsidR="00652739" w:rsidRDefault="00652739" w:rsidP="00A16ABA">
      <w:pPr>
        <w:pStyle w:val="Heading1"/>
        <w:jc w:val="both"/>
        <w:rPr>
          <w:rFonts w:eastAsiaTheme="minorEastAsia" w:cs="Arial"/>
          <w:bCs w:val="0"/>
          <w:caps w:val="0"/>
          <w:color w:val="000000" w:themeColor="text1"/>
          <w:sz w:val="18"/>
          <w:szCs w:val="24"/>
        </w:rPr>
      </w:pPr>
      <w:r w:rsidRPr="00652739">
        <w:rPr>
          <w:rFonts w:eastAsiaTheme="minorEastAsia" w:cs="Arial"/>
          <w:bCs w:val="0"/>
          <w:caps w:val="0"/>
          <w:color w:val="000000" w:themeColor="text1"/>
          <w:sz w:val="18"/>
          <w:szCs w:val="24"/>
        </w:rPr>
        <w:t>Paul Wallace, Acting Principal, Fairfield Primary School</w:t>
      </w:r>
    </w:p>
    <w:p w14:paraId="3893DF66" w14:textId="77777777" w:rsidR="00652739" w:rsidRDefault="00652739" w:rsidP="00A16ABA">
      <w:pPr>
        <w:pStyle w:val="Heading1"/>
        <w:jc w:val="both"/>
        <w:rPr>
          <w:rFonts w:eastAsiaTheme="minorEastAsia" w:cs="Arial"/>
          <w:bCs w:val="0"/>
          <w:caps w:val="0"/>
          <w:color w:val="000000" w:themeColor="text1"/>
          <w:sz w:val="18"/>
          <w:szCs w:val="24"/>
        </w:rPr>
      </w:pPr>
    </w:p>
    <w:p w14:paraId="4C34B713" w14:textId="1012B419" w:rsidR="003E29B5" w:rsidRPr="004F6FED" w:rsidRDefault="00294983" w:rsidP="00A16ABA">
      <w:pPr>
        <w:pStyle w:val="Heading1"/>
        <w:jc w:val="both"/>
      </w:pPr>
      <w:r>
        <w:t>OVERVIEW</w:t>
      </w:r>
    </w:p>
    <w:p w14:paraId="2A08E4B3" w14:textId="1A17FEFD" w:rsidR="0083268C" w:rsidRDefault="0083268C" w:rsidP="00A16ABA">
      <w:pPr>
        <w:jc w:val="both"/>
        <w:rPr>
          <w:color w:val="000000" w:themeColor="text1"/>
        </w:rPr>
      </w:pPr>
      <w:r>
        <w:rPr>
          <w:color w:val="000000" w:themeColor="text1"/>
        </w:rPr>
        <w:t xml:space="preserve">This professional practice note provides advice to support </w:t>
      </w:r>
      <w:r w:rsidR="003E6496">
        <w:rPr>
          <w:color w:val="000000" w:themeColor="text1"/>
        </w:rPr>
        <w:t>school leaders</w:t>
      </w:r>
      <w:r>
        <w:rPr>
          <w:color w:val="000000" w:themeColor="text1"/>
        </w:rPr>
        <w:t xml:space="preserve"> and teachers in understanding how the Practice Principles for Excellence in Teaching and Learning (the Practice Principles) facilitate</w:t>
      </w:r>
      <w:r w:rsidR="003E6496">
        <w:rPr>
          <w:color w:val="000000" w:themeColor="text1"/>
        </w:rPr>
        <w:t xml:space="preserve"> effective literacy learning across all</w:t>
      </w:r>
      <w:r>
        <w:rPr>
          <w:color w:val="000000" w:themeColor="text1"/>
        </w:rPr>
        <w:t xml:space="preserve"> are</w:t>
      </w:r>
      <w:r w:rsidR="002E0EB3">
        <w:rPr>
          <w:color w:val="000000" w:themeColor="text1"/>
        </w:rPr>
        <w:t>as of the Victorian Curriculum F–10</w:t>
      </w:r>
      <w:r>
        <w:rPr>
          <w:color w:val="000000" w:themeColor="text1"/>
        </w:rPr>
        <w:t xml:space="preserve">. </w:t>
      </w:r>
    </w:p>
    <w:p w14:paraId="034B1B93" w14:textId="57710288" w:rsidR="003049E0" w:rsidRDefault="003049E0" w:rsidP="00A16ABA">
      <w:pPr>
        <w:jc w:val="both"/>
        <w:rPr>
          <w:color w:val="000000" w:themeColor="text1"/>
        </w:rPr>
      </w:pPr>
      <w:r>
        <w:rPr>
          <w:color w:val="000000" w:themeColor="text1"/>
        </w:rPr>
        <w:t>In addition</w:t>
      </w:r>
      <w:r w:rsidR="00F863AB">
        <w:rPr>
          <w:color w:val="000000" w:themeColor="text1"/>
        </w:rPr>
        <w:t>,</w:t>
      </w:r>
      <w:r>
        <w:rPr>
          <w:color w:val="000000" w:themeColor="text1"/>
        </w:rPr>
        <w:t xml:space="preserve"> this professional practic</w:t>
      </w:r>
      <w:r w:rsidR="00823E84">
        <w:rPr>
          <w:color w:val="000000" w:themeColor="text1"/>
        </w:rPr>
        <w:t xml:space="preserve">e </w:t>
      </w:r>
      <w:r w:rsidR="000722AC">
        <w:rPr>
          <w:color w:val="000000" w:themeColor="text1"/>
        </w:rPr>
        <w:t>note includes examples of how schools can</w:t>
      </w:r>
      <w:r w:rsidR="00823E84">
        <w:rPr>
          <w:color w:val="000000" w:themeColor="text1"/>
        </w:rPr>
        <w:t xml:space="preserve"> </w:t>
      </w:r>
      <w:r>
        <w:rPr>
          <w:color w:val="000000" w:themeColor="text1"/>
        </w:rPr>
        <w:t xml:space="preserve">approach </w:t>
      </w:r>
      <w:r w:rsidR="00FE4B8E">
        <w:rPr>
          <w:color w:val="000000" w:themeColor="text1"/>
        </w:rPr>
        <w:t xml:space="preserve">the use of </w:t>
      </w:r>
      <w:r>
        <w:rPr>
          <w:color w:val="000000" w:themeColor="text1"/>
        </w:rPr>
        <w:t>the Practice Principles to support literacy learning, and useful resources.</w:t>
      </w:r>
    </w:p>
    <w:p w14:paraId="2C1A47A1" w14:textId="6A8E9B3E" w:rsidR="003049E0" w:rsidRDefault="003049E0" w:rsidP="003049E0">
      <w:pPr>
        <w:jc w:val="both"/>
      </w:pPr>
      <w:r>
        <w:t xml:space="preserve">See: </w:t>
      </w:r>
      <w:hyperlink r:id="rId11" w:history="1">
        <w:r w:rsidRPr="00F37E73">
          <w:rPr>
            <w:rStyle w:val="Hyperlink"/>
            <w:i/>
          </w:rPr>
          <w:t>Practice Principles for Excellence in Learning and Teaching</w:t>
        </w:r>
      </w:hyperlink>
      <w:r>
        <w:rPr>
          <w:rStyle w:val="Hyperlink"/>
          <w:i/>
        </w:rPr>
        <w:t>.</w:t>
      </w:r>
    </w:p>
    <w:p w14:paraId="6CC8FBFF" w14:textId="1DF6D96D" w:rsidR="003049E0" w:rsidRPr="003049E0" w:rsidRDefault="003049E0" w:rsidP="003049E0">
      <w:pPr>
        <w:pStyle w:val="Heading1"/>
        <w:jc w:val="both"/>
      </w:pPr>
      <w:r w:rsidRPr="003049E0">
        <w:t xml:space="preserve">The </w:t>
      </w:r>
      <w:r w:rsidR="000722AC">
        <w:t>PRACTICE PRINCIPLES</w:t>
      </w:r>
    </w:p>
    <w:p w14:paraId="72DE754D" w14:textId="21FFE592" w:rsidR="00D95055" w:rsidRDefault="00D95055" w:rsidP="00D95055">
      <w:pPr>
        <w:jc w:val="both"/>
      </w:pPr>
      <w:r>
        <w:t>The Practice Principles provide evidence-based support for teaching practice, at a whole-school and classroom level</w:t>
      </w:r>
      <w:r w:rsidR="006B1B73">
        <w:t>, drawing</w:t>
      </w:r>
      <w:r>
        <w:t xml:space="preserve"> the focus into every classroom, and to the learning needs of every student. </w:t>
      </w:r>
    </w:p>
    <w:p w14:paraId="4D4E4332" w14:textId="66064666" w:rsidR="008E6D60" w:rsidRDefault="000722AC" w:rsidP="003049E0">
      <w:pPr>
        <w:jc w:val="both"/>
      </w:pPr>
      <w:r>
        <w:t>They are a part of the Victorian Teaching and Learning Model, which also includes the Vision for Learning, the Pedagogical Model and the High Impact Teaching Strategies (HITS).</w:t>
      </w:r>
    </w:p>
    <w:p w14:paraId="1CEA29CF" w14:textId="4AB643A7" w:rsidR="003049E0" w:rsidRDefault="003049E0" w:rsidP="003049E0">
      <w:pPr>
        <w:jc w:val="both"/>
      </w:pPr>
      <w:r>
        <w:t xml:space="preserve">The Practice Principles support teachers as they weave a literacy focus into all </w:t>
      </w:r>
      <w:r w:rsidR="00823E84">
        <w:t xml:space="preserve">of </w:t>
      </w:r>
      <w:r>
        <w:t xml:space="preserve">their work – guided by the core teaching practice of curriculum development, pedagogy and assessment. </w:t>
      </w:r>
    </w:p>
    <w:p w14:paraId="30FB2DD6" w14:textId="54F22D0C" w:rsidR="000722AC" w:rsidRDefault="000722AC" w:rsidP="000722AC">
      <w:pPr>
        <w:jc w:val="both"/>
      </w:pPr>
      <w:r>
        <w:t>For teachers, the Practice Principles are a valua</w:t>
      </w:r>
      <w:r w:rsidR="002E0EB3">
        <w:t>ble reflection tool that allow them</w:t>
      </w:r>
      <w:r>
        <w:t xml:space="preserve"> to understand the effectiveness of their practice, and identify instructional practices that can be enacted through the Pedagogical Model.</w:t>
      </w:r>
    </w:p>
    <w:p w14:paraId="4A3A06A7" w14:textId="1DBC5C0E" w:rsidR="003049E0" w:rsidRDefault="003049E0" w:rsidP="003049E0">
      <w:pPr>
        <w:jc w:val="both"/>
      </w:pPr>
      <w:r>
        <w:t xml:space="preserve">For school leaders, the Practice Principles </w:t>
      </w:r>
      <w:r w:rsidR="000722AC">
        <w:t xml:space="preserve">articulate </w:t>
      </w:r>
      <w:r w:rsidR="00403919">
        <w:t>a cohesive view of effective teaching and learning</w:t>
      </w:r>
      <w:r w:rsidR="00823E84">
        <w:t xml:space="preserve"> which integrates all</w:t>
      </w:r>
      <w:r w:rsidR="00403919">
        <w:t xml:space="preserve"> aspects of teaching, and</w:t>
      </w:r>
      <w:r w:rsidR="002628A4">
        <w:t xml:space="preserve"> supports</w:t>
      </w:r>
      <w:r w:rsidR="00403919">
        <w:t xml:space="preserve"> effective deliver</w:t>
      </w:r>
      <w:r w:rsidR="002628A4">
        <w:t>y of</w:t>
      </w:r>
      <w:r w:rsidR="00403919">
        <w:t xml:space="preserve"> the Victorian Curriculum </w:t>
      </w:r>
      <w:r w:rsidR="00047D84">
        <w:rPr>
          <w:color w:val="000000" w:themeColor="text1"/>
        </w:rPr>
        <w:t>F–10</w:t>
      </w:r>
      <w:r w:rsidR="00403919">
        <w:t xml:space="preserve">. </w:t>
      </w:r>
    </w:p>
    <w:p w14:paraId="29AD853C" w14:textId="4426A334" w:rsidR="00576106" w:rsidRDefault="00576106" w:rsidP="00A16ABA">
      <w:pPr>
        <w:pStyle w:val="Heading1"/>
        <w:jc w:val="both"/>
      </w:pPr>
      <w:r>
        <w:t>Advice for SCHOOL leaders and literacy leaders</w:t>
      </w:r>
    </w:p>
    <w:p w14:paraId="5E6A035F" w14:textId="4C758EC0" w:rsidR="003E29B5" w:rsidRPr="00576106" w:rsidRDefault="00550DFD" w:rsidP="00576106">
      <w:pPr>
        <w:rPr>
          <w:b/>
        </w:rPr>
      </w:pPr>
      <w:r>
        <w:rPr>
          <w:b/>
        </w:rPr>
        <w:t xml:space="preserve">School-wide implementation of key improvement strategies requires </w:t>
      </w:r>
      <w:r w:rsidR="008901B6" w:rsidRPr="00576106">
        <w:rPr>
          <w:b/>
        </w:rPr>
        <w:t>a reflection on</w:t>
      </w:r>
      <w:r w:rsidR="002E0EB3">
        <w:rPr>
          <w:b/>
        </w:rPr>
        <w:t xml:space="preserve"> current</w:t>
      </w:r>
      <w:r w:rsidR="008901B6" w:rsidRPr="00576106">
        <w:rPr>
          <w:b/>
        </w:rPr>
        <w:t xml:space="preserve"> practice</w:t>
      </w:r>
    </w:p>
    <w:p w14:paraId="0F29E9CB" w14:textId="77777777" w:rsidR="00403919" w:rsidRDefault="00196F0C" w:rsidP="00196F0C">
      <w:pPr>
        <w:jc w:val="both"/>
        <w:rPr>
          <w:color w:val="000000" w:themeColor="text1"/>
        </w:rPr>
      </w:pPr>
      <w:r>
        <w:rPr>
          <w:color w:val="000000" w:themeColor="text1"/>
        </w:rPr>
        <w:t>The Practice Principles</w:t>
      </w:r>
      <w:r w:rsidR="00403919">
        <w:rPr>
          <w:color w:val="000000" w:themeColor="text1"/>
        </w:rPr>
        <w:t xml:space="preserve"> </w:t>
      </w:r>
      <w:r>
        <w:rPr>
          <w:color w:val="000000" w:themeColor="text1"/>
        </w:rPr>
        <w:t>provide an oppo</w:t>
      </w:r>
      <w:r w:rsidR="00403919">
        <w:rPr>
          <w:color w:val="000000" w:themeColor="text1"/>
        </w:rPr>
        <w:t>rtunity for school leaders and literacy leaders</w:t>
      </w:r>
      <w:r>
        <w:rPr>
          <w:color w:val="000000" w:themeColor="text1"/>
        </w:rPr>
        <w:t xml:space="preserve"> to deeply review teaching practice</w:t>
      </w:r>
      <w:r w:rsidR="00403919">
        <w:rPr>
          <w:color w:val="000000" w:themeColor="text1"/>
        </w:rPr>
        <w:t>, and enable a whole-school, group and individual focus on literacy instruction.</w:t>
      </w:r>
      <w:r>
        <w:rPr>
          <w:color w:val="000000" w:themeColor="text1"/>
        </w:rPr>
        <w:t xml:space="preserve"> </w:t>
      </w:r>
    </w:p>
    <w:p w14:paraId="01376CFC" w14:textId="56F12D4D" w:rsidR="00196F0C" w:rsidRDefault="00196F0C" w:rsidP="00196F0C">
      <w:pPr>
        <w:jc w:val="both"/>
        <w:rPr>
          <w:color w:val="000000" w:themeColor="text1"/>
        </w:rPr>
      </w:pPr>
      <w:r>
        <w:rPr>
          <w:color w:val="000000" w:themeColor="text1"/>
        </w:rPr>
        <w:t xml:space="preserve">School leaders and </w:t>
      </w:r>
      <w:r w:rsidR="00823E84">
        <w:rPr>
          <w:color w:val="000000" w:themeColor="text1"/>
        </w:rPr>
        <w:t>literacy leaders</w:t>
      </w:r>
      <w:r>
        <w:rPr>
          <w:color w:val="000000" w:themeColor="text1"/>
        </w:rPr>
        <w:t xml:space="preserve"> can </w:t>
      </w:r>
      <w:r w:rsidR="006C1119">
        <w:rPr>
          <w:color w:val="000000" w:themeColor="text1"/>
        </w:rPr>
        <w:t xml:space="preserve">use </w:t>
      </w:r>
      <w:r w:rsidR="00F37E73">
        <w:rPr>
          <w:color w:val="000000" w:themeColor="text1"/>
        </w:rPr>
        <w:t>the Practice Principles to guide conversations</w:t>
      </w:r>
      <w:r w:rsidR="000722AC">
        <w:rPr>
          <w:color w:val="000000" w:themeColor="text1"/>
        </w:rPr>
        <w:t xml:space="preserve">. Suggested steps include: </w:t>
      </w:r>
    </w:p>
    <w:p w14:paraId="465CB220" w14:textId="7FB5D1DE" w:rsidR="00196F0C" w:rsidRDefault="00196F0C" w:rsidP="004B7A23">
      <w:pPr>
        <w:pStyle w:val="ListParagraph"/>
      </w:pPr>
      <w:r>
        <w:t xml:space="preserve">evaluate and diagnose student data, to establish and test </w:t>
      </w:r>
      <w:r w:rsidR="00D95055">
        <w:t>hypotheses</w:t>
      </w:r>
      <w:r>
        <w:t xml:space="preserve"> a</w:t>
      </w:r>
      <w:r w:rsidR="00D95055">
        <w:t xml:space="preserve">bout the impact of teaching on literacy </w:t>
      </w:r>
      <w:r>
        <w:t>learning outcomes:</w:t>
      </w:r>
    </w:p>
    <w:p w14:paraId="6D2A4067" w14:textId="73F57259" w:rsidR="00196F0C" w:rsidRDefault="00D95055" w:rsidP="00FC0D28">
      <w:pPr>
        <w:pStyle w:val="ListParagraph"/>
        <w:numPr>
          <w:ilvl w:val="1"/>
          <w:numId w:val="2"/>
        </w:numPr>
      </w:pPr>
      <w:r>
        <w:t>explore and identify patterns in data</w:t>
      </w:r>
    </w:p>
    <w:p w14:paraId="08F59F5D" w14:textId="294F7D3A" w:rsidR="00196F0C" w:rsidRDefault="00196F0C" w:rsidP="00FC0D28">
      <w:pPr>
        <w:pStyle w:val="ListParagraph"/>
        <w:numPr>
          <w:ilvl w:val="1"/>
          <w:numId w:val="2"/>
        </w:numPr>
      </w:pPr>
      <w:proofErr w:type="gramStart"/>
      <w:r>
        <w:t>identify</w:t>
      </w:r>
      <w:proofErr w:type="gramEnd"/>
      <w:r>
        <w:t xml:space="preserve"> three questions that engage different levels of the school (whole</w:t>
      </w:r>
      <w:r w:rsidR="00823E84">
        <w:t>-</w:t>
      </w:r>
      <w:r>
        <w:t>school, key learning area, classroom practice)</w:t>
      </w:r>
      <w:r w:rsidR="00AF442D">
        <w:t>.</w:t>
      </w:r>
    </w:p>
    <w:p w14:paraId="51EF74A5" w14:textId="5074401C" w:rsidR="00196F0C" w:rsidRDefault="00196F0C" w:rsidP="004B7A23">
      <w:pPr>
        <w:pStyle w:val="ListParagraph"/>
      </w:pPr>
      <w:r>
        <w:t xml:space="preserve">prioritise and set goals for </w:t>
      </w:r>
      <w:r w:rsidR="00D95055">
        <w:t>literacy</w:t>
      </w:r>
      <w:r>
        <w:t xml:space="preserve"> learning and achievement</w:t>
      </w:r>
      <w:r w:rsidR="00CA5EE1">
        <w:t>:</w:t>
      </w:r>
    </w:p>
    <w:p w14:paraId="6A5AD12E" w14:textId="7BFF0388" w:rsidR="00196F0C" w:rsidRDefault="00196F0C" w:rsidP="00FC0D28">
      <w:pPr>
        <w:pStyle w:val="ListParagraph"/>
        <w:numPr>
          <w:ilvl w:val="1"/>
          <w:numId w:val="2"/>
        </w:numPr>
      </w:pPr>
      <w:proofErr w:type="gramStart"/>
      <w:r>
        <w:t>use</w:t>
      </w:r>
      <w:proofErr w:type="gramEnd"/>
      <w:r>
        <w:t xml:space="preserve"> the </w:t>
      </w:r>
      <w:r w:rsidR="000722AC">
        <w:t>Practice Principles</w:t>
      </w:r>
      <w:r>
        <w:t xml:space="preserve"> to </w:t>
      </w:r>
      <w:r w:rsidR="00D95055">
        <w:t xml:space="preserve">prioritise </w:t>
      </w:r>
      <w:r>
        <w:t>the focus of activities at whole-school, Professional Learning Community (PLC) and classroom levels</w:t>
      </w:r>
      <w:r w:rsidR="00AF442D">
        <w:t>.</w:t>
      </w:r>
    </w:p>
    <w:p w14:paraId="5E33B9D7" w14:textId="0F482A0D" w:rsidR="00196F0C" w:rsidRPr="00F37E73" w:rsidRDefault="00196F0C" w:rsidP="004B7A23">
      <w:pPr>
        <w:pStyle w:val="ListParagraph"/>
        <w:rPr>
          <w:i/>
          <w:sz w:val="20"/>
          <w:szCs w:val="18"/>
        </w:rPr>
      </w:pPr>
      <w:proofErr w:type="gramStart"/>
      <w:r>
        <w:t>use</w:t>
      </w:r>
      <w:proofErr w:type="gramEnd"/>
      <w:r>
        <w:t xml:space="preserve"> the Practice Principles to undertake a reflection and determine the approaches to achieving</w:t>
      </w:r>
      <w:r w:rsidR="00D95055">
        <w:t xml:space="preserve"> literacy program</w:t>
      </w:r>
      <w:r>
        <w:t xml:space="preserve"> goals</w:t>
      </w:r>
      <w:r w:rsidR="00F37E73">
        <w:t>. See:</w:t>
      </w:r>
      <w:r w:rsidR="00F37E73" w:rsidRPr="00F37E73">
        <w:t xml:space="preserve"> </w:t>
      </w:r>
      <w:hyperlink r:id="rId12" w:history="1">
        <w:r w:rsidR="00F37E73" w:rsidRPr="00F37E73">
          <w:rPr>
            <w:rStyle w:val="Hyperlink"/>
            <w:i/>
          </w:rPr>
          <w:t>Practice Principles for Excellence in Teaching and Learning reflection tools</w:t>
        </w:r>
      </w:hyperlink>
    </w:p>
    <w:p w14:paraId="016D4740" w14:textId="77777777" w:rsidR="00196F0C" w:rsidRDefault="00196F0C" w:rsidP="00FC0D28">
      <w:pPr>
        <w:pStyle w:val="ListParagraph"/>
        <w:numPr>
          <w:ilvl w:val="1"/>
          <w:numId w:val="2"/>
        </w:numPr>
      </w:pPr>
      <w:r>
        <w:t>reflect on whole-school, PLC or individual practice</w:t>
      </w:r>
    </w:p>
    <w:p w14:paraId="58530311" w14:textId="79F9373C" w:rsidR="00196F0C" w:rsidRDefault="00047D84" w:rsidP="004B7A23">
      <w:pPr>
        <w:pStyle w:val="ListParagraph"/>
      </w:pPr>
      <w:r>
        <w:t xml:space="preserve">guide </w:t>
      </w:r>
      <w:r w:rsidR="00D95055">
        <w:t xml:space="preserve">teachers in </w:t>
      </w:r>
      <w:r w:rsidR="00403919">
        <w:t>designing and delivering</w:t>
      </w:r>
      <w:r w:rsidR="00196F0C">
        <w:t xml:space="preserve"> the literacy learning program</w:t>
      </w:r>
      <w:r w:rsidR="00CA5EE1">
        <w:t>:</w:t>
      </w:r>
      <w:r w:rsidR="00196F0C">
        <w:t xml:space="preserve"> </w:t>
      </w:r>
    </w:p>
    <w:p w14:paraId="03A99273" w14:textId="358032B4" w:rsidR="00196F0C" w:rsidRDefault="00196F0C" w:rsidP="00FC0D28">
      <w:pPr>
        <w:pStyle w:val="ListParagraph"/>
        <w:numPr>
          <w:ilvl w:val="1"/>
          <w:numId w:val="2"/>
        </w:numPr>
      </w:pPr>
      <w:r>
        <w:t xml:space="preserve">select a range of resources that can be used to provide guidance for </w:t>
      </w:r>
      <w:r w:rsidR="00403919">
        <w:t xml:space="preserve">teachers in </w:t>
      </w:r>
      <w:r>
        <w:t>establishing teaching and learning plans</w:t>
      </w:r>
      <w:r w:rsidR="00823E84">
        <w:t>,</w:t>
      </w:r>
      <w:r>
        <w:t xml:space="preserve"> as well as assist with implementing the focus actions for teaching and learning in literacy</w:t>
      </w:r>
    </w:p>
    <w:p w14:paraId="1B63FA9B" w14:textId="378CD552" w:rsidR="00196F0C" w:rsidRDefault="00196F0C" w:rsidP="00FC0D28">
      <w:pPr>
        <w:pStyle w:val="ListParagraph"/>
        <w:numPr>
          <w:ilvl w:val="1"/>
          <w:numId w:val="2"/>
        </w:numPr>
      </w:pPr>
      <w:proofErr w:type="gramStart"/>
      <w:r>
        <w:t>identify</w:t>
      </w:r>
      <w:proofErr w:type="gramEnd"/>
      <w:r>
        <w:t xml:space="preserve"> the ways in which these resources can be used in a complementary fashion to support im</w:t>
      </w:r>
      <w:r w:rsidR="00F34EC5">
        <w:t>proving practice at each level</w:t>
      </w:r>
      <w:r w:rsidR="00AF442D">
        <w:t>.</w:t>
      </w:r>
    </w:p>
    <w:p w14:paraId="6591C1F5" w14:textId="5E98658C" w:rsidR="00196F0C" w:rsidRDefault="00196F0C" w:rsidP="004B7A23">
      <w:pPr>
        <w:pStyle w:val="ListParagraph"/>
      </w:pPr>
      <w:r>
        <w:t xml:space="preserve">monitor the </w:t>
      </w:r>
      <w:r w:rsidR="002628A4">
        <w:t xml:space="preserve">teaching and </w:t>
      </w:r>
      <w:r>
        <w:t>learning program, including student engagement and per</w:t>
      </w:r>
      <w:r w:rsidR="00CA5EE1">
        <w:t>formance:</w:t>
      </w:r>
    </w:p>
    <w:p w14:paraId="23CAAFF1" w14:textId="257C1B69" w:rsidR="00196F0C" w:rsidRDefault="00196F0C" w:rsidP="00FC0D28">
      <w:pPr>
        <w:pStyle w:val="ListParagraph"/>
        <w:numPr>
          <w:ilvl w:val="1"/>
          <w:numId w:val="2"/>
        </w:numPr>
      </w:pPr>
      <w:proofErr w:type="gramStart"/>
      <w:r>
        <w:t>establish</w:t>
      </w:r>
      <w:proofErr w:type="gramEnd"/>
      <w:r>
        <w:t xml:space="preserve"> the monitoring and data collection practices that </w:t>
      </w:r>
      <w:r w:rsidR="00403919">
        <w:t xml:space="preserve">teachers </w:t>
      </w:r>
      <w:r>
        <w:t>will put in place to ensure effective implementation of the identified actions.</w:t>
      </w:r>
    </w:p>
    <w:p w14:paraId="17BB83FF" w14:textId="77777777" w:rsidR="00AF442D" w:rsidRDefault="00AF442D" w:rsidP="00873B1D">
      <w:pPr>
        <w:rPr>
          <w:b/>
          <w:color w:val="000000" w:themeColor="text1"/>
        </w:rPr>
      </w:pPr>
    </w:p>
    <w:p w14:paraId="4B515B0C" w14:textId="4772BCA3" w:rsidR="002628A4" w:rsidRPr="00D307F7" w:rsidRDefault="002628A4" w:rsidP="00873B1D">
      <w:pPr>
        <w:rPr>
          <w:b/>
          <w:color w:val="000000" w:themeColor="text1"/>
        </w:rPr>
      </w:pPr>
      <w:r w:rsidRPr="00D307F7">
        <w:rPr>
          <w:b/>
          <w:color w:val="000000" w:themeColor="text1"/>
        </w:rPr>
        <w:lastRenderedPageBreak/>
        <w:t>Practice Principles diagnostic tool</w:t>
      </w:r>
    </w:p>
    <w:p w14:paraId="0B1EB8BA" w14:textId="77777777" w:rsidR="002628A4" w:rsidRPr="00D307F7" w:rsidRDefault="002628A4" w:rsidP="00AF442D">
      <w:pPr>
        <w:jc w:val="both"/>
        <w:rPr>
          <w:color w:val="000000" w:themeColor="text1"/>
        </w:rPr>
      </w:pPr>
      <w:r w:rsidRPr="00D307F7">
        <w:rPr>
          <w:color w:val="000000" w:themeColor="text1"/>
        </w:rPr>
        <w:t>The Practice Principles include a diagnostic tool to support collaborative practice improvement. This tool can help school leadership teams and teachers to determine how effectively the Practice Principle(s) are embedded in the school.</w:t>
      </w:r>
    </w:p>
    <w:p w14:paraId="34A15C96" w14:textId="77777777" w:rsidR="002628A4" w:rsidRDefault="002628A4" w:rsidP="00873B1D">
      <w:pPr>
        <w:rPr>
          <w:rStyle w:val="Hyperlink"/>
        </w:rPr>
      </w:pPr>
      <w:r w:rsidRPr="002628A4">
        <w:rPr>
          <w:color w:val="000000" w:themeColor="text1"/>
        </w:rPr>
        <w:t>For more information see:</w:t>
      </w:r>
      <w:r w:rsidRPr="002628A4">
        <w:rPr>
          <w:i/>
          <w:color w:val="000000" w:themeColor="text1"/>
        </w:rPr>
        <w:t xml:space="preserve"> </w:t>
      </w:r>
      <w:hyperlink r:id="rId13" w:history="1">
        <w:r w:rsidRPr="002628A4">
          <w:rPr>
            <w:rStyle w:val="Hyperlink"/>
            <w:i/>
          </w:rPr>
          <w:t>Practice Principles for Excellence in Teaching and Learning reflection tools</w:t>
        </w:r>
      </w:hyperlink>
      <w:r w:rsidRPr="002628A4">
        <w:rPr>
          <w:rStyle w:val="Hyperlink"/>
          <w:color w:val="auto"/>
          <w:u w:val="none"/>
        </w:rPr>
        <w:t>.</w:t>
      </w:r>
    </w:p>
    <w:p w14:paraId="47AC7B4F" w14:textId="77777777" w:rsidR="00AF442D" w:rsidRDefault="002628A4" w:rsidP="00AF442D">
      <w:pPr>
        <w:rPr>
          <w:b/>
        </w:rPr>
      </w:pPr>
      <w:r>
        <w:rPr>
          <w:b/>
        </w:rPr>
        <w:t>Reflective Practice</w:t>
      </w:r>
    </w:p>
    <w:p w14:paraId="73E9F70C" w14:textId="13CA2E28" w:rsidR="00C41003" w:rsidRPr="00873B1D" w:rsidRDefault="00AF442D" w:rsidP="00AF442D">
      <w:pPr>
        <w:jc w:val="both"/>
      </w:pPr>
      <w:r w:rsidRPr="00AF442D">
        <w:rPr>
          <w:color w:val="000000" w:themeColor="text1"/>
        </w:rPr>
        <w:t>Sc</w:t>
      </w:r>
      <w:r w:rsidR="002628A4" w:rsidRPr="00AF442D">
        <w:rPr>
          <w:color w:val="000000" w:themeColor="text1"/>
        </w:rPr>
        <w:t>hool leaders model and le</w:t>
      </w:r>
      <w:r w:rsidRPr="00AF442D">
        <w:rPr>
          <w:color w:val="000000" w:themeColor="text1"/>
        </w:rPr>
        <w:t>ad improvement through</w:t>
      </w:r>
      <w:r>
        <w:rPr>
          <w:color w:val="000000" w:themeColor="text1"/>
        </w:rPr>
        <w:t xml:space="preserve"> </w:t>
      </w:r>
      <w:proofErr w:type="spellStart"/>
      <w:r w:rsidRPr="00AF442D">
        <w:rPr>
          <w:color w:val="000000" w:themeColor="text1"/>
        </w:rPr>
        <w:t>prioritis</w:t>
      </w:r>
      <w:r w:rsidR="002628A4" w:rsidRPr="00AF442D">
        <w:rPr>
          <w:color w:val="000000" w:themeColor="text1"/>
        </w:rPr>
        <w:t>ing</w:t>
      </w:r>
      <w:proofErr w:type="spellEnd"/>
      <w:r w:rsidR="002628A4" w:rsidRPr="00AF442D">
        <w:rPr>
          <w:color w:val="000000" w:themeColor="text1"/>
        </w:rPr>
        <w:t xml:space="preserve"> whole-school, collaborative and individual reflective practice</w:t>
      </w:r>
      <w:r w:rsidR="002628A4">
        <w:t>. The Practice Principles and the</w:t>
      </w:r>
      <w:r>
        <w:t xml:space="preserve"> </w:t>
      </w:r>
      <w:r w:rsidR="002628A4">
        <w:t>accompanying reflection tools support f</w:t>
      </w:r>
      <w:r w:rsidR="00C41003" w:rsidRPr="00873B1D">
        <w:t>acilitate</w:t>
      </w:r>
      <w:r w:rsidR="002628A4">
        <w:t>d</w:t>
      </w:r>
      <w:r w:rsidR="00C41003" w:rsidRPr="00873B1D">
        <w:t xml:space="preserve"> opportunities for teachers to identify focus areas for their teaching</w:t>
      </w:r>
      <w:r w:rsidR="00550DFD" w:rsidRPr="00873B1D">
        <w:t xml:space="preserve"> and build their instructional leadership</w:t>
      </w:r>
      <w:r w:rsidR="002628A4">
        <w:t>.</w:t>
      </w:r>
    </w:p>
    <w:p w14:paraId="26E03F33" w14:textId="77777777" w:rsidR="00873B1D" w:rsidRDefault="00FE4B8E" w:rsidP="00AF442D">
      <w:pPr>
        <w:jc w:val="both"/>
        <w:rPr>
          <w:color w:val="000000" w:themeColor="text1"/>
        </w:rPr>
      </w:pPr>
      <w:r>
        <w:rPr>
          <w:color w:val="000000" w:themeColor="text1"/>
        </w:rPr>
        <w:t>Below is one strategy that schools can use</w:t>
      </w:r>
      <w:r w:rsidR="00CA5EE1">
        <w:rPr>
          <w:color w:val="000000" w:themeColor="text1"/>
        </w:rPr>
        <w:t xml:space="preserve"> alongside the </w:t>
      </w:r>
      <w:r w:rsidR="001B0B58">
        <w:rPr>
          <w:color w:val="000000" w:themeColor="text1"/>
        </w:rPr>
        <w:t>P</w:t>
      </w:r>
      <w:r w:rsidR="00CA5EE1">
        <w:rPr>
          <w:color w:val="000000" w:themeColor="text1"/>
        </w:rPr>
        <w:t xml:space="preserve">ractice </w:t>
      </w:r>
      <w:r w:rsidR="001B0B58">
        <w:rPr>
          <w:color w:val="000000" w:themeColor="text1"/>
        </w:rPr>
        <w:t>P</w:t>
      </w:r>
      <w:r w:rsidR="00CA5EE1">
        <w:rPr>
          <w:color w:val="000000" w:themeColor="text1"/>
        </w:rPr>
        <w:t>rinciples</w:t>
      </w:r>
      <w:r>
        <w:rPr>
          <w:color w:val="000000" w:themeColor="text1"/>
        </w:rPr>
        <w:t xml:space="preserve"> to identify areas of </w:t>
      </w:r>
      <w:proofErr w:type="gramStart"/>
      <w:r>
        <w:rPr>
          <w:color w:val="000000" w:themeColor="text1"/>
        </w:rPr>
        <w:t>focus</w:t>
      </w:r>
      <w:r w:rsidR="00873B1D">
        <w:rPr>
          <w:color w:val="000000" w:themeColor="text1"/>
        </w:rPr>
        <w:t>.</w:t>
      </w:r>
      <w:proofErr w:type="gramEnd"/>
    </w:p>
    <w:p w14:paraId="2CE8ACFA" w14:textId="399511FF" w:rsidR="00357945" w:rsidRDefault="00307988" w:rsidP="00A16ABA">
      <w:pPr>
        <w:jc w:val="both"/>
        <w:rPr>
          <w:color w:val="000000" w:themeColor="text1"/>
        </w:rPr>
      </w:pPr>
      <w:r>
        <w:rPr>
          <w:color w:val="000000" w:themeColor="text1"/>
        </w:rPr>
        <w:t xml:space="preserve">Anthony Shaddock and John Hattie, in </w:t>
      </w:r>
      <w:proofErr w:type="gramStart"/>
      <w:r w:rsidRPr="00307988">
        <w:rPr>
          <w:i/>
          <w:color w:val="000000" w:themeColor="text1"/>
        </w:rPr>
        <w:t>Using</w:t>
      </w:r>
      <w:proofErr w:type="gramEnd"/>
      <w:r w:rsidRPr="00307988">
        <w:rPr>
          <w:i/>
          <w:color w:val="000000" w:themeColor="text1"/>
        </w:rPr>
        <w:t xml:space="preserve"> data to improve learning: a practical guide for busy teachers</w:t>
      </w:r>
      <w:r>
        <w:rPr>
          <w:color w:val="000000" w:themeColor="text1"/>
        </w:rPr>
        <w:t xml:space="preserve"> spe</w:t>
      </w:r>
      <w:r w:rsidR="005E1E93">
        <w:rPr>
          <w:color w:val="000000" w:themeColor="text1"/>
        </w:rPr>
        <w:t>ak to the process of teachers</w:t>
      </w:r>
      <w:r>
        <w:rPr>
          <w:color w:val="000000" w:themeColor="text1"/>
        </w:rPr>
        <w:t xml:space="preserve"> identifying the focus of their classroom interventions. They s</w:t>
      </w:r>
      <w:r w:rsidR="007A4E42">
        <w:rPr>
          <w:color w:val="000000" w:themeColor="text1"/>
        </w:rPr>
        <w:t>uggest that teachers can keep a</w:t>
      </w:r>
      <w:r w:rsidR="00D7634D">
        <w:rPr>
          <w:color w:val="000000" w:themeColor="text1"/>
        </w:rPr>
        <w:t xml:space="preserve"> </w:t>
      </w:r>
      <w:r>
        <w:rPr>
          <w:color w:val="000000" w:themeColor="text1"/>
        </w:rPr>
        <w:t>diary of their reflection</w:t>
      </w:r>
      <w:r w:rsidR="00D7634D">
        <w:rPr>
          <w:color w:val="000000" w:themeColor="text1"/>
        </w:rPr>
        <w:t>s</w:t>
      </w:r>
      <w:r>
        <w:rPr>
          <w:color w:val="000000" w:themeColor="text1"/>
        </w:rPr>
        <w:t xml:space="preserve"> about student learning and teaching practice, to help in choosing ‘what to do’. </w:t>
      </w:r>
    </w:p>
    <w:p w14:paraId="049D7ABF" w14:textId="41773E8D" w:rsidR="00307988" w:rsidRDefault="00307988" w:rsidP="00A16ABA">
      <w:pPr>
        <w:jc w:val="both"/>
        <w:rPr>
          <w:color w:val="000000" w:themeColor="text1"/>
        </w:rPr>
      </w:pPr>
      <w:r>
        <w:rPr>
          <w:color w:val="000000" w:themeColor="text1"/>
        </w:rPr>
        <w:t xml:space="preserve">Shaddock and Hattie also provide a series of sentence starters, for teachers to </w:t>
      </w:r>
      <w:r w:rsidR="00D7634D">
        <w:rPr>
          <w:color w:val="000000" w:themeColor="text1"/>
        </w:rPr>
        <w:t>consider their response</w:t>
      </w:r>
      <w:r>
        <w:rPr>
          <w:color w:val="000000" w:themeColor="text1"/>
        </w:rPr>
        <w:t>:</w:t>
      </w:r>
    </w:p>
    <w:p w14:paraId="17C19814" w14:textId="65AE3CA8" w:rsidR="00307988" w:rsidRPr="00307988" w:rsidRDefault="00307988" w:rsidP="00FC0D28">
      <w:pPr>
        <w:pStyle w:val="ListParagraph"/>
        <w:numPr>
          <w:ilvl w:val="1"/>
          <w:numId w:val="1"/>
        </w:numPr>
        <w:ind w:left="426" w:hanging="284"/>
      </w:pPr>
      <w:r w:rsidRPr="00307988">
        <w:t>I think our students would show more interest in…if we…</w:t>
      </w:r>
    </w:p>
    <w:p w14:paraId="14C70A78" w14:textId="51F7409B" w:rsidR="00307988" w:rsidRPr="00307988" w:rsidRDefault="00307988" w:rsidP="00FC0D28">
      <w:pPr>
        <w:pStyle w:val="ListParagraph"/>
        <w:numPr>
          <w:ilvl w:val="1"/>
          <w:numId w:val="1"/>
        </w:numPr>
        <w:ind w:left="426" w:hanging="284"/>
      </w:pPr>
      <w:r w:rsidRPr="00307988">
        <w:t>I wonder if the students would do better in… if we…</w:t>
      </w:r>
    </w:p>
    <w:p w14:paraId="157669E1" w14:textId="2CCAE188" w:rsidR="00307988" w:rsidRPr="00307988" w:rsidRDefault="00AF442D" w:rsidP="00FC0D28">
      <w:pPr>
        <w:pStyle w:val="ListParagraph"/>
        <w:numPr>
          <w:ilvl w:val="1"/>
          <w:numId w:val="1"/>
        </w:numPr>
        <w:ind w:left="426" w:hanging="284"/>
      </w:pPr>
      <w:proofErr w:type="gramStart"/>
      <w:r>
        <w:t>w</w:t>
      </w:r>
      <w:r w:rsidR="00307988" w:rsidRPr="00307988">
        <w:t>hat</w:t>
      </w:r>
      <w:proofErr w:type="gramEnd"/>
      <w:r w:rsidR="00307988" w:rsidRPr="00307988">
        <w:t xml:space="preserve"> would be the effects on our students’ engagement or learning or behaviour if we…?</w:t>
      </w:r>
      <w:r w:rsidR="00307988">
        <w:rPr>
          <w:rStyle w:val="FootnoteReference"/>
          <w:color w:val="000000" w:themeColor="text1"/>
        </w:rPr>
        <w:footnoteReference w:id="1"/>
      </w:r>
    </w:p>
    <w:p w14:paraId="44B5BFA1" w14:textId="3AD5D055" w:rsidR="00576106" w:rsidRPr="00576106" w:rsidRDefault="00576106" w:rsidP="00576106">
      <w:pPr>
        <w:pStyle w:val="Heading1"/>
        <w:jc w:val="both"/>
      </w:pPr>
      <w:r w:rsidRPr="00576106">
        <w:t>Advice for teachers</w:t>
      </w:r>
    </w:p>
    <w:p w14:paraId="21E00632" w14:textId="2952FEF5" w:rsidR="000722AC" w:rsidRDefault="000722AC" w:rsidP="000722AC">
      <w:pPr>
        <w:jc w:val="both"/>
        <w:rPr>
          <w:color w:val="000000" w:themeColor="text1"/>
        </w:rPr>
      </w:pPr>
      <w:r>
        <w:rPr>
          <w:color w:val="000000" w:themeColor="text1"/>
        </w:rPr>
        <w:t xml:space="preserve">Inherent in teaching is a cycle of reflection and refinement to ensure that students are constantly being challenged in their knowledge and skill development. This process </w:t>
      </w:r>
      <w:r w:rsidR="00FE4B8E">
        <w:rPr>
          <w:color w:val="000000" w:themeColor="text1"/>
        </w:rPr>
        <w:t xml:space="preserve">should occur at </w:t>
      </w:r>
      <w:r w:rsidR="00047D84">
        <w:rPr>
          <w:color w:val="000000" w:themeColor="text1"/>
        </w:rPr>
        <w:t xml:space="preserve">many levels – </w:t>
      </w:r>
      <w:r>
        <w:rPr>
          <w:color w:val="000000" w:themeColor="text1"/>
        </w:rPr>
        <w:t>from the activities within a lesson to whole units</w:t>
      </w:r>
      <w:r w:rsidR="00FE4B8E">
        <w:rPr>
          <w:color w:val="000000" w:themeColor="text1"/>
        </w:rPr>
        <w:t>, as well as throughout the teaching and learning sequence</w:t>
      </w:r>
      <w:r>
        <w:rPr>
          <w:color w:val="000000" w:themeColor="text1"/>
        </w:rPr>
        <w:t>.</w:t>
      </w:r>
    </w:p>
    <w:p w14:paraId="5391D4C9" w14:textId="7E3AEFA0" w:rsidR="00D95055" w:rsidRPr="00576106" w:rsidRDefault="00D95055" w:rsidP="00D95055">
      <w:pPr>
        <w:rPr>
          <w:b/>
        </w:rPr>
      </w:pPr>
      <w:r>
        <w:rPr>
          <w:b/>
        </w:rPr>
        <w:t>U</w:t>
      </w:r>
      <w:r w:rsidRPr="00576106">
        <w:rPr>
          <w:b/>
        </w:rPr>
        <w:t xml:space="preserve">nderstanding how the </w:t>
      </w:r>
      <w:r>
        <w:rPr>
          <w:b/>
        </w:rPr>
        <w:t>P</w:t>
      </w:r>
      <w:r w:rsidRPr="00576106">
        <w:rPr>
          <w:b/>
        </w:rPr>
        <w:t xml:space="preserve">ractice </w:t>
      </w:r>
      <w:r>
        <w:rPr>
          <w:b/>
        </w:rPr>
        <w:t>P</w:t>
      </w:r>
      <w:r w:rsidRPr="00576106">
        <w:rPr>
          <w:b/>
        </w:rPr>
        <w:t>rinciples can support your areas of focus, guided by data</w:t>
      </w:r>
    </w:p>
    <w:p w14:paraId="1C9D0EC5" w14:textId="1F1E1674" w:rsidR="00D95055" w:rsidRDefault="00D95055" w:rsidP="00D95055">
      <w:pPr>
        <w:jc w:val="both"/>
        <w:rPr>
          <w:color w:val="000000" w:themeColor="text1"/>
        </w:rPr>
      </w:pPr>
      <w:r>
        <w:rPr>
          <w:color w:val="000000" w:themeColor="text1"/>
        </w:rPr>
        <w:t>The</w:t>
      </w:r>
      <w:r w:rsidR="000722AC">
        <w:rPr>
          <w:color w:val="000000" w:themeColor="text1"/>
        </w:rPr>
        <w:t xml:space="preserve"> Practice Principles</w:t>
      </w:r>
      <w:r>
        <w:rPr>
          <w:color w:val="000000" w:themeColor="text1"/>
        </w:rPr>
        <w:t xml:space="preserve"> reflection tools enable</w:t>
      </w:r>
      <w:r w:rsidRPr="00122B6A">
        <w:rPr>
          <w:color w:val="000000" w:themeColor="text1"/>
        </w:rPr>
        <w:t xml:space="preserve"> school staff, as a collective, to </w:t>
      </w:r>
      <w:r>
        <w:rPr>
          <w:color w:val="000000" w:themeColor="text1"/>
        </w:rPr>
        <w:t xml:space="preserve">identify the next areas of focus for the school. </w:t>
      </w:r>
      <w:r>
        <w:rPr>
          <w:color w:val="000000" w:themeColor="text1"/>
        </w:rPr>
        <w:t>The tools include a scale for each of the nine Practice Principles, against which teachers can assess their level of proficiency. The information that is collected as part of this process will inform the intervention activities at the school, and should be aligned to the school’s strateg</w:t>
      </w:r>
      <w:r w:rsidR="00FE4B8E">
        <w:rPr>
          <w:color w:val="000000" w:themeColor="text1"/>
        </w:rPr>
        <w:t>ic</w:t>
      </w:r>
      <w:r>
        <w:rPr>
          <w:color w:val="000000" w:themeColor="text1"/>
        </w:rPr>
        <w:t xml:space="preserve"> direction and the Annual Implementation Plan. </w:t>
      </w:r>
      <w:r w:rsidR="000722AC">
        <w:rPr>
          <w:color w:val="000000" w:themeColor="text1"/>
        </w:rPr>
        <w:t xml:space="preserve">For more information see: </w:t>
      </w:r>
      <w:hyperlink r:id="rId14" w:history="1">
        <w:r w:rsidR="000722AC" w:rsidRPr="002C636A">
          <w:rPr>
            <w:rStyle w:val="Hyperlink"/>
            <w:i/>
          </w:rPr>
          <w:t>Practice Principles for Excellence in Teaching and Learning reflection tools</w:t>
        </w:r>
      </w:hyperlink>
      <w:r w:rsidR="000722AC" w:rsidRPr="006B1B73">
        <w:rPr>
          <w:rStyle w:val="Hyperlink"/>
          <w:color w:val="auto"/>
          <w:u w:val="none"/>
        </w:rPr>
        <w:t>.</w:t>
      </w:r>
    </w:p>
    <w:p w14:paraId="508F55DC" w14:textId="0C9F1681" w:rsidR="001D5721" w:rsidRPr="00576106" w:rsidRDefault="000722AC" w:rsidP="00576106">
      <w:pPr>
        <w:rPr>
          <w:b/>
        </w:rPr>
      </w:pPr>
      <w:r>
        <w:rPr>
          <w:b/>
        </w:rPr>
        <w:t xml:space="preserve">Using the Practice Principles to guide </w:t>
      </w:r>
      <w:r w:rsidR="008901B6" w:rsidRPr="00576106">
        <w:rPr>
          <w:b/>
        </w:rPr>
        <w:t>literacy learning interventions in the classroom</w:t>
      </w:r>
    </w:p>
    <w:p w14:paraId="1013EAF0" w14:textId="77777777" w:rsidR="002C636A" w:rsidRDefault="002C636A" w:rsidP="00A16ABA">
      <w:pPr>
        <w:jc w:val="both"/>
        <w:rPr>
          <w:color w:val="000000" w:themeColor="text1"/>
        </w:rPr>
      </w:pPr>
      <w:r>
        <w:rPr>
          <w:color w:val="000000" w:themeColor="text1"/>
        </w:rPr>
        <w:t>Whether an explicit focus of the school, or implicit in the teaching and learning cycle, effective literacy learning is central to student success, and occurs when schools embed a literacy focus in their instruction across all areas of the curriculum.</w:t>
      </w:r>
    </w:p>
    <w:p w14:paraId="775CC94C" w14:textId="41C2DB21" w:rsidR="002E458C" w:rsidRDefault="002E458C" w:rsidP="00A16ABA">
      <w:pPr>
        <w:jc w:val="both"/>
      </w:pPr>
      <w:r>
        <w:t xml:space="preserve">The </w:t>
      </w:r>
      <w:r w:rsidR="000722AC">
        <w:t>P</w:t>
      </w:r>
      <w:r>
        <w:t>ractice Principles make explicit the</w:t>
      </w:r>
      <w:r w:rsidR="0097230A">
        <w:t xml:space="preserve"> everyday practice of most teachers, and bring together this work to guide conversations about what </w:t>
      </w:r>
      <w:r w:rsidR="008E48C0">
        <w:t xml:space="preserve">and </w:t>
      </w:r>
      <w:r w:rsidR="0097230A">
        <w:t xml:space="preserve">how they teach. </w:t>
      </w:r>
      <w:r w:rsidR="00C111DA">
        <w:t>The Practice Principles can be used to guide conversations about what could work in the context of literacy learning.</w:t>
      </w:r>
    </w:p>
    <w:p w14:paraId="41B6047C" w14:textId="38B0319C" w:rsidR="0097230A" w:rsidRDefault="0097230A" w:rsidP="00A16ABA">
      <w:pPr>
        <w:jc w:val="both"/>
      </w:pPr>
      <w:r>
        <w:t>The experience in each classroom will look different, as it is guided by the learning needs of students. Each teacher with each group of students brings the Practice Principles to life, and contributes to the whole-school improvement journey.</w:t>
      </w:r>
    </w:p>
    <w:p w14:paraId="5930DEA6" w14:textId="6A7C300E" w:rsidR="003F78E4" w:rsidRDefault="00DF3DB5" w:rsidP="00A16ABA">
      <w:pPr>
        <w:pStyle w:val="Heading1"/>
        <w:jc w:val="both"/>
      </w:pPr>
      <w:r>
        <w:t>example</w:t>
      </w:r>
      <w:r w:rsidR="003F78E4">
        <w:t xml:space="preserve"> in practice</w:t>
      </w:r>
      <w:r>
        <w:t>: Secondary School</w:t>
      </w:r>
    </w:p>
    <w:p w14:paraId="125C2721" w14:textId="7AE1781A" w:rsidR="00AC18B2" w:rsidRDefault="003F78E4" w:rsidP="00A16ABA">
      <w:pPr>
        <w:jc w:val="both"/>
      </w:pPr>
      <w:r>
        <w:t xml:space="preserve">Teachers at a large </w:t>
      </w:r>
      <w:r w:rsidR="00C65830">
        <w:t>regional</w:t>
      </w:r>
      <w:r>
        <w:t xml:space="preserve"> secondary school agreed that their Term </w:t>
      </w:r>
      <w:r w:rsidR="00C111DA">
        <w:t>2</w:t>
      </w:r>
      <w:r>
        <w:t xml:space="preserve"> professional practice days would be taken in Professional Learning Community</w:t>
      </w:r>
      <w:r w:rsidR="003B6350">
        <w:t xml:space="preserve"> (PLC)</w:t>
      </w:r>
      <w:r>
        <w:t xml:space="preserve"> teams </w:t>
      </w:r>
      <w:r w:rsidR="00C111DA">
        <w:t xml:space="preserve">so that teachers could </w:t>
      </w:r>
      <w:r>
        <w:t xml:space="preserve">focus on their planning and curriculum development for the year. </w:t>
      </w:r>
    </w:p>
    <w:p w14:paraId="2F70DD76" w14:textId="3E347E40" w:rsidR="00D4383F" w:rsidRDefault="00DF3DB5" w:rsidP="00A16ABA">
      <w:pPr>
        <w:jc w:val="both"/>
        <w:rPr>
          <w:b/>
        </w:rPr>
      </w:pPr>
      <w:r>
        <w:rPr>
          <w:b/>
        </w:rPr>
        <w:t>Focusing on curriculum development</w:t>
      </w:r>
    </w:p>
    <w:p w14:paraId="32F79835" w14:textId="51103B30" w:rsidR="00D4383F" w:rsidRDefault="00D4383F" w:rsidP="00A16ABA">
      <w:pPr>
        <w:jc w:val="both"/>
      </w:pPr>
      <w:r w:rsidRPr="00D4383F">
        <w:t>In their PLCs,</w:t>
      </w:r>
      <w:r>
        <w:t xml:space="preserve"> teachers spent time unpackin</w:t>
      </w:r>
      <w:r w:rsidR="00823E84">
        <w:t>g the Literacy Teaching Toolkit.</w:t>
      </w:r>
      <w:r>
        <w:t xml:space="preserve"> The </w:t>
      </w:r>
      <w:r w:rsidR="00823E84">
        <w:t xml:space="preserve">expert literacy </w:t>
      </w:r>
      <w:r>
        <w:t xml:space="preserve">videos </w:t>
      </w:r>
      <w:r w:rsidR="003E6496">
        <w:t>initiated</w:t>
      </w:r>
      <w:r>
        <w:t xml:space="preserve"> a conversation among teachers about </w:t>
      </w:r>
      <w:r w:rsidR="00DF3DB5">
        <w:t>current prac</w:t>
      </w:r>
      <w:r w:rsidR="00AE5BFD">
        <w:t>tices in language instruction, ‘</w:t>
      </w:r>
      <w:r>
        <w:t>the register of schooling – the spe</w:t>
      </w:r>
      <w:r w:rsidR="00CA5EE1">
        <w:t>cific use of language in school</w:t>
      </w:r>
      <w:r w:rsidR="00AE5BFD">
        <w:t>’,</w:t>
      </w:r>
      <w:r>
        <w:rPr>
          <w:rStyle w:val="FootnoteReference"/>
        </w:rPr>
        <w:footnoteReference w:id="2"/>
      </w:r>
      <w:r w:rsidR="00CA5EE1">
        <w:t xml:space="preserve"> and discipline-specific </w:t>
      </w:r>
      <w:r>
        <w:t>vocabulary.</w:t>
      </w:r>
      <w:r w:rsidR="00D95055">
        <w:t xml:space="preserve"> See: </w:t>
      </w:r>
      <w:hyperlink r:id="rId15" w:history="1">
        <w:r w:rsidR="00D95055" w:rsidRPr="00D95055">
          <w:rPr>
            <w:rStyle w:val="Hyperlink"/>
            <w:i/>
          </w:rPr>
          <w:t>expert literacy videos</w:t>
        </w:r>
      </w:hyperlink>
      <w:r w:rsidR="00D95055">
        <w:t>.</w:t>
      </w:r>
    </w:p>
    <w:p w14:paraId="0EC318E3" w14:textId="19953986" w:rsidR="00D4383F" w:rsidRDefault="00C111DA" w:rsidP="00A16ABA">
      <w:pPr>
        <w:jc w:val="both"/>
      </w:pPr>
      <w:r>
        <w:t xml:space="preserve">The Humanities PLC team agreed on </w:t>
      </w:r>
      <w:r w:rsidR="008E48C0">
        <w:t xml:space="preserve">the </w:t>
      </w:r>
      <w:r w:rsidR="00D4383F">
        <w:t xml:space="preserve">need to focus on expressive and receptive oral language (speaking and listening within History, Geography and Civics and Citizenship). </w:t>
      </w:r>
    </w:p>
    <w:p w14:paraId="5C7DB114" w14:textId="06F96BF1" w:rsidR="00F4744B" w:rsidRDefault="00F4744B" w:rsidP="00F4744B">
      <w:pPr>
        <w:jc w:val="both"/>
      </w:pPr>
      <w:r>
        <w:lastRenderedPageBreak/>
        <w:t>As part of this</w:t>
      </w:r>
      <w:r w:rsidR="003F78E4">
        <w:t>, teachers undertook a</w:t>
      </w:r>
      <w:r>
        <w:t xml:space="preserve"> reflection on the school’s performance</w:t>
      </w:r>
      <w:r w:rsidR="00490015">
        <w:t xml:space="preserve"> </w:t>
      </w:r>
      <w:r w:rsidR="00C111DA">
        <w:t>using</w:t>
      </w:r>
      <w:r>
        <w:t xml:space="preserve"> </w:t>
      </w:r>
      <w:r w:rsidRPr="007A4E42">
        <w:rPr>
          <w:b/>
          <w:i/>
        </w:rPr>
        <w:t>Practice</w:t>
      </w:r>
      <w:r w:rsidRPr="003B6350">
        <w:rPr>
          <w:b/>
          <w:i/>
        </w:rPr>
        <w:t xml:space="preserve"> Principle 4: Curriculum planning and implementation engages and challenges all students</w:t>
      </w:r>
      <w:r w:rsidR="00DF3DB5">
        <w:t>, building on earlier conversation</w:t>
      </w:r>
      <w:r w:rsidR="00C111DA">
        <w:t>s</w:t>
      </w:r>
      <w:r w:rsidR="00DF3DB5">
        <w:t xml:space="preserve"> about current practices in curriculum development</w:t>
      </w:r>
      <w:r w:rsidR="00CA100B">
        <w:t>.</w:t>
      </w:r>
    </w:p>
    <w:p w14:paraId="55942500" w14:textId="57B1059F" w:rsidR="003F78E4" w:rsidRDefault="00C111DA" w:rsidP="00F4744B">
      <w:pPr>
        <w:jc w:val="both"/>
        <w:rPr>
          <w:i/>
        </w:rPr>
      </w:pPr>
      <w:r>
        <w:t>This approach</w:t>
      </w:r>
      <w:r w:rsidR="00B77D36">
        <w:t xml:space="preserve"> aligned with the Framework for Improving Student Outcomes Dimension of </w:t>
      </w:r>
      <w:r w:rsidR="00B77D36" w:rsidRPr="00B77D36">
        <w:rPr>
          <w:i/>
        </w:rPr>
        <w:t>Curriculum Planning and Assessment</w:t>
      </w:r>
      <w:r w:rsidR="00B77D36" w:rsidRPr="00B77D36">
        <w:t xml:space="preserve"> and the </w:t>
      </w:r>
      <w:r w:rsidR="00B77D36">
        <w:t>school’s str</w:t>
      </w:r>
      <w:r w:rsidR="00B50188">
        <w:t xml:space="preserve">ategic direction, which is to </w:t>
      </w:r>
      <w:r w:rsidR="00B50188">
        <w:rPr>
          <w:i/>
        </w:rPr>
        <w:t>advance</w:t>
      </w:r>
      <w:r w:rsidR="00B77D36" w:rsidRPr="00B77D36">
        <w:rPr>
          <w:i/>
        </w:rPr>
        <w:t xml:space="preserve"> learning growth in all </w:t>
      </w:r>
      <w:r w:rsidR="00B50188">
        <w:rPr>
          <w:i/>
        </w:rPr>
        <w:t xml:space="preserve">curriculum learning </w:t>
      </w:r>
      <w:r w:rsidR="00B77D36" w:rsidRPr="00B77D36">
        <w:rPr>
          <w:i/>
        </w:rPr>
        <w:t>a</w:t>
      </w:r>
      <w:r w:rsidR="00B77D36">
        <w:rPr>
          <w:i/>
        </w:rPr>
        <w:t xml:space="preserve">reas with a particular focus on </w:t>
      </w:r>
      <w:r w:rsidR="00B50188">
        <w:rPr>
          <w:i/>
        </w:rPr>
        <w:t>literacy.</w:t>
      </w:r>
    </w:p>
    <w:p w14:paraId="786F39EF" w14:textId="429FF5CD" w:rsidR="00F4744B" w:rsidRPr="00F4744B" w:rsidRDefault="00F4744B" w:rsidP="00A16ABA">
      <w:pPr>
        <w:jc w:val="both"/>
        <w:rPr>
          <w:b/>
        </w:rPr>
      </w:pPr>
      <w:r w:rsidRPr="00F4744B">
        <w:rPr>
          <w:b/>
        </w:rPr>
        <w:t>I</w:t>
      </w:r>
      <w:r>
        <w:rPr>
          <w:b/>
        </w:rPr>
        <w:t>mplemen</w:t>
      </w:r>
      <w:r w:rsidRPr="00F4744B">
        <w:rPr>
          <w:b/>
        </w:rPr>
        <w:t>ting the</w:t>
      </w:r>
      <w:r w:rsidR="00C111DA">
        <w:rPr>
          <w:b/>
        </w:rPr>
        <w:t xml:space="preserve"> literacy learning</w:t>
      </w:r>
      <w:r w:rsidRPr="00F4744B">
        <w:rPr>
          <w:b/>
        </w:rPr>
        <w:t xml:space="preserve"> intervention</w:t>
      </w:r>
    </w:p>
    <w:p w14:paraId="22118CC2" w14:textId="77777777" w:rsidR="00C111DA" w:rsidRDefault="00F4744B" w:rsidP="00A16ABA">
      <w:pPr>
        <w:jc w:val="both"/>
      </w:pPr>
      <w:r>
        <w:t xml:space="preserve">The </w:t>
      </w:r>
      <w:r w:rsidRPr="006A703A">
        <w:t>functions of language</w:t>
      </w:r>
      <w:r>
        <w:t xml:space="preserve">, as outlined in the Literacy Teaching Toolkit, provided a list of areas of focus that were to form part of the instruction in all Humanities units. </w:t>
      </w:r>
      <w:r w:rsidR="006A703A">
        <w:t xml:space="preserve">See:  </w:t>
      </w:r>
      <w:hyperlink r:id="rId16" w:history="1">
        <w:r w:rsidR="006A703A" w:rsidRPr="006A703A">
          <w:rPr>
            <w:rStyle w:val="Hyperlink"/>
            <w:i/>
          </w:rPr>
          <w:t>functions of language</w:t>
        </w:r>
      </w:hyperlink>
      <w:r w:rsidR="006A703A" w:rsidRPr="006A703A">
        <w:rPr>
          <w:i/>
        </w:rPr>
        <w:t>.</w:t>
      </w:r>
      <w:r w:rsidR="006A703A">
        <w:t xml:space="preserve"> </w:t>
      </w:r>
    </w:p>
    <w:p w14:paraId="43C6B5BF" w14:textId="0CCC8FF7" w:rsidR="00F4744B" w:rsidRPr="00B77D36" w:rsidRDefault="006A703A" w:rsidP="00A16ABA">
      <w:pPr>
        <w:jc w:val="both"/>
        <w:rPr>
          <w:i/>
        </w:rPr>
      </w:pPr>
      <w:r>
        <w:t>T</w:t>
      </w:r>
      <w:r w:rsidR="00F4744B">
        <w:t>eachers developed unit plans that include</w:t>
      </w:r>
      <w:r w:rsidR="00C111DA">
        <w:t>d</w:t>
      </w:r>
      <w:r w:rsidR="00F4744B">
        <w:t xml:space="preserve"> opportunities for students to convey and receive </w:t>
      </w:r>
      <w:r w:rsidR="00FE4B8E">
        <w:t xml:space="preserve">understanding </w:t>
      </w:r>
      <w:r w:rsidR="00F4744B">
        <w:t>through formal and informal means</w:t>
      </w:r>
      <w:r w:rsidR="00490015">
        <w:t>, and a focus on explicit instruction and multiple exposures, sourced from the Department’s HITS resource</w:t>
      </w:r>
      <w:r w:rsidR="00F4744B">
        <w:t xml:space="preserve">. This included key vocabulary of each of the disciplines in the Humanities, with each teacher identifying five discipline-specific words for each lesson. The literacy leader within the PLC </w:t>
      </w:r>
      <w:r w:rsidR="00F4524C">
        <w:t>supported</w:t>
      </w:r>
      <w:r w:rsidR="00F4744B">
        <w:t xml:space="preserve"> colleagues in building student ability </w:t>
      </w:r>
      <w:r w:rsidR="00F4524C">
        <w:t>to use</w:t>
      </w:r>
      <w:r w:rsidR="00F4744B">
        <w:t xml:space="preserve"> metalanguage to express opinions, feelings and identity, and language for learning, within this context.</w:t>
      </w:r>
    </w:p>
    <w:p w14:paraId="66B2CA80" w14:textId="1BBD9047" w:rsidR="00D82B26" w:rsidRDefault="00D82B26" w:rsidP="00A16ABA">
      <w:pPr>
        <w:jc w:val="both"/>
      </w:pPr>
      <w:r>
        <w:t>This literacy focus was underpinned by the school’s broader focus on note-taking skills, which has been identified as an area of attention in the junior years. As students applied their new language, the teachers used the opportunity to reinforce the Cornell note-taking method</w:t>
      </w:r>
      <w:r w:rsidR="00FE4B8E">
        <w:rPr>
          <w:rStyle w:val="FootnoteReference"/>
        </w:rPr>
        <w:footnoteReference w:id="3"/>
      </w:r>
      <w:r>
        <w:t xml:space="preserve">. </w:t>
      </w:r>
    </w:p>
    <w:p w14:paraId="6A563F4B" w14:textId="7C7784C4" w:rsidR="00AC18B2" w:rsidRPr="00AC18B2" w:rsidRDefault="00CA100B" w:rsidP="00A16ABA">
      <w:pPr>
        <w:jc w:val="both"/>
        <w:rPr>
          <w:b/>
        </w:rPr>
      </w:pPr>
      <w:r>
        <w:rPr>
          <w:b/>
        </w:rPr>
        <w:t>E</w:t>
      </w:r>
      <w:r w:rsidR="00AC18B2">
        <w:rPr>
          <w:b/>
        </w:rPr>
        <w:t>valuating</w:t>
      </w:r>
      <w:r w:rsidR="00AC18B2" w:rsidRPr="00AC18B2">
        <w:rPr>
          <w:b/>
        </w:rPr>
        <w:t xml:space="preserve"> the intervention</w:t>
      </w:r>
    </w:p>
    <w:p w14:paraId="171C9061" w14:textId="074A9467" w:rsidR="001115DC" w:rsidRDefault="00F4744B" w:rsidP="00A16ABA">
      <w:pPr>
        <w:jc w:val="both"/>
      </w:pPr>
      <w:r>
        <w:t xml:space="preserve">As </w:t>
      </w:r>
      <w:r w:rsidR="00CA100B">
        <w:t xml:space="preserve">the </w:t>
      </w:r>
      <w:r w:rsidR="00616EE3">
        <w:t>units of work</w:t>
      </w:r>
      <w:r w:rsidR="00F4524C">
        <w:t xml:space="preserve"> were introduced</w:t>
      </w:r>
      <w:r w:rsidR="00616EE3">
        <w:t xml:space="preserve">, </w:t>
      </w:r>
      <w:r w:rsidR="002C2C8E">
        <w:t>teachers</w:t>
      </w:r>
      <w:r w:rsidR="00616EE3">
        <w:t xml:space="preserve"> within the PLC scheduled peer observation sessions to gain a deeper understanding of how each teacher approached instruction in their classroom, and with their students. The teaching strategies </w:t>
      </w:r>
      <w:r w:rsidR="00490015">
        <w:t xml:space="preserve">(explicit instruction and multiple exposures) </w:t>
      </w:r>
      <w:r w:rsidR="00616EE3">
        <w:t>used by the teacher were the focus of the observation.</w:t>
      </w:r>
    </w:p>
    <w:p w14:paraId="33ABAA7A" w14:textId="609AB5AF" w:rsidR="00616EE3" w:rsidRDefault="00D23BEE" w:rsidP="00A16ABA">
      <w:pPr>
        <w:jc w:val="both"/>
      </w:pPr>
      <w:r>
        <w:t>At the end of the units, t</w:t>
      </w:r>
      <w:r w:rsidR="002C2C8E">
        <w:t>he Humanities PLC reflect</w:t>
      </w:r>
      <w:r>
        <w:t>ed</w:t>
      </w:r>
      <w:r w:rsidR="002C2C8E">
        <w:t xml:space="preserve"> on the speaking and listening instruction</w:t>
      </w:r>
      <w:r w:rsidR="00853575">
        <w:t>, and used</w:t>
      </w:r>
      <w:r>
        <w:t xml:space="preserve"> the ‘functions of language’ to guide classroom activities</w:t>
      </w:r>
      <w:r w:rsidR="002C2C8E">
        <w:t>. Part of this process included revisiting the Prac</w:t>
      </w:r>
      <w:r w:rsidR="00CA100B">
        <w:t xml:space="preserve">tice Principles reflection tool for </w:t>
      </w:r>
      <w:r w:rsidR="00CA100B">
        <w:t>Practice Principle 4</w:t>
      </w:r>
      <w:r w:rsidR="002C2C8E">
        <w:t xml:space="preserve"> and re-assessing the school’s level of proficiency.  </w:t>
      </w:r>
    </w:p>
    <w:p w14:paraId="671CC1BB" w14:textId="133C41B1" w:rsidR="00DF3DB5" w:rsidRDefault="00DF3DB5" w:rsidP="00A16ABA">
      <w:pPr>
        <w:jc w:val="both"/>
      </w:pPr>
      <w:r>
        <w:t>The Practice Principles allowed teachers to have clarity and consensus about the strategies that work in the school, and provided a focus on specific teaching strategies.</w:t>
      </w:r>
    </w:p>
    <w:p w14:paraId="1F66AD91" w14:textId="5180AF53" w:rsidR="00DF3DB5" w:rsidRDefault="00DF3DB5" w:rsidP="00DF3DB5">
      <w:pPr>
        <w:pStyle w:val="Heading1"/>
        <w:jc w:val="both"/>
      </w:pPr>
      <w:r>
        <w:t>example in practice: Specialist School</w:t>
      </w:r>
    </w:p>
    <w:p w14:paraId="7D23C0D6" w14:textId="5254BDF9" w:rsidR="0002590B" w:rsidRDefault="00C65830" w:rsidP="00DF3DB5">
      <w:pPr>
        <w:jc w:val="both"/>
      </w:pPr>
      <w:r w:rsidRPr="00C65830">
        <w:t xml:space="preserve">A specialist school </w:t>
      </w:r>
      <w:r>
        <w:t>in metropolitan Melbourne identified a need for a strong focus on Augmentative and Alternative Communication (AAC) processes</w:t>
      </w:r>
      <w:r w:rsidR="00227F8B">
        <w:t xml:space="preserve">, </w:t>
      </w:r>
      <w:r w:rsidR="00F4524C">
        <w:t>as</w:t>
      </w:r>
      <w:r w:rsidR="00227F8B">
        <w:t xml:space="preserve"> reflected in the school’s</w:t>
      </w:r>
      <w:r>
        <w:t xml:space="preserve"> Annual Implementation Plan. </w:t>
      </w:r>
      <w:r w:rsidRPr="00DF3DB5">
        <w:rPr>
          <w:b/>
          <w:i/>
        </w:rPr>
        <w:t>Practice Principle 7</w:t>
      </w:r>
      <w:r w:rsidR="008E48C0">
        <w:rPr>
          <w:b/>
          <w:i/>
        </w:rPr>
        <w:t>:</w:t>
      </w:r>
      <w:r w:rsidR="008E48C0" w:rsidRPr="00DF3DB5">
        <w:rPr>
          <w:b/>
          <w:i/>
        </w:rPr>
        <w:t xml:space="preserve"> </w:t>
      </w:r>
      <w:r w:rsidRPr="00DF3DB5">
        <w:rPr>
          <w:b/>
          <w:i/>
        </w:rPr>
        <w:t>Evidence-based strategies to drive professional practice improvement</w:t>
      </w:r>
      <w:r>
        <w:t xml:space="preserve"> provided the school with an opportunity to reflect on their pedagogical practices related to the use of AAC methods</w:t>
      </w:r>
      <w:r w:rsidR="00F4524C">
        <w:t>. Teachers and</w:t>
      </w:r>
      <w:r>
        <w:t xml:space="preserve"> Education Support Staff undertook a self-reflection of their practice against each of the four actions. This included identify</w:t>
      </w:r>
      <w:r w:rsidR="003E6496">
        <w:t>ing</w:t>
      </w:r>
      <w:r>
        <w:t xml:space="preserve"> which indictors they believed they were demonstrating and which ones th</w:t>
      </w:r>
      <w:r w:rsidR="003E6496">
        <w:t>ey</w:t>
      </w:r>
      <w:r>
        <w:t xml:space="preserve"> believed </w:t>
      </w:r>
      <w:r w:rsidR="00F4524C">
        <w:t>should be</w:t>
      </w:r>
      <w:r>
        <w:t xml:space="preserve"> areas of focus.</w:t>
      </w:r>
    </w:p>
    <w:p w14:paraId="6A65BD8C" w14:textId="2BCCDD83" w:rsidR="00B1609B" w:rsidRDefault="003E6496" w:rsidP="002C7B29">
      <w:pPr>
        <w:jc w:val="both"/>
      </w:pPr>
      <w:r>
        <w:t>After the self-reflection, staff discussed their finding</w:t>
      </w:r>
      <w:r w:rsidR="00823E84">
        <w:t>s</w:t>
      </w:r>
      <w:r w:rsidR="00F4524C">
        <w:t xml:space="preserve"> and </w:t>
      </w:r>
      <w:r>
        <w:t>identif</w:t>
      </w:r>
      <w:r w:rsidR="00B1609B">
        <w:t xml:space="preserve">ied </w:t>
      </w:r>
      <w:r>
        <w:t>a particular area of focus</w:t>
      </w:r>
      <w:r w:rsidR="00B1609B">
        <w:t xml:space="preserve"> around the use of AAC processes</w:t>
      </w:r>
      <w:r>
        <w:t xml:space="preserve">. To build knowledge and skills in </w:t>
      </w:r>
      <w:r w:rsidR="002C7B29">
        <w:t xml:space="preserve">using </w:t>
      </w:r>
      <w:r>
        <w:t>th</w:t>
      </w:r>
      <w:r w:rsidR="00823E84">
        <w:t>ese</w:t>
      </w:r>
      <w:r>
        <w:t xml:space="preserve"> areas of focus, the group agreed to implement the following strategies</w:t>
      </w:r>
      <w:r w:rsidR="00B1609B">
        <w:t>:</w:t>
      </w:r>
    </w:p>
    <w:p w14:paraId="058F3B75" w14:textId="3CE90F6E" w:rsidR="002C7B29" w:rsidRDefault="002C7B29" w:rsidP="00FC0D28">
      <w:pPr>
        <w:pStyle w:val="ListParagraph"/>
        <w:numPr>
          <w:ilvl w:val="1"/>
          <w:numId w:val="1"/>
        </w:numPr>
        <w:ind w:left="426" w:hanging="284"/>
      </w:pPr>
      <w:r>
        <w:t>structuring learning sequences to include a design</w:t>
      </w:r>
      <w:r w:rsidR="00FE4B8E">
        <w:t>at</w:t>
      </w:r>
      <w:r>
        <w:t>ed time in which students engage with their AAC devices</w:t>
      </w:r>
    </w:p>
    <w:p w14:paraId="72A24C94" w14:textId="425C5871" w:rsidR="002C7B29" w:rsidRDefault="002C7B29" w:rsidP="00FC0D28">
      <w:pPr>
        <w:pStyle w:val="ListParagraph"/>
        <w:numPr>
          <w:ilvl w:val="1"/>
          <w:numId w:val="1"/>
        </w:numPr>
        <w:ind w:left="426" w:hanging="284"/>
      </w:pPr>
      <w:r>
        <w:t>modelling the use of AAC devices</w:t>
      </w:r>
    </w:p>
    <w:p w14:paraId="677E268D" w14:textId="4761B0D0" w:rsidR="002C7B29" w:rsidRDefault="002C7B29" w:rsidP="00FC0D28">
      <w:pPr>
        <w:pStyle w:val="ListParagraph"/>
        <w:numPr>
          <w:ilvl w:val="1"/>
          <w:numId w:val="1"/>
        </w:numPr>
        <w:ind w:left="426" w:hanging="284"/>
      </w:pPr>
      <w:proofErr w:type="gramStart"/>
      <w:r>
        <w:t>providing</w:t>
      </w:r>
      <w:proofErr w:type="gramEnd"/>
      <w:r>
        <w:t xml:space="preserve"> students with multiple opportuni</w:t>
      </w:r>
      <w:r w:rsidR="00047D84">
        <w:t>ties to access their AAC devices.</w:t>
      </w:r>
    </w:p>
    <w:p w14:paraId="1CFF12CD" w14:textId="750B245C" w:rsidR="003E6496" w:rsidRDefault="003E6496" w:rsidP="0002590B">
      <w:pPr>
        <w:jc w:val="both"/>
      </w:pPr>
      <w:r>
        <w:t>Peer observation was a key strategy in driving consistency across this practice</w:t>
      </w:r>
      <w:r w:rsidR="00FE4B8E">
        <w:t>, and included each staff member being observed over the course of the week with a focus on one or more of the above strategies.</w:t>
      </w:r>
    </w:p>
    <w:p w14:paraId="4B0729A0" w14:textId="3EF7181A" w:rsidR="00FE743C" w:rsidRDefault="00FE743C" w:rsidP="0002590B">
      <w:pPr>
        <w:jc w:val="both"/>
      </w:pPr>
      <w:r>
        <w:t xml:space="preserve">After the observations took place, the </w:t>
      </w:r>
      <w:r w:rsidR="00F4524C">
        <w:t xml:space="preserve">staff </w:t>
      </w:r>
      <w:r>
        <w:t>met again</w:t>
      </w:r>
      <w:r w:rsidR="003E6496">
        <w:t xml:space="preserve">, </w:t>
      </w:r>
      <w:r>
        <w:t xml:space="preserve">shared reflections from the observation, </w:t>
      </w:r>
      <w:r w:rsidR="003E6496">
        <w:t xml:space="preserve">and identified </w:t>
      </w:r>
      <w:r>
        <w:t xml:space="preserve">future areas of improvement. </w:t>
      </w:r>
    </w:p>
    <w:p w14:paraId="553EDA7E" w14:textId="286475DD" w:rsidR="0070610D" w:rsidRDefault="0070610D" w:rsidP="0070610D">
      <w:pPr>
        <w:jc w:val="both"/>
        <w:rPr>
          <w:rFonts w:asciiTheme="minorHAnsi" w:hAnsiTheme="minorHAnsi" w:cstheme="minorBidi"/>
          <w:sz w:val="22"/>
          <w:szCs w:val="22"/>
        </w:rPr>
      </w:pPr>
      <w:r>
        <w:t xml:space="preserve">At the end of the meeting, staff agreed on their individual and the collective focus </w:t>
      </w:r>
      <w:r w:rsidR="003E6496">
        <w:t xml:space="preserve">for </w:t>
      </w:r>
      <w:r>
        <w:t xml:space="preserve">future observations related to AAC. </w:t>
      </w:r>
      <w:r w:rsidR="00DF3DB5">
        <w:t xml:space="preserve">The use of the Practice Principles in this process allowed teachers and Education Support staff to </w:t>
      </w:r>
      <w:r w:rsidR="0026240A">
        <w:t>deepen their use of the HITS in the context of AAC.</w:t>
      </w:r>
      <w:r w:rsidR="00DF3DB5">
        <w:t xml:space="preserve"> </w:t>
      </w:r>
    </w:p>
    <w:p w14:paraId="24D165CB" w14:textId="32619030" w:rsidR="009F7A09" w:rsidRPr="0038286A" w:rsidRDefault="009F7A09" w:rsidP="00A16ABA">
      <w:pPr>
        <w:pStyle w:val="Heading1"/>
        <w:jc w:val="both"/>
      </w:pPr>
      <w:r>
        <w:lastRenderedPageBreak/>
        <w:t>RELEVANT TOOLS AND RESOURCES</w:t>
      </w:r>
    </w:p>
    <w:p w14:paraId="23CD8BC5" w14:textId="05E0BE14" w:rsidR="009F7A09" w:rsidRDefault="009F7A09" w:rsidP="00A16ABA">
      <w:pPr>
        <w:jc w:val="both"/>
      </w:pPr>
      <w:r>
        <w:t xml:space="preserve">This note is part of a series of professional practice notes to support </w:t>
      </w:r>
      <w:r w:rsidR="008E48C0">
        <w:t>school-</w:t>
      </w:r>
      <w:r>
        <w:t xml:space="preserve">based staff to continue improving their practice. See </w:t>
      </w:r>
      <w:hyperlink r:id="rId17" w:history="1">
        <w:r w:rsidRPr="003B197C">
          <w:rPr>
            <w:rStyle w:val="Hyperlink"/>
            <w:i/>
            <w:lang w:val="en-AU"/>
          </w:rPr>
          <w:t>Professional Practice Elements</w:t>
        </w:r>
      </w:hyperlink>
      <w:r w:rsidRPr="009F7A09">
        <w:rPr>
          <w:color w:val="004EA9"/>
        </w:rPr>
        <w:t xml:space="preserve"> </w:t>
      </w:r>
      <w:r>
        <w:t>for more information.</w:t>
      </w:r>
    </w:p>
    <w:p w14:paraId="331B4633" w14:textId="461C5BB6" w:rsidR="009F7A09" w:rsidRDefault="009F7A09" w:rsidP="00A16ABA">
      <w:pPr>
        <w:jc w:val="both"/>
      </w:pPr>
      <w:r>
        <w:t xml:space="preserve">Relevant tools and resources include: </w:t>
      </w:r>
    </w:p>
    <w:p w14:paraId="6F26830A" w14:textId="3DA6CE60" w:rsidR="004B7A23" w:rsidRPr="004B7A23" w:rsidRDefault="00467E4D" w:rsidP="00FC0D28">
      <w:pPr>
        <w:pStyle w:val="ListParagraph"/>
        <w:numPr>
          <w:ilvl w:val="1"/>
          <w:numId w:val="1"/>
        </w:numPr>
        <w:ind w:left="426" w:hanging="284"/>
        <w:rPr>
          <w:rStyle w:val="Hyperlink"/>
          <w:color w:val="auto"/>
          <w:u w:val="none"/>
        </w:rPr>
      </w:pPr>
      <w:hyperlink r:id="rId18" w:history="1">
        <w:r w:rsidR="00F718C7" w:rsidRPr="00F718C7">
          <w:rPr>
            <w:rStyle w:val="Hyperlink"/>
          </w:rPr>
          <w:t>Evaluating the impact of your teaching</w:t>
        </w:r>
      </w:hyperlink>
    </w:p>
    <w:p w14:paraId="5F7DD1E8" w14:textId="77777777" w:rsidR="004B7A23" w:rsidRPr="004B7A23" w:rsidRDefault="00467E4D" w:rsidP="00FC0D28">
      <w:pPr>
        <w:pStyle w:val="ListParagraph"/>
        <w:numPr>
          <w:ilvl w:val="1"/>
          <w:numId w:val="1"/>
        </w:numPr>
        <w:ind w:left="426" w:hanging="284"/>
        <w:rPr>
          <w:rStyle w:val="Hyperlink"/>
          <w:color w:val="auto"/>
          <w:u w:val="none"/>
        </w:rPr>
      </w:pPr>
      <w:hyperlink r:id="rId19" w:history="1">
        <w:r w:rsidR="00F718C7">
          <w:rPr>
            <w:rStyle w:val="Hyperlink"/>
          </w:rPr>
          <w:t>Expert literacy v</w:t>
        </w:r>
        <w:r w:rsidR="00F718C7" w:rsidRPr="00DC71A7">
          <w:rPr>
            <w:rStyle w:val="Hyperlink"/>
          </w:rPr>
          <w:t>ideos</w:t>
        </w:r>
      </w:hyperlink>
    </w:p>
    <w:p w14:paraId="2ACF87D3" w14:textId="77777777" w:rsidR="004B7A23" w:rsidRPr="004B7A23" w:rsidRDefault="00467E4D" w:rsidP="00FC0D28">
      <w:pPr>
        <w:pStyle w:val="ListParagraph"/>
        <w:numPr>
          <w:ilvl w:val="1"/>
          <w:numId w:val="1"/>
        </w:numPr>
        <w:ind w:left="426" w:hanging="284"/>
        <w:rPr>
          <w:rStyle w:val="Hyperlink"/>
          <w:color w:val="auto"/>
          <w:u w:val="none"/>
        </w:rPr>
      </w:pPr>
      <w:hyperlink r:id="rId20" w:history="1">
        <w:r w:rsidR="00F718C7" w:rsidRPr="00F718C7">
          <w:rPr>
            <w:rStyle w:val="Hyperlink"/>
          </w:rPr>
          <w:t>Framework for Improving Student Outcomes</w:t>
        </w:r>
      </w:hyperlink>
    </w:p>
    <w:p w14:paraId="654ECDA1" w14:textId="77777777" w:rsidR="004B7A23" w:rsidRPr="004B7A23" w:rsidRDefault="00467E4D" w:rsidP="00FC0D28">
      <w:pPr>
        <w:pStyle w:val="ListParagraph"/>
        <w:numPr>
          <w:ilvl w:val="1"/>
          <w:numId w:val="1"/>
        </w:numPr>
        <w:ind w:left="426" w:hanging="284"/>
      </w:pPr>
      <w:hyperlink r:id="rId21" w:history="1">
        <w:r w:rsidR="00F718C7" w:rsidRPr="004B7A23">
          <w:rPr>
            <w:rStyle w:val="Hyperlink"/>
            <w:szCs w:val="18"/>
          </w:rPr>
          <w:t>High Impact Teaching Strategies</w:t>
        </w:r>
      </w:hyperlink>
      <w:r w:rsidR="00F718C7" w:rsidRPr="004B7A23">
        <w:rPr>
          <w:szCs w:val="18"/>
        </w:rPr>
        <w:t xml:space="preserve"> </w:t>
      </w:r>
    </w:p>
    <w:p w14:paraId="0DEE9523" w14:textId="011D037B" w:rsidR="004B7A23" w:rsidRPr="004B7A23" w:rsidRDefault="00467E4D" w:rsidP="00FC0D28">
      <w:pPr>
        <w:pStyle w:val="ListParagraph"/>
        <w:numPr>
          <w:ilvl w:val="1"/>
          <w:numId w:val="1"/>
        </w:numPr>
        <w:ind w:left="426" w:hanging="284"/>
        <w:rPr>
          <w:rStyle w:val="Hyperlink"/>
          <w:color w:val="auto"/>
          <w:u w:val="none"/>
        </w:rPr>
      </w:pPr>
      <w:hyperlink r:id="rId22" w:history="1">
        <w:r w:rsidR="00F718C7" w:rsidRPr="00F718C7">
          <w:rPr>
            <w:rStyle w:val="Hyperlink"/>
          </w:rPr>
          <w:t>Peer observation, including feedback and reflection</w:t>
        </w:r>
      </w:hyperlink>
    </w:p>
    <w:p w14:paraId="69EDDD6D" w14:textId="29BBACB1" w:rsidR="004B7A23" w:rsidRPr="004B7A23" w:rsidRDefault="003327A7" w:rsidP="00FC0D28">
      <w:pPr>
        <w:pStyle w:val="ListParagraph"/>
        <w:numPr>
          <w:ilvl w:val="1"/>
          <w:numId w:val="1"/>
        </w:numPr>
        <w:ind w:left="426" w:hanging="284"/>
      </w:pPr>
      <w:hyperlink r:id="rId23" w:history="1">
        <w:r w:rsidR="009F7A09" w:rsidRPr="003327A7">
          <w:rPr>
            <w:rStyle w:val="Hyperlink"/>
            <w:szCs w:val="18"/>
          </w:rPr>
          <w:t xml:space="preserve">Practice Principles for Excellence in </w:t>
        </w:r>
        <w:r w:rsidRPr="003327A7">
          <w:rPr>
            <w:rStyle w:val="Hyperlink"/>
            <w:szCs w:val="18"/>
          </w:rPr>
          <w:t>Teaching and Learning</w:t>
        </w:r>
      </w:hyperlink>
      <w:r w:rsidR="009F7A09" w:rsidRPr="004B7A23">
        <w:rPr>
          <w:szCs w:val="18"/>
        </w:rPr>
        <w:t xml:space="preserve"> </w:t>
      </w:r>
    </w:p>
    <w:p w14:paraId="1DE4E8AC" w14:textId="77777777" w:rsidR="004B7A23" w:rsidRPr="004B7A23" w:rsidRDefault="00467E4D" w:rsidP="00FC0D28">
      <w:pPr>
        <w:pStyle w:val="ListParagraph"/>
        <w:numPr>
          <w:ilvl w:val="1"/>
          <w:numId w:val="1"/>
        </w:numPr>
        <w:ind w:left="426" w:hanging="284"/>
        <w:rPr>
          <w:rStyle w:val="Hyperlink"/>
          <w:color w:val="auto"/>
          <w:u w:val="none"/>
        </w:rPr>
      </w:pPr>
      <w:hyperlink r:id="rId24" w:history="1">
        <w:r w:rsidR="009F7A09" w:rsidRPr="0038286A">
          <w:rPr>
            <w:rStyle w:val="Hyperlink"/>
          </w:rPr>
          <w:t>Practice Principles for Excellence in Teaching and Learning reflection tools</w:t>
        </w:r>
      </w:hyperlink>
    </w:p>
    <w:p w14:paraId="22D39A3E" w14:textId="77777777" w:rsidR="004B7A23" w:rsidRPr="004B7A23" w:rsidRDefault="00467E4D" w:rsidP="00FC0D28">
      <w:pPr>
        <w:pStyle w:val="ListParagraph"/>
        <w:numPr>
          <w:ilvl w:val="1"/>
          <w:numId w:val="1"/>
        </w:numPr>
        <w:ind w:left="426" w:hanging="284"/>
        <w:rPr>
          <w:rStyle w:val="Hyperlink"/>
          <w:color w:val="auto"/>
          <w:u w:val="none"/>
        </w:rPr>
      </w:pPr>
      <w:hyperlink r:id="rId25" w:history="1">
        <w:r w:rsidR="000D13F4" w:rsidRPr="000D13F4">
          <w:rPr>
            <w:rStyle w:val="Hyperlink"/>
          </w:rPr>
          <w:t>Literacy Masterclass on High Impact Teaching Strategies</w:t>
        </w:r>
      </w:hyperlink>
    </w:p>
    <w:p w14:paraId="7C832FE0" w14:textId="132632A7" w:rsidR="004B7A23" w:rsidRPr="004B7A23" w:rsidRDefault="00467E4D" w:rsidP="00FC0D28">
      <w:pPr>
        <w:pStyle w:val="ListParagraph"/>
        <w:numPr>
          <w:ilvl w:val="1"/>
          <w:numId w:val="1"/>
        </w:numPr>
        <w:ind w:left="426" w:hanging="284"/>
        <w:rPr>
          <w:rStyle w:val="Hyperlink"/>
          <w:color w:val="auto"/>
          <w:u w:val="none"/>
        </w:rPr>
      </w:pPr>
      <w:hyperlink r:id="rId26" w:history="1">
        <w:r w:rsidR="00F718C7" w:rsidRPr="004B7A23">
          <w:rPr>
            <w:rStyle w:val="Hyperlink"/>
            <w:szCs w:val="18"/>
          </w:rPr>
          <w:t>Literacy and Numeracy S</w:t>
        </w:r>
        <w:r w:rsidR="009F7A09" w:rsidRPr="004B7A23">
          <w:rPr>
            <w:rStyle w:val="Hyperlink"/>
            <w:szCs w:val="18"/>
          </w:rPr>
          <w:t>trategy</w:t>
        </w:r>
      </w:hyperlink>
    </w:p>
    <w:p w14:paraId="18AA7030" w14:textId="77777777" w:rsidR="004B7A23" w:rsidRPr="004B7A23" w:rsidRDefault="00467E4D" w:rsidP="00FC0D28">
      <w:pPr>
        <w:pStyle w:val="ListParagraph"/>
        <w:numPr>
          <w:ilvl w:val="1"/>
          <w:numId w:val="1"/>
        </w:numPr>
        <w:ind w:left="426" w:hanging="284"/>
        <w:rPr>
          <w:rStyle w:val="Hyperlink"/>
          <w:color w:val="auto"/>
          <w:u w:val="none"/>
        </w:rPr>
      </w:pPr>
      <w:hyperlink r:id="rId27" w:history="1">
        <w:r w:rsidR="00F718C7" w:rsidRPr="00C0546C">
          <w:rPr>
            <w:rStyle w:val="Hyperlink"/>
          </w:rPr>
          <w:t>Literacy Teaching Toolkit</w:t>
        </w:r>
      </w:hyperlink>
    </w:p>
    <w:p w14:paraId="135EF13D" w14:textId="6B37BEE7" w:rsidR="00167DC6" w:rsidRPr="00A56F1B" w:rsidRDefault="00467E4D" w:rsidP="00FC0D28">
      <w:pPr>
        <w:pStyle w:val="ListParagraph"/>
        <w:numPr>
          <w:ilvl w:val="1"/>
          <w:numId w:val="1"/>
        </w:numPr>
        <w:ind w:left="426" w:hanging="284"/>
      </w:pPr>
      <w:hyperlink r:id="rId28" w:history="1">
        <w:r w:rsidR="00F718C7" w:rsidRPr="004B7A23">
          <w:rPr>
            <w:rStyle w:val="Hyperlink"/>
            <w:szCs w:val="18"/>
          </w:rPr>
          <w:t>Victorian Literacy P</w:t>
        </w:r>
        <w:r w:rsidR="009F7A09" w:rsidRPr="004B7A23">
          <w:rPr>
            <w:rStyle w:val="Hyperlink"/>
            <w:szCs w:val="18"/>
          </w:rPr>
          <w:t>ortal</w:t>
        </w:r>
      </w:hyperlink>
      <w:bookmarkStart w:id="0" w:name="_GoBack"/>
      <w:bookmarkEnd w:id="0"/>
      <w:r w:rsidR="009F7A09" w:rsidRPr="004B7A23">
        <w:rPr>
          <w:szCs w:val="18"/>
        </w:rPr>
        <w:t xml:space="preserve"> </w:t>
      </w:r>
    </w:p>
    <w:p w14:paraId="16C2EF67" w14:textId="387CD9A6" w:rsidR="00A56F1B" w:rsidRPr="004B7A23" w:rsidRDefault="00A56F1B" w:rsidP="00A56F1B">
      <w:pPr>
        <w:pStyle w:val="ListParagraph"/>
        <w:numPr>
          <w:ilvl w:val="0"/>
          <w:numId w:val="0"/>
        </w:numPr>
        <w:ind w:left="426"/>
      </w:pPr>
    </w:p>
    <w:p w14:paraId="2095B5A3" w14:textId="10010D11" w:rsidR="009F7A09" w:rsidRPr="00294983" w:rsidRDefault="009F7A09" w:rsidP="00A16ABA">
      <w:pPr>
        <w:pStyle w:val="Heading1"/>
        <w:jc w:val="both"/>
      </w:pPr>
      <w:r>
        <w:t>CONTACT US</w:t>
      </w:r>
    </w:p>
    <w:p w14:paraId="745D3B24" w14:textId="36A79464" w:rsidR="00920F15" w:rsidRPr="00B9293B" w:rsidRDefault="009F7A09" w:rsidP="00047D84">
      <w:pPr>
        <w:rPr>
          <w:color w:val="004EA9"/>
          <w:lang w:val="en-AU"/>
        </w:rPr>
      </w:pPr>
      <w:r>
        <w:rPr>
          <w:color w:val="000000"/>
          <w:lang w:val="en-AU"/>
        </w:rPr>
        <w:t xml:space="preserve">For more information, or to share your feedback on this resource, please email: </w:t>
      </w:r>
      <w:hyperlink r:id="rId29" w:history="1">
        <w:r w:rsidRPr="00BA55A4">
          <w:rPr>
            <w:rStyle w:val="Hyperlink"/>
            <w:lang w:val="en-AU"/>
          </w:rPr>
          <w:t>professional.practice@edumail.vic.gov.au</w:t>
        </w:r>
      </w:hyperlink>
      <w:r>
        <w:rPr>
          <w:color w:val="004EA9"/>
          <w:lang w:val="en-AU"/>
        </w:rPr>
        <w:t>.</w:t>
      </w:r>
    </w:p>
    <w:sectPr w:rsidR="00920F15" w:rsidRPr="00B9293B" w:rsidSect="00825E66">
      <w:headerReference w:type="default" r:id="rId30"/>
      <w:footerReference w:type="default" r:id="rId31"/>
      <w:pgSz w:w="11900" w:h="16840"/>
      <w:pgMar w:top="3289" w:right="1134" w:bottom="1560" w:left="737" w:header="624" w:footer="1134"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C4CDD" w16cid:durableId="1E9C8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81CA8" w14:textId="77777777" w:rsidR="00467E4D" w:rsidRDefault="00467E4D" w:rsidP="008766A4">
      <w:r>
        <w:separator/>
      </w:r>
    </w:p>
  </w:endnote>
  <w:endnote w:type="continuationSeparator" w:id="0">
    <w:p w14:paraId="6654BB93" w14:textId="77777777" w:rsidR="00467E4D" w:rsidRDefault="00467E4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Light">
    <w:altName w:val="V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1D4DA8FF" w:rsidR="001540D5" w:rsidRPr="003E29B5" w:rsidRDefault="001540D5"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5C7D" w14:textId="77777777" w:rsidR="00467E4D" w:rsidRDefault="00467E4D" w:rsidP="008766A4">
      <w:r>
        <w:separator/>
      </w:r>
    </w:p>
  </w:footnote>
  <w:footnote w:type="continuationSeparator" w:id="0">
    <w:p w14:paraId="6E4B0948" w14:textId="77777777" w:rsidR="00467E4D" w:rsidRDefault="00467E4D" w:rsidP="008766A4">
      <w:r>
        <w:continuationSeparator/>
      </w:r>
    </w:p>
  </w:footnote>
  <w:footnote w:id="1">
    <w:p w14:paraId="1D1C7A02" w14:textId="0FE525D9" w:rsidR="00307988" w:rsidRPr="00307988" w:rsidRDefault="00307988">
      <w:pPr>
        <w:pStyle w:val="FootnoteText"/>
        <w:rPr>
          <w:sz w:val="14"/>
          <w:szCs w:val="14"/>
          <w:lang w:val="en-AU"/>
        </w:rPr>
      </w:pPr>
      <w:r w:rsidRPr="00307988">
        <w:rPr>
          <w:rStyle w:val="FootnoteReference"/>
          <w:sz w:val="14"/>
          <w:szCs w:val="14"/>
        </w:rPr>
        <w:footnoteRef/>
      </w:r>
      <w:r w:rsidRPr="00307988">
        <w:rPr>
          <w:sz w:val="14"/>
          <w:szCs w:val="14"/>
        </w:rPr>
        <w:t xml:space="preserve"> </w:t>
      </w:r>
      <w:r w:rsidRPr="00307988">
        <w:rPr>
          <w:sz w:val="14"/>
          <w:szCs w:val="14"/>
          <w:lang w:val="en-AU"/>
        </w:rPr>
        <w:t xml:space="preserve">Shaddock, A &amp; Hattie, J, 2014, </w:t>
      </w:r>
      <w:r w:rsidRPr="00307988">
        <w:rPr>
          <w:i/>
          <w:sz w:val="14"/>
          <w:szCs w:val="14"/>
          <w:lang w:val="en-AU"/>
        </w:rPr>
        <w:t xml:space="preserve">Using data to improve learning: a practical guide for busy teachers, </w:t>
      </w:r>
      <w:r w:rsidRPr="00307988">
        <w:rPr>
          <w:sz w:val="14"/>
          <w:szCs w:val="14"/>
          <w:lang w:val="en-AU"/>
        </w:rPr>
        <w:t>ACER Press, Camberwell</w:t>
      </w:r>
    </w:p>
  </w:footnote>
  <w:footnote w:id="2">
    <w:p w14:paraId="30AE7689" w14:textId="52A482D7" w:rsidR="00D4383F" w:rsidRPr="00D4383F" w:rsidRDefault="00D4383F">
      <w:pPr>
        <w:pStyle w:val="FootnoteText"/>
        <w:rPr>
          <w:sz w:val="14"/>
          <w:szCs w:val="14"/>
          <w:lang w:val="en-AU"/>
        </w:rPr>
      </w:pPr>
      <w:r w:rsidRPr="00D4383F">
        <w:rPr>
          <w:rStyle w:val="FootnoteReference"/>
          <w:sz w:val="14"/>
          <w:szCs w:val="14"/>
        </w:rPr>
        <w:footnoteRef/>
      </w:r>
      <w:r w:rsidRPr="00D4383F">
        <w:rPr>
          <w:sz w:val="14"/>
          <w:szCs w:val="14"/>
        </w:rPr>
        <w:t xml:space="preserve"> </w:t>
      </w:r>
      <w:r w:rsidRPr="00D4383F">
        <w:rPr>
          <w:sz w:val="14"/>
          <w:szCs w:val="14"/>
          <w:lang w:val="en-AU"/>
        </w:rPr>
        <w:t>La Bianco, J.</w:t>
      </w:r>
      <w:r w:rsidR="0063017E">
        <w:rPr>
          <w:sz w:val="14"/>
          <w:szCs w:val="14"/>
          <w:lang w:val="en-AU"/>
        </w:rPr>
        <w:t xml:space="preserve">, video, Department of Education and Training, </w:t>
      </w:r>
      <w:r w:rsidRPr="00D4383F">
        <w:rPr>
          <w:sz w:val="14"/>
          <w:szCs w:val="14"/>
          <w:lang w:val="en-AU"/>
        </w:rPr>
        <w:t xml:space="preserve"> </w:t>
      </w:r>
      <w:hyperlink r:id="rId1" w:history="1">
        <w:r w:rsidRPr="00D4383F">
          <w:rPr>
            <w:rStyle w:val="Hyperlink"/>
            <w:sz w:val="14"/>
            <w:szCs w:val="14"/>
            <w:lang w:val="en-AU"/>
          </w:rPr>
          <w:t>http://www.education.vic.gov.au/school/teachers/teachingresources/discipline/english/literacy/Pages/expertvideos.aspx</w:t>
        </w:r>
      </w:hyperlink>
      <w:r w:rsidRPr="00D4383F">
        <w:rPr>
          <w:sz w:val="14"/>
          <w:szCs w:val="14"/>
          <w:lang w:val="en-AU"/>
        </w:rPr>
        <w:t xml:space="preserve"> </w:t>
      </w:r>
    </w:p>
  </w:footnote>
  <w:footnote w:id="3">
    <w:p w14:paraId="22E64110" w14:textId="66D8FFE8" w:rsidR="00FE4B8E" w:rsidRPr="00FE4B8E" w:rsidRDefault="00FE4B8E">
      <w:pPr>
        <w:pStyle w:val="FootnoteText"/>
        <w:rPr>
          <w:sz w:val="14"/>
          <w:szCs w:val="14"/>
          <w:lang w:val="en-AU"/>
        </w:rPr>
      </w:pPr>
      <w:r w:rsidRPr="00FE4B8E">
        <w:rPr>
          <w:rStyle w:val="FootnoteReference"/>
          <w:sz w:val="14"/>
          <w:szCs w:val="14"/>
        </w:rPr>
        <w:footnoteRef/>
      </w:r>
      <w:r w:rsidRPr="00FE4B8E">
        <w:rPr>
          <w:sz w:val="14"/>
          <w:szCs w:val="14"/>
        </w:rPr>
        <w:t xml:space="preserve"> Cornell University (unknown), </w:t>
      </w:r>
      <w:r w:rsidRPr="00FE4B8E">
        <w:rPr>
          <w:i/>
          <w:sz w:val="14"/>
          <w:szCs w:val="14"/>
        </w:rPr>
        <w:t xml:space="preserve">The Cornell Note-taking System, </w:t>
      </w:r>
      <w:r w:rsidRPr="00FE4B8E">
        <w:rPr>
          <w:sz w:val="14"/>
          <w:szCs w:val="14"/>
        </w:rPr>
        <w:t xml:space="preserve">Cornell University, </w:t>
      </w:r>
      <w:hyperlink r:id="rId2" w:history="1">
        <w:r w:rsidRPr="00FE4B8E">
          <w:rPr>
            <w:rStyle w:val="Hyperlink"/>
            <w:sz w:val="14"/>
            <w:szCs w:val="14"/>
          </w:rPr>
          <w:t>http://lsc.cornell.edu/notes.html</w:t>
        </w:r>
      </w:hyperlink>
      <w:r w:rsidRPr="00FE4B8E">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97E405F" w:rsidR="001540D5" w:rsidRPr="003E29B5" w:rsidRDefault="001540D5" w:rsidP="008766A4">
    <w:r>
      <w:rPr>
        <w:noProof/>
        <w:lang w:val="en-AU" w:eastAsia="en-AU"/>
      </w:rPr>
      <mc:AlternateContent>
        <mc:Choice Requires="wps">
          <w:drawing>
            <wp:anchor distT="45720" distB="45720" distL="114300" distR="114300" simplePos="0" relativeHeight="251657728" behindDoc="0" locked="0" layoutInCell="1" allowOverlap="1" wp14:anchorId="7F6177EA" wp14:editId="6921D500">
              <wp:simplePos x="0" y="0"/>
              <wp:positionH relativeFrom="column">
                <wp:posOffset>5266055</wp:posOffset>
              </wp:positionH>
              <wp:positionV relativeFrom="paragraph">
                <wp:posOffset>346710</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36EA4A95" w14:textId="43F99488" w:rsidR="001540D5" w:rsidRPr="00B24ECE" w:rsidRDefault="00E2723F" w:rsidP="000E2670">
                          <w:pPr>
                            <w:rPr>
                              <w:b/>
                              <w:color w:val="FFFFFF" w:themeColor="background1"/>
                              <w:sz w:val="28"/>
                              <w:szCs w:val="28"/>
                            </w:rPr>
                          </w:pPr>
                          <w:r>
                            <w:rPr>
                              <w:b/>
                              <w:color w:val="FFFFFF" w:themeColor="background1"/>
                              <w:sz w:val="28"/>
                              <w:szCs w:val="28"/>
                            </w:rPr>
                            <w:t>Professional Practice Note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177EA" id="_x0000_t202" coordsize="21600,21600" o:spt="202" path="m,l,21600r21600,l21600,xe">
              <v:stroke joinstyle="miter"/>
              <v:path gradientshapeok="t" o:connecttype="rect"/>
            </v:shapetype>
            <v:shape id="Text Box 2" o:spid="_x0000_s1026" type="#_x0000_t202" style="position:absolute;margin-left:414.65pt;margin-top:27.3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" filled="f" stroked="f">
              <v:textbox style="mso-fit-shape-to-text:t">
                <w:txbxContent>
                  <w:p w14:paraId="36EA4A95" w14:textId="43F99488" w:rsidR="001540D5" w:rsidRPr="00B24ECE" w:rsidRDefault="00E2723F" w:rsidP="000E2670">
                    <w:pPr>
                      <w:rPr>
                        <w:b/>
                        <w:color w:val="FFFFFF" w:themeColor="background1"/>
                        <w:sz w:val="28"/>
                        <w:szCs w:val="28"/>
                      </w:rPr>
                    </w:pPr>
                    <w:r>
                      <w:rPr>
                        <w:b/>
                        <w:color w:val="FFFFFF" w:themeColor="background1"/>
                        <w:sz w:val="28"/>
                        <w:szCs w:val="28"/>
                      </w:rPr>
                      <w:t>Professional Practice Note 8</w:t>
                    </w:r>
                  </w:p>
                </w:txbxContent>
              </v:textbox>
              <w10:wrap type="square"/>
            </v:shape>
          </w:pict>
        </mc:Fallback>
      </mc:AlternateContent>
    </w:r>
    <w:r>
      <w:rPr>
        <w:noProof/>
        <w:lang w:val="en-AU" w:eastAsia="en-AU"/>
      </w:rPr>
      <w:drawing>
        <wp:anchor distT="0" distB="0" distL="114300" distR="114300" simplePos="0" relativeHeight="251656704" behindDoc="1" locked="0" layoutInCell="1" allowOverlap="1" wp14:anchorId="6BB7B5ED" wp14:editId="1C3F2107">
          <wp:simplePos x="0" y="0"/>
          <wp:positionH relativeFrom="page">
            <wp:align>left</wp:align>
          </wp:positionH>
          <wp:positionV relativeFrom="page">
            <wp:align>top</wp:align>
          </wp:positionV>
          <wp:extent cx="7560000" cy="10692000"/>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411D"/>
    <w:multiLevelType w:val="hybridMultilevel"/>
    <w:tmpl w:val="4886A112"/>
    <w:lvl w:ilvl="0" w:tplc="40045F3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815C85"/>
    <w:multiLevelType w:val="hybridMultilevel"/>
    <w:tmpl w:val="89A864C2"/>
    <w:lvl w:ilvl="0" w:tplc="052E01C4">
      <w:start w:val="1"/>
      <w:numFmt w:val="decimal"/>
      <w:pStyle w:val="ListParagraph"/>
      <w:lvlText w:val="%1."/>
      <w:lvlJc w:val="left"/>
      <w:pPr>
        <w:ind w:left="360" w:hanging="360"/>
      </w:pPr>
      <w:rPr>
        <w:rFonts w:hint="default"/>
        <w:i w:val="0"/>
        <w:sz w:val="18"/>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82D"/>
    <w:rsid w:val="00005D05"/>
    <w:rsid w:val="0002590B"/>
    <w:rsid w:val="00037C5E"/>
    <w:rsid w:val="000415BA"/>
    <w:rsid w:val="000474AE"/>
    <w:rsid w:val="00047D84"/>
    <w:rsid w:val="00060D61"/>
    <w:rsid w:val="00071F38"/>
    <w:rsid w:val="000722AC"/>
    <w:rsid w:val="0007304F"/>
    <w:rsid w:val="00073762"/>
    <w:rsid w:val="000C3706"/>
    <w:rsid w:val="000D13F4"/>
    <w:rsid w:val="000D6C7A"/>
    <w:rsid w:val="000E2670"/>
    <w:rsid w:val="000F111B"/>
    <w:rsid w:val="000F1C67"/>
    <w:rsid w:val="00102DB6"/>
    <w:rsid w:val="001115DC"/>
    <w:rsid w:val="001170D5"/>
    <w:rsid w:val="00122903"/>
    <w:rsid w:val="00122B6A"/>
    <w:rsid w:val="00125107"/>
    <w:rsid w:val="00125579"/>
    <w:rsid w:val="00134BA9"/>
    <w:rsid w:val="00135EFA"/>
    <w:rsid w:val="0014310A"/>
    <w:rsid w:val="00146CFE"/>
    <w:rsid w:val="001540D5"/>
    <w:rsid w:val="001574C5"/>
    <w:rsid w:val="00167CDB"/>
    <w:rsid w:val="00167DC6"/>
    <w:rsid w:val="00196F0C"/>
    <w:rsid w:val="001A56AA"/>
    <w:rsid w:val="001A7AF4"/>
    <w:rsid w:val="001B0B58"/>
    <w:rsid w:val="001B1FC9"/>
    <w:rsid w:val="001B2EF6"/>
    <w:rsid w:val="001C22F3"/>
    <w:rsid w:val="001C43DD"/>
    <w:rsid w:val="001D5721"/>
    <w:rsid w:val="001D6D16"/>
    <w:rsid w:val="001E3B75"/>
    <w:rsid w:val="001E3DC1"/>
    <w:rsid w:val="001F6F1F"/>
    <w:rsid w:val="002210EB"/>
    <w:rsid w:val="00227F8B"/>
    <w:rsid w:val="002603ED"/>
    <w:rsid w:val="0026240A"/>
    <w:rsid w:val="002628A4"/>
    <w:rsid w:val="00283D10"/>
    <w:rsid w:val="00294983"/>
    <w:rsid w:val="00295759"/>
    <w:rsid w:val="002C2C8E"/>
    <w:rsid w:val="002C636A"/>
    <w:rsid w:val="002C7B29"/>
    <w:rsid w:val="002D574E"/>
    <w:rsid w:val="002E0EB3"/>
    <w:rsid w:val="002E1615"/>
    <w:rsid w:val="002E458C"/>
    <w:rsid w:val="002F176F"/>
    <w:rsid w:val="003049E0"/>
    <w:rsid w:val="00307988"/>
    <w:rsid w:val="0031732A"/>
    <w:rsid w:val="0032677E"/>
    <w:rsid w:val="00326F48"/>
    <w:rsid w:val="00327A2D"/>
    <w:rsid w:val="003327A7"/>
    <w:rsid w:val="003468FB"/>
    <w:rsid w:val="00351147"/>
    <w:rsid w:val="00357945"/>
    <w:rsid w:val="00380BF9"/>
    <w:rsid w:val="0038286A"/>
    <w:rsid w:val="003833C2"/>
    <w:rsid w:val="00386233"/>
    <w:rsid w:val="003901BF"/>
    <w:rsid w:val="00393B33"/>
    <w:rsid w:val="00395BE9"/>
    <w:rsid w:val="00397DAC"/>
    <w:rsid w:val="003A538B"/>
    <w:rsid w:val="003B01B0"/>
    <w:rsid w:val="003B02CF"/>
    <w:rsid w:val="003B197C"/>
    <w:rsid w:val="003B3991"/>
    <w:rsid w:val="003B6350"/>
    <w:rsid w:val="003D3041"/>
    <w:rsid w:val="003E29B5"/>
    <w:rsid w:val="003E6496"/>
    <w:rsid w:val="003F78E4"/>
    <w:rsid w:val="00403919"/>
    <w:rsid w:val="00406ED8"/>
    <w:rsid w:val="004070D9"/>
    <w:rsid w:val="00412972"/>
    <w:rsid w:val="00420A8A"/>
    <w:rsid w:val="0043346D"/>
    <w:rsid w:val="00440AEA"/>
    <w:rsid w:val="00467E4D"/>
    <w:rsid w:val="00472469"/>
    <w:rsid w:val="00486966"/>
    <w:rsid w:val="00490015"/>
    <w:rsid w:val="00493182"/>
    <w:rsid w:val="00493951"/>
    <w:rsid w:val="00496511"/>
    <w:rsid w:val="004A06B3"/>
    <w:rsid w:val="004B7A23"/>
    <w:rsid w:val="004C30EC"/>
    <w:rsid w:val="004D0619"/>
    <w:rsid w:val="004E6A15"/>
    <w:rsid w:val="004E7672"/>
    <w:rsid w:val="004F65DB"/>
    <w:rsid w:val="004F6FED"/>
    <w:rsid w:val="005055CB"/>
    <w:rsid w:val="00514550"/>
    <w:rsid w:val="0052339C"/>
    <w:rsid w:val="00525CAB"/>
    <w:rsid w:val="00526064"/>
    <w:rsid w:val="00530190"/>
    <w:rsid w:val="00550DFD"/>
    <w:rsid w:val="00576106"/>
    <w:rsid w:val="005849E0"/>
    <w:rsid w:val="0059273C"/>
    <w:rsid w:val="00594884"/>
    <w:rsid w:val="00596923"/>
    <w:rsid w:val="005A2BD5"/>
    <w:rsid w:val="005A6AD4"/>
    <w:rsid w:val="005B75AC"/>
    <w:rsid w:val="005D686F"/>
    <w:rsid w:val="005E1B87"/>
    <w:rsid w:val="005E1E93"/>
    <w:rsid w:val="005F6811"/>
    <w:rsid w:val="005F72BE"/>
    <w:rsid w:val="00602CEC"/>
    <w:rsid w:val="006148B0"/>
    <w:rsid w:val="00616EE3"/>
    <w:rsid w:val="00622A57"/>
    <w:rsid w:val="00623981"/>
    <w:rsid w:val="0063017E"/>
    <w:rsid w:val="00636297"/>
    <w:rsid w:val="006424AB"/>
    <w:rsid w:val="00643349"/>
    <w:rsid w:val="00652739"/>
    <w:rsid w:val="00665047"/>
    <w:rsid w:val="006656AE"/>
    <w:rsid w:val="00673764"/>
    <w:rsid w:val="00675AD9"/>
    <w:rsid w:val="006A703A"/>
    <w:rsid w:val="006B1B73"/>
    <w:rsid w:val="006C0EF5"/>
    <w:rsid w:val="006C1119"/>
    <w:rsid w:val="006D44DC"/>
    <w:rsid w:val="006D51E7"/>
    <w:rsid w:val="006E5ED4"/>
    <w:rsid w:val="006E707D"/>
    <w:rsid w:val="00702558"/>
    <w:rsid w:val="007057A9"/>
    <w:rsid w:val="0070610D"/>
    <w:rsid w:val="0071515E"/>
    <w:rsid w:val="00735C30"/>
    <w:rsid w:val="0073724D"/>
    <w:rsid w:val="00742929"/>
    <w:rsid w:val="00744BCA"/>
    <w:rsid w:val="007570C3"/>
    <w:rsid w:val="00763A49"/>
    <w:rsid w:val="007747D7"/>
    <w:rsid w:val="00775457"/>
    <w:rsid w:val="00776168"/>
    <w:rsid w:val="007825F9"/>
    <w:rsid w:val="007913D7"/>
    <w:rsid w:val="007A2658"/>
    <w:rsid w:val="007A4E42"/>
    <w:rsid w:val="007A6528"/>
    <w:rsid w:val="007C1289"/>
    <w:rsid w:val="007C67F0"/>
    <w:rsid w:val="0081020F"/>
    <w:rsid w:val="00816ED5"/>
    <w:rsid w:val="00823E84"/>
    <w:rsid w:val="00825E66"/>
    <w:rsid w:val="0083229E"/>
    <w:rsid w:val="0083268C"/>
    <w:rsid w:val="0084206C"/>
    <w:rsid w:val="0084208B"/>
    <w:rsid w:val="00853575"/>
    <w:rsid w:val="008557D6"/>
    <w:rsid w:val="00860993"/>
    <w:rsid w:val="00873B1D"/>
    <w:rsid w:val="00873BA5"/>
    <w:rsid w:val="008766A4"/>
    <w:rsid w:val="00887092"/>
    <w:rsid w:val="008901B6"/>
    <w:rsid w:val="008B2141"/>
    <w:rsid w:val="008B4318"/>
    <w:rsid w:val="008C1801"/>
    <w:rsid w:val="008E3B4D"/>
    <w:rsid w:val="008E48C0"/>
    <w:rsid w:val="008E6D60"/>
    <w:rsid w:val="0090294A"/>
    <w:rsid w:val="009029B3"/>
    <w:rsid w:val="00904D99"/>
    <w:rsid w:val="00905802"/>
    <w:rsid w:val="00920F15"/>
    <w:rsid w:val="00932463"/>
    <w:rsid w:val="00934B90"/>
    <w:rsid w:val="009415BA"/>
    <w:rsid w:val="00941DF4"/>
    <w:rsid w:val="00951B61"/>
    <w:rsid w:val="0096017E"/>
    <w:rsid w:val="00964519"/>
    <w:rsid w:val="0097230A"/>
    <w:rsid w:val="00975A58"/>
    <w:rsid w:val="00980015"/>
    <w:rsid w:val="009805FE"/>
    <w:rsid w:val="00987ADA"/>
    <w:rsid w:val="00997E01"/>
    <w:rsid w:val="009B1820"/>
    <w:rsid w:val="009B5AB5"/>
    <w:rsid w:val="009D17A8"/>
    <w:rsid w:val="009D6A23"/>
    <w:rsid w:val="009E57E9"/>
    <w:rsid w:val="009F2302"/>
    <w:rsid w:val="009F57A5"/>
    <w:rsid w:val="009F7A09"/>
    <w:rsid w:val="00A134E2"/>
    <w:rsid w:val="00A157EF"/>
    <w:rsid w:val="00A16ABA"/>
    <w:rsid w:val="00A17AA9"/>
    <w:rsid w:val="00A245F2"/>
    <w:rsid w:val="00A3503A"/>
    <w:rsid w:val="00A4077E"/>
    <w:rsid w:val="00A5108B"/>
    <w:rsid w:val="00A56F1B"/>
    <w:rsid w:val="00A65A46"/>
    <w:rsid w:val="00AA3D46"/>
    <w:rsid w:val="00AA5D70"/>
    <w:rsid w:val="00AC18B2"/>
    <w:rsid w:val="00AC6B96"/>
    <w:rsid w:val="00AE5BFD"/>
    <w:rsid w:val="00AF442D"/>
    <w:rsid w:val="00AF52C7"/>
    <w:rsid w:val="00AF671E"/>
    <w:rsid w:val="00B018AE"/>
    <w:rsid w:val="00B10E44"/>
    <w:rsid w:val="00B1609B"/>
    <w:rsid w:val="00B35988"/>
    <w:rsid w:val="00B36B8F"/>
    <w:rsid w:val="00B41D6D"/>
    <w:rsid w:val="00B50188"/>
    <w:rsid w:val="00B60218"/>
    <w:rsid w:val="00B609AF"/>
    <w:rsid w:val="00B77D36"/>
    <w:rsid w:val="00B9293B"/>
    <w:rsid w:val="00B93173"/>
    <w:rsid w:val="00BB6864"/>
    <w:rsid w:val="00BC7296"/>
    <w:rsid w:val="00BD0F9E"/>
    <w:rsid w:val="00BD24A8"/>
    <w:rsid w:val="00BD355C"/>
    <w:rsid w:val="00BD52DA"/>
    <w:rsid w:val="00BE1AEF"/>
    <w:rsid w:val="00BF1214"/>
    <w:rsid w:val="00C04C87"/>
    <w:rsid w:val="00C0546C"/>
    <w:rsid w:val="00C10418"/>
    <w:rsid w:val="00C111DA"/>
    <w:rsid w:val="00C12589"/>
    <w:rsid w:val="00C219F4"/>
    <w:rsid w:val="00C22D70"/>
    <w:rsid w:val="00C32A78"/>
    <w:rsid w:val="00C41003"/>
    <w:rsid w:val="00C43E92"/>
    <w:rsid w:val="00C44994"/>
    <w:rsid w:val="00C47F42"/>
    <w:rsid w:val="00C504C5"/>
    <w:rsid w:val="00C53C1E"/>
    <w:rsid w:val="00C543AF"/>
    <w:rsid w:val="00C55920"/>
    <w:rsid w:val="00C57C16"/>
    <w:rsid w:val="00C57DB4"/>
    <w:rsid w:val="00C65830"/>
    <w:rsid w:val="00C91CDA"/>
    <w:rsid w:val="00CA100B"/>
    <w:rsid w:val="00CA413E"/>
    <w:rsid w:val="00CA5EE1"/>
    <w:rsid w:val="00CB56FD"/>
    <w:rsid w:val="00CB7728"/>
    <w:rsid w:val="00CC544F"/>
    <w:rsid w:val="00CD65BB"/>
    <w:rsid w:val="00CE3696"/>
    <w:rsid w:val="00CE7636"/>
    <w:rsid w:val="00D055A1"/>
    <w:rsid w:val="00D05F0E"/>
    <w:rsid w:val="00D23BEE"/>
    <w:rsid w:val="00D26AED"/>
    <w:rsid w:val="00D307F7"/>
    <w:rsid w:val="00D31299"/>
    <w:rsid w:val="00D3485E"/>
    <w:rsid w:val="00D36C4D"/>
    <w:rsid w:val="00D4383F"/>
    <w:rsid w:val="00D516CB"/>
    <w:rsid w:val="00D52F3F"/>
    <w:rsid w:val="00D55EEF"/>
    <w:rsid w:val="00D563EB"/>
    <w:rsid w:val="00D63886"/>
    <w:rsid w:val="00D7165F"/>
    <w:rsid w:val="00D7634D"/>
    <w:rsid w:val="00D8262A"/>
    <w:rsid w:val="00D82B26"/>
    <w:rsid w:val="00D82E6B"/>
    <w:rsid w:val="00D91CCA"/>
    <w:rsid w:val="00D93030"/>
    <w:rsid w:val="00D95055"/>
    <w:rsid w:val="00DA2EB6"/>
    <w:rsid w:val="00DA5477"/>
    <w:rsid w:val="00DC3F53"/>
    <w:rsid w:val="00DC71A7"/>
    <w:rsid w:val="00DC74AC"/>
    <w:rsid w:val="00DE2858"/>
    <w:rsid w:val="00DF1010"/>
    <w:rsid w:val="00DF3DB5"/>
    <w:rsid w:val="00E07A61"/>
    <w:rsid w:val="00E149A1"/>
    <w:rsid w:val="00E2723F"/>
    <w:rsid w:val="00E32BEC"/>
    <w:rsid w:val="00E44344"/>
    <w:rsid w:val="00E461C7"/>
    <w:rsid w:val="00E52BD2"/>
    <w:rsid w:val="00E62CB8"/>
    <w:rsid w:val="00E664F9"/>
    <w:rsid w:val="00E67CB8"/>
    <w:rsid w:val="00E7410A"/>
    <w:rsid w:val="00E91AC6"/>
    <w:rsid w:val="00E9652E"/>
    <w:rsid w:val="00EB1616"/>
    <w:rsid w:val="00EB6C8C"/>
    <w:rsid w:val="00ED323F"/>
    <w:rsid w:val="00F072C8"/>
    <w:rsid w:val="00F22CFA"/>
    <w:rsid w:val="00F24ABA"/>
    <w:rsid w:val="00F2552F"/>
    <w:rsid w:val="00F34EC5"/>
    <w:rsid w:val="00F37E73"/>
    <w:rsid w:val="00F4524C"/>
    <w:rsid w:val="00F4744B"/>
    <w:rsid w:val="00F5661B"/>
    <w:rsid w:val="00F67AA6"/>
    <w:rsid w:val="00F718C7"/>
    <w:rsid w:val="00F74C9D"/>
    <w:rsid w:val="00F81C23"/>
    <w:rsid w:val="00F863AB"/>
    <w:rsid w:val="00F8680C"/>
    <w:rsid w:val="00F86A05"/>
    <w:rsid w:val="00FA3309"/>
    <w:rsid w:val="00FC0D28"/>
    <w:rsid w:val="00FC480F"/>
    <w:rsid w:val="00FD027B"/>
    <w:rsid w:val="00FE29D3"/>
    <w:rsid w:val="00FE4B8E"/>
    <w:rsid w:val="00FE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character" w:styleId="Hyperlink">
    <w:name w:val="Hyperlink"/>
    <w:basedOn w:val="DefaultParagraphFont"/>
    <w:uiPriority w:val="99"/>
    <w:unhideWhenUsed/>
    <w:rsid w:val="00B93173"/>
    <w:rPr>
      <w:color w:val="004EA8"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4B7A23"/>
    <w:pPr>
      <w:numPr>
        <w:numId w:val="1"/>
      </w:numPr>
      <w:spacing w:line="240" w:lineRule="auto"/>
      <w:jc w:val="both"/>
    </w:pPr>
    <w:rPr>
      <w:szCs w:val="16"/>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4B7A23"/>
    <w:rPr>
      <w:rFonts w:ascii="Arial" w:hAnsi="Arial" w:cs="Arial"/>
      <w:sz w:val="18"/>
      <w:szCs w:val="16"/>
      <w:lang w:val="en-AU"/>
    </w:rPr>
  </w:style>
  <w:style w:type="character" w:styleId="CommentReference">
    <w:name w:val="annotation reference"/>
    <w:basedOn w:val="DefaultParagraphFont"/>
    <w:uiPriority w:val="99"/>
    <w:semiHidden/>
    <w:unhideWhenUsed/>
    <w:rsid w:val="00071F38"/>
    <w:rPr>
      <w:sz w:val="16"/>
      <w:szCs w:val="16"/>
    </w:rPr>
  </w:style>
  <w:style w:type="paragraph" w:styleId="CommentText">
    <w:name w:val="annotation text"/>
    <w:basedOn w:val="Normal"/>
    <w:link w:val="CommentTextChar"/>
    <w:uiPriority w:val="99"/>
    <w:semiHidden/>
    <w:unhideWhenUsed/>
    <w:rsid w:val="00071F38"/>
    <w:pPr>
      <w:spacing w:line="240" w:lineRule="auto"/>
    </w:pPr>
    <w:rPr>
      <w:sz w:val="20"/>
      <w:szCs w:val="20"/>
    </w:rPr>
  </w:style>
  <w:style w:type="character" w:customStyle="1" w:styleId="CommentTextChar">
    <w:name w:val="Comment Text Char"/>
    <w:basedOn w:val="DefaultParagraphFont"/>
    <w:link w:val="CommentText"/>
    <w:uiPriority w:val="99"/>
    <w:semiHidden/>
    <w:rsid w:val="00071F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1F38"/>
    <w:rPr>
      <w:b/>
      <w:bCs/>
    </w:rPr>
  </w:style>
  <w:style w:type="character" w:customStyle="1" w:styleId="CommentSubjectChar">
    <w:name w:val="Comment Subject Char"/>
    <w:basedOn w:val="CommentTextChar"/>
    <w:link w:val="CommentSubject"/>
    <w:uiPriority w:val="99"/>
    <w:semiHidden/>
    <w:rsid w:val="00071F38"/>
    <w:rPr>
      <w:rFonts w:ascii="Arial" w:hAnsi="Arial" w:cs="Arial"/>
      <w:b/>
      <w:bCs/>
      <w:sz w:val="20"/>
      <w:szCs w:val="20"/>
    </w:rPr>
  </w:style>
  <w:style w:type="paragraph" w:styleId="FootnoteText">
    <w:name w:val="footnote text"/>
    <w:basedOn w:val="Normal"/>
    <w:link w:val="FootnoteTextChar"/>
    <w:uiPriority w:val="99"/>
    <w:semiHidden/>
    <w:unhideWhenUsed/>
    <w:rsid w:val="00E52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BD2"/>
    <w:rPr>
      <w:rFonts w:ascii="Arial" w:hAnsi="Arial" w:cs="Arial"/>
      <w:sz w:val="20"/>
      <w:szCs w:val="20"/>
    </w:rPr>
  </w:style>
  <w:style w:type="character" w:styleId="FootnoteReference">
    <w:name w:val="footnote reference"/>
    <w:basedOn w:val="DefaultParagraphFont"/>
    <w:uiPriority w:val="99"/>
    <w:unhideWhenUsed/>
    <w:rsid w:val="00E52BD2"/>
    <w:rPr>
      <w:vertAlign w:val="superscript"/>
    </w:rPr>
  </w:style>
  <w:style w:type="paragraph" w:styleId="NormalWeb">
    <w:name w:val="Normal (Web)"/>
    <w:basedOn w:val="Normal"/>
    <w:uiPriority w:val="99"/>
    <w:semiHidden/>
    <w:unhideWhenUsed/>
    <w:rsid w:val="00C55920"/>
    <w:pPr>
      <w:spacing w:before="100" w:beforeAutospacing="1" w:after="100" w:afterAutospacing="1" w:line="240" w:lineRule="auto"/>
    </w:pPr>
    <w:rPr>
      <w:rFonts w:ascii="Times New Roman" w:hAnsi="Times New Roman" w:cs="Times New Roman"/>
      <w:sz w:val="24"/>
      <w:szCs w:val="24"/>
      <w:lang w:val="en-AU"/>
    </w:rPr>
  </w:style>
  <w:style w:type="character" w:customStyle="1" w:styleId="UnresolvedMention">
    <w:name w:val="Unresolved Mention"/>
    <w:basedOn w:val="DefaultParagraphFont"/>
    <w:uiPriority w:val="99"/>
    <w:semiHidden/>
    <w:unhideWhenUsed/>
    <w:rsid w:val="00C0546C"/>
    <w:rPr>
      <w:color w:val="808080"/>
      <w:shd w:val="clear" w:color="auto" w:fill="E6E6E6"/>
    </w:rPr>
  </w:style>
  <w:style w:type="character" w:styleId="FollowedHyperlink">
    <w:name w:val="FollowedHyperlink"/>
    <w:basedOn w:val="DefaultParagraphFont"/>
    <w:uiPriority w:val="99"/>
    <w:semiHidden/>
    <w:unhideWhenUsed/>
    <w:rsid w:val="00C0546C"/>
    <w:rPr>
      <w:color w:val="87189D" w:themeColor="followedHyperlink"/>
      <w:u w:val="single"/>
    </w:rPr>
  </w:style>
  <w:style w:type="character" w:customStyle="1" w:styleId="A3">
    <w:name w:val="A3"/>
    <w:basedOn w:val="DefaultParagraphFont"/>
    <w:uiPriority w:val="99"/>
    <w:rsid w:val="0007304F"/>
    <w:rPr>
      <w:rFonts w:ascii="VIC Light" w:hAnsi="VIC Light" w:hint="default"/>
      <w:color w:val="000000"/>
    </w:rPr>
  </w:style>
  <w:style w:type="character" w:styleId="EndnoteReference">
    <w:name w:val="endnote reference"/>
    <w:basedOn w:val="DefaultParagraphFont"/>
    <w:uiPriority w:val="99"/>
    <w:semiHidden/>
    <w:unhideWhenUsed/>
    <w:rsid w:val="00073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429">
      <w:bodyDiv w:val="1"/>
      <w:marLeft w:val="0"/>
      <w:marRight w:val="0"/>
      <w:marTop w:val="0"/>
      <w:marBottom w:val="0"/>
      <w:divBdr>
        <w:top w:val="none" w:sz="0" w:space="0" w:color="auto"/>
        <w:left w:val="none" w:sz="0" w:space="0" w:color="auto"/>
        <w:bottom w:val="none" w:sz="0" w:space="0" w:color="auto"/>
        <w:right w:val="none" w:sz="0" w:space="0" w:color="auto"/>
      </w:divBdr>
    </w:div>
    <w:div w:id="325090474">
      <w:bodyDiv w:val="1"/>
      <w:marLeft w:val="0"/>
      <w:marRight w:val="0"/>
      <w:marTop w:val="0"/>
      <w:marBottom w:val="0"/>
      <w:divBdr>
        <w:top w:val="none" w:sz="0" w:space="0" w:color="auto"/>
        <w:left w:val="none" w:sz="0" w:space="0" w:color="auto"/>
        <w:bottom w:val="none" w:sz="0" w:space="0" w:color="auto"/>
        <w:right w:val="none" w:sz="0" w:space="0" w:color="auto"/>
      </w:divBdr>
    </w:div>
    <w:div w:id="703293398">
      <w:bodyDiv w:val="1"/>
      <w:marLeft w:val="0"/>
      <w:marRight w:val="0"/>
      <w:marTop w:val="0"/>
      <w:marBottom w:val="0"/>
      <w:divBdr>
        <w:top w:val="none" w:sz="0" w:space="0" w:color="auto"/>
        <w:left w:val="none" w:sz="0" w:space="0" w:color="auto"/>
        <w:bottom w:val="none" w:sz="0" w:space="0" w:color="auto"/>
        <w:right w:val="none" w:sz="0" w:space="0" w:color="auto"/>
      </w:divBdr>
    </w:div>
    <w:div w:id="1223373321">
      <w:bodyDiv w:val="1"/>
      <w:marLeft w:val="0"/>
      <w:marRight w:val="0"/>
      <w:marTop w:val="0"/>
      <w:marBottom w:val="0"/>
      <w:divBdr>
        <w:top w:val="none" w:sz="0" w:space="0" w:color="auto"/>
        <w:left w:val="none" w:sz="0" w:space="0" w:color="auto"/>
        <w:bottom w:val="none" w:sz="0" w:space="0" w:color="auto"/>
        <w:right w:val="none" w:sz="0" w:space="0" w:color="auto"/>
      </w:divBdr>
    </w:div>
    <w:div w:id="195382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Documents/school/teachers/support/practiceprinreflection.pdf" TargetMode="External"/><Relationship Id="rId18" Type="http://schemas.openxmlformats.org/officeDocument/2006/relationships/hyperlink" Target="https://www.education.vic.gov.au/school/teachers/teachingresources/practice/improve/Pages/evaluateimpactteaching.aspx" TargetMode="External"/><Relationship Id="rId26" Type="http://schemas.openxmlformats.org/officeDocument/2006/relationships/hyperlink" Target="https://www.education.vic.gov.au/Documents/school/teachers/teachingresources/literacynumeracy/Literacy_and_Numeracy_Strategy_Phase_2.pdf" TargetMode="External"/><Relationship Id="rId3" Type="http://schemas.openxmlformats.org/officeDocument/2006/relationships/customXml" Target="../customXml/item3.xml"/><Relationship Id="rId21" Type="http://schemas.openxmlformats.org/officeDocument/2006/relationships/hyperlink" Target="http://www.education.vic.gov.au/Documents/school/teachers/support/highimpactteachstrat.pdf" TargetMode="External"/><Relationship Id="rId7" Type="http://schemas.openxmlformats.org/officeDocument/2006/relationships/settings" Target="settings.xml"/><Relationship Id="rId12" Type="http://schemas.openxmlformats.org/officeDocument/2006/relationships/hyperlink" Target="http://www.education.vic.gov.au/Documents/school/teachers/support/practiceprinreflection.pdf" TargetMode="External"/><Relationship Id="rId17" Type="http://schemas.openxmlformats.org/officeDocument/2006/relationships/hyperlink" Target="http://www.education.vic.gov.au/school/teachers/teachingresources/practice/improve/Pages/ppe-elements.aspx?Redirect=1" TargetMode="External"/><Relationship Id="rId25" Type="http://schemas.openxmlformats.org/officeDocument/2006/relationships/hyperlink" Target="https://www.youtube.com/watch?v=IO9YI7zGM1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school/teachers/teachingresources/discipline/english/literacy/speakinglistening/Pages/instruction.aspx" TargetMode="External"/><Relationship Id="rId20" Type="http://schemas.openxmlformats.org/officeDocument/2006/relationships/hyperlink" Target="http://www.education.vic.gov.au/school/teachers/management/improvement/Pages/FISO.aspx" TargetMode="External"/><Relationship Id="rId29" Type="http://schemas.openxmlformats.org/officeDocument/2006/relationships/hyperlink" Target="mailto:professional.practice@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school/teachers/support/practiceprinciples.pdf" TargetMode="External"/><Relationship Id="rId24" Type="http://schemas.openxmlformats.org/officeDocument/2006/relationships/hyperlink" Target="http://www.education.vic.gov.au/Documents/school/teachers/support/practiceprinreflection.pdf" TargetMode="External"/><Relationship Id="rId32" Type="http://schemas.openxmlformats.org/officeDocument/2006/relationships/fontTable" Target="fontTable.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education.vic.gov.au/school/teachers/teachingresources/discipline/english/literacy/Pages/expertvideos.aspx" TargetMode="External"/><Relationship Id="rId23" Type="http://schemas.openxmlformats.org/officeDocument/2006/relationships/hyperlink" Target="https://www.education.vic.gov.au/Documents/school/teachers/support/practiceprinciples.pdf" TargetMode="External"/><Relationship Id="rId28" Type="http://schemas.openxmlformats.org/officeDocument/2006/relationships/hyperlink" Target="https://www.education.vic.gov.au/school/teachers/teachingresources/discipline/english/Pages/literacyportal.aspx" TargetMode="External"/><Relationship Id="rId10" Type="http://schemas.openxmlformats.org/officeDocument/2006/relationships/endnotes" Target="endnotes.xml"/><Relationship Id="rId19" Type="http://schemas.openxmlformats.org/officeDocument/2006/relationships/hyperlink" Target="http://www.education.vic.gov.au/school/teachers/teachingresources/discipline/english/literacy/Pages/expertvideos.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Documents/school/teachers/support/practiceprinreflection.pdf" TargetMode="External"/><Relationship Id="rId22" Type="http://schemas.openxmlformats.org/officeDocument/2006/relationships/hyperlink" Target="https://www.education.vic.gov.au/school/teachers/teachingresources/practice/improve/Pages/peerobservation.aspx" TargetMode="External"/><Relationship Id="rId27" Type="http://schemas.openxmlformats.org/officeDocument/2006/relationships/hyperlink" Target="http://www.education.vic.gov.au/school/teachers/teachingresources/discipline/english/literacy/Pages/default.aspx"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sc.cornell.edu/notes.html" TargetMode="External"/><Relationship Id="rId1" Type="http://schemas.openxmlformats.org/officeDocument/2006/relationships/hyperlink" Target="http://www.education.vic.gov.au/school/teachers/teachingresources/discipline/english/literacy/Pages/expertvideo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1D05CD40-0AD4-4FC9-A289-F4FFCC4CFFAB}"/>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B68B96A8-83FE-4495-9822-0003AB04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Beck, Luke L</cp:lastModifiedBy>
  <cp:revision>3</cp:revision>
  <cp:lastPrinted>2018-06-01T06:27:00Z</cp:lastPrinted>
  <dcterms:created xsi:type="dcterms:W3CDTF">2018-07-24T06:54:00Z</dcterms:created>
  <dcterms:modified xsi:type="dcterms:W3CDTF">2019-05-27T02:14:00Z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{f5368c2d-903c-42e4-9422-50d6891e545d}</vt:lpwstr>
  </property>
  <property fmtid="{D5CDD505-2E9C-101B-9397-08002B2CF9AE}" pid="8" name="RecordPoint_ActiveItemUniqueId">
    <vt:lpwstr>{237b5e99-feae-469e-99f5-c30939b5f72f}</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R0001003790</vt:lpwstr>
  </property>
  <property fmtid="{D5CDD505-2E9C-101B-9397-08002B2CF9AE}" pid="12" name="RecordPoint_SubmissionCompleted">
    <vt:lpwstr>2017-09-05T12:51:41.8552186+10:00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DEECD_ItemType">
    <vt:lpwstr>101;#Page|eb523acf-a821-456c-a76b-7607578309d7</vt:lpwstr>
  </property>
  <property fmtid="{D5CDD505-2E9C-101B-9397-08002B2CF9AE}" pid="16" name="ofbb8b9a280a423a91cf717fb81349cd">
    <vt:lpwstr>Education|5232e41c-5101-41fe-b638-7d41d1371531</vt:lpwstr>
  </property>
</Properties>
</file>