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78" w:rsidRDefault="005935A1" w:rsidP="00FF01CA">
      <w:pPr>
        <w:pStyle w:val="Heading1"/>
        <w:rPr>
          <w:lang w:val="en-AU"/>
        </w:rPr>
      </w:pPr>
      <w:r w:rsidRPr="00686D81">
        <w:rPr>
          <w:lang w:val="en-AU"/>
        </w:rPr>
        <w:t>Early years of school</w:t>
      </w:r>
      <w:r>
        <w:rPr>
          <w:lang w:val="en-AU"/>
        </w:rPr>
        <w:t xml:space="preserve"> </w:t>
      </w:r>
    </w:p>
    <w:p w:rsidR="00F4711B" w:rsidRPr="00723278" w:rsidRDefault="00F4711B" w:rsidP="00FF01CA">
      <w:pPr>
        <w:pStyle w:val="Heading2"/>
        <w:rPr>
          <w:lang w:val="en-AU"/>
        </w:rPr>
      </w:pPr>
      <w:r w:rsidRPr="00723278">
        <w:rPr>
          <w:lang w:val="en-AU"/>
        </w:rPr>
        <w:t xml:space="preserve">connecting </w:t>
      </w:r>
      <w:r w:rsidR="005935A1" w:rsidRPr="00723278">
        <w:rPr>
          <w:lang w:val="en-AU"/>
        </w:rPr>
        <w:t>the VEYLDF</w:t>
      </w:r>
      <w:r w:rsidR="00873A03" w:rsidRPr="00723278">
        <w:rPr>
          <w:lang w:val="en-AU"/>
        </w:rPr>
        <w:t xml:space="preserve"> with the practice principles</w:t>
      </w:r>
      <w:r w:rsidR="00015F5E" w:rsidRPr="00723278">
        <w:rPr>
          <w:lang w:val="en-AU"/>
        </w:rPr>
        <w:t xml:space="preserve"> for excellence in teaching and learning</w:t>
      </w:r>
    </w:p>
    <w:p w:rsidR="005935A1" w:rsidRDefault="005935A1" w:rsidP="00624A55">
      <w:pPr>
        <w:pStyle w:val="Intro"/>
      </w:pPr>
    </w:p>
    <w:p w:rsidR="00FA6D79" w:rsidRDefault="00FA6D79" w:rsidP="00624A55">
      <w:pPr>
        <w:pStyle w:val="Intro"/>
        <w:rPr>
          <w:rFonts w:asciiTheme="majorHAnsi" w:eastAsiaTheme="majorEastAsia" w:hAnsiTheme="majorHAnsi" w:cstheme="majorBidi"/>
          <w:b/>
          <w:caps/>
          <w:sz w:val="26"/>
          <w:szCs w:val="26"/>
        </w:rPr>
      </w:pPr>
      <w:r w:rsidRPr="00F4711B">
        <w:rPr>
          <w:rFonts w:asciiTheme="majorHAnsi" w:eastAsiaTheme="majorEastAsia" w:hAnsiTheme="majorHAnsi" w:cstheme="majorBidi"/>
          <w:b/>
          <w:caps/>
          <w:sz w:val="26"/>
          <w:szCs w:val="26"/>
        </w:rPr>
        <w:t xml:space="preserve">Why Birth to Eight Years and Why it Matters </w:t>
      </w:r>
    </w:p>
    <w:p w:rsidR="005935A1" w:rsidRDefault="005935A1" w:rsidP="00624A55">
      <w:pPr>
        <w:pStyle w:val="Intro"/>
        <w:rPr>
          <w:lang w:eastAsia="en-AU"/>
        </w:rPr>
      </w:pPr>
      <w:r>
        <w:t xml:space="preserve">Teachers working in the early years of school understand the importance of early learning. </w:t>
      </w:r>
      <w:r w:rsidR="00F4711B">
        <w:t>From birth to eight years, children’s developi</w:t>
      </w:r>
      <w:r>
        <w:t xml:space="preserve">ng brains undergo rapid change and </w:t>
      </w:r>
      <w:r w:rsidR="00F4711B">
        <w:rPr>
          <w:lang w:eastAsia="en-AU"/>
        </w:rPr>
        <w:t>pathways set in the very early years of a child’s life</w:t>
      </w:r>
      <w:r w:rsidR="00DB6C34">
        <w:rPr>
          <w:lang w:eastAsia="en-AU"/>
        </w:rPr>
        <w:t>,</w:t>
      </w:r>
      <w:r w:rsidR="00F4711B">
        <w:rPr>
          <w:lang w:eastAsia="en-AU"/>
        </w:rPr>
        <w:t xml:space="preserve"> program particular ways of learning. </w:t>
      </w:r>
    </w:p>
    <w:p w:rsidR="005935A1" w:rsidRDefault="00F4711B" w:rsidP="00624A55">
      <w:pPr>
        <w:pStyle w:val="Intro"/>
        <w:rPr>
          <w:noProof/>
        </w:rPr>
      </w:pPr>
      <w:r>
        <w:rPr>
          <w:noProof/>
        </w:rPr>
        <w:t>While genetics play an important role in this selective process, it is a child’s early experiences that are crucial in determining how the brain will eventually be hard wired</w:t>
      </w:r>
      <w:r w:rsidR="005935A1">
        <w:rPr>
          <w:noProof/>
        </w:rPr>
        <w:t xml:space="preserve"> and impact on later learning and development</w:t>
      </w:r>
      <w:r>
        <w:rPr>
          <w:noProof/>
        </w:rPr>
        <w:t xml:space="preserve">. </w:t>
      </w:r>
    </w:p>
    <w:p w:rsidR="00624A55" w:rsidRPr="00624A55" w:rsidRDefault="00F4711B" w:rsidP="00624A55">
      <w:pPr>
        <w:pStyle w:val="Intro"/>
      </w:pPr>
      <w:r w:rsidRPr="00D304E9">
        <w:rPr>
          <w:lang w:val="en-US"/>
        </w:rPr>
        <w:t xml:space="preserve">This is when children have the greatest opportunities to develop neural pathways for learning and </w:t>
      </w:r>
      <w:proofErr w:type="gramStart"/>
      <w:r w:rsidRPr="00D304E9">
        <w:rPr>
          <w:lang w:val="en-US"/>
        </w:rPr>
        <w:t>are also</w:t>
      </w:r>
      <w:proofErr w:type="gramEnd"/>
      <w:r w:rsidRPr="00D304E9">
        <w:rPr>
          <w:lang w:val="en-US"/>
        </w:rPr>
        <w:t xml:space="preserve"> most vulnerable to negative experiences</w:t>
      </w:r>
      <w:r w:rsidR="005935A1">
        <w:rPr>
          <w:lang w:val="en-US"/>
        </w:rPr>
        <w:t>.</w:t>
      </w:r>
    </w:p>
    <w:p w:rsidR="00624A55" w:rsidRPr="00624A55" w:rsidRDefault="00FA6D79" w:rsidP="00624A55">
      <w:pPr>
        <w:pStyle w:val="Heading3"/>
        <w:rPr>
          <w:lang w:val="en-AU"/>
        </w:rPr>
      </w:pPr>
      <w:r>
        <w:rPr>
          <w:lang w:val="en-AU"/>
        </w:rPr>
        <w:t>Victorian Early Years Learning and Development Framework (VEYLDF)</w:t>
      </w:r>
    </w:p>
    <w:p w:rsidR="005935A1" w:rsidRDefault="00F4711B" w:rsidP="00F4711B">
      <w:pPr>
        <w:rPr>
          <w:lang w:val="en-US"/>
        </w:rPr>
      </w:pPr>
      <w:r w:rsidRPr="00F4711B">
        <w:rPr>
          <w:lang w:val="en-US"/>
        </w:rPr>
        <w:t xml:space="preserve">Research underscores the imperative for </w:t>
      </w:r>
      <w:r w:rsidR="005935A1">
        <w:rPr>
          <w:lang w:val="en-US"/>
        </w:rPr>
        <w:t xml:space="preserve">all professionals to </w:t>
      </w:r>
      <w:r w:rsidR="00A74345">
        <w:rPr>
          <w:lang w:val="en-US"/>
        </w:rPr>
        <w:t xml:space="preserve">collaborate to </w:t>
      </w:r>
      <w:proofErr w:type="spellStart"/>
      <w:r w:rsidR="00A74345">
        <w:rPr>
          <w:lang w:val="en-US"/>
        </w:rPr>
        <w:t>optimis</w:t>
      </w:r>
      <w:r w:rsidR="005935A1">
        <w:rPr>
          <w:lang w:val="en-US"/>
        </w:rPr>
        <w:t>e</w:t>
      </w:r>
      <w:proofErr w:type="spellEnd"/>
      <w:r w:rsidRPr="00F4711B">
        <w:rPr>
          <w:lang w:val="en-US"/>
        </w:rPr>
        <w:t xml:space="preserve"> </w:t>
      </w:r>
      <w:r w:rsidR="00FA6D79">
        <w:rPr>
          <w:lang w:val="en-US"/>
        </w:rPr>
        <w:t xml:space="preserve">every child’s </w:t>
      </w:r>
      <w:r w:rsidRPr="00F4711B">
        <w:rPr>
          <w:lang w:val="en-US"/>
        </w:rPr>
        <w:t xml:space="preserve">learning and development, health and wellbeing in partnership with families. </w:t>
      </w:r>
      <w:r w:rsidR="005935A1">
        <w:rPr>
          <w:lang w:val="en-US"/>
        </w:rPr>
        <w:t xml:space="preserve">Primary schools and early childhood programs understand the critical importance of </w:t>
      </w:r>
      <w:r w:rsidRPr="00F4711B">
        <w:rPr>
          <w:lang w:val="en-US"/>
        </w:rPr>
        <w:t xml:space="preserve">continuity of learning for young children as </w:t>
      </w:r>
      <w:r w:rsidR="00DB6C34">
        <w:rPr>
          <w:lang w:val="en-US"/>
        </w:rPr>
        <w:t xml:space="preserve">they experience </w:t>
      </w:r>
      <w:r w:rsidR="005935A1">
        <w:rPr>
          <w:lang w:val="en-US"/>
        </w:rPr>
        <w:t xml:space="preserve">transition into the early years of school. </w:t>
      </w:r>
      <w:r w:rsidRPr="00F4711B">
        <w:rPr>
          <w:lang w:val="en-US"/>
        </w:rPr>
        <w:t xml:space="preserve"> </w:t>
      </w:r>
      <w:r w:rsidR="005718F3">
        <w:rPr>
          <w:lang w:val="en-US"/>
        </w:rPr>
        <w:t>Consistent teacher practice further promotes con</w:t>
      </w:r>
      <w:r w:rsidR="00DB6C34">
        <w:rPr>
          <w:lang w:val="en-US"/>
        </w:rPr>
        <w:t>tinuity</w:t>
      </w:r>
      <w:r w:rsidR="005718F3">
        <w:rPr>
          <w:lang w:val="en-US"/>
        </w:rPr>
        <w:t xml:space="preserve"> and provides early years teachers with a shared language and understandings.</w:t>
      </w:r>
    </w:p>
    <w:p w:rsidR="005718F3" w:rsidRDefault="00F4711B" w:rsidP="00FA6D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4CED0" w:themeFill="accent1" w:themeFillTint="33"/>
        <w:rPr>
          <w:lang w:val="en-US"/>
        </w:rPr>
      </w:pPr>
      <w:r w:rsidRPr="00FA6D79">
        <w:rPr>
          <w:lang w:val="en-US"/>
        </w:rPr>
        <w:t xml:space="preserve">An informed understanding of the </w:t>
      </w:r>
      <w:r w:rsidR="00FA6D79" w:rsidRPr="00FA6D79">
        <w:rPr>
          <w:lang w:val="en-US"/>
        </w:rPr>
        <w:t>evidence of</w:t>
      </w:r>
      <w:r w:rsidRPr="00FA6D79">
        <w:rPr>
          <w:lang w:val="en-US"/>
        </w:rPr>
        <w:t xml:space="preserve"> early learning and development guides </w:t>
      </w:r>
      <w:r w:rsidR="00FA6D79" w:rsidRPr="00FA6D79">
        <w:rPr>
          <w:lang w:val="en-US"/>
        </w:rPr>
        <w:t xml:space="preserve">professionals to know </w:t>
      </w:r>
      <w:r w:rsidRPr="00FA6D79">
        <w:rPr>
          <w:lang w:val="en-US"/>
        </w:rPr>
        <w:t xml:space="preserve">what children need to thrive and </w:t>
      </w:r>
      <w:r w:rsidR="00FA6D79" w:rsidRPr="00FA6D79">
        <w:rPr>
          <w:lang w:val="en-US"/>
        </w:rPr>
        <w:t>how to</w:t>
      </w:r>
      <w:r w:rsidRPr="00FA6D79">
        <w:rPr>
          <w:lang w:val="en-US"/>
        </w:rPr>
        <w:t xml:space="preserve"> best support this.</w:t>
      </w:r>
      <w:r w:rsidR="00FA6D79" w:rsidRPr="00FA6D79">
        <w:rPr>
          <w:lang w:val="en-US"/>
        </w:rPr>
        <w:t xml:space="preserve"> </w:t>
      </w:r>
    </w:p>
    <w:p w:rsidR="00F4711B" w:rsidRPr="00FA6D79" w:rsidRDefault="00FA6D79" w:rsidP="00FA6D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4CED0" w:themeFill="accent1" w:themeFillTint="33"/>
        <w:rPr>
          <w:lang w:val="en-US"/>
        </w:rPr>
      </w:pPr>
      <w:r w:rsidRPr="00FA6D79">
        <w:rPr>
          <w:lang w:val="en-US"/>
        </w:rPr>
        <w:t xml:space="preserve">This is why the VEYLDF is the endorsed </w:t>
      </w:r>
      <w:r w:rsidR="00861344">
        <w:rPr>
          <w:lang w:val="en-US"/>
        </w:rPr>
        <w:t xml:space="preserve">Victorian </w:t>
      </w:r>
      <w:r w:rsidRPr="00FA6D79">
        <w:rPr>
          <w:lang w:val="en-US"/>
        </w:rPr>
        <w:t xml:space="preserve">Framework for all professionals working with children, including teachers in the early years of school. </w:t>
      </w:r>
    </w:p>
    <w:p w:rsidR="00624A55" w:rsidRPr="00624A55" w:rsidRDefault="000521DF" w:rsidP="00624A55">
      <w:pPr>
        <w:pStyle w:val="Heading2"/>
        <w:rPr>
          <w:lang w:val="en-AU"/>
        </w:rPr>
      </w:pPr>
      <w:r>
        <w:rPr>
          <w:lang w:val="en-AU"/>
        </w:rPr>
        <w:t>making the connection –</w:t>
      </w:r>
      <w:r w:rsidR="005718F3">
        <w:rPr>
          <w:lang w:val="en-AU"/>
        </w:rPr>
        <w:t xml:space="preserve"> </w:t>
      </w:r>
      <w:r w:rsidR="00861344">
        <w:rPr>
          <w:lang w:val="en-AU"/>
        </w:rPr>
        <w:t xml:space="preserve">outcomes </w:t>
      </w:r>
      <w:r w:rsidR="005718F3">
        <w:rPr>
          <w:lang w:val="en-AU"/>
        </w:rPr>
        <w:t>and practice principles</w:t>
      </w:r>
    </w:p>
    <w:p w:rsidR="00CB48F1" w:rsidRDefault="000521DF" w:rsidP="00624A55">
      <w:pPr>
        <w:rPr>
          <w:lang w:val="en-US"/>
        </w:rPr>
      </w:pPr>
      <w:r>
        <w:rPr>
          <w:lang w:val="en-US"/>
        </w:rPr>
        <w:t xml:space="preserve">The VEYLDF </w:t>
      </w:r>
      <w:r w:rsidR="00CB48F1" w:rsidRPr="005718F3">
        <w:rPr>
          <w:b/>
          <w:lang w:val="en-US"/>
        </w:rPr>
        <w:t>Learning and Development Outcomes</w:t>
      </w:r>
      <w:r w:rsidR="00CB48F1">
        <w:rPr>
          <w:lang w:val="en-US"/>
        </w:rPr>
        <w:t xml:space="preserve"> map to the first three levels of the </w:t>
      </w:r>
      <w:r w:rsidR="005718F3" w:rsidRPr="000521DF">
        <w:rPr>
          <w:lang w:val="en-US"/>
        </w:rPr>
        <w:t xml:space="preserve">Victorian Curriculum F–10 </w:t>
      </w:r>
      <w:r w:rsidR="00CB48F1">
        <w:rPr>
          <w:lang w:val="en-US"/>
        </w:rPr>
        <w:t xml:space="preserve">to support </w:t>
      </w:r>
      <w:r w:rsidR="005718F3">
        <w:rPr>
          <w:lang w:val="en-US"/>
        </w:rPr>
        <w:t xml:space="preserve">teachers </w:t>
      </w:r>
      <w:r w:rsidR="00CB48F1">
        <w:rPr>
          <w:lang w:val="en-US"/>
        </w:rPr>
        <w:t>to undertake joint approaches to planning and transition and support children’s progression along a continuum of learning and achievement.</w:t>
      </w:r>
      <w:r w:rsidR="005718F3">
        <w:rPr>
          <w:lang w:val="en-US"/>
        </w:rPr>
        <w:t xml:space="preserve"> </w:t>
      </w:r>
      <w:r w:rsidR="00FF01CA">
        <w:rPr>
          <w:lang w:val="en-US"/>
        </w:rPr>
        <w:t>See t</w:t>
      </w:r>
      <w:r w:rsidR="00CB48F1">
        <w:rPr>
          <w:lang w:val="en-US"/>
        </w:rPr>
        <w:t xml:space="preserve">he </w:t>
      </w:r>
      <w:hyperlink r:id="rId11" w:history="1">
        <w:r w:rsidR="00CB48F1" w:rsidRPr="00FF01CA">
          <w:rPr>
            <w:rStyle w:val="Hyperlink"/>
            <w:lang w:val="en-US"/>
          </w:rPr>
          <w:t>Illustrative Maps from the VEYLDF to the Victorian Cu</w:t>
        </w:r>
        <w:r w:rsidR="00FF01CA" w:rsidRPr="00FF01CA">
          <w:rPr>
            <w:rStyle w:val="Hyperlink"/>
            <w:lang w:val="en-US"/>
          </w:rPr>
          <w:t>rriculum F-10.</w:t>
        </w:r>
      </w:hyperlink>
      <w:r w:rsidR="00FF01CA">
        <w:rPr>
          <w:lang w:val="en-US"/>
        </w:rPr>
        <w:t xml:space="preserve"> </w:t>
      </w:r>
    </w:p>
    <w:p w:rsidR="00861344" w:rsidRDefault="00015F5E" w:rsidP="00624A55">
      <w:pPr>
        <w:rPr>
          <w:lang w:val="en-US"/>
        </w:rPr>
      </w:pPr>
      <w:r w:rsidRPr="00CE6EE4">
        <w:rPr>
          <w:lang w:val="en-US"/>
        </w:rPr>
        <w:t xml:space="preserve">The </w:t>
      </w:r>
      <w:r w:rsidRPr="005718F3">
        <w:rPr>
          <w:b/>
          <w:lang w:val="en-US"/>
        </w:rPr>
        <w:t>Practice Principles for Excellence in Teaching and Learning</w:t>
      </w:r>
      <w:r w:rsidR="005718F3">
        <w:rPr>
          <w:lang w:val="en-US"/>
        </w:rPr>
        <w:t xml:space="preserve"> </w:t>
      </w:r>
      <w:r w:rsidRPr="00CE6EE4">
        <w:rPr>
          <w:lang w:val="en-US"/>
        </w:rPr>
        <w:t xml:space="preserve">align with the </w:t>
      </w:r>
      <w:r w:rsidRPr="00861344">
        <w:rPr>
          <w:b/>
          <w:lang w:val="en-US"/>
        </w:rPr>
        <w:t>VEYLDF Practice Principles.</w:t>
      </w:r>
      <w:r w:rsidRPr="00CE6EE4">
        <w:rPr>
          <w:lang w:val="en-US"/>
        </w:rPr>
        <w:t xml:space="preserve"> </w:t>
      </w:r>
    </w:p>
    <w:p w:rsidR="00CB48F1" w:rsidRDefault="00CE6EE4" w:rsidP="00624A55">
      <w:pPr>
        <w:rPr>
          <w:lang w:val="en-US"/>
        </w:rPr>
      </w:pPr>
      <w:r w:rsidRPr="00CE6EE4">
        <w:rPr>
          <w:lang w:val="en-US"/>
        </w:rPr>
        <w:t>Based on contemporary international evidence, the VEYLDF Practice Principles describe the best ways to support early childhood learning and de</w:t>
      </w:r>
      <w:r w:rsidR="004A0622">
        <w:rPr>
          <w:lang w:val="en-US"/>
        </w:rPr>
        <w:t xml:space="preserve">velopment and inform </w:t>
      </w:r>
      <w:r w:rsidRPr="00CE6EE4">
        <w:rPr>
          <w:lang w:val="en-US"/>
        </w:rPr>
        <w:t>pedagogy to support, scaffold and progress learning.</w:t>
      </w:r>
    </w:p>
    <w:p w:rsidR="00861344" w:rsidRPr="000521DF" w:rsidRDefault="00861344" w:rsidP="00624A5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1"/>
      </w:tblGrid>
      <w:tr w:rsidR="005426A6" w:rsidRPr="00861344" w:rsidTr="007628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5426A6" w:rsidRPr="00861344" w:rsidRDefault="005426A6" w:rsidP="007B556E">
            <w:pPr>
              <w:pStyle w:val="TableHead"/>
              <w:rPr>
                <w:sz w:val="16"/>
                <w:szCs w:val="16"/>
              </w:rPr>
            </w:pPr>
            <w:r w:rsidRPr="00861344">
              <w:rPr>
                <w:sz w:val="16"/>
                <w:szCs w:val="16"/>
              </w:rPr>
              <w:lastRenderedPageBreak/>
              <w:t xml:space="preserve">VEYLDF Practice Principles </w:t>
            </w:r>
          </w:p>
        </w:tc>
        <w:tc>
          <w:tcPr>
            <w:tcW w:w="6521" w:type="dxa"/>
          </w:tcPr>
          <w:p w:rsidR="005426A6" w:rsidRPr="00861344" w:rsidRDefault="005426A6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344">
              <w:rPr>
                <w:sz w:val="16"/>
                <w:szCs w:val="16"/>
              </w:rPr>
              <w:t>Practice Principles for Excellence in Teaching and Learning</w:t>
            </w:r>
          </w:p>
        </w:tc>
      </w:tr>
      <w:tr w:rsidR="005426A6" w:rsidRPr="00861344" w:rsidTr="00762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5426A6" w:rsidRPr="00861344" w:rsidRDefault="0076280F" w:rsidP="007B556E">
            <w:pPr>
              <w:pStyle w:val="TableHead"/>
              <w:rPr>
                <w:b w:val="0"/>
                <w:color w:val="AF272F" w:themeColor="accent1"/>
                <w:sz w:val="16"/>
                <w:szCs w:val="16"/>
              </w:rPr>
            </w:pPr>
            <w:r w:rsidRPr="00861344">
              <w:rPr>
                <w:b w:val="0"/>
                <w:color w:val="AF272F" w:themeColor="accent1"/>
                <w:sz w:val="16"/>
                <w:szCs w:val="16"/>
              </w:rPr>
              <w:t>R</w:t>
            </w:r>
            <w:r w:rsidR="00735666" w:rsidRPr="00861344">
              <w:rPr>
                <w:b w:val="0"/>
                <w:color w:val="AF272F" w:themeColor="accent1"/>
                <w:sz w:val="16"/>
                <w:szCs w:val="16"/>
              </w:rPr>
              <w:t>eflective p</w:t>
            </w:r>
            <w:r w:rsidRPr="00861344">
              <w:rPr>
                <w:b w:val="0"/>
                <w:color w:val="AF272F" w:themeColor="accent1"/>
                <w:sz w:val="16"/>
                <w:szCs w:val="16"/>
              </w:rPr>
              <w:t>ractice</w:t>
            </w:r>
          </w:p>
        </w:tc>
        <w:tc>
          <w:tcPr>
            <w:tcW w:w="6521" w:type="dxa"/>
          </w:tcPr>
          <w:p w:rsidR="0076280F" w:rsidRPr="00861344" w:rsidRDefault="00735666" w:rsidP="006B4048">
            <w:pPr>
              <w:pStyle w:val="Number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344">
              <w:rPr>
                <w:sz w:val="16"/>
                <w:szCs w:val="16"/>
              </w:rPr>
              <w:t>Curriculum p</w:t>
            </w:r>
            <w:r w:rsidR="006B4048" w:rsidRPr="00861344">
              <w:rPr>
                <w:sz w:val="16"/>
                <w:szCs w:val="16"/>
              </w:rPr>
              <w:t>lanning and implementation engages and challenges all students</w:t>
            </w:r>
          </w:p>
        </w:tc>
      </w:tr>
      <w:tr w:rsidR="005426A6" w:rsidRPr="00861344" w:rsidTr="00762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5426A6" w:rsidRPr="00861344" w:rsidRDefault="00735666" w:rsidP="00624A55">
            <w:pPr>
              <w:rPr>
                <w:sz w:val="16"/>
                <w:szCs w:val="16"/>
                <w:lang w:val="en-AU"/>
              </w:rPr>
            </w:pPr>
            <w:r w:rsidRPr="00861344">
              <w:rPr>
                <w:sz w:val="16"/>
                <w:szCs w:val="16"/>
                <w:lang w:val="en-AU"/>
              </w:rPr>
              <w:t>Partnerships with f</w:t>
            </w:r>
            <w:r w:rsidR="0076280F" w:rsidRPr="00861344">
              <w:rPr>
                <w:sz w:val="16"/>
                <w:szCs w:val="16"/>
                <w:lang w:val="en-AU"/>
              </w:rPr>
              <w:t>amilies</w:t>
            </w:r>
          </w:p>
        </w:tc>
        <w:tc>
          <w:tcPr>
            <w:tcW w:w="6521" w:type="dxa"/>
          </w:tcPr>
          <w:p w:rsidR="00D32606" w:rsidRPr="00861344" w:rsidRDefault="00735666" w:rsidP="00624A55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AU"/>
              </w:rPr>
            </w:pPr>
            <w:r w:rsidRPr="00861344">
              <w:rPr>
                <w:sz w:val="16"/>
                <w:szCs w:val="16"/>
                <w:lang w:val="en-AU"/>
              </w:rPr>
              <w:t>A supportive and productive learning environment promotes inclusion and collaboration</w:t>
            </w:r>
          </w:p>
          <w:p w:rsidR="005426A6" w:rsidRPr="00861344" w:rsidRDefault="00873A03" w:rsidP="00D32606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AU"/>
              </w:rPr>
            </w:pPr>
            <w:r w:rsidRPr="00861344">
              <w:rPr>
                <w:sz w:val="16"/>
                <w:szCs w:val="16"/>
                <w:lang w:val="en-AU"/>
              </w:rPr>
              <w:t>Partnerships with parents and carers enhance student learning</w:t>
            </w:r>
          </w:p>
        </w:tc>
      </w:tr>
      <w:tr w:rsidR="005426A6" w:rsidRPr="00861344" w:rsidTr="00762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5426A6" w:rsidRPr="00861344" w:rsidRDefault="00735666" w:rsidP="00624A55">
            <w:pPr>
              <w:rPr>
                <w:sz w:val="16"/>
                <w:szCs w:val="16"/>
                <w:lang w:val="en-AU"/>
              </w:rPr>
            </w:pPr>
            <w:r w:rsidRPr="00861344">
              <w:rPr>
                <w:sz w:val="16"/>
                <w:szCs w:val="16"/>
              </w:rPr>
              <w:t>High expectations for every c</w:t>
            </w:r>
            <w:r w:rsidR="0076280F" w:rsidRPr="00861344">
              <w:rPr>
                <w:sz w:val="16"/>
                <w:szCs w:val="16"/>
              </w:rPr>
              <w:t>hild</w:t>
            </w:r>
          </w:p>
        </w:tc>
        <w:tc>
          <w:tcPr>
            <w:tcW w:w="6521" w:type="dxa"/>
          </w:tcPr>
          <w:p w:rsidR="0076280F" w:rsidRPr="00861344" w:rsidRDefault="0076280F" w:rsidP="00735666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AU"/>
              </w:rPr>
            </w:pPr>
            <w:r w:rsidRPr="00861344">
              <w:rPr>
                <w:sz w:val="16"/>
                <w:szCs w:val="16"/>
                <w:lang w:val="en-AU"/>
              </w:rPr>
              <w:t>High Expectations for every student promote intellectua</w:t>
            </w:r>
            <w:r w:rsidR="00DB6C34">
              <w:rPr>
                <w:sz w:val="16"/>
                <w:szCs w:val="16"/>
                <w:lang w:val="en-AU"/>
              </w:rPr>
              <w:t>l engagement and self-awareness</w:t>
            </w:r>
          </w:p>
          <w:p w:rsidR="0076280F" w:rsidRPr="00861344" w:rsidRDefault="0076280F" w:rsidP="00735666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AU"/>
              </w:rPr>
            </w:pPr>
            <w:r w:rsidRPr="00861344">
              <w:rPr>
                <w:sz w:val="16"/>
                <w:szCs w:val="16"/>
                <w:lang w:val="en-AU"/>
              </w:rPr>
              <w:t>A supportive and productive learning environment promotes inclusion and collaboration</w:t>
            </w:r>
          </w:p>
          <w:p w:rsidR="005426A6" w:rsidRPr="00861344" w:rsidRDefault="0076280F" w:rsidP="00735666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AU"/>
              </w:rPr>
            </w:pPr>
            <w:r w:rsidRPr="00861344">
              <w:rPr>
                <w:sz w:val="16"/>
                <w:szCs w:val="16"/>
                <w:lang w:val="en-AU"/>
              </w:rPr>
              <w:t>Student voice, agency and leadership empower students and build school pride</w:t>
            </w:r>
          </w:p>
        </w:tc>
      </w:tr>
      <w:tr w:rsidR="0076280F" w:rsidRPr="00861344" w:rsidTr="00762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280F" w:rsidRPr="00861344" w:rsidRDefault="00735666" w:rsidP="00624A55">
            <w:pPr>
              <w:rPr>
                <w:sz w:val="16"/>
                <w:szCs w:val="16"/>
              </w:rPr>
            </w:pPr>
            <w:r w:rsidRPr="00861344">
              <w:rPr>
                <w:sz w:val="16"/>
                <w:szCs w:val="16"/>
              </w:rPr>
              <w:t>Respectful relationships and responsive e</w:t>
            </w:r>
            <w:r w:rsidR="0076280F" w:rsidRPr="00861344">
              <w:rPr>
                <w:sz w:val="16"/>
                <w:szCs w:val="16"/>
              </w:rPr>
              <w:t>ngagement</w:t>
            </w:r>
          </w:p>
        </w:tc>
        <w:tc>
          <w:tcPr>
            <w:tcW w:w="6521" w:type="dxa"/>
          </w:tcPr>
          <w:p w:rsidR="0076280F" w:rsidRPr="00861344" w:rsidRDefault="006B4048" w:rsidP="00B67090">
            <w:pPr>
              <w:pStyle w:val="ListParagraph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AU"/>
              </w:rPr>
            </w:pPr>
            <w:r w:rsidRPr="00861344">
              <w:rPr>
                <w:sz w:val="16"/>
                <w:szCs w:val="16"/>
                <w:lang w:val="en-AU"/>
              </w:rPr>
              <w:t xml:space="preserve">A supportive and productive </w:t>
            </w:r>
            <w:r w:rsidR="004A0622">
              <w:rPr>
                <w:sz w:val="16"/>
                <w:szCs w:val="16"/>
                <w:lang w:val="en-AU"/>
              </w:rPr>
              <w:t xml:space="preserve">learning environment promotes </w:t>
            </w:r>
            <w:r w:rsidRPr="00861344">
              <w:rPr>
                <w:sz w:val="16"/>
                <w:szCs w:val="16"/>
                <w:lang w:val="en-AU"/>
              </w:rPr>
              <w:t>inclusion and collaboration</w:t>
            </w:r>
          </w:p>
          <w:p w:rsidR="006B4048" w:rsidRPr="00861344" w:rsidRDefault="006B4048" w:rsidP="00B67090">
            <w:pPr>
              <w:pStyle w:val="ListParagraph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AU"/>
              </w:rPr>
            </w:pPr>
            <w:r w:rsidRPr="00861344">
              <w:rPr>
                <w:sz w:val="16"/>
                <w:szCs w:val="16"/>
                <w:lang w:val="en-AU"/>
              </w:rPr>
              <w:t>Student voice, agency and leadership empower students and build school pride</w:t>
            </w:r>
          </w:p>
          <w:p w:rsidR="00873A03" w:rsidRPr="00861344" w:rsidRDefault="00873A03" w:rsidP="00873A03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AU"/>
              </w:rPr>
            </w:pPr>
            <w:r w:rsidRPr="00861344">
              <w:rPr>
                <w:sz w:val="16"/>
                <w:szCs w:val="16"/>
                <w:lang w:val="en-AU"/>
              </w:rPr>
              <w:t>Deep learning challenges students to construct and apply new knowledge</w:t>
            </w:r>
          </w:p>
          <w:p w:rsidR="00873A03" w:rsidRPr="00861344" w:rsidRDefault="00873A03" w:rsidP="00873A03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AU"/>
              </w:rPr>
            </w:pPr>
            <w:r w:rsidRPr="00861344">
              <w:rPr>
                <w:sz w:val="16"/>
                <w:szCs w:val="16"/>
                <w:lang w:val="en-AU"/>
              </w:rPr>
              <w:t>Evidence based strategies drive professional practice improvement</w:t>
            </w:r>
          </w:p>
          <w:p w:rsidR="00873A03" w:rsidRPr="00861344" w:rsidRDefault="00873A03" w:rsidP="00B67090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AU"/>
              </w:rPr>
            </w:pPr>
            <w:r w:rsidRPr="00861344">
              <w:rPr>
                <w:sz w:val="16"/>
                <w:szCs w:val="16"/>
                <w:lang w:val="en-AU"/>
              </w:rPr>
              <w:t>Global citizenship is fostered through real world contexts for learning</w:t>
            </w:r>
          </w:p>
        </w:tc>
      </w:tr>
      <w:tr w:rsidR="0076280F" w:rsidRPr="00861344" w:rsidTr="00762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280F" w:rsidRPr="00861344" w:rsidRDefault="00735666" w:rsidP="00624A55">
            <w:pPr>
              <w:rPr>
                <w:sz w:val="16"/>
                <w:szCs w:val="16"/>
              </w:rPr>
            </w:pPr>
            <w:r w:rsidRPr="00861344">
              <w:rPr>
                <w:sz w:val="16"/>
                <w:szCs w:val="16"/>
              </w:rPr>
              <w:t>Equity and d</w:t>
            </w:r>
            <w:r w:rsidR="0076280F" w:rsidRPr="00861344">
              <w:rPr>
                <w:sz w:val="16"/>
                <w:szCs w:val="16"/>
              </w:rPr>
              <w:t>iversity</w:t>
            </w:r>
          </w:p>
        </w:tc>
        <w:tc>
          <w:tcPr>
            <w:tcW w:w="6521" w:type="dxa"/>
          </w:tcPr>
          <w:p w:rsidR="00735666" w:rsidRPr="00861344" w:rsidRDefault="00735666" w:rsidP="0073566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AU"/>
              </w:rPr>
            </w:pPr>
            <w:r w:rsidRPr="00861344">
              <w:rPr>
                <w:sz w:val="16"/>
                <w:szCs w:val="16"/>
                <w:lang w:val="en-AU"/>
              </w:rPr>
              <w:t>A supportive and productive learning environment promotes inclusion and collaboration</w:t>
            </w:r>
          </w:p>
          <w:p w:rsidR="00735666" w:rsidRPr="00861344" w:rsidRDefault="00735666" w:rsidP="00735666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AU"/>
              </w:rPr>
            </w:pPr>
            <w:r w:rsidRPr="00861344">
              <w:rPr>
                <w:sz w:val="16"/>
                <w:szCs w:val="16"/>
              </w:rPr>
              <w:t>Curriculum Planning and implementation engages and challenges all students</w:t>
            </w:r>
          </w:p>
          <w:p w:rsidR="00D32606" w:rsidRPr="00861344" w:rsidRDefault="00873A03" w:rsidP="00735666">
            <w:pPr>
              <w:pStyle w:val="ListParagraph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AU"/>
              </w:rPr>
            </w:pPr>
            <w:r w:rsidRPr="00861344">
              <w:rPr>
                <w:sz w:val="16"/>
                <w:szCs w:val="16"/>
                <w:lang w:val="en-AU"/>
              </w:rPr>
              <w:t>Global citizenship is fostered through real world contexts for learning</w:t>
            </w:r>
          </w:p>
          <w:p w:rsidR="00B67090" w:rsidRPr="00861344" w:rsidRDefault="00B67090" w:rsidP="00735666">
            <w:pPr>
              <w:pStyle w:val="ListParagraph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AU"/>
              </w:rPr>
            </w:pPr>
            <w:r w:rsidRPr="00861344">
              <w:rPr>
                <w:sz w:val="16"/>
                <w:szCs w:val="16"/>
                <w:lang w:val="en-AU"/>
              </w:rPr>
              <w:t>Partnerships with parents and carers enhance student learning</w:t>
            </w:r>
          </w:p>
        </w:tc>
      </w:tr>
      <w:tr w:rsidR="0076280F" w:rsidRPr="00861344" w:rsidTr="00762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280F" w:rsidRPr="00861344" w:rsidRDefault="00735666" w:rsidP="00624A55">
            <w:pPr>
              <w:rPr>
                <w:sz w:val="16"/>
                <w:szCs w:val="16"/>
              </w:rPr>
            </w:pPr>
            <w:r w:rsidRPr="00861344">
              <w:rPr>
                <w:sz w:val="16"/>
                <w:szCs w:val="16"/>
              </w:rPr>
              <w:t>Assessment for learning and d</w:t>
            </w:r>
            <w:r w:rsidR="0076280F" w:rsidRPr="00861344">
              <w:rPr>
                <w:sz w:val="16"/>
                <w:szCs w:val="16"/>
              </w:rPr>
              <w:t>evelopment</w:t>
            </w:r>
          </w:p>
        </w:tc>
        <w:tc>
          <w:tcPr>
            <w:tcW w:w="6521" w:type="dxa"/>
          </w:tcPr>
          <w:p w:rsidR="0076280F" w:rsidRPr="00861344" w:rsidRDefault="00735666" w:rsidP="00735666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AU"/>
              </w:rPr>
            </w:pPr>
            <w:r w:rsidRPr="00861344">
              <w:rPr>
                <w:sz w:val="16"/>
                <w:szCs w:val="16"/>
              </w:rPr>
              <w:t>Curriculum Planning and implementation engages and challenges all students</w:t>
            </w:r>
          </w:p>
          <w:p w:rsidR="00873A03" w:rsidRPr="00861344" w:rsidRDefault="00873A03" w:rsidP="00873A03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AU"/>
              </w:rPr>
            </w:pPr>
            <w:r w:rsidRPr="00861344">
              <w:rPr>
                <w:sz w:val="16"/>
                <w:szCs w:val="16"/>
                <w:lang w:val="en-AU"/>
              </w:rPr>
              <w:t>Rigorous assessment practices and feedback inform teaching and learning</w:t>
            </w:r>
          </w:p>
        </w:tc>
      </w:tr>
      <w:tr w:rsidR="0076280F" w:rsidRPr="00861344" w:rsidTr="00762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280F" w:rsidRPr="00861344" w:rsidRDefault="00735666" w:rsidP="00624A55">
            <w:pPr>
              <w:rPr>
                <w:sz w:val="16"/>
                <w:szCs w:val="16"/>
              </w:rPr>
            </w:pPr>
            <w:r w:rsidRPr="00861344">
              <w:rPr>
                <w:sz w:val="16"/>
                <w:szCs w:val="16"/>
              </w:rPr>
              <w:t xml:space="preserve">Integrated teaching and learning </w:t>
            </w:r>
            <w:r w:rsidR="00873A03" w:rsidRPr="00861344">
              <w:rPr>
                <w:sz w:val="16"/>
                <w:szCs w:val="16"/>
              </w:rPr>
              <w:t>ap</w:t>
            </w:r>
            <w:r w:rsidR="0076280F" w:rsidRPr="00861344">
              <w:rPr>
                <w:sz w:val="16"/>
                <w:szCs w:val="16"/>
              </w:rPr>
              <w:t>proaches</w:t>
            </w:r>
          </w:p>
        </w:tc>
        <w:tc>
          <w:tcPr>
            <w:tcW w:w="6521" w:type="dxa"/>
          </w:tcPr>
          <w:p w:rsidR="0076280F" w:rsidRPr="00861344" w:rsidRDefault="00735666" w:rsidP="00873A03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AU"/>
              </w:rPr>
            </w:pPr>
            <w:r w:rsidRPr="00861344">
              <w:rPr>
                <w:sz w:val="16"/>
                <w:szCs w:val="16"/>
              </w:rPr>
              <w:t>Curriculum Planning and implementation engages and challenges all students</w:t>
            </w:r>
          </w:p>
          <w:p w:rsidR="00735666" w:rsidRPr="00861344" w:rsidRDefault="00735666" w:rsidP="00873A03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AU"/>
              </w:rPr>
            </w:pPr>
            <w:r w:rsidRPr="00861344">
              <w:rPr>
                <w:sz w:val="16"/>
                <w:szCs w:val="16"/>
                <w:lang w:val="en-AU"/>
              </w:rPr>
              <w:t>Deep learning challenges students to construct and apply new knowledge</w:t>
            </w:r>
          </w:p>
          <w:p w:rsidR="00873A03" w:rsidRPr="004A0622" w:rsidRDefault="00873A03" w:rsidP="004A0622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AU"/>
              </w:rPr>
            </w:pPr>
            <w:r w:rsidRPr="00861344">
              <w:rPr>
                <w:sz w:val="16"/>
                <w:szCs w:val="16"/>
                <w:lang w:val="en-AU"/>
              </w:rPr>
              <w:t>Evidence based strategies drive professional practice improvement</w:t>
            </w:r>
          </w:p>
        </w:tc>
      </w:tr>
      <w:tr w:rsidR="00735666" w:rsidRPr="00861344" w:rsidTr="00762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35666" w:rsidRPr="00861344" w:rsidRDefault="00735666" w:rsidP="00624A55">
            <w:pPr>
              <w:rPr>
                <w:sz w:val="16"/>
                <w:szCs w:val="16"/>
              </w:rPr>
            </w:pPr>
            <w:r w:rsidRPr="00861344">
              <w:rPr>
                <w:sz w:val="16"/>
                <w:szCs w:val="16"/>
              </w:rPr>
              <w:t>Partnerships with professionals</w:t>
            </w:r>
          </w:p>
        </w:tc>
        <w:tc>
          <w:tcPr>
            <w:tcW w:w="6521" w:type="dxa"/>
          </w:tcPr>
          <w:p w:rsidR="00735666" w:rsidRPr="00861344" w:rsidRDefault="00735666" w:rsidP="00735666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AU"/>
              </w:rPr>
            </w:pPr>
            <w:r w:rsidRPr="00861344">
              <w:rPr>
                <w:sz w:val="16"/>
                <w:szCs w:val="16"/>
                <w:lang w:val="en-AU"/>
              </w:rPr>
              <w:t>A supportive and productive learning environment promotes inclusion and collaboration</w:t>
            </w:r>
          </w:p>
          <w:p w:rsidR="00B67090" w:rsidRPr="00861344" w:rsidRDefault="00873A03" w:rsidP="00B67090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AU"/>
              </w:rPr>
            </w:pPr>
            <w:r w:rsidRPr="00861344">
              <w:rPr>
                <w:sz w:val="16"/>
                <w:szCs w:val="16"/>
                <w:lang w:val="en-AU"/>
              </w:rPr>
              <w:t>Evidence based strategies drive professional practice improvement</w:t>
            </w:r>
          </w:p>
          <w:p w:rsidR="00735666" w:rsidRPr="00861344" w:rsidRDefault="00B67090" w:rsidP="00B67090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AU"/>
              </w:rPr>
            </w:pPr>
            <w:r w:rsidRPr="00861344">
              <w:rPr>
                <w:sz w:val="16"/>
                <w:szCs w:val="16"/>
                <w:lang w:val="en-AU"/>
              </w:rPr>
              <w:t>Partnerships with parents and carers enhance student learning</w:t>
            </w:r>
          </w:p>
        </w:tc>
      </w:tr>
    </w:tbl>
    <w:p w:rsidR="00861344" w:rsidRDefault="00861344" w:rsidP="00624A55">
      <w:pPr>
        <w:rPr>
          <w:lang w:val="en-AU"/>
        </w:rPr>
      </w:pPr>
    </w:p>
    <w:p w:rsidR="001D7B78" w:rsidRPr="00624A55" w:rsidRDefault="00FF01CA" w:rsidP="00624A55">
      <w:pPr>
        <w:rPr>
          <w:lang w:val="en-AU"/>
        </w:rPr>
      </w:pPr>
      <w:r>
        <w:rPr>
          <w:lang w:val="en-AU"/>
        </w:rPr>
        <w:t>Find out f</w:t>
      </w:r>
      <w:r w:rsidR="001D7B78">
        <w:rPr>
          <w:lang w:val="en-AU"/>
        </w:rPr>
        <w:t xml:space="preserve">urther information on the </w:t>
      </w:r>
      <w:hyperlink r:id="rId12" w:history="1">
        <w:r w:rsidR="001D7B78" w:rsidRPr="00FF01CA">
          <w:rPr>
            <w:rStyle w:val="Hyperlink"/>
            <w:lang w:val="en-AU"/>
          </w:rPr>
          <w:t>VEYLDF</w:t>
        </w:r>
      </w:hyperlink>
      <w:r>
        <w:rPr>
          <w:lang w:val="en-AU"/>
        </w:rPr>
        <w:t xml:space="preserve"> webpage</w:t>
      </w:r>
      <w:r w:rsidR="001239F9">
        <w:rPr>
          <w:lang w:val="en-AU"/>
        </w:rPr>
        <w:t>,</w:t>
      </w:r>
      <w:r w:rsidR="001D7B78">
        <w:rPr>
          <w:lang w:val="en-AU"/>
        </w:rPr>
        <w:t xml:space="preserve"> including </w:t>
      </w:r>
      <w:r w:rsidR="001239F9">
        <w:rPr>
          <w:lang w:val="en-AU"/>
        </w:rPr>
        <w:t xml:space="preserve">the Learning and Development </w:t>
      </w:r>
      <w:r>
        <w:rPr>
          <w:lang w:val="en-AU"/>
        </w:rPr>
        <w:t>Practice Principles and Outcomes</w:t>
      </w:r>
      <w:bookmarkStart w:id="0" w:name="_GoBack"/>
      <w:bookmarkEnd w:id="0"/>
    </w:p>
    <w:sectPr w:rsidR="001D7B78" w:rsidRPr="00624A55" w:rsidSect="002A4A96">
      <w:headerReference w:type="default" r:id="rId13"/>
      <w:footerReference w:type="even" r:id="rId14"/>
      <w:footerReference w:type="default" r:id="rId15"/>
      <w:pgSz w:w="11900" w:h="16840"/>
      <w:pgMar w:top="2835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A2E" w:rsidRDefault="00196A2E" w:rsidP="003967DD">
      <w:pPr>
        <w:spacing w:after="0"/>
      </w:pPr>
      <w:r>
        <w:separator/>
      </w:r>
    </w:p>
  </w:endnote>
  <w:endnote w:type="continuationSeparator" w:id="0">
    <w:p w:rsidR="00196A2E" w:rsidRDefault="00196A2E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01CA">
      <w:rPr>
        <w:rStyle w:val="PageNumber"/>
        <w:noProof/>
      </w:rPr>
      <w:t>2</w:t>
    </w:r>
    <w:r>
      <w:rPr>
        <w:rStyle w:val="PageNumber"/>
      </w:rPr>
      <w:fldChar w:fldCharType="end"/>
    </w:r>
  </w:p>
  <w:p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A2E" w:rsidRDefault="00196A2E" w:rsidP="003967DD">
      <w:pPr>
        <w:spacing w:after="0"/>
      </w:pPr>
      <w:r>
        <w:separator/>
      </w:r>
    </w:p>
  </w:footnote>
  <w:footnote w:type="continuationSeparator" w:id="0">
    <w:p w:rsidR="00196A2E" w:rsidRDefault="00196A2E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7DD" w:rsidRDefault="005A4F12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91C2A48" wp14:editId="2A3EDDD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952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portrait_gener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0A258A"/>
    <w:multiLevelType w:val="hybridMultilevel"/>
    <w:tmpl w:val="B0B801C0"/>
    <w:lvl w:ilvl="0" w:tplc="6302CBC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A711B"/>
    <w:multiLevelType w:val="hybridMultilevel"/>
    <w:tmpl w:val="E864E476"/>
    <w:lvl w:ilvl="0" w:tplc="47ACE09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32039"/>
    <w:multiLevelType w:val="hybridMultilevel"/>
    <w:tmpl w:val="D0ACD8C2"/>
    <w:lvl w:ilvl="0" w:tplc="01B4A8B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D74A4"/>
    <w:multiLevelType w:val="hybridMultilevel"/>
    <w:tmpl w:val="2E7251BE"/>
    <w:lvl w:ilvl="0" w:tplc="9BAA3E4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75B45"/>
    <w:multiLevelType w:val="hybridMultilevel"/>
    <w:tmpl w:val="50EE18CA"/>
    <w:lvl w:ilvl="0" w:tplc="1C647B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D13C7"/>
    <w:multiLevelType w:val="hybridMultilevel"/>
    <w:tmpl w:val="D7AEC728"/>
    <w:lvl w:ilvl="0" w:tplc="C6A4016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E0867"/>
    <w:multiLevelType w:val="hybridMultilevel"/>
    <w:tmpl w:val="24287268"/>
    <w:lvl w:ilvl="0" w:tplc="878ECAD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35229"/>
    <w:multiLevelType w:val="hybridMultilevel"/>
    <w:tmpl w:val="55C6E900"/>
    <w:lvl w:ilvl="0" w:tplc="3A7649D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13A41"/>
    <w:multiLevelType w:val="hybridMultilevel"/>
    <w:tmpl w:val="10A2551C"/>
    <w:lvl w:ilvl="0" w:tplc="881E4EE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E674A"/>
    <w:multiLevelType w:val="hybridMultilevel"/>
    <w:tmpl w:val="9F2E3A62"/>
    <w:lvl w:ilvl="0" w:tplc="A36250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F7743"/>
    <w:multiLevelType w:val="hybridMultilevel"/>
    <w:tmpl w:val="512EAC26"/>
    <w:lvl w:ilvl="0" w:tplc="E57EAB0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A56A2"/>
    <w:multiLevelType w:val="hybridMultilevel"/>
    <w:tmpl w:val="840ADF3E"/>
    <w:lvl w:ilvl="0" w:tplc="A36250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A7196"/>
    <w:multiLevelType w:val="hybridMultilevel"/>
    <w:tmpl w:val="D7B250B4"/>
    <w:lvl w:ilvl="0" w:tplc="E870965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7A6D48"/>
    <w:multiLevelType w:val="hybridMultilevel"/>
    <w:tmpl w:val="6A5A66B4"/>
    <w:lvl w:ilvl="0" w:tplc="09DA6AC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B4C56"/>
    <w:multiLevelType w:val="hybridMultilevel"/>
    <w:tmpl w:val="9BBADBAC"/>
    <w:lvl w:ilvl="0" w:tplc="E870965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011D24"/>
    <w:multiLevelType w:val="hybridMultilevel"/>
    <w:tmpl w:val="66622A6E"/>
    <w:lvl w:ilvl="0" w:tplc="02303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17A7E"/>
    <w:multiLevelType w:val="hybridMultilevel"/>
    <w:tmpl w:val="EE0A9E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D6C42"/>
    <w:multiLevelType w:val="hybridMultilevel"/>
    <w:tmpl w:val="F4D63C3C"/>
    <w:lvl w:ilvl="0" w:tplc="50C279C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241D8"/>
    <w:multiLevelType w:val="hybridMultilevel"/>
    <w:tmpl w:val="880CAC6A"/>
    <w:lvl w:ilvl="0" w:tplc="D256B01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3418A"/>
    <w:multiLevelType w:val="hybridMultilevel"/>
    <w:tmpl w:val="339E7BD6"/>
    <w:lvl w:ilvl="0" w:tplc="9C6EA3D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A4654"/>
    <w:multiLevelType w:val="hybridMultilevel"/>
    <w:tmpl w:val="9DF4F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9"/>
  </w:num>
  <w:num w:numId="13">
    <w:abstractNumId w:val="29"/>
  </w:num>
  <w:num w:numId="14">
    <w:abstractNumId w:val="30"/>
  </w:num>
  <w:num w:numId="15">
    <w:abstractNumId w:val="15"/>
  </w:num>
  <w:num w:numId="16">
    <w:abstractNumId w:val="24"/>
  </w:num>
  <w:num w:numId="17">
    <w:abstractNumId w:val="17"/>
  </w:num>
  <w:num w:numId="18">
    <w:abstractNumId w:val="37"/>
  </w:num>
  <w:num w:numId="19">
    <w:abstractNumId w:val="33"/>
  </w:num>
  <w:num w:numId="20">
    <w:abstractNumId w:val="27"/>
  </w:num>
  <w:num w:numId="21">
    <w:abstractNumId w:val="26"/>
  </w:num>
  <w:num w:numId="22">
    <w:abstractNumId w:val="32"/>
  </w:num>
  <w:num w:numId="23">
    <w:abstractNumId w:val="31"/>
  </w:num>
  <w:num w:numId="24">
    <w:abstractNumId w:val="23"/>
  </w:num>
  <w:num w:numId="25">
    <w:abstractNumId w:val="21"/>
  </w:num>
  <w:num w:numId="26">
    <w:abstractNumId w:val="20"/>
  </w:num>
  <w:num w:numId="27">
    <w:abstractNumId w:val="11"/>
  </w:num>
  <w:num w:numId="28">
    <w:abstractNumId w:val="16"/>
  </w:num>
  <w:num w:numId="29">
    <w:abstractNumId w:val="35"/>
  </w:num>
  <w:num w:numId="30">
    <w:abstractNumId w:val="14"/>
  </w:num>
  <w:num w:numId="31">
    <w:abstractNumId w:val="25"/>
  </w:num>
  <w:num w:numId="32">
    <w:abstractNumId w:val="13"/>
  </w:num>
  <w:num w:numId="33">
    <w:abstractNumId w:val="34"/>
  </w:num>
  <w:num w:numId="34">
    <w:abstractNumId w:val="22"/>
  </w:num>
  <w:num w:numId="35">
    <w:abstractNumId w:val="12"/>
  </w:num>
  <w:num w:numId="36">
    <w:abstractNumId w:val="28"/>
  </w:num>
  <w:num w:numId="37">
    <w:abstractNumId w:val="18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403C"/>
    <w:rsid w:val="00013339"/>
    <w:rsid w:val="00015F5E"/>
    <w:rsid w:val="000521DF"/>
    <w:rsid w:val="000A47D4"/>
    <w:rsid w:val="00122369"/>
    <w:rsid w:val="001239F9"/>
    <w:rsid w:val="00196A2E"/>
    <w:rsid w:val="001D13F9"/>
    <w:rsid w:val="001D7B78"/>
    <w:rsid w:val="00290B9A"/>
    <w:rsid w:val="002A4A96"/>
    <w:rsid w:val="002B6754"/>
    <w:rsid w:val="002E3BED"/>
    <w:rsid w:val="00312720"/>
    <w:rsid w:val="003967DD"/>
    <w:rsid w:val="004A0622"/>
    <w:rsid w:val="004B2ED6"/>
    <w:rsid w:val="004C3F25"/>
    <w:rsid w:val="005426A6"/>
    <w:rsid w:val="00543C76"/>
    <w:rsid w:val="005718F3"/>
    <w:rsid w:val="00584366"/>
    <w:rsid w:val="005935A1"/>
    <w:rsid w:val="005A4F12"/>
    <w:rsid w:val="00624A55"/>
    <w:rsid w:val="00686D81"/>
    <w:rsid w:val="006A25AC"/>
    <w:rsid w:val="006B4048"/>
    <w:rsid w:val="00723278"/>
    <w:rsid w:val="007331F4"/>
    <w:rsid w:val="00735666"/>
    <w:rsid w:val="0076280F"/>
    <w:rsid w:val="007B556E"/>
    <w:rsid w:val="007D3E38"/>
    <w:rsid w:val="008065DA"/>
    <w:rsid w:val="00861344"/>
    <w:rsid w:val="00873A03"/>
    <w:rsid w:val="008B1737"/>
    <w:rsid w:val="008C3F71"/>
    <w:rsid w:val="00A31926"/>
    <w:rsid w:val="00A74345"/>
    <w:rsid w:val="00B67090"/>
    <w:rsid w:val="00CB48F1"/>
    <w:rsid w:val="00CE6EE4"/>
    <w:rsid w:val="00D11996"/>
    <w:rsid w:val="00D32606"/>
    <w:rsid w:val="00DB6C34"/>
    <w:rsid w:val="00E34263"/>
    <w:rsid w:val="00F21F13"/>
    <w:rsid w:val="00F4711B"/>
    <w:rsid w:val="00F5401F"/>
    <w:rsid w:val="00FA6D79"/>
    <w:rsid w:val="00FF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23F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F471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48F1"/>
    <w:rPr>
      <w:color w:val="004EA8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B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B7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239F9"/>
    <w:rPr>
      <w:color w:val="87189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ucation.vic.gov.au/veyl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caa.vic.edu.au/Pages/earlyyears/vfldoutcomes/index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4" Type="http://schemas.openxmlformats.org/officeDocument/2006/relationships/footer" Target="footer1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C52FF2EE1A4490B5AB85D7492BA0" ma:contentTypeVersion="1" ma:contentTypeDescription="Create a new document." ma:contentTypeScope="" ma:versionID="6c6ab83cbd5185eb98af1dec393ead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8158D4-6328-48BE-B502-81AA1B81EFB6}"/>
</file>

<file path=customXml/itemProps2.xml><?xml version="1.0" encoding="utf-8"?>
<ds:datastoreItem xmlns:ds="http://schemas.openxmlformats.org/officeDocument/2006/customXml" ds:itemID="{9D230188-8CB2-48D6-9CE1-CB592C36A286}"/>
</file>

<file path=customXml/itemProps3.xml><?xml version="1.0" encoding="utf-8"?>
<ds:datastoreItem xmlns:ds="http://schemas.openxmlformats.org/officeDocument/2006/customXml" ds:itemID="{3AF1B98F-E94D-475D-95A7-6861074318EC}"/>
</file>

<file path=customXml/itemProps4.xml><?xml version="1.0" encoding="utf-8"?>
<ds:datastoreItem xmlns:ds="http://schemas.openxmlformats.org/officeDocument/2006/customXml" ds:itemID="{A8F02754-0EEF-4613-A76F-F8E44D9F9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Ellie Freeman</cp:lastModifiedBy>
  <cp:revision>3</cp:revision>
  <cp:lastPrinted>2018-02-14T06:00:00Z</cp:lastPrinted>
  <dcterms:created xsi:type="dcterms:W3CDTF">2018-04-12T07:32:00Z</dcterms:created>
  <dcterms:modified xsi:type="dcterms:W3CDTF">2018-08-07T06:12:00Z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