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029" w:rsidRPr="00256B79" w:rsidRDefault="003A5D3F" w:rsidP="007978C1">
      <w:pPr>
        <w:pStyle w:val="Title"/>
        <w:rPr>
          <w:b w:val="0"/>
        </w:rPr>
      </w:pPr>
      <w:r w:rsidRPr="00472E9F">
        <w:rPr>
          <w:rStyle w:val="SubtleEmphasis"/>
          <w:b w:val="0"/>
          <w:i w:val="0"/>
          <w:iCs w:val="0"/>
          <w:caps/>
          <w:color w:val="AF272F" w:themeColor="accent1"/>
        </w:rPr>
        <w:t>formative assessment</w:t>
      </w:r>
      <w:r w:rsidR="007122EB">
        <w:rPr>
          <w:rStyle w:val="SubtleEmphasis"/>
          <w:b w:val="0"/>
          <w:i w:val="0"/>
          <w:iCs w:val="0"/>
          <w:caps/>
          <w:color w:val="AF272F" w:themeColor="accent1"/>
        </w:rPr>
        <w:t xml:space="preserve"> </w:t>
      </w:r>
    </w:p>
    <w:p w:rsidR="00BE5EAC" w:rsidRDefault="00BE5EAC" w:rsidP="00BE5EAC">
      <w:pPr>
        <w:pStyle w:val="BodyText"/>
        <w:tabs>
          <w:tab w:val="left" w:pos="720"/>
        </w:tabs>
        <w:spacing w:before="120"/>
        <w:ind w:left="0" w:firstLine="0"/>
        <w:rPr>
          <w:rFonts w:eastAsiaTheme="minorEastAsia"/>
          <w:i/>
          <w:noProof w:val="0"/>
          <w:color w:val="000000" w:themeColor="text1"/>
          <w:sz w:val="18"/>
          <w:szCs w:val="18"/>
          <w:lang w:val="en-US"/>
        </w:rPr>
      </w:pPr>
    </w:p>
    <w:p w:rsidR="00BE5EAC" w:rsidRDefault="00BE5EAC" w:rsidP="00BE5EAC">
      <w:pPr>
        <w:pStyle w:val="BodyText"/>
        <w:tabs>
          <w:tab w:val="left" w:pos="720"/>
        </w:tabs>
        <w:spacing w:before="120"/>
        <w:ind w:left="0" w:firstLine="0"/>
        <w:rPr>
          <w:rFonts w:eastAsiaTheme="minorEastAsia"/>
          <w:noProof w:val="0"/>
          <w:color w:val="000000" w:themeColor="text1"/>
          <w:sz w:val="18"/>
          <w:szCs w:val="18"/>
          <w:lang w:val="en-US"/>
        </w:rPr>
      </w:pPr>
      <w:r w:rsidRPr="00EE75B9">
        <w:rPr>
          <w:rFonts w:eastAsiaTheme="minorEastAsia"/>
          <w:i/>
          <w:noProof w:val="0"/>
          <w:color w:val="000000" w:themeColor="text1"/>
          <w:sz w:val="18"/>
          <w:szCs w:val="18"/>
          <w:lang w:val="en-US"/>
        </w:rPr>
        <w:t>“</w:t>
      </w:r>
      <w:r w:rsidR="003A5D3F" w:rsidRPr="003A5D3F">
        <w:rPr>
          <w:rFonts w:eastAsiaTheme="minorEastAsia"/>
          <w:i/>
          <w:noProof w:val="0"/>
          <w:color w:val="000000" w:themeColor="text1"/>
          <w:sz w:val="18"/>
          <w:szCs w:val="18"/>
          <w:lang w:val="en-US"/>
        </w:rPr>
        <w:t xml:space="preserve">The fundamental purpose of assessment in education is to establish and understand </w:t>
      </w:r>
      <w:r w:rsidR="003A5D3F">
        <w:rPr>
          <w:rFonts w:eastAsiaTheme="minorEastAsia"/>
          <w:i/>
          <w:noProof w:val="0"/>
          <w:color w:val="000000" w:themeColor="text1"/>
          <w:sz w:val="18"/>
          <w:szCs w:val="18"/>
          <w:lang w:val="en-US"/>
        </w:rPr>
        <w:t>the points that students (either as individuals or groups) have reached in their learning at the time of assessment”</w:t>
      </w:r>
      <w:r>
        <w:rPr>
          <w:rFonts w:eastAsiaTheme="minorEastAsia"/>
          <w:i/>
          <w:noProof w:val="0"/>
          <w:color w:val="000000" w:themeColor="text1"/>
          <w:sz w:val="18"/>
          <w:szCs w:val="18"/>
          <w:lang w:val="en-US"/>
        </w:rPr>
        <w:t xml:space="preserve"> </w:t>
      </w:r>
      <w:r>
        <w:rPr>
          <w:rFonts w:eastAsiaTheme="minorEastAsia"/>
          <w:i/>
          <w:noProof w:val="0"/>
          <w:color w:val="000000" w:themeColor="text1"/>
          <w:sz w:val="18"/>
          <w:szCs w:val="18"/>
          <w:lang w:val="en-US"/>
        </w:rPr>
        <w:br/>
      </w:r>
      <w:r w:rsidR="003A5D3F">
        <w:rPr>
          <w:rFonts w:eastAsiaTheme="minorEastAsia"/>
          <w:noProof w:val="0"/>
          <w:color w:val="000000" w:themeColor="text1"/>
          <w:sz w:val="18"/>
          <w:szCs w:val="18"/>
          <w:lang w:val="en-US"/>
        </w:rPr>
        <w:t>Masters</w:t>
      </w:r>
      <w:r w:rsidR="000B364A">
        <w:rPr>
          <w:rFonts w:eastAsiaTheme="minorEastAsia"/>
          <w:noProof w:val="0"/>
          <w:color w:val="000000" w:themeColor="text1"/>
          <w:sz w:val="18"/>
          <w:szCs w:val="18"/>
          <w:lang w:val="en-US"/>
        </w:rPr>
        <w:t>, (2015)</w:t>
      </w:r>
      <w:r>
        <w:rPr>
          <w:rStyle w:val="FootnoteReference"/>
          <w:rFonts w:eastAsiaTheme="minorEastAsia"/>
          <w:i/>
          <w:noProof w:val="0"/>
          <w:color w:val="000000" w:themeColor="text1"/>
          <w:sz w:val="18"/>
          <w:szCs w:val="18"/>
          <w:lang w:val="en-US"/>
        </w:rPr>
        <w:footnoteReference w:id="2"/>
      </w:r>
    </w:p>
    <w:p w:rsidR="00D570E8" w:rsidRDefault="00D570E8" w:rsidP="007978C1">
      <w:pPr>
        <w:spacing w:before="120"/>
        <w:rPr>
          <w:b/>
        </w:rPr>
      </w:pPr>
    </w:p>
    <w:p w:rsidR="005946A1" w:rsidRPr="00D900E2" w:rsidRDefault="008A5778" w:rsidP="007978C1">
      <w:pPr>
        <w:spacing w:before="120"/>
        <w:rPr>
          <w:b/>
        </w:rPr>
      </w:pPr>
      <w:r w:rsidRPr="00D900E2">
        <w:rPr>
          <w:b/>
        </w:rPr>
        <w:t>OVERVIEW</w:t>
      </w:r>
    </w:p>
    <w:p w:rsidR="008B3C7E" w:rsidRDefault="00EE75B9" w:rsidP="00EE75B9">
      <w:pPr>
        <w:spacing w:before="120"/>
        <w:rPr>
          <w:color w:val="000000" w:themeColor="text1"/>
        </w:rPr>
      </w:pPr>
      <w:r w:rsidRPr="008D4D01">
        <w:rPr>
          <w:color w:val="000000" w:themeColor="text1"/>
        </w:rPr>
        <w:t xml:space="preserve">This Professional Practice Note provides guidance </w:t>
      </w:r>
      <w:r w:rsidR="00197AAE">
        <w:rPr>
          <w:color w:val="000000" w:themeColor="text1"/>
        </w:rPr>
        <w:t xml:space="preserve">for </w:t>
      </w:r>
      <w:r w:rsidR="00E55E38">
        <w:rPr>
          <w:color w:val="000000" w:themeColor="text1"/>
        </w:rPr>
        <w:t xml:space="preserve">teachers and </w:t>
      </w:r>
      <w:r w:rsidRPr="008D4D01">
        <w:rPr>
          <w:color w:val="000000" w:themeColor="text1"/>
        </w:rPr>
        <w:t>school leaders on</w:t>
      </w:r>
      <w:r w:rsidR="008B3C7E">
        <w:rPr>
          <w:color w:val="000000" w:themeColor="text1"/>
        </w:rPr>
        <w:t xml:space="preserve"> formative assessment</w:t>
      </w:r>
      <w:r w:rsidR="00197AAE">
        <w:rPr>
          <w:color w:val="000000" w:themeColor="text1"/>
        </w:rPr>
        <w:t xml:space="preserve">: what </w:t>
      </w:r>
      <w:r w:rsidR="0056146D">
        <w:rPr>
          <w:color w:val="000000" w:themeColor="text1"/>
        </w:rPr>
        <w:t xml:space="preserve">it </w:t>
      </w:r>
      <w:r w:rsidR="00197AAE">
        <w:rPr>
          <w:color w:val="000000" w:themeColor="text1"/>
        </w:rPr>
        <w:t xml:space="preserve">is </w:t>
      </w:r>
      <w:r w:rsidR="008B3C7E">
        <w:rPr>
          <w:color w:val="000000" w:themeColor="text1"/>
        </w:rPr>
        <w:t xml:space="preserve">and how to </w:t>
      </w:r>
      <w:r w:rsidR="00197AAE">
        <w:rPr>
          <w:color w:val="000000" w:themeColor="text1"/>
        </w:rPr>
        <w:t>build it into regular classroom practice</w:t>
      </w:r>
      <w:r w:rsidR="008B3C7E">
        <w:rPr>
          <w:color w:val="000000" w:themeColor="text1"/>
        </w:rPr>
        <w:t xml:space="preserve">.  </w:t>
      </w:r>
    </w:p>
    <w:p w:rsidR="00692863" w:rsidRDefault="00692863" w:rsidP="00692863">
      <w:pPr>
        <w:spacing w:before="120"/>
        <w:rPr>
          <w:color w:val="000000" w:themeColor="text1"/>
        </w:rPr>
      </w:pPr>
      <w:r>
        <w:rPr>
          <w:color w:val="000000" w:themeColor="text1"/>
        </w:rPr>
        <w:t xml:space="preserve">Used alongside a set of clearly defined and challenging learning intentions, formative assessment is continuous feedback that allows a </w:t>
      </w:r>
      <w:r w:rsidRPr="005B2EB1">
        <w:rPr>
          <w:i/>
          <w:color w:val="000000" w:themeColor="text1"/>
        </w:rPr>
        <w:t>teacher</w:t>
      </w:r>
      <w:r>
        <w:rPr>
          <w:color w:val="000000" w:themeColor="text1"/>
        </w:rPr>
        <w:t xml:space="preserve"> to evaluate impact and a </w:t>
      </w:r>
      <w:r w:rsidRPr="005B2EB1">
        <w:rPr>
          <w:i/>
          <w:color w:val="000000" w:themeColor="text1"/>
        </w:rPr>
        <w:t>student</w:t>
      </w:r>
      <w:r>
        <w:rPr>
          <w:color w:val="000000" w:themeColor="text1"/>
        </w:rPr>
        <w:t xml:space="preserve"> to move their learning forward</w:t>
      </w:r>
      <w:r>
        <w:rPr>
          <w:rStyle w:val="FootnoteReference"/>
          <w:color w:val="000000" w:themeColor="text1"/>
        </w:rPr>
        <w:footnoteReference w:id="3"/>
      </w:r>
      <w:r>
        <w:rPr>
          <w:color w:val="000000" w:themeColor="text1"/>
        </w:rPr>
        <w:t xml:space="preserve">.  </w:t>
      </w:r>
    </w:p>
    <w:p w:rsidR="009176FE" w:rsidRDefault="00A44340" w:rsidP="00EE75B9">
      <w:pPr>
        <w:spacing w:before="120"/>
        <w:rPr>
          <w:color w:val="000000" w:themeColor="text1"/>
        </w:rPr>
      </w:pPr>
      <w:r>
        <w:rPr>
          <w:color w:val="000000" w:themeColor="text1"/>
        </w:rPr>
        <w:t>If we understand assessment as the process of establishing where students are at</w:t>
      </w:r>
      <w:r w:rsidR="002A3B4E">
        <w:rPr>
          <w:color w:val="000000" w:themeColor="text1"/>
        </w:rPr>
        <w:t xml:space="preserve"> </w:t>
      </w:r>
      <w:r w:rsidR="008B3C7E">
        <w:rPr>
          <w:color w:val="000000" w:themeColor="text1"/>
        </w:rPr>
        <w:t>then</w:t>
      </w:r>
      <w:r w:rsidR="002A3B4E">
        <w:rPr>
          <w:color w:val="000000" w:themeColor="text1"/>
        </w:rPr>
        <w:t xml:space="preserve">, </w:t>
      </w:r>
      <w:r w:rsidR="008B3C7E">
        <w:rPr>
          <w:color w:val="000000" w:themeColor="text1"/>
        </w:rPr>
        <w:t xml:space="preserve">in fact, all assessment is formative.  Incorporated into a teaching and learning cycle, formative assessment is </w:t>
      </w:r>
      <w:r w:rsidR="00744027">
        <w:rPr>
          <w:color w:val="000000" w:themeColor="text1"/>
        </w:rPr>
        <w:t xml:space="preserve">at the heart </w:t>
      </w:r>
      <w:r w:rsidR="008B3C7E">
        <w:rPr>
          <w:color w:val="000000" w:themeColor="text1"/>
        </w:rPr>
        <w:t xml:space="preserve">of </w:t>
      </w:r>
      <w:r w:rsidR="00744027">
        <w:rPr>
          <w:color w:val="000000" w:themeColor="text1"/>
        </w:rPr>
        <w:t>improving</w:t>
      </w:r>
      <w:r w:rsidR="008B3C7E">
        <w:rPr>
          <w:color w:val="000000" w:themeColor="text1"/>
        </w:rPr>
        <w:t xml:space="preserve"> student learning</w:t>
      </w:r>
      <w:r w:rsidR="00334642">
        <w:rPr>
          <w:color w:val="000000" w:themeColor="text1"/>
        </w:rPr>
        <w:t xml:space="preserve"> </w:t>
      </w:r>
      <w:r w:rsidR="0056146D">
        <w:rPr>
          <w:color w:val="000000" w:themeColor="text1"/>
        </w:rPr>
        <w:t>outcomes</w:t>
      </w:r>
      <w:r w:rsidR="008B3C7E">
        <w:rPr>
          <w:color w:val="000000" w:themeColor="text1"/>
        </w:rPr>
        <w:t xml:space="preserve">.  </w:t>
      </w:r>
    </w:p>
    <w:p w:rsidR="004C29DD" w:rsidRDefault="005B2EB1" w:rsidP="00EE75B9">
      <w:pPr>
        <w:spacing w:before="120"/>
        <w:rPr>
          <w:color w:val="000000" w:themeColor="text1"/>
        </w:rPr>
      </w:pPr>
      <w:r>
        <w:rPr>
          <w:color w:val="000000" w:themeColor="text1"/>
        </w:rPr>
        <w:t xml:space="preserve">Formative assessment provides the answers to </w:t>
      </w:r>
      <w:r w:rsidR="00744027">
        <w:rPr>
          <w:color w:val="000000" w:themeColor="text1"/>
        </w:rPr>
        <w:t xml:space="preserve">the questions:  </w:t>
      </w:r>
      <w:r w:rsidR="00692863">
        <w:rPr>
          <w:color w:val="000000" w:themeColor="text1"/>
        </w:rPr>
        <w:t xml:space="preserve">Is learning </w:t>
      </w:r>
      <w:r w:rsidR="00744027">
        <w:rPr>
          <w:color w:val="000000" w:themeColor="text1"/>
        </w:rPr>
        <w:t>on track</w:t>
      </w:r>
      <w:r w:rsidR="00533FEC">
        <w:rPr>
          <w:color w:val="000000" w:themeColor="text1"/>
        </w:rPr>
        <w:t>?</w:t>
      </w:r>
      <w:r w:rsidR="00744027">
        <w:rPr>
          <w:color w:val="000000" w:themeColor="text1"/>
        </w:rPr>
        <w:t xml:space="preserve"> </w:t>
      </w:r>
      <w:r w:rsidR="00533FEC">
        <w:rPr>
          <w:color w:val="000000" w:themeColor="text1"/>
        </w:rPr>
        <w:t>W</w:t>
      </w:r>
      <w:r w:rsidR="00744027">
        <w:rPr>
          <w:color w:val="000000" w:themeColor="text1"/>
        </w:rPr>
        <w:t xml:space="preserve">hat </w:t>
      </w:r>
      <w:r w:rsidR="00692863">
        <w:rPr>
          <w:color w:val="000000" w:themeColor="text1"/>
        </w:rPr>
        <w:t>needs</w:t>
      </w:r>
      <w:r w:rsidR="00744027">
        <w:rPr>
          <w:color w:val="000000" w:themeColor="text1"/>
        </w:rPr>
        <w:t xml:space="preserve"> to change</w:t>
      </w:r>
      <w:r w:rsidR="00533FEC">
        <w:rPr>
          <w:color w:val="000000" w:themeColor="text1"/>
        </w:rPr>
        <w:t>?</w:t>
      </w:r>
      <w:r w:rsidR="00744027">
        <w:rPr>
          <w:color w:val="000000" w:themeColor="text1"/>
        </w:rPr>
        <w:t xml:space="preserve"> </w:t>
      </w:r>
      <w:r w:rsidR="00533FEC">
        <w:rPr>
          <w:color w:val="000000" w:themeColor="text1"/>
        </w:rPr>
        <w:t>W</w:t>
      </w:r>
      <w:r w:rsidR="00692863">
        <w:rPr>
          <w:color w:val="000000" w:themeColor="text1"/>
        </w:rPr>
        <w:t xml:space="preserve">here does learning </w:t>
      </w:r>
      <w:r w:rsidR="00744027">
        <w:rPr>
          <w:color w:val="000000" w:themeColor="text1"/>
        </w:rPr>
        <w:t>go next</w:t>
      </w:r>
      <w:r w:rsidR="00533FEC">
        <w:rPr>
          <w:color w:val="000000" w:themeColor="text1"/>
        </w:rPr>
        <w:t>?</w:t>
      </w:r>
      <w:r w:rsidR="00744027">
        <w:rPr>
          <w:color w:val="000000" w:themeColor="text1"/>
        </w:rPr>
        <w:t xml:space="preserve">  It can be immediate (a specific question, thumbs up-thumbs down)</w:t>
      </w:r>
      <w:r w:rsidR="00C000C5">
        <w:rPr>
          <w:color w:val="000000" w:themeColor="text1"/>
        </w:rPr>
        <w:t xml:space="preserve"> or </w:t>
      </w:r>
      <w:r w:rsidR="00744027">
        <w:rPr>
          <w:color w:val="000000" w:themeColor="text1"/>
        </w:rPr>
        <w:t>planned</w:t>
      </w:r>
      <w:r w:rsidR="00C000C5">
        <w:rPr>
          <w:color w:val="000000" w:themeColor="text1"/>
        </w:rPr>
        <w:t xml:space="preserve"> (a quiz, a student moderation).  It</w:t>
      </w:r>
      <w:r w:rsidR="00744027">
        <w:rPr>
          <w:color w:val="000000" w:themeColor="text1"/>
        </w:rPr>
        <w:t xml:space="preserve"> is </w:t>
      </w:r>
      <w:r w:rsidR="006D5A31">
        <w:rPr>
          <w:color w:val="000000" w:themeColor="text1"/>
        </w:rPr>
        <w:t>timely</w:t>
      </w:r>
      <w:r w:rsidR="00744027">
        <w:rPr>
          <w:color w:val="000000" w:themeColor="text1"/>
        </w:rPr>
        <w:t xml:space="preserve"> (built into every lesson of every unit)</w:t>
      </w:r>
      <w:r w:rsidR="006D5A31">
        <w:rPr>
          <w:color w:val="000000" w:themeColor="text1"/>
        </w:rPr>
        <w:t xml:space="preserve">, and iterative (closes the circle of planning). </w:t>
      </w:r>
    </w:p>
    <w:p w:rsidR="00FB62E2" w:rsidRDefault="006C03DA" w:rsidP="006C03DA">
      <w:pPr>
        <w:spacing w:before="120"/>
      </w:pPr>
      <w:r w:rsidRPr="008D4D01">
        <w:rPr>
          <w:color w:val="000000" w:themeColor="text1"/>
        </w:rPr>
        <w:t>This Professional Practice Note</w:t>
      </w:r>
      <w:r w:rsidR="006709B6">
        <w:rPr>
          <w:color w:val="000000" w:themeColor="text1"/>
        </w:rPr>
        <w:t xml:space="preserve">, </w:t>
      </w:r>
      <w:r w:rsidR="006709B6">
        <w:t xml:space="preserve">together </w:t>
      </w:r>
      <w:r w:rsidR="006B351F">
        <w:t xml:space="preserve">with </w:t>
      </w:r>
      <w:hyperlink r:id="rId11" w:history="1">
        <w:r w:rsidR="0096131E" w:rsidRPr="00FB62E2">
          <w:rPr>
            <w:rStyle w:val="Hyperlink"/>
          </w:rPr>
          <w:t>Practice Principles</w:t>
        </w:r>
      </w:hyperlink>
      <w:r w:rsidR="0096131E">
        <w:t xml:space="preserve"> 1</w:t>
      </w:r>
      <w:r w:rsidR="00334642">
        <w:t xml:space="preserve">: </w:t>
      </w:r>
      <w:r w:rsidR="0096131E">
        <w:t>High Expectations,</w:t>
      </w:r>
      <w:r w:rsidR="00FB62E2">
        <w:t xml:space="preserve"> 4</w:t>
      </w:r>
      <w:r w:rsidR="00334642">
        <w:t xml:space="preserve">: </w:t>
      </w:r>
      <w:r w:rsidR="00FB62E2">
        <w:t>Curriculum Planning</w:t>
      </w:r>
      <w:r w:rsidR="00B930A8">
        <w:t>,</w:t>
      </w:r>
      <w:r w:rsidR="00FB62E2">
        <w:t xml:space="preserve"> and 6</w:t>
      </w:r>
      <w:r w:rsidR="00334642">
        <w:t xml:space="preserve">: </w:t>
      </w:r>
      <w:r w:rsidR="00FB62E2">
        <w:t xml:space="preserve">Rigorous Assessment Practices, provide </w:t>
      </w:r>
      <w:r w:rsidR="00FB62E2" w:rsidRPr="00FB62E2">
        <w:t xml:space="preserve">a reference point for future planning and improvement and can support </w:t>
      </w:r>
      <w:r w:rsidR="005C5E84">
        <w:t>teachers and school teams</w:t>
      </w:r>
      <w:r w:rsidR="00FB62E2" w:rsidRPr="00FB62E2">
        <w:t xml:space="preserve"> </w:t>
      </w:r>
      <w:r w:rsidR="00FB62E2">
        <w:t xml:space="preserve">to </w:t>
      </w:r>
      <w:r w:rsidR="005C5E84">
        <w:t>use effective</w:t>
      </w:r>
      <w:r w:rsidR="00FB62E2">
        <w:t xml:space="preserve"> formative </w:t>
      </w:r>
      <w:r w:rsidR="00FB62E2">
        <w:t>assessment</w:t>
      </w:r>
      <w:r w:rsidR="009176FE">
        <w:t xml:space="preserve"> as a focus for their work with professional learning communities and in each </w:t>
      </w:r>
      <w:r w:rsidR="00FB62E2">
        <w:t>classroom.</w:t>
      </w:r>
    </w:p>
    <w:p w:rsidR="006C03DA" w:rsidRDefault="006C03DA" w:rsidP="007978C1">
      <w:pPr>
        <w:spacing w:before="120"/>
        <w:rPr>
          <w:b/>
        </w:rPr>
      </w:pPr>
    </w:p>
    <w:p w:rsidR="000450B6" w:rsidRPr="008D4D01" w:rsidRDefault="00DE530F" w:rsidP="007978C1">
      <w:pPr>
        <w:spacing w:before="120"/>
        <w:rPr>
          <w:color w:val="000000" w:themeColor="text1"/>
        </w:rPr>
      </w:pPr>
      <w:r>
        <w:rPr>
          <w:b/>
        </w:rPr>
        <w:t>UNDERSTANDING FORMATIVE ASSESSMENT</w:t>
      </w:r>
    </w:p>
    <w:p w:rsidR="00EE707D" w:rsidRDefault="009264A9" w:rsidP="007978C1">
      <w:pPr>
        <w:spacing w:before="120"/>
        <w:rPr>
          <w:color w:val="000000" w:themeColor="text1"/>
        </w:rPr>
      </w:pPr>
      <w:r>
        <w:rPr>
          <w:color w:val="000000" w:themeColor="text1"/>
        </w:rPr>
        <w:t>Formative a</w:t>
      </w:r>
      <w:r w:rsidR="002B236A">
        <w:rPr>
          <w:color w:val="000000" w:themeColor="text1"/>
        </w:rPr>
        <w:t xml:space="preserve">ssessment </w:t>
      </w:r>
      <w:r w:rsidR="00015592">
        <w:rPr>
          <w:color w:val="000000" w:themeColor="text1"/>
        </w:rPr>
        <w:t>provide</w:t>
      </w:r>
      <w:r>
        <w:rPr>
          <w:color w:val="000000" w:themeColor="text1"/>
        </w:rPr>
        <w:t>s</w:t>
      </w:r>
      <w:r w:rsidR="00015592">
        <w:rPr>
          <w:color w:val="000000" w:themeColor="text1"/>
        </w:rPr>
        <w:t xml:space="preserve"> the feedback to </w:t>
      </w:r>
      <w:r w:rsidR="00EE707D">
        <w:rPr>
          <w:color w:val="000000" w:themeColor="text1"/>
        </w:rPr>
        <w:t>e</w:t>
      </w:r>
      <w:r w:rsidR="002B236A">
        <w:rPr>
          <w:color w:val="000000" w:themeColor="text1"/>
        </w:rPr>
        <w:t>nable teacher</w:t>
      </w:r>
      <w:r w:rsidR="00EE707D">
        <w:rPr>
          <w:color w:val="000000" w:themeColor="text1"/>
        </w:rPr>
        <w:t xml:space="preserve"> and student</w:t>
      </w:r>
      <w:r w:rsidR="002B236A">
        <w:rPr>
          <w:color w:val="000000" w:themeColor="text1"/>
        </w:rPr>
        <w:t xml:space="preserve"> to answer </w:t>
      </w:r>
      <w:r w:rsidR="00EE707D">
        <w:rPr>
          <w:color w:val="000000" w:themeColor="text1"/>
        </w:rPr>
        <w:t>three key</w:t>
      </w:r>
      <w:r w:rsidR="002B236A">
        <w:rPr>
          <w:color w:val="000000" w:themeColor="text1"/>
        </w:rPr>
        <w:t xml:space="preserve"> questions:  </w:t>
      </w:r>
    </w:p>
    <w:p w:rsidR="00EE707D" w:rsidRPr="00015592" w:rsidRDefault="00692863" w:rsidP="00015592">
      <w:pPr>
        <w:pStyle w:val="ListParagraph"/>
      </w:pPr>
      <w:r>
        <w:t>What is to be learned</w:t>
      </w:r>
      <w:r w:rsidR="00015592">
        <w:t>?</w:t>
      </w:r>
    </w:p>
    <w:p w:rsidR="00EE707D" w:rsidRPr="00B75DA8" w:rsidRDefault="00692863" w:rsidP="00015592">
      <w:pPr>
        <w:pStyle w:val="ListParagraph"/>
      </w:pPr>
      <w:r>
        <w:t>How is learning progressing</w:t>
      </w:r>
      <w:r w:rsidR="00015592" w:rsidRPr="00015592">
        <w:t>?</w:t>
      </w:r>
    </w:p>
    <w:p w:rsidR="002B236A" w:rsidRPr="00B75DA8" w:rsidRDefault="00692863" w:rsidP="00015592">
      <w:pPr>
        <w:pStyle w:val="ListParagraph"/>
      </w:pPr>
      <w:r>
        <w:t>What will be learned next</w:t>
      </w:r>
      <w:r w:rsidR="00015592">
        <w:t>?</w:t>
      </w:r>
      <w:r w:rsidR="00015592">
        <w:rPr>
          <w:rStyle w:val="FootnoteReference"/>
        </w:rPr>
        <w:footnoteReference w:id="4"/>
      </w:r>
    </w:p>
    <w:p w:rsidR="0010358C" w:rsidRDefault="0010358C" w:rsidP="007978C1">
      <w:pPr>
        <w:spacing w:before="120"/>
        <w:rPr>
          <w:color w:val="000000" w:themeColor="text1"/>
        </w:rPr>
      </w:pPr>
    </w:p>
    <w:p w:rsidR="0010358C" w:rsidRPr="00472E9F" w:rsidRDefault="001B7908" w:rsidP="007978C1">
      <w:pPr>
        <w:spacing w:before="120"/>
        <w:rPr>
          <w:b/>
          <w:color w:val="000000" w:themeColor="text1"/>
        </w:rPr>
      </w:pPr>
      <w:r w:rsidRPr="001B7908">
        <w:rPr>
          <w:b/>
          <w:color w:val="000000" w:themeColor="text1"/>
        </w:rPr>
        <w:t xml:space="preserve">THE PURPOSE OF ASSESSMENT </w:t>
      </w:r>
      <w:r w:rsidR="0010358C" w:rsidRPr="00472E9F">
        <w:rPr>
          <w:b/>
          <w:color w:val="000000" w:themeColor="text1"/>
        </w:rPr>
        <w:t xml:space="preserve"> </w:t>
      </w:r>
    </w:p>
    <w:p w:rsidR="00EE707D" w:rsidRDefault="00EE707D" w:rsidP="007978C1">
      <w:pPr>
        <w:spacing w:before="120"/>
        <w:rPr>
          <w:color w:val="000000" w:themeColor="text1"/>
        </w:rPr>
      </w:pPr>
      <w:r>
        <w:rPr>
          <w:color w:val="000000" w:themeColor="text1"/>
        </w:rPr>
        <w:t>Rather t</w:t>
      </w:r>
      <w:r w:rsidR="00692863">
        <w:rPr>
          <w:color w:val="000000" w:themeColor="text1"/>
        </w:rPr>
        <w:t xml:space="preserve">han </w:t>
      </w:r>
      <w:proofErr w:type="spellStart"/>
      <w:r w:rsidR="00692863">
        <w:rPr>
          <w:color w:val="000000" w:themeColor="text1"/>
        </w:rPr>
        <w:t>categorising</w:t>
      </w:r>
      <w:proofErr w:type="spellEnd"/>
      <w:r w:rsidR="00692863">
        <w:rPr>
          <w:color w:val="000000" w:themeColor="text1"/>
        </w:rPr>
        <w:t xml:space="preserve"> assessment as ‘</w:t>
      </w:r>
      <w:r>
        <w:rPr>
          <w:color w:val="000000" w:themeColor="text1"/>
        </w:rPr>
        <w:t>as learning</w:t>
      </w:r>
      <w:r w:rsidR="00692863">
        <w:rPr>
          <w:color w:val="000000" w:themeColor="text1"/>
        </w:rPr>
        <w:t>’</w:t>
      </w:r>
      <w:r w:rsidR="006B351F">
        <w:rPr>
          <w:color w:val="000000" w:themeColor="text1"/>
        </w:rPr>
        <w:t xml:space="preserve">, </w:t>
      </w:r>
      <w:r w:rsidR="00692863">
        <w:rPr>
          <w:color w:val="000000" w:themeColor="text1"/>
        </w:rPr>
        <w:t>‘for learning’</w:t>
      </w:r>
      <w:r w:rsidR="008E71DF">
        <w:rPr>
          <w:color w:val="000000" w:themeColor="text1"/>
        </w:rPr>
        <w:t>,</w:t>
      </w:r>
      <w:r w:rsidR="006B351F">
        <w:rPr>
          <w:color w:val="000000" w:themeColor="text1"/>
        </w:rPr>
        <w:t xml:space="preserve"> </w:t>
      </w:r>
      <w:r w:rsidR="00692863">
        <w:rPr>
          <w:color w:val="000000" w:themeColor="text1"/>
        </w:rPr>
        <w:t>or ‘of learning’</w:t>
      </w:r>
      <w:r>
        <w:rPr>
          <w:color w:val="000000" w:themeColor="text1"/>
        </w:rPr>
        <w:t xml:space="preserve">, </w:t>
      </w:r>
      <w:r w:rsidR="00C206D8">
        <w:rPr>
          <w:color w:val="000000" w:themeColor="text1"/>
        </w:rPr>
        <w:t>we need to</w:t>
      </w:r>
      <w:r>
        <w:rPr>
          <w:color w:val="000000" w:themeColor="text1"/>
        </w:rPr>
        <w:t xml:space="preserve"> focus on what asses</w:t>
      </w:r>
      <w:r w:rsidR="00C206D8">
        <w:rPr>
          <w:color w:val="000000" w:themeColor="text1"/>
        </w:rPr>
        <w:t>sment te</w:t>
      </w:r>
      <w:r>
        <w:rPr>
          <w:color w:val="000000" w:themeColor="text1"/>
        </w:rPr>
        <w:t xml:space="preserve">lls us about the </w:t>
      </w:r>
      <w:r w:rsidR="00245B46">
        <w:rPr>
          <w:color w:val="000000" w:themeColor="text1"/>
        </w:rPr>
        <w:t>progress</w:t>
      </w:r>
      <w:r>
        <w:rPr>
          <w:color w:val="000000" w:themeColor="text1"/>
        </w:rPr>
        <w:t xml:space="preserve"> that students (individually or in groups) have </w:t>
      </w:r>
      <w:r w:rsidR="00245B46">
        <w:rPr>
          <w:color w:val="000000" w:themeColor="text1"/>
        </w:rPr>
        <w:t>achieved</w:t>
      </w:r>
      <w:r>
        <w:rPr>
          <w:color w:val="000000" w:themeColor="text1"/>
        </w:rPr>
        <w:t xml:space="preserve"> in their learning </w:t>
      </w:r>
      <w:r w:rsidR="00865463">
        <w:rPr>
          <w:color w:val="000000" w:themeColor="text1"/>
        </w:rPr>
        <w:t>at the time of assessment</w:t>
      </w:r>
      <w:r w:rsidR="006B1D93">
        <w:rPr>
          <w:color w:val="000000" w:themeColor="text1"/>
        </w:rPr>
        <w:t>.</w:t>
      </w:r>
    </w:p>
    <w:p w:rsidR="005C5E84" w:rsidRDefault="005C5E84" w:rsidP="007978C1">
      <w:pPr>
        <w:spacing w:before="120"/>
        <w:rPr>
          <w:color w:val="000000" w:themeColor="text1"/>
        </w:rPr>
      </w:pPr>
      <w:r>
        <w:rPr>
          <w:color w:val="000000" w:themeColor="text1"/>
        </w:rPr>
        <w:t>We can start to see all assessment in schools as formative if we focus on the question “what is the purpose of the assessment?”  A form of assessment traditionally understood as ‘summative’</w:t>
      </w:r>
      <w:r w:rsidR="00593CC9">
        <w:rPr>
          <w:color w:val="000000" w:themeColor="text1"/>
        </w:rPr>
        <w:t xml:space="preserve">, </w:t>
      </w:r>
      <w:r w:rsidR="00334642">
        <w:rPr>
          <w:color w:val="000000" w:themeColor="text1"/>
        </w:rPr>
        <w:t xml:space="preserve">such as </w:t>
      </w:r>
      <w:r w:rsidR="00593CC9">
        <w:rPr>
          <w:color w:val="000000" w:themeColor="text1"/>
        </w:rPr>
        <w:t xml:space="preserve">a test, </w:t>
      </w:r>
      <w:r>
        <w:rPr>
          <w:color w:val="000000" w:themeColor="text1"/>
        </w:rPr>
        <w:t xml:space="preserve">can be formative if the teacher uses what </w:t>
      </w:r>
      <w:r w:rsidR="00413565">
        <w:rPr>
          <w:color w:val="000000" w:themeColor="text1"/>
        </w:rPr>
        <w:t xml:space="preserve">they </w:t>
      </w:r>
      <w:r>
        <w:rPr>
          <w:color w:val="000000" w:themeColor="text1"/>
        </w:rPr>
        <w:t>learn from the students</w:t>
      </w:r>
      <w:r w:rsidR="00593CC9">
        <w:rPr>
          <w:color w:val="000000" w:themeColor="text1"/>
        </w:rPr>
        <w:t>’</w:t>
      </w:r>
      <w:r>
        <w:rPr>
          <w:color w:val="000000" w:themeColor="text1"/>
        </w:rPr>
        <w:t xml:space="preserve"> test result</w:t>
      </w:r>
      <w:r w:rsidR="00593CC9">
        <w:rPr>
          <w:color w:val="000000" w:themeColor="text1"/>
        </w:rPr>
        <w:t xml:space="preserve">s to modify </w:t>
      </w:r>
      <w:r w:rsidR="00413565">
        <w:rPr>
          <w:color w:val="000000" w:themeColor="text1"/>
        </w:rPr>
        <w:t xml:space="preserve">a </w:t>
      </w:r>
      <w:r w:rsidR="00593CC9">
        <w:rPr>
          <w:color w:val="000000" w:themeColor="text1"/>
        </w:rPr>
        <w:t>lesson plan to revisit a topic previously covered</w:t>
      </w:r>
      <w:r w:rsidR="00593CC9">
        <w:rPr>
          <w:rStyle w:val="FootnoteReference"/>
          <w:color w:val="000000" w:themeColor="text1"/>
        </w:rPr>
        <w:footnoteReference w:id="5"/>
      </w:r>
      <w:r w:rsidR="00593CC9">
        <w:rPr>
          <w:color w:val="000000" w:themeColor="text1"/>
        </w:rPr>
        <w:t xml:space="preserve"> because </w:t>
      </w:r>
      <w:r w:rsidR="00413565">
        <w:rPr>
          <w:color w:val="000000" w:themeColor="text1"/>
        </w:rPr>
        <w:t xml:space="preserve">they identify </w:t>
      </w:r>
      <w:r w:rsidR="00593CC9">
        <w:rPr>
          <w:color w:val="000000" w:themeColor="text1"/>
        </w:rPr>
        <w:t xml:space="preserve">gaps in </w:t>
      </w:r>
      <w:r w:rsidR="00413565">
        <w:rPr>
          <w:color w:val="000000" w:themeColor="text1"/>
        </w:rPr>
        <w:t xml:space="preserve">their </w:t>
      </w:r>
      <w:r w:rsidR="00593CC9">
        <w:rPr>
          <w:color w:val="000000" w:themeColor="text1"/>
        </w:rPr>
        <w:t>students</w:t>
      </w:r>
      <w:r w:rsidR="00245B46">
        <w:rPr>
          <w:color w:val="000000" w:themeColor="text1"/>
        </w:rPr>
        <w:t>’</w:t>
      </w:r>
      <w:r w:rsidR="00593CC9">
        <w:rPr>
          <w:color w:val="000000" w:themeColor="text1"/>
        </w:rPr>
        <w:t xml:space="preserve"> understanding.   </w:t>
      </w:r>
    </w:p>
    <w:p w:rsidR="00392B7B" w:rsidRDefault="00245B46" w:rsidP="007978C1">
      <w:pPr>
        <w:spacing w:before="120"/>
        <w:rPr>
          <w:color w:val="000000" w:themeColor="text1"/>
        </w:rPr>
      </w:pPr>
      <w:r>
        <w:rPr>
          <w:color w:val="000000" w:themeColor="text1"/>
        </w:rPr>
        <w:t>Similarly, a</w:t>
      </w:r>
      <w:r w:rsidR="00EA728F">
        <w:rPr>
          <w:color w:val="000000" w:themeColor="text1"/>
        </w:rPr>
        <w:t xml:space="preserve"> ‘diagnostic’ assessment focusing on alphabet recognition </w:t>
      </w:r>
      <w:r w:rsidR="00413565">
        <w:rPr>
          <w:color w:val="000000" w:themeColor="text1"/>
        </w:rPr>
        <w:t xml:space="preserve">becomes </w:t>
      </w:r>
      <w:r w:rsidR="00EA728F">
        <w:rPr>
          <w:color w:val="000000" w:themeColor="text1"/>
        </w:rPr>
        <w:t>formative when the teacher uses the data</w:t>
      </w:r>
      <w:r w:rsidR="00392B7B">
        <w:rPr>
          <w:color w:val="000000" w:themeColor="text1"/>
        </w:rPr>
        <w:t xml:space="preserve"> gathered</w:t>
      </w:r>
      <w:r w:rsidR="00EA728F">
        <w:rPr>
          <w:color w:val="000000" w:themeColor="text1"/>
        </w:rPr>
        <w:t xml:space="preserve"> to build i</w:t>
      </w:r>
      <w:r w:rsidR="00392B7B">
        <w:rPr>
          <w:color w:val="000000" w:themeColor="text1"/>
        </w:rPr>
        <w:t>n explicit teaching</w:t>
      </w:r>
      <w:r w:rsidR="00392B7B">
        <w:rPr>
          <w:rStyle w:val="FootnoteReference"/>
          <w:color w:val="000000" w:themeColor="text1"/>
        </w:rPr>
        <w:footnoteReference w:id="6"/>
      </w:r>
      <w:r w:rsidR="00392B7B">
        <w:rPr>
          <w:color w:val="000000" w:themeColor="text1"/>
        </w:rPr>
        <w:t xml:space="preserve"> on phonemic awareness for </w:t>
      </w:r>
      <w:r w:rsidR="00413565">
        <w:rPr>
          <w:color w:val="000000" w:themeColor="text1"/>
        </w:rPr>
        <w:t xml:space="preserve">their </w:t>
      </w:r>
      <w:r w:rsidR="00392B7B">
        <w:rPr>
          <w:color w:val="000000" w:themeColor="text1"/>
        </w:rPr>
        <w:t>Foundation class.</w:t>
      </w:r>
    </w:p>
    <w:p w:rsidR="00392B7B" w:rsidRDefault="00392B7B" w:rsidP="007978C1">
      <w:pPr>
        <w:spacing w:before="120"/>
        <w:rPr>
          <w:color w:val="000000" w:themeColor="text1"/>
        </w:rPr>
      </w:pPr>
      <w:r w:rsidRPr="00392B7B">
        <w:rPr>
          <w:color w:val="000000" w:themeColor="text1"/>
        </w:rPr>
        <w:t>Th</w:t>
      </w:r>
      <w:r>
        <w:rPr>
          <w:color w:val="000000" w:themeColor="text1"/>
        </w:rPr>
        <w:t xml:space="preserve">e information that formative assessment </w:t>
      </w:r>
      <w:r w:rsidR="00413565">
        <w:rPr>
          <w:color w:val="000000" w:themeColor="text1"/>
        </w:rPr>
        <w:t>yields</w:t>
      </w:r>
      <w:r>
        <w:rPr>
          <w:color w:val="000000" w:themeColor="text1"/>
        </w:rPr>
        <w:t xml:space="preserve"> can </w:t>
      </w:r>
      <w:r w:rsidRPr="00392B7B">
        <w:rPr>
          <w:color w:val="000000" w:themeColor="text1"/>
        </w:rPr>
        <w:t xml:space="preserve">be used in many different ways: to define learning intentions, to design a unit of work based on the Victorian Curriculum, to identify gaps or misconceptions in individual understanding, to identify a student’s zone of proximal development, or to </w:t>
      </w:r>
      <w:r w:rsidRPr="00392B7B">
        <w:rPr>
          <w:color w:val="000000" w:themeColor="text1"/>
        </w:rPr>
        <w:lastRenderedPageBreak/>
        <w:t xml:space="preserve">inform the cycle of teaching and feedback in the classroom.  </w:t>
      </w:r>
      <w:r w:rsidR="00334642">
        <w:rPr>
          <w:color w:val="000000" w:themeColor="text1"/>
        </w:rPr>
        <w:t>F</w:t>
      </w:r>
      <w:r w:rsidR="00460545">
        <w:rPr>
          <w:color w:val="000000" w:themeColor="text1"/>
        </w:rPr>
        <w:t xml:space="preserve">or formative assessment to be used </w:t>
      </w:r>
      <w:r w:rsidR="00AF28EC">
        <w:rPr>
          <w:color w:val="000000" w:themeColor="text1"/>
        </w:rPr>
        <w:t>well</w:t>
      </w:r>
      <w:r w:rsidR="00460545">
        <w:rPr>
          <w:color w:val="000000" w:themeColor="text1"/>
        </w:rPr>
        <w:t xml:space="preserve"> </w:t>
      </w:r>
      <w:r>
        <w:rPr>
          <w:color w:val="000000" w:themeColor="text1"/>
        </w:rPr>
        <w:t>it is essential that:</w:t>
      </w:r>
    </w:p>
    <w:p w:rsidR="0010358C" w:rsidRPr="00AF28EC" w:rsidRDefault="00245B46" w:rsidP="00197AAE">
      <w:pPr>
        <w:pStyle w:val="ListParagraph"/>
        <w:numPr>
          <w:ilvl w:val="0"/>
          <w:numId w:val="28"/>
        </w:numPr>
      </w:pPr>
      <w:r>
        <w:t xml:space="preserve">learning intentions, Victorian Curriculum F-10 </w:t>
      </w:r>
      <w:r w:rsidR="003A02EF">
        <w:t>achievement s</w:t>
      </w:r>
      <w:r w:rsidR="00392B7B" w:rsidRPr="00AF28EC">
        <w:t>tandards, and forms of assessment are closely linked</w:t>
      </w:r>
    </w:p>
    <w:p w:rsidR="00AF28EC" w:rsidRDefault="00392B7B" w:rsidP="00197AAE">
      <w:pPr>
        <w:pStyle w:val="ListParagraph"/>
        <w:numPr>
          <w:ilvl w:val="0"/>
          <w:numId w:val="28"/>
        </w:numPr>
      </w:pPr>
      <w:r>
        <w:t xml:space="preserve">the learning program is designed to scaffold and </w:t>
      </w:r>
      <w:r w:rsidR="00334642">
        <w:t>stretch</w:t>
      </w:r>
      <w:r>
        <w:t xml:space="preserve"> students</w:t>
      </w:r>
      <w:r w:rsidR="00334642">
        <w:t>, enabling them</w:t>
      </w:r>
      <w:r>
        <w:t xml:space="preserve"> to achieve their goals</w:t>
      </w:r>
      <w:r w:rsidR="00AF28EC">
        <w:rPr>
          <w:rStyle w:val="FootnoteReference"/>
        </w:rPr>
        <w:footnoteReference w:id="7"/>
      </w:r>
    </w:p>
    <w:p w:rsidR="005F14E0" w:rsidRDefault="00AF28EC" w:rsidP="00197AAE">
      <w:pPr>
        <w:pStyle w:val="ListParagraph"/>
        <w:numPr>
          <w:ilvl w:val="0"/>
          <w:numId w:val="28"/>
        </w:numPr>
      </w:pPr>
      <w:proofErr w:type="gramStart"/>
      <w:r>
        <w:t>the</w:t>
      </w:r>
      <w:proofErr w:type="gramEnd"/>
      <w:r>
        <w:t xml:space="preserve"> learning program is differentiated – it is built and modified </w:t>
      </w:r>
      <w:r w:rsidR="00334642">
        <w:t>around</w:t>
      </w:r>
      <w:r>
        <w:t xml:space="preserve"> </w:t>
      </w:r>
      <w:r w:rsidR="00334642">
        <w:t xml:space="preserve">the </w:t>
      </w:r>
      <w:r>
        <w:t>individual</w:t>
      </w:r>
      <w:r w:rsidR="00334642">
        <w:t xml:space="preserve"> learning needs of the</w:t>
      </w:r>
      <w:r>
        <w:t xml:space="preserve"> student</w:t>
      </w:r>
      <w:r w:rsidR="00245B46">
        <w:t>s</w:t>
      </w:r>
      <w:r w:rsidR="00392B7B">
        <w:t>.</w:t>
      </w:r>
      <w:r>
        <w:rPr>
          <w:rStyle w:val="FootnoteReference"/>
        </w:rPr>
        <w:footnoteReference w:id="8"/>
      </w:r>
      <w:r w:rsidR="00F0127E">
        <w:br/>
      </w:r>
    </w:p>
    <w:p w:rsidR="0010358C" w:rsidRPr="00472E9F" w:rsidRDefault="0010358C" w:rsidP="007978C1">
      <w:pPr>
        <w:spacing w:before="120"/>
        <w:rPr>
          <w:b/>
        </w:rPr>
      </w:pPr>
      <w:r>
        <w:rPr>
          <w:b/>
        </w:rPr>
        <w:t>FORMATIVE ASSESSMENT IN SCHOOLS</w:t>
      </w:r>
    </w:p>
    <w:p w:rsidR="001726E8" w:rsidRDefault="001726E8" w:rsidP="001726E8">
      <w:pPr>
        <w:spacing w:before="120"/>
        <w:rPr>
          <w:color w:val="000000" w:themeColor="text1"/>
        </w:rPr>
      </w:pPr>
      <w:r>
        <w:rPr>
          <w:color w:val="000000" w:themeColor="text1"/>
        </w:rPr>
        <w:t xml:space="preserve">Schools where teachers collaborate, </w:t>
      </w:r>
      <w:r w:rsidR="00B4790A">
        <w:rPr>
          <w:color w:val="000000" w:themeColor="text1"/>
        </w:rPr>
        <w:t xml:space="preserve">adopt evidence-based </w:t>
      </w:r>
      <w:r>
        <w:rPr>
          <w:color w:val="000000" w:themeColor="text1"/>
        </w:rPr>
        <w:t xml:space="preserve">teaching strategies, </w:t>
      </w:r>
      <w:r w:rsidR="00B4790A">
        <w:rPr>
          <w:color w:val="000000" w:themeColor="text1"/>
        </w:rPr>
        <w:t xml:space="preserve">have professional conversations </w:t>
      </w:r>
      <w:r>
        <w:rPr>
          <w:color w:val="000000" w:themeColor="text1"/>
        </w:rPr>
        <w:t>about how to improve their teaching, and use evidence to moderate assessment are all using formative assessment. Evidence</w:t>
      </w:r>
      <w:r w:rsidR="00B4790A">
        <w:rPr>
          <w:color w:val="000000" w:themeColor="text1"/>
        </w:rPr>
        <w:t xml:space="preserve"> </w:t>
      </w:r>
      <w:r w:rsidR="005F14E0">
        <w:rPr>
          <w:color w:val="000000" w:themeColor="text1"/>
        </w:rPr>
        <w:t>must be</w:t>
      </w:r>
      <w:r>
        <w:rPr>
          <w:color w:val="000000" w:themeColor="text1"/>
        </w:rPr>
        <w:t xml:space="preserve"> directly observable</w:t>
      </w:r>
      <w:r w:rsidR="005F14E0">
        <w:rPr>
          <w:color w:val="000000" w:themeColor="text1"/>
        </w:rPr>
        <w:t xml:space="preserve"> (</w:t>
      </w:r>
      <w:r w:rsidR="00B4790A">
        <w:rPr>
          <w:color w:val="000000" w:themeColor="text1"/>
        </w:rPr>
        <w:t xml:space="preserve">the teacher </w:t>
      </w:r>
      <w:r>
        <w:rPr>
          <w:color w:val="000000" w:themeColor="text1"/>
        </w:rPr>
        <w:t>should be able to see it, touch it or hear it</w:t>
      </w:r>
      <w:r w:rsidR="00B4790A">
        <w:rPr>
          <w:rStyle w:val="FootnoteReference"/>
          <w:color w:val="000000" w:themeColor="text1"/>
        </w:rPr>
        <w:footnoteReference w:id="9"/>
      </w:r>
      <w:r w:rsidR="005F14E0">
        <w:rPr>
          <w:color w:val="000000" w:themeColor="text1"/>
        </w:rPr>
        <w:t>)</w:t>
      </w:r>
      <w:r w:rsidR="006424AF">
        <w:rPr>
          <w:color w:val="000000" w:themeColor="text1"/>
        </w:rPr>
        <w:t xml:space="preserve">.  It </w:t>
      </w:r>
      <w:r w:rsidR="00B4790A">
        <w:rPr>
          <w:color w:val="000000" w:themeColor="text1"/>
        </w:rPr>
        <w:t xml:space="preserve">provides the qualitative and quantitative </w:t>
      </w:r>
      <w:r w:rsidR="006424AF">
        <w:rPr>
          <w:color w:val="000000" w:themeColor="text1"/>
        </w:rPr>
        <w:t xml:space="preserve">data </w:t>
      </w:r>
      <w:r w:rsidR="00B4790A">
        <w:rPr>
          <w:color w:val="000000" w:themeColor="text1"/>
        </w:rPr>
        <w:t>to inform both the teacher and the learner about progress</w:t>
      </w:r>
      <w:r>
        <w:rPr>
          <w:color w:val="000000" w:themeColor="text1"/>
        </w:rPr>
        <w:t xml:space="preserve">. </w:t>
      </w:r>
      <w:r w:rsidR="003A02EF" w:rsidRPr="003A02EF">
        <w:rPr>
          <w:color w:val="000000" w:themeColor="text1"/>
        </w:rPr>
        <w:t>It should be linked to the Victorian Curriculum F-10 achievement standards.</w:t>
      </w:r>
    </w:p>
    <w:p w:rsidR="00FF3520" w:rsidRDefault="00FF3520" w:rsidP="001726E8">
      <w:pPr>
        <w:spacing w:before="120"/>
        <w:rPr>
          <w:color w:val="000000" w:themeColor="text1"/>
        </w:rPr>
      </w:pPr>
      <w:r w:rsidRPr="00FF3520">
        <w:rPr>
          <w:color w:val="000000" w:themeColor="text1"/>
        </w:rPr>
        <w:t>Examples of formative assessment techniques include: hot-seat questioning, all-student response and question shells</w:t>
      </w:r>
      <w:r>
        <w:rPr>
          <w:rStyle w:val="FootnoteReference"/>
          <w:color w:val="000000" w:themeColor="text1"/>
        </w:rPr>
        <w:footnoteReference w:id="10"/>
      </w:r>
      <w:r w:rsidRPr="00FF3520">
        <w:rPr>
          <w:color w:val="000000" w:themeColor="text1"/>
        </w:rPr>
        <w:t>. All of these are designed to provide the teacher with evidence of the impact of their teaching on their student’s learning.  A teacher can then use this to guide the lesson design and pace, select different strategies, differentiate, and give feedback to individual students.  Good feedback enables students to move their own learning forward.</w:t>
      </w:r>
    </w:p>
    <w:p w:rsidR="005F14E0" w:rsidRDefault="00392B7B" w:rsidP="00F54177">
      <w:pPr>
        <w:spacing w:before="120"/>
        <w:rPr>
          <w:color w:val="000000" w:themeColor="text1"/>
        </w:rPr>
      </w:pPr>
      <w:r>
        <w:rPr>
          <w:color w:val="000000" w:themeColor="text1"/>
        </w:rPr>
        <w:t xml:space="preserve">Using multiple forms of </w:t>
      </w:r>
      <w:r w:rsidR="00FB4976">
        <w:rPr>
          <w:color w:val="000000" w:themeColor="text1"/>
        </w:rPr>
        <w:t>formative assessment</w:t>
      </w:r>
      <w:r w:rsidR="005F14E0">
        <w:rPr>
          <w:color w:val="000000" w:themeColor="text1"/>
        </w:rPr>
        <w:t xml:space="preserve"> in a classroom</w:t>
      </w:r>
      <w:r w:rsidR="00FB4976">
        <w:rPr>
          <w:color w:val="000000" w:themeColor="text1"/>
        </w:rPr>
        <w:t xml:space="preserve"> </w:t>
      </w:r>
      <w:r>
        <w:rPr>
          <w:color w:val="000000" w:themeColor="text1"/>
        </w:rPr>
        <w:t>strengthen</w:t>
      </w:r>
      <w:r w:rsidR="005F14E0">
        <w:rPr>
          <w:color w:val="000000" w:themeColor="text1"/>
        </w:rPr>
        <w:t>s</w:t>
      </w:r>
      <w:r>
        <w:rPr>
          <w:color w:val="000000" w:themeColor="text1"/>
        </w:rPr>
        <w:t xml:space="preserve"> </w:t>
      </w:r>
      <w:r w:rsidR="005F14E0">
        <w:rPr>
          <w:color w:val="000000" w:themeColor="text1"/>
        </w:rPr>
        <w:t>assessment practice overall</w:t>
      </w:r>
      <w:r w:rsidR="00AF4957">
        <w:rPr>
          <w:color w:val="000000" w:themeColor="text1"/>
        </w:rPr>
        <w:t xml:space="preserve">.  It provides </w:t>
      </w:r>
      <w:r w:rsidR="005F14E0">
        <w:rPr>
          <w:color w:val="000000" w:themeColor="text1"/>
        </w:rPr>
        <w:t xml:space="preserve">the structure and process for teachers and students to develop a shared and deep understanding of learning intentions, success criteria and the curriculum standards on which assessment is based.   </w:t>
      </w:r>
    </w:p>
    <w:p w:rsidR="00B930A8" w:rsidRDefault="00B930A8" w:rsidP="00F54177">
      <w:pPr>
        <w:spacing w:before="120"/>
        <w:rPr>
          <w:color w:val="000000" w:themeColor="text1"/>
        </w:rPr>
      </w:pPr>
    </w:p>
    <w:p w:rsidR="00DE530F" w:rsidRPr="00DE530F" w:rsidRDefault="004D2CC7" w:rsidP="00F54177">
      <w:pPr>
        <w:spacing w:before="120"/>
        <w:rPr>
          <w:b/>
          <w:color w:val="000000" w:themeColor="text1"/>
        </w:rPr>
      </w:pPr>
      <w:r>
        <w:rPr>
          <w:b/>
          <w:color w:val="000000" w:themeColor="text1"/>
        </w:rPr>
        <w:t>FORMATIVE ASSESSMENT</w:t>
      </w:r>
      <w:r w:rsidR="005C5E84">
        <w:rPr>
          <w:b/>
          <w:color w:val="000000" w:themeColor="text1"/>
        </w:rPr>
        <w:t xml:space="preserve"> IN CONTEXT</w:t>
      </w:r>
    </w:p>
    <w:p w:rsidR="006424AF" w:rsidRDefault="00596588" w:rsidP="00C32BA1">
      <w:r>
        <w:t xml:space="preserve">Formative assessment can be used alongside </w:t>
      </w:r>
      <w:r w:rsidR="003F607E">
        <w:t>data walls</w:t>
      </w:r>
      <w:r w:rsidR="003F607E">
        <w:rPr>
          <w:rStyle w:val="FootnoteReference"/>
        </w:rPr>
        <w:footnoteReference w:id="11"/>
      </w:r>
      <w:r w:rsidR="003F607E">
        <w:t xml:space="preserve"> in that it </w:t>
      </w:r>
      <w:r w:rsidR="005F14E0">
        <w:t>provides teachers with e</w:t>
      </w:r>
      <w:r w:rsidR="003F607E">
        <w:t xml:space="preserve">vidence of student learning.  </w:t>
      </w:r>
      <w:r w:rsidR="00AF21D4">
        <w:t xml:space="preserve">Both formative assessment and data walls </w:t>
      </w:r>
      <w:r w:rsidR="003F607E">
        <w:t>feed into the design of learning and actionable classroom strategies</w:t>
      </w:r>
      <w:r w:rsidR="00AF21D4">
        <w:t xml:space="preserve"> </w:t>
      </w:r>
      <w:r w:rsidR="003F607E">
        <w:t xml:space="preserve">and build collective efficacy – that is, teachers’ collective power to improve learning outcomes for </w:t>
      </w:r>
      <w:r w:rsidR="006424AF">
        <w:t>students</w:t>
      </w:r>
      <w:r w:rsidR="003F607E">
        <w:t xml:space="preserve">. </w:t>
      </w:r>
    </w:p>
    <w:p w:rsidR="00E039E3" w:rsidRDefault="00F07491" w:rsidP="00C32BA1">
      <w:r>
        <w:t>Peer observation</w:t>
      </w:r>
      <w:r>
        <w:rPr>
          <w:rStyle w:val="FootnoteReference"/>
        </w:rPr>
        <w:footnoteReference w:id="12"/>
      </w:r>
      <w:r>
        <w:t xml:space="preserve"> </w:t>
      </w:r>
      <w:r w:rsidR="00AF6EDB">
        <w:t xml:space="preserve">also </w:t>
      </w:r>
      <w:r>
        <w:t>has a key role to play f</w:t>
      </w:r>
      <w:r w:rsidR="005F14E0">
        <w:t>ormative assessment</w:t>
      </w:r>
      <w:r>
        <w:t xml:space="preserve"> </w:t>
      </w:r>
      <w:r w:rsidR="006424AF">
        <w:t xml:space="preserve">as it </w:t>
      </w:r>
      <w:r w:rsidR="003F607E">
        <w:t>enables teachers to build individual capability and develop a shared understanding of effective practice.</w:t>
      </w:r>
      <w:r w:rsidR="006424AF">
        <w:t xml:space="preserve">  </w:t>
      </w:r>
      <w:r w:rsidR="00F079A9">
        <w:t xml:space="preserve">Peer observation </w:t>
      </w:r>
      <w:r w:rsidR="00524D0C">
        <w:t xml:space="preserve">is </w:t>
      </w:r>
      <w:r w:rsidR="00F079A9">
        <w:t>also incorporated into a learning cycle, based on feedback and built on explicit criteria.</w:t>
      </w:r>
    </w:p>
    <w:p w:rsidR="004F2E2E" w:rsidRDefault="004F2E2E" w:rsidP="00F54177">
      <w:pPr>
        <w:spacing w:before="120"/>
        <w:rPr>
          <w:color w:val="000000" w:themeColor="text1"/>
        </w:rPr>
      </w:pPr>
    </w:p>
    <w:p w:rsidR="005528FF" w:rsidRPr="008D4D01" w:rsidRDefault="00AF4FB0" w:rsidP="007978C1">
      <w:pPr>
        <w:spacing w:before="120"/>
        <w:rPr>
          <w:b/>
        </w:rPr>
      </w:pPr>
      <w:r>
        <w:rPr>
          <w:b/>
        </w:rPr>
        <w:t xml:space="preserve">USING </w:t>
      </w:r>
      <w:r w:rsidR="00FE129E">
        <w:rPr>
          <w:b/>
        </w:rPr>
        <w:t xml:space="preserve">FORMATIVE ASSESSMENT </w:t>
      </w:r>
    </w:p>
    <w:p w:rsidR="003F607E" w:rsidRDefault="00FE129E" w:rsidP="003F607E">
      <w:pPr>
        <w:spacing w:before="120"/>
      </w:pPr>
      <w:r>
        <w:rPr>
          <w:color w:val="000000" w:themeColor="text1"/>
        </w:rPr>
        <w:t>The purpose of formative assessment is</w:t>
      </w:r>
      <w:r w:rsidR="005F14E0">
        <w:rPr>
          <w:color w:val="000000" w:themeColor="text1"/>
        </w:rPr>
        <w:t xml:space="preserve"> to provide feedback for learning.</w:t>
      </w:r>
      <w:r w:rsidR="00BA6E0B">
        <w:rPr>
          <w:color w:val="000000" w:themeColor="text1"/>
        </w:rPr>
        <w:t xml:space="preserve">  This can be</w:t>
      </w:r>
      <w:r w:rsidR="003F607E">
        <w:t xml:space="preserve">:  </w:t>
      </w:r>
    </w:p>
    <w:p w:rsidR="005F14E0" w:rsidRDefault="00BA6E0B">
      <w:pPr>
        <w:pStyle w:val="ListParagraph"/>
        <w:numPr>
          <w:ilvl w:val="0"/>
          <w:numId w:val="28"/>
        </w:numPr>
      </w:pPr>
      <w:r>
        <w:t>feedback to the teacher about how and where to modify the teaching program</w:t>
      </w:r>
      <w:r w:rsidRPr="00BA6E0B">
        <w:t xml:space="preserve"> </w:t>
      </w:r>
      <w:r>
        <w:t xml:space="preserve">to meet the needs of one or more of </w:t>
      </w:r>
      <w:r w:rsidR="006A4F4D">
        <w:t xml:space="preserve">their </w:t>
      </w:r>
      <w:r>
        <w:t>students</w:t>
      </w:r>
    </w:p>
    <w:p w:rsidR="003F607E" w:rsidRDefault="00BA6E0B">
      <w:pPr>
        <w:pStyle w:val="ListParagraph"/>
        <w:numPr>
          <w:ilvl w:val="0"/>
          <w:numId w:val="28"/>
        </w:numPr>
      </w:pPr>
      <w:r>
        <w:t>feedback on w</w:t>
      </w:r>
      <w:r w:rsidR="003F607E">
        <w:t>hat achievement of standards looks like</w:t>
      </w:r>
    </w:p>
    <w:p w:rsidR="003F607E" w:rsidRDefault="00BA6E0B">
      <w:pPr>
        <w:pStyle w:val="ListParagraph"/>
        <w:numPr>
          <w:ilvl w:val="0"/>
          <w:numId w:val="28"/>
        </w:numPr>
      </w:pPr>
      <w:proofErr w:type="gramStart"/>
      <w:r>
        <w:t>diagnostic</w:t>
      </w:r>
      <w:proofErr w:type="gramEnd"/>
      <w:r>
        <w:t xml:space="preserve"> feedback incorporated into the </w:t>
      </w:r>
      <w:r w:rsidR="003F607E">
        <w:t>design</w:t>
      </w:r>
      <w:r w:rsidR="006424AF">
        <w:t xml:space="preserve"> of</w:t>
      </w:r>
      <w:r w:rsidR="003F607E">
        <w:t xml:space="preserve"> a learning program with </w:t>
      </w:r>
      <w:r w:rsidR="006A4F4D">
        <w:t>learning outcomes</w:t>
      </w:r>
      <w:r w:rsidR="003F607E">
        <w:t xml:space="preserve"> in mind</w:t>
      </w:r>
      <w:r w:rsidR="008565E2">
        <w:t xml:space="preserve"> </w:t>
      </w:r>
      <w:r>
        <w:t>(</w:t>
      </w:r>
      <w:r w:rsidR="003F607E">
        <w:t>or backward map</w:t>
      </w:r>
      <w:r>
        <w:t>ped</w:t>
      </w:r>
      <w:r w:rsidR="003F607E">
        <w:rPr>
          <w:rStyle w:val="FootnoteReference"/>
        </w:rPr>
        <w:footnoteReference w:id="13"/>
      </w:r>
      <w:r>
        <w:t>)</w:t>
      </w:r>
      <w:r w:rsidR="00C466FC">
        <w:t>.</w:t>
      </w:r>
    </w:p>
    <w:p w:rsidR="00972498" w:rsidRDefault="00895413" w:rsidP="00895413">
      <w:pPr>
        <w:spacing w:before="120"/>
        <w:rPr>
          <w:b/>
          <w:color w:val="000000" w:themeColor="text1"/>
        </w:rPr>
      </w:pPr>
      <w:r>
        <w:rPr>
          <w:color w:val="000000" w:themeColor="text1"/>
        </w:rPr>
        <w:t>To put this into practice, l</w:t>
      </w:r>
      <w:r w:rsidRPr="00472E9F">
        <w:rPr>
          <w:color w:val="000000" w:themeColor="text1"/>
        </w:rPr>
        <w:t xml:space="preserve">et’s look at examples of </w:t>
      </w:r>
      <w:r w:rsidR="0090537C">
        <w:rPr>
          <w:color w:val="000000" w:themeColor="text1"/>
        </w:rPr>
        <w:t>four</w:t>
      </w:r>
      <w:r>
        <w:rPr>
          <w:color w:val="000000" w:themeColor="text1"/>
        </w:rPr>
        <w:t xml:space="preserve"> strategies of formative assessment</w:t>
      </w:r>
      <w:r>
        <w:rPr>
          <w:rStyle w:val="FootnoteReference"/>
          <w:color w:val="000000" w:themeColor="text1"/>
        </w:rPr>
        <w:footnoteReference w:id="14"/>
      </w:r>
      <w:r>
        <w:rPr>
          <w:color w:val="000000" w:themeColor="text1"/>
        </w:rPr>
        <w:t xml:space="preserve"> </w:t>
      </w:r>
      <w:r w:rsidR="00361684">
        <w:rPr>
          <w:color w:val="000000" w:themeColor="text1"/>
        </w:rPr>
        <w:t xml:space="preserve">in </w:t>
      </w:r>
      <w:r>
        <w:rPr>
          <w:color w:val="000000" w:themeColor="text1"/>
        </w:rPr>
        <w:t xml:space="preserve">an </w:t>
      </w:r>
      <w:r w:rsidRPr="00472E9F">
        <w:rPr>
          <w:color w:val="000000" w:themeColor="text1"/>
        </w:rPr>
        <w:t>improvement cycle proces</w:t>
      </w:r>
      <w:r w:rsidRPr="00C32BA1">
        <w:rPr>
          <w:color w:val="000000" w:themeColor="text1"/>
        </w:rPr>
        <w:t>s</w:t>
      </w:r>
      <w:r w:rsidR="000C20EA">
        <w:rPr>
          <w:color w:val="000000" w:themeColor="text1"/>
        </w:rPr>
        <w:t>.</w:t>
      </w:r>
      <w:r w:rsidR="00F079A9">
        <w:rPr>
          <w:color w:val="000000" w:themeColor="text1"/>
        </w:rPr>
        <w:br/>
      </w:r>
    </w:p>
    <w:p w:rsidR="00361684" w:rsidRDefault="00895413" w:rsidP="00895413">
      <w:pPr>
        <w:spacing w:before="120"/>
        <w:rPr>
          <w:b/>
          <w:color w:val="000000" w:themeColor="text1"/>
        </w:rPr>
      </w:pPr>
      <w:r>
        <w:rPr>
          <w:b/>
          <w:color w:val="000000" w:themeColor="text1"/>
        </w:rPr>
        <w:t>To clarify learning intentions</w:t>
      </w:r>
      <w:r w:rsidR="00361684">
        <w:rPr>
          <w:color w:val="000000" w:themeColor="text1"/>
        </w:rPr>
        <w:br/>
      </w:r>
      <w:r w:rsidR="002F1468">
        <w:rPr>
          <w:color w:val="000000" w:themeColor="text1"/>
        </w:rPr>
        <w:t xml:space="preserve">One week into </w:t>
      </w:r>
      <w:r w:rsidR="00361684">
        <w:rPr>
          <w:color w:val="000000" w:themeColor="text1"/>
        </w:rPr>
        <w:t>a</w:t>
      </w:r>
      <w:r w:rsidR="0071433B">
        <w:rPr>
          <w:color w:val="000000" w:themeColor="text1"/>
        </w:rPr>
        <w:t xml:space="preserve"> </w:t>
      </w:r>
      <w:r w:rsidR="00202A29">
        <w:rPr>
          <w:color w:val="000000" w:themeColor="text1"/>
        </w:rPr>
        <w:t>four</w:t>
      </w:r>
      <w:r w:rsidR="0071433B">
        <w:rPr>
          <w:color w:val="000000" w:themeColor="text1"/>
        </w:rPr>
        <w:t xml:space="preserve"> week</w:t>
      </w:r>
      <w:r w:rsidR="00361684">
        <w:rPr>
          <w:color w:val="000000" w:themeColor="text1"/>
        </w:rPr>
        <w:t xml:space="preserve"> unit of work</w:t>
      </w:r>
      <w:r w:rsidR="002F1468">
        <w:rPr>
          <w:color w:val="000000" w:themeColor="text1"/>
        </w:rPr>
        <w:t xml:space="preserve"> on persuasive writing skills</w:t>
      </w:r>
      <w:r w:rsidR="00361684">
        <w:rPr>
          <w:color w:val="000000" w:themeColor="text1"/>
        </w:rPr>
        <w:t>, a</w:t>
      </w:r>
      <w:r w:rsidR="002B3872">
        <w:rPr>
          <w:color w:val="000000" w:themeColor="text1"/>
        </w:rPr>
        <w:t xml:space="preserve"> Year 3 teacher sets a writing prompt and collects </w:t>
      </w:r>
      <w:r w:rsidR="006A4F4D">
        <w:rPr>
          <w:color w:val="000000" w:themeColor="text1"/>
        </w:rPr>
        <w:t xml:space="preserve">their </w:t>
      </w:r>
      <w:r w:rsidR="002B3872">
        <w:rPr>
          <w:color w:val="000000" w:themeColor="text1"/>
        </w:rPr>
        <w:t xml:space="preserve">students’ work.  </w:t>
      </w:r>
      <w:r w:rsidR="00FD6E86">
        <w:rPr>
          <w:color w:val="000000" w:themeColor="text1"/>
        </w:rPr>
        <w:t xml:space="preserve">Working from a rubric, </w:t>
      </w:r>
      <w:r w:rsidR="006A4F4D">
        <w:rPr>
          <w:color w:val="000000" w:themeColor="text1"/>
        </w:rPr>
        <w:t xml:space="preserve">they </w:t>
      </w:r>
      <w:r w:rsidR="002F1468">
        <w:rPr>
          <w:color w:val="000000" w:themeColor="text1"/>
        </w:rPr>
        <w:t>identif</w:t>
      </w:r>
      <w:r w:rsidR="006A4F4D">
        <w:rPr>
          <w:color w:val="000000" w:themeColor="text1"/>
        </w:rPr>
        <w:t>y</w:t>
      </w:r>
      <w:r w:rsidR="002B3872">
        <w:rPr>
          <w:color w:val="000000" w:themeColor="text1"/>
        </w:rPr>
        <w:t xml:space="preserve"> </w:t>
      </w:r>
      <w:r w:rsidR="002F1468">
        <w:rPr>
          <w:color w:val="000000" w:themeColor="text1"/>
        </w:rPr>
        <w:t>that</w:t>
      </w:r>
      <w:r w:rsidR="00B37A4D">
        <w:rPr>
          <w:color w:val="000000" w:themeColor="text1"/>
        </w:rPr>
        <w:t xml:space="preserve"> most of the students </w:t>
      </w:r>
      <w:r w:rsidR="002B3872">
        <w:rPr>
          <w:color w:val="000000" w:themeColor="text1"/>
        </w:rPr>
        <w:t xml:space="preserve">are </w:t>
      </w:r>
      <w:r w:rsidR="00046C5E">
        <w:rPr>
          <w:color w:val="000000" w:themeColor="text1"/>
        </w:rPr>
        <w:t xml:space="preserve">able to </w:t>
      </w:r>
      <w:proofErr w:type="spellStart"/>
      <w:r w:rsidR="00CD76E9">
        <w:rPr>
          <w:color w:val="000000" w:themeColor="text1"/>
        </w:rPr>
        <w:t>organis</w:t>
      </w:r>
      <w:r w:rsidR="00046C5E">
        <w:rPr>
          <w:color w:val="000000" w:themeColor="text1"/>
        </w:rPr>
        <w:t>e</w:t>
      </w:r>
      <w:proofErr w:type="spellEnd"/>
      <w:r w:rsidR="00046C5E">
        <w:rPr>
          <w:color w:val="000000" w:themeColor="text1"/>
        </w:rPr>
        <w:t xml:space="preserve"> their </w:t>
      </w:r>
      <w:r w:rsidR="00046C5E">
        <w:rPr>
          <w:color w:val="000000" w:themeColor="text1"/>
        </w:rPr>
        <w:lastRenderedPageBreak/>
        <w:t>ideas and communicate effectively</w:t>
      </w:r>
      <w:r w:rsidR="00B37A4D">
        <w:rPr>
          <w:color w:val="000000" w:themeColor="text1"/>
        </w:rPr>
        <w:t xml:space="preserve">, but that many </w:t>
      </w:r>
      <w:r w:rsidR="006424AF">
        <w:rPr>
          <w:color w:val="000000" w:themeColor="text1"/>
        </w:rPr>
        <w:t xml:space="preserve">have </w:t>
      </w:r>
      <w:r w:rsidR="00B37A4D">
        <w:rPr>
          <w:color w:val="000000" w:themeColor="text1"/>
        </w:rPr>
        <w:t xml:space="preserve">made errors of punctuation, spelling, and grammar.  The </w:t>
      </w:r>
      <w:r w:rsidR="002B3872">
        <w:rPr>
          <w:color w:val="000000" w:themeColor="text1"/>
        </w:rPr>
        <w:t xml:space="preserve">teacher </w:t>
      </w:r>
      <w:r w:rsidR="00B37A4D">
        <w:rPr>
          <w:color w:val="000000" w:themeColor="text1"/>
        </w:rPr>
        <w:t>decide</w:t>
      </w:r>
      <w:r w:rsidR="002B3872">
        <w:rPr>
          <w:color w:val="000000" w:themeColor="text1"/>
        </w:rPr>
        <w:t>s</w:t>
      </w:r>
      <w:r w:rsidR="00B37A4D">
        <w:rPr>
          <w:color w:val="000000" w:themeColor="text1"/>
        </w:rPr>
        <w:t xml:space="preserve"> to revis</w:t>
      </w:r>
      <w:r w:rsidR="00A25317">
        <w:rPr>
          <w:color w:val="000000" w:themeColor="text1"/>
        </w:rPr>
        <w:t xml:space="preserve">it </w:t>
      </w:r>
      <w:r w:rsidR="000C20EA">
        <w:rPr>
          <w:color w:val="000000" w:themeColor="text1"/>
        </w:rPr>
        <w:t>the</w:t>
      </w:r>
      <w:r w:rsidR="002B3872">
        <w:rPr>
          <w:color w:val="000000" w:themeColor="text1"/>
        </w:rPr>
        <w:t xml:space="preserve"> </w:t>
      </w:r>
      <w:r w:rsidR="00A25317">
        <w:rPr>
          <w:color w:val="000000" w:themeColor="text1"/>
        </w:rPr>
        <w:t>learning intentions and build in explicit teaching on re-reading, editing and checking for vocabulary, structure and meaning.</w:t>
      </w:r>
      <w:r w:rsidR="00B37A4D">
        <w:rPr>
          <w:color w:val="000000" w:themeColor="text1"/>
        </w:rPr>
        <w:t xml:space="preserve">  </w:t>
      </w:r>
      <w:r w:rsidR="00F079A9">
        <w:rPr>
          <w:color w:val="000000" w:themeColor="text1"/>
        </w:rPr>
        <w:br/>
      </w:r>
    </w:p>
    <w:p w:rsidR="009D558D" w:rsidRDefault="00895413" w:rsidP="00895413">
      <w:pPr>
        <w:spacing w:before="120"/>
        <w:rPr>
          <w:color w:val="000000" w:themeColor="text1"/>
        </w:rPr>
      </w:pPr>
      <w:r>
        <w:rPr>
          <w:b/>
          <w:color w:val="000000" w:themeColor="text1"/>
        </w:rPr>
        <w:t xml:space="preserve">To </w:t>
      </w:r>
      <w:proofErr w:type="spellStart"/>
      <w:r>
        <w:rPr>
          <w:b/>
          <w:color w:val="000000" w:themeColor="text1"/>
        </w:rPr>
        <w:t>analyse</w:t>
      </w:r>
      <w:proofErr w:type="spellEnd"/>
      <w:r>
        <w:rPr>
          <w:b/>
          <w:color w:val="000000" w:themeColor="text1"/>
        </w:rPr>
        <w:t xml:space="preserve"> evidence of student learning</w:t>
      </w:r>
      <w:r w:rsidR="00805002">
        <w:rPr>
          <w:b/>
          <w:color w:val="000000" w:themeColor="text1"/>
        </w:rPr>
        <w:br/>
      </w:r>
      <w:proofErr w:type="gramStart"/>
      <w:r w:rsidR="00D070D7">
        <w:rPr>
          <w:color w:val="000000" w:themeColor="text1"/>
        </w:rPr>
        <w:t>Prior</w:t>
      </w:r>
      <w:proofErr w:type="gramEnd"/>
      <w:r w:rsidR="00D070D7">
        <w:rPr>
          <w:color w:val="000000" w:themeColor="text1"/>
        </w:rPr>
        <w:t xml:space="preserve"> to starting a unit of work, a Year 7 teacher designs a short test to evaluate </w:t>
      </w:r>
      <w:r w:rsidR="006A4F4D">
        <w:rPr>
          <w:color w:val="000000" w:themeColor="text1"/>
        </w:rPr>
        <w:t xml:space="preserve">their </w:t>
      </w:r>
      <w:r w:rsidR="00D070D7">
        <w:rPr>
          <w:color w:val="000000" w:themeColor="text1"/>
        </w:rPr>
        <w:t>students</w:t>
      </w:r>
      <w:r w:rsidR="00600CE3">
        <w:rPr>
          <w:color w:val="000000" w:themeColor="text1"/>
        </w:rPr>
        <w:t>’</w:t>
      </w:r>
      <w:r w:rsidR="00D070D7">
        <w:rPr>
          <w:color w:val="000000" w:themeColor="text1"/>
        </w:rPr>
        <w:t xml:space="preserve"> und</w:t>
      </w:r>
      <w:r w:rsidR="00472E9F">
        <w:rPr>
          <w:color w:val="000000" w:themeColor="text1"/>
        </w:rPr>
        <w:t xml:space="preserve">erstanding of rational number. </w:t>
      </w:r>
      <w:r w:rsidR="00D070D7">
        <w:rPr>
          <w:color w:val="000000" w:themeColor="text1"/>
        </w:rPr>
        <w:t>The results show that several students have misconceptions in their understandings of fractions and decimals</w:t>
      </w:r>
      <w:r w:rsidR="00D52FDB">
        <w:rPr>
          <w:color w:val="000000" w:themeColor="text1"/>
        </w:rPr>
        <w:t xml:space="preserve">.  </w:t>
      </w:r>
      <w:r w:rsidR="002B3872">
        <w:rPr>
          <w:color w:val="000000" w:themeColor="text1"/>
        </w:rPr>
        <w:t xml:space="preserve">As a result, </w:t>
      </w:r>
      <w:r w:rsidR="006A4F4D">
        <w:rPr>
          <w:color w:val="000000" w:themeColor="text1"/>
        </w:rPr>
        <w:t xml:space="preserve">the teacher </w:t>
      </w:r>
      <w:r w:rsidR="002B3872">
        <w:rPr>
          <w:color w:val="000000" w:themeColor="text1"/>
        </w:rPr>
        <w:t xml:space="preserve">uses the Victorian Curriculum </w:t>
      </w:r>
      <w:r w:rsidR="000C20EA">
        <w:rPr>
          <w:color w:val="000000" w:themeColor="text1"/>
        </w:rPr>
        <w:t xml:space="preserve">F-10 </w:t>
      </w:r>
      <w:r w:rsidR="003A02EF">
        <w:rPr>
          <w:color w:val="000000" w:themeColor="text1"/>
        </w:rPr>
        <w:t>achievement s</w:t>
      </w:r>
      <w:r w:rsidR="002B3872">
        <w:rPr>
          <w:color w:val="000000" w:themeColor="text1"/>
        </w:rPr>
        <w:t xml:space="preserve">tandards to revisit </w:t>
      </w:r>
      <w:r w:rsidR="006A4F4D">
        <w:rPr>
          <w:color w:val="000000" w:themeColor="text1"/>
        </w:rPr>
        <w:t xml:space="preserve">the </w:t>
      </w:r>
      <w:r w:rsidR="002B3872">
        <w:rPr>
          <w:color w:val="000000" w:themeColor="text1"/>
        </w:rPr>
        <w:t xml:space="preserve">learning objectives </w:t>
      </w:r>
      <w:r w:rsidR="000C20EA">
        <w:rPr>
          <w:color w:val="000000" w:themeColor="text1"/>
        </w:rPr>
        <w:t xml:space="preserve">and selects a different </w:t>
      </w:r>
      <w:r w:rsidR="002B3872">
        <w:rPr>
          <w:color w:val="000000" w:themeColor="text1"/>
        </w:rPr>
        <w:t xml:space="preserve">instructional focus and </w:t>
      </w:r>
      <w:r w:rsidR="000C20EA">
        <w:rPr>
          <w:color w:val="000000" w:themeColor="text1"/>
        </w:rPr>
        <w:t>teaching</w:t>
      </w:r>
      <w:r w:rsidR="002B3872">
        <w:rPr>
          <w:color w:val="000000" w:themeColor="text1"/>
        </w:rPr>
        <w:t xml:space="preserve"> </w:t>
      </w:r>
      <w:r w:rsidR="000C20EA">
        <w:rPr>
          <w:color w:val="000000" w:themeColor="text1"/>
        </w:rPr>
        <w:t>strategy</w:t>
      </w:r>
      <w:r w:rsidR="002B3872">
        <w:rPr>
          <w:color w:val="000000" w:themeColor="text1"/>
        </w:rPr>
        <w:t xml:space="preserve"> for her students.</w:t>
      </w:r>
      <w:r w:rsidR="00D52FDB">
        <w:rPr>
          <w:color w:val="000000" w:themeColor="text1"/>
        </w:rPr>
        <w:t xml:space="preserve"> </w:t>
      </w:r>
      <w:r w:rsidR="00F079A9">
        <w:rPr>
          <w:color w:val="000000" w:themeColor="text1"/>
        </w:rPr>
        <w:br/>
      </w:r>
    </w:p>
    <w:p w:rsidR="00180EDB" w:rsidRDefault="00895413" w:rsidP="00895413">
      <w:pPr>
        <w:spacing w:before="120"/>
        <w:rPr>
          <w:b/>
          <w:color w:val="000000" w:themeColor="text1"/>
        </w:rPr>
      </w:pPr>
      <w:r>
        <w:rPr>
          <w:b/>
          <w:color w:val="000000" w:themeColor="text1"/>
        </w:rPr>
        <w:t xml:space="preserve">To provide feedback </w:t>
      </w:r>
      <w:r w:rsidR="00056053">
        <w:rPr>
          <w:b/>
          <w:color w:val="000000" w:themeColor="text1"/>
        </w:rPr>
        <w:t>to improve learning</w:t>
      </w:r>
      <w:r w:rsidR="00805002">
        <w:rPr>
          <w:b/>
          <w:color w:val="000000" w:themeColor="text1"/>
        </w:rPr>
        <w:br/>
      </w:r>
      <w:r w:rsidR="00CC78C6">
        <w:rPr>
          <w:color w:val="000000" w:themeColor="text1"/>
        </w:rPr>
        <w:t xml:space="preserve">Year 9 students working on </w:t>
      </w:r>
      <w:r w:rsidR="00EC4546">
        <w:rPr>
          <w:color w:val="000000" w:themeColor="text1"/>
        </w:rPr>
        <w:t xml:space="preserve">media texts are invited to write and present their own sample of ‘Fake News’.  </w:t>
      </w:r>
      <w:r w:rsidR="00FD6E86">
        <w:rPr>
          <w:color w:val="000000" w:themeColor="text1"/>
        </w:rPr>
        <w:t xml:space="preserve">A rubric is shared with the students, which they discuss as a group. </w:t>
      </w:r>
      <w:r w:rsidR="00EC4546">
        <w:rPr>
          <w:color w:val="000000" w:themeColor="text1"/>
        </w:rPr>
        <w:t xml:space="preserve">Their teacher </w:t>
      </w:r>
      <w:r w:rsidR="00AE5932">
        <w:rPr>
          <w:color w:val="000000" w:themeColor="text1"/>
        </w:rPr>
        <w:t xml:space="preserve">explains that they will use a rubric to assess </w:t>
      </w:r>
      <w:r w:rsidR="00E52323">
        <w:rPr>
          <w:color w:val="000000" w:themeColor="text1"/>
        </w:rPr>
        <w:t>each other’s</w:t>
      </w:r>
      <w:r w:rsidR="00AE5932">
        <w:rPr>
          <w:color w:val="000000" w:themeColor="text1"/>
        </w:rPr>
        <w:t xml:space="preserve"> work, and give feedback to each other based on the criteria identified in the rubric.  They also put dots in the margins of each line that needs attention, and then return </w:t>
      </w:r>
      <w:r w:rsidR="00202A29">
        <w:rPr>
          <w:color w:val="000000" w:themeColor="text1"/>
        </w:rPr>
        <w:t>the</w:t>
      </w:r>
      <w:r w:rsidR="00AE5932">
        <w:rPr>
          <w:color w:val="000000" w:themeColor="text1"/>
        </w:rPr>
        <w:t xml:space="preserve"> written pieces to </w:t>
      </w:r>
      <w:r w:rsidR="00202A29">
        <w:rPr>
          <w:color w:val="000000" w:themeColor="text1"/>
        </w:rPr>
        <w:t xml:space="preserve">the original authors </w:t>
      </w:r>
      <w:r w:rsidR="00AE5932">
        <w:rPr>
          <w:color w:val="000000" w:themeColor="text1"/>
        </w:rPr>
        <w:t xml:space="preserve">for </w:t>
      </w:r>
      <w:r w:rsidR="00221FF9">
        <w:rPr>
          <w:color w:val="000000" w:themeColor="text1"/>
        </w:rPr>
        <w:t>reflection and further development</w:t>
      </w:r>
      <w:r w:rsidR="00AE5932">
        <w:rPr>
          <w:color w:val="000000" w:themeColor="text1"/>
        </w:rPr>
        <w:t>.</w:t>
      </w:r>
      <w:r w:rsidR="00A65543">
        <w:rPr>
          <w:color w:val="000000" w:themeColor="text1"/>
        </w:rPr>
        <w:t xml:space="preserve">  </w:t>
      </w:r>
      <w:r w:rsidR="006A4F4D">
        <w:rPr>
          <w:color w:val="000000" w:themeColor="text1"/>
        </w:rPr>
        <w:t>The teacher</w:t>
      </w:r>
      <w:r w:rsidR="006A4F4D" w:rsidRPr="00A65543">
        <w:rPr>
          <w:color w:val="000000" w:themeColor="text1"/>
        </w:rPr>
        <w:t xml:space="preserve"> </w:t>
      </w:r>
      <w:r w:rsidR="00A65543" w:rsidRPr="00A65543">
        <w:rPr>
          <w:color w:val="000000" w:themeColor="text1"/>
        </w:rPr>
        <w:t xml:space="preserve">is using feedback that </w:t>
      </w:r>
      <w:r w:rsidR="00A65543">
        <w:rPr>
          <w:color w:val="000000" w:themeColor="text1"/>
        </w:rPr>
        <w:t xml:space="preserve">causes thinking and </w:t>
      </w:r>
      <w:r w:rsidR="00A65543" w:rsidRPr="00A65543">
        <w:rPr>
          <w:color w:val="000000" w:themeColor="text1"/>
        </w:rPr>
        <w:t>moves learning forward</w:t>
      </w:r>
      <w:r w:rsidR="00A65543">
        <w:rPr>
          <w:rStyle w:val="FootnoteReference"/>
          <w:color w:val="000000" w:themeColor="text1"/>
        </w:rPr>
        <w:footnoteReference w:id="15"/>
      </w:r>
      <w:r w:rsidR="00A65543" w:rsidRPr="00A65543">
        <w:rPr>
          <w:color w:val="000000" w:themeColor="text1"/>
        </w:rPr>
        <w:t>.</w:t>
      </w:r>
      <w:r w:rsidR="00F079A9">
        <w:rPr>
          <w:color w:val="000000" w:themeColor="text1"/>
        </w:rPr>
        <w:br/>
      </w:r>
    </w:p>
    <w:p w:rsidR="005362D9" w:rsidRDefault="0081066B" w:rsidP="00895413">
      <w:pPr>
        <w:spacing w:before="120"/>
        <w:rPr>
          <w:color w:val="000000" w:themeColor="text1"/>
        </w:rPr>
      </w:pPr>
      <w:r>
        <w:rPr>
          <w:b/>
          <w:color w:val="000000" w:themeColor="text1"/>
        </w:rPr>
        <w:t xml:space="preserve">To </w:t>
      </w:r>
      <w:r w:rsidR="00056053">
        <w:rPr>
          <w:b/>
          <w:color w:val="000000" w:themeColor="text1"/>
        </w:rPr>
        <w:t>enable learners to learn from each other</w:t>
      </w:r>
      <w:r w:rsidR="005B07EC">
        <w:rPr>
          <w:b/>
          <w:color w:val="000000" w:themeColor="text1"/>
        </w:rPr>
        <w:br/>
      </w:r>
      <w:r w:rsidR="005B07EC">
        <w:rPr>
          <w:color w:val="000000" w:themeColor="text1"/>
        </w:rPr>
        <w:t xml:space="preserve">A Year 5 teacher teaching a unit on creative writing </w:t>
      </w:r>
      <w:r w:rsidR="009264A9">
        <w:rPr>
          <w:color w:val="000000" w:themeColor="text1"/>
        </w:rPr>
        <w:t>selects an</w:t>
      </w:r>
      <w:r w:rsidR="0057209D">
        <w:rPr>
          <w:color w:val="000000" w:themeColor="text1"/>
        </w:rPr>
        <w:t xml:space="preserve"> instru</w:t>
      </w:r>
      <w:r w:rsidR="00234A82">
        <w:rPr>
          <w:color w:val="000000" w:themeColor="text1"/>
        </w:rPr>
        <w:t>ctional focus on</w:t>
      </w:r>
      <w:r w:rsidR="0057209D">
        <w:rPr>
          <w:color w:val="000000" w:themeColor="text1"/>
        </w:rPr>
        <w:t xml:space="preserve"> creating fantasy characters</w:t>
      </w:r>
      <w:r w:rsidR="009264A9">
        <w:rPr>
          <w:color w:val="000000" w:themeColor="text1"/>
        </w:rPr>
        <w:t>.  After a period of explicit teaching</w:t>
      </w:r>
      <w:r w:rsidR="002E359C">
        <w:rPr>
          <w:rStyle w:val="FootnoteReference"/>
          <w:color w:val="000000" w:themeColor="text1"/>
        </w:rPr>
        <w:footnoteReference w:id="16"/>
      </w:r>
      <w:r w:rsidR="009264A9">
        <w:rPr>
          <w:color w:val="000000" w:themeColor="text1"/>
        </w:rPr>
        <w:t xml:space="preserve"> on </w:t>
      </w:r>
      <w:r w:rsidR="00234A82">
        <w:rPr>
          <w:color w:val="000000" w:themeColor="text1"/>
        </w:rPr>
        <w:t xml:space="preserve">how </w:t>
      </w:r>
      <w:r w:rsidR="00234A82" w:rsidRPr="00234A82">
        <w:rPr>
          <w:color w:val="000000" w:themeColor="text1"/>
        </w:rPr>
        <w:t>language features, and vocabulary influence interpretations of characters, settings and events</w:t>
      </w:r>
      <w:r w:rsidR="00234A82">
        <w:rPr>
          <w:color w:val="000000" w:themeColor="text1"/>
        </w:rPr>
        <w:t>, their teacher sets up a student moderation.  The class starts by discussing the assessment criteria</w:t>
      </w:r>
      <w:r w:rsidR="005B07EC">
        <w:rPr>
          <w:color w:val="000000" w:themeColor="text1"/>
        </w:rPr>
        <w:t xml:space="preserve"> and standards</w:t>
      </w:r>
      <w:r w:rsidR="00234A82">
        <w:rPr>
          <w:color w:val="000000" w:themeColor="text1"/>
        </w:rPr>
        <w:t xml:space="preserve"> for this unit of work.  </w:t>
      </w:r>
      <w:r w:rsidR="0057209D">
        <w:rPr>
          <w:color w:val="000000" w:themeColor="text1"/>
        </w:rPr>
        <w:t xml:space="preserve">They </w:t>
      </w:r>
      <w:r w:rsidR="00234A82">
        <w:rPr>
          <w:color w:val="000000" w:themeColor="text1"/>
        </w:rPr>
        <w:t xml:space="preserve">then </w:t>
      </w:r>
      <w:r w:rsidR="0057209D">
        <w:rPr>
          <w:color w:val="000000" w:themeColor="text1"/>
        </w:rPr>
        <w:t xml:space="preserve">use anonymous work samples from last </w:t>
      </w:r>
      <w:r w:rsidR="00557268">
        <w:rPr>
          <w:color w:val="000000" w:themeColor="text1"/>
        </w:rPr>
        <w:t>year’s</w:t>
      </w:r>
      <w:r w:rsidR="0057209D">
        <w:rPr>
          <w:color w:val="000000" w:themeColor="text1"/>
        </w:rPr>
        <w:t xml:space="preserve"> class to discuss and rate the samples</w:t>
      </w:r>
      <w:r w:rsidR="00BC4D0E">
        <w:rPr>
          <w:color w:val="000000" w:themeColor="text1"/>
        </w:rPr>
        <w:t xml:space="preserve">.  </w:t>
      </w:r>
      <w:r w:rsidR="005B07EC">
        <w:rPr>
          <w:color w:val="000000" w:themeColor="text1"/>
        </w:rPr>
        <w:t>The students</w:t>
      </w:r>
      <w:r w:rsidR="00234A82">
        <w:rPr>
          <w:color w:val="000000" w:themeColor="text1"/>
        </w:rPr>
        <w:t xml:space="preserve"> have </w:t>
      </w:r>
      <w:r w:rsidR="005B07EC">
        <w:rPr>
          <w:color w:val="000000" w:themeColor="text1"/>
        </w:rPr>
        <w:t xml:space="preserve">worked collaboratively to </w:t>
      </w:r>
      <w:r w:rsidR="0077457A">
        <w:rPr>
          <w:color w:val="000000" w:themeColor="text1"/>
        </w:rPr>
        <w:t xml:space="preserve">clarify, share and </w:t>
      </w:r>
      <w:r w:rsidR="005B07EC">
        <w:rPr>
          <w:color w:val="000000" w:themeColor="text1"/>
        </w:rPr>
        <w:t xml:space="preserve">develop </w:t>
      </w:r>
      <w:r w:rsidR="00234A82">
        <w:rPr>
          <w:color w:val="000000" w:themeColor="text1"/>
        </w:rPr>
        <w:t xml:space="preserve">a </w:t>
      </w:r>
      <w:r w:rsidR="0077457A">
        <w:rPr>
          <w:color w:val="000000" w:themeColor="text1"/>
        </w:rPr>
        <w:t>deep</w:t>
      </w:r>
      <w:r w:rsidR="00234A82">
        <w:rPr>
          <w:color w:val="000000" w:themeColor="text1"/>
        </w:rPr>
        <w:t xml:space="preserve"> </w:t>
      </w:r>
      <w:r w:rsidR="005B07EC">
        <w:rPr>
          <w:color w:val="000000" w:themeColor="text1"/>
        </w:rPr>
        <w:t xml:space="preserve">understanding of </w:t>
      </w:r>
      <w:r w:rsidR="0077457A">
        <w:rPr>
          <w:color w:val="000000" w:themeColor="text1"/>
        </w:rPr>
        <w:t>the learning intentions and success criteria</w:t>
      </w:r>
      <w:r w:rsidR="0077457A">
        <w:rPr>
          <w:rStyle w:val="FootnoteReference"/>
          <w:color w:val="000000" w:themeColor="text1"/>
        </w:rPr>
        <w:footnoteReference w:id="17"/>
      </w:r>
      <w:r w:rsidR="0077457A">
        <w:rPr>
          <w:color w:val="000000" w:themeColor="text1"/>
        </w:rPr>
        <w:t>.</w:t>
      </w:r>
      <w:r w:rsidR="005B07EC">
        <w:rPr>
          <w:color w:val="000000" w:themeColor="text1"/>
        </w:rPr>
        <w:t xml:space="preserve"> </w:t>
      </w:r>
    </w:p>
    <w:p w:rsidR="00E55E38" w:rsidRDefault="00280C0E" w:rsidP="00895413">
      <w:pPr>
        <w:spacing w:before="120"/>
      </w:pPr>
      <w:r w:rsidRPr="00C32BA1">
        <w:t xml:space="preserve">These examples show how </w:t>
      </w:r>
      <w:r w:rsidR="00317620">
        <w:t>teachers</w:t>
      </w:r>
      <w:r w:rsidR="00697DCC">
        <w:t xml:space="preserve"> can</w:t>
      </w:r>
      <w:r w:rsidR="00317620">
        <w:t xml:space="preserve"> </w:t>
      </w:r>
      <w:r w:rsidR="00697DCC">
        <w:t>use</w:t>
      </w:r>
      <w:r w:rsidR="00317620">
        <w:t xml:space="preserve"> formative assessment to </w:t>
      </w:r>
      <w:r w:rsidR="00BC4D0E">
        <w:t>prepare a</w:t>
      </w:r>
      <w:r w:rsidR="00697DCC">
        <w:t xml:space="preserve"> </w:t>
      </w:r>
      <w:r w:rsidR="00317620" w:rsidRPr="00472E9F">
        <w:t xml:space="preserve">student learning </w:t>
      </w:r>
      <w:r w:rsidR="00697DCC">
        <w:t>program</w:t>
      </w:r>
      <w:r w:rsidR="00BC4D0E">
        <w:t xml:space="preserve"> and make adjustments as needed</w:t>
      </w:r>
      <w:r w:rsidR="00697DCC">
        <w:t xml:space="preserve">.  In each case, </w:t>
      </w:r>
      <w:r w:rsidR="000965DE">
        <w:t xml:space="preserve">the assessment practice is </w:t>
      </w:r>
      <w:r w:rsidR="00697DCC">
        <w:t>firmly based in planned learning intentions based on explicit</w:t>
      </w:r>
      <w:r w:rsidR="00AF6EDB">
        <w:t xml:space="preserve"> curriculum-linked</w:t>
      </w:r>
      <w:r w:rsidR="00697DCC">
        <w:t xml:space="preserve"> assessment criteria.</w:t>
      </w:r>
      <w:r w:rsidR="00317620">
        <w:t xml:space="preserve"> </w:t>
      </w:r>
    </w:p>
    <w:p w:rsidR="00E55E38" w:rsidRPr="008D4D01" w:rsidRDefault="00E55E38" w:rsidP="00895413">
      <w:pPr>
        <w:spacing w:before="120"/>
        <w:rPr>
          <w:color w:val="000000" w:themeColor="text1"/>
        </w:rPr>
      </w:pPr>
    </w:p>
    <w:p w:rsidR="00D570E8" w:rsidRPr="008D4D01" w:rsidRDefault="00765EE8" w:rsidP="00D570E8">
      <w:pPr>
        <w:spacing w:before="120"/>
        <w:rPr>
          <w:b/>
        </w:rPr>
      </w:pPr>
      <w:r>
        <w:rPr>
          <w:b/>
        </w:rPr>
        <w:t xml:space="preserve">ENABLERS </w:t>
      </w:r>
      <w:r w:rsidR="00D570E8">
        <w:rPr>
          <w:b/>
        </w:rPr>
        <w:t xml:space="preserve">OF SUCCESSFUL </w:t>
      </w:r>
      <w:r w:rsidR="005C5E84">
        <w:rPr>
          <w:b/>
        </w:rPr>
        <w:t>FORMATIVE ASSESSMENT</w:t>
      </w:r>
    </w:p>
    <w:p w:rsidR="00F0127E" w:rsidRDefault="00AC26BC" w:rsidP="00D570E8">
      <w:pPr>
        <w:spacing w:line="240" w:lineRule="auto"/>
      </w:pPr>
      <w:r>
        <w:t xml:space="preserve">Strong formative assessment practices are </w:t>
      </w:r>
      <w:r w:rsidR="000965DE">
        <w:t xml:space="preserve">enabled </w:t>
      </w:r>
      <w:r>
        <w:t>when:</w:t>
      </w:r>
    </w:p>
    <w:p w:rsidR="00485601" w:rsidRPr="00485601" w:rsidRDefault="00485601" w:rsidP="00485601">
      <w:pPr>
        <w:pStyle w:val="ListParagraph"/>
        <w:numPr>
          <w:ilvl w:val="0"/>
          <w:numId w:val="28"/>
        </w:numPr>
      </w:pPr>
      <w:r w:rsidRPr="00485601">
        <w:t xml:space="preserve">teachers have a deep understanding of the curriculum, and the continuum of student learning </w:t>
      </w:r>
    </w:p>
    <w:p w:rsidR="00F0127E" w:rsidRDefault="00AC26BC" w:rsidP="00197AAE">
      <w:pPr>
        <w:pStyle w:val="ListParagraph"/>
        <w:numPr>
          <w:ilvl w:val="0"/>
          <w:numId w:val="28"/>
        </w:numPr>
      </w:pPr>
      <w:r>
        <w:t>teachers have h</w:t>
      </w:r>
      <w:r w:rsidR="00F0127E">
        <w:t>igh expectations</w:t>
      </w:r>
      <w:r>
        <w:t xml:space="preserve"> of their students and </w:t>
      </w:r>
      <w:r w:rsidR="00F0127E">
        <w:t xml:space="preserve">design and modify the learning program as part of a continual process </w:t>
      </w:r>
      <w:r w:rsidR="00BB2315">
        <w:t>based on the feedback it provides</w:t>
      </w:r>
      <w:r w:rsidR="00BB2315" w:rsidRPr="00197AAE">
        <w:rPr>
          <w:rStyle w:val="FootnoteReference"/>
          <w:color w:val="000000" w:themeColor="text1"/>
        </w:rPr>
        <w:footnoteReference w:id="18"/>
      </w:r>
    </w:p>
    <w:p w:rsidR="00BB2315" w:rsidRDefault="00B930A8" w:rsidP="00197AAE">
      <w:pPr>
        <w:pStyle w:val="ListParagraph"/>
        <w:numPr>
          <w:ilvl w:val="0"/>
          <w:numId w:val="28"/>
        </w:numPr>
      </w:pPr>
      <w:r>
        <w:t>t</w:t>
      </w:r>
      <w:r w:rsidR="00AC26BC">
        <w:t>eachers use d</w:t>
      </w:r>
      <w:r w:rsidR="002F6B25">
        <w:t>ifferentiated teaching to</w:t>
      </w:r>
      <w:r w:rsidR="00AC26BC">
        <w:t xml:space="preserve"> select strategies to</w:t>
      </w:r>
      <w:r w:rsidR="002F6B25">
        <w:t xml:space="preserve"> </w:t>
      </w:r>
      <w:r w:rsidR="002F6B25" w:rsidRPr="00197AAE">
        <w:rPr>
          <w:i/>
        </w:rPr>
        <w:t>extend the knowledge and skills of every student in every class, regardless of their star</w:t>
      </w:r>
      <w:r>
        <w:rPr>
          <w:i/>
        </w:rPr>
        <w:t>t</w:t>
      </w:r>
      <w:r w:rsidR="002F6B25" w:rsidRPr="00197AAE">
        <w:rPr>
          <w:i/>
        </w:rPr>
        <w:t>ing point</w:t>
      </w:r>
      <w:r w:rsidR="002F6B25" w:rsidRPr="00197AAE">
        <w:rPr>
          <w:rStyle w:val="FootnoteReference"/>
          <w:color w:val="000000" w:themeColor="text1"/>
        </w:rPr>
        <w:footnoteReference w:id="19"/>
      </w:r>
    </w:p>
    <w:p w:rsidR="00CA6581" w:rsidRDefault="00B930A8" w:rsidP="00197AAE">
      <w:pPr>
        <w:pStyle w:val="ListParagraph"/>
        <w:numPr>
          <w:ilvl w:val="0"/>
          <w:numId w:val="28"/>
        </w:numPr>
      </w:pPr>
      <w:proofErr w:type="gramStart"/>
      <w:r>
        <w:t>t</w:t>
      </w:r>
      <w:r w:rsidR="00783906">
        <w:t>eacher</w:t>
      </w:r>
      <w:proofErr w:type="gramEnd"/>
      <w:r w:rsidR="00783906">
        <w:t xml:space="preserve"> practice is </w:t>
      </w:r>
      <w:r w:rsidR="009A732B">
        <w:t xml:space="preserve">based on a deep understanding of the purpose of </w:t>
      </w:r>
      <w:r w:rsidR="00783906">
        <w:t>assessment and feedback.</w:t>
      </w:r>
      <w:r w:rsidR="00783906">
        <w:rPr>
          <w:rStyle w:val="FootnoteReference"/>
        </w:rPr>
        <w:footnoteReference w:id="20"/>
      </w:r>
    </w:p>
    <w:p w:rsidR="00CA6581" w:rsidRDefault="00CA6581" w:rsidP="00D570E8">
      <w:pPr>
        <w:spacing w:line="240" w:lineRule="auto"/>
      </w:pPr>
    </w:p>
    <w:p w:rsidR="00D570E8" w:rsidRDefault="00D570E8" w:rsidP="00D570E8">
      <w:pPr>
        <w:spacing w:line="240" w:lineRule="auto"/>
        <w:rPr>
          <w:b/>
        </w:rPr>
      </w:pPr>
      <w:r w:rsidRPr="008D4D01">
        <w:rPr>
          <w:b/>
        </w:rPr>
        <w:t xml:space="preserve">ADVICE FOR SCHOOL LEADERS </w:t>
      </w:r>
    </w:p>
    <w:p w:rsidR="00180EDB" w:rsidRDefault="006709B6" w:rsidP="00197AAE">
      <w:pPr>
        <w:spacing w:before="120"/>
      </w:pPr>
      <w:r>
        <w:t xml:space="preserve">A key point about </w:t>
      </w:r>
      <w:r w:rsidR="00180EDB">
        <w:t>formative assessment is the role i</w:t>
      </w:r>
      <w:r w:rsidR="00A22046">
        <w:t>t</w:t>
      </w:r>
      <w:r w:rsidR="00180EDB">
        <w:t xml:space="preserve"> plays in enabling powerful professional conversations about impact on teaching.  School cultures that invite challenging conversations invite teachers to work in teams and develop shared ownership of the strategies and solutions they use. Schools with deeply embedded practices of formative assessment are likely to have a strong culture of open</w:t>
      </w:r>
      <w:r w:rsidR="00A22046">
        <w:t>,</w:t>
      </w:r>
      <w:r w:rsidR="00180EDB">
        <w:t xml:space="preserve"> challenging professional conversation about effective teaching. </w:t>
      </w:r>
    </w:p>
    <w:p w:rsidR="0008453A" w:rsidRDefault="0008453A" w:rsidP="00197AAE">
      <w:pPr>
        <w:spacing w:before="120"/>
      </w:pPr>
      <w:r w:rsidRPr="006709B6">
        <w:t xml:space="preserve">School </w:t>
      </w:r>
      <w:r w:rsidR="00A22046">
        <w:t>l</w:t>
      </w:r>
      <w:r w:rsidRPr="006709B6">
        <w:t>eaders play an essential role in creating the culture and</w:t>
      </w:r>
      <w:r w:rsidR="0021775A">
        <w:t xml:space="preserve"> resources to enable </w:t>
      </w:r>
      <w:r w:rsidR="00C20B89">
        <w:t xml:space="preserve">effective formative assessment.  </w:t>
      </w:r>
      <w:r w:rsidR="00D373BF">
        <w:t>To do this</w:t>
      </w:r>
      <w:r w:rsidR="005A41E9">
        <w:t>,</w:t>
      </w:r>
      <w:r w:rsidR="00863A8B">
        <w:t xml:space="preserve"> they can</w:t>
      </w:r>
      <w:r w:rsidR="00D373BF">
        <w:t>:</w:t>
      </w:r>
    </w:p>
    <w:p w:rsidR="006709B6" w:rsidRDefault="00A22046" w:rsidP="00197AAE">
      <w:pPr>
        <w:pStyle w:val="ListParagraph"/>
        <w:numPr>
          <w:ilvl w:val="0"/>
          <w:numId w:val="28"/>
        </w:numPr>
      </w:pPr>
      <w:r>
        <w:lastRenderedPageBreak/>
        <w:t>b</w:t>
      </w:r>
      <w:r w:rsidR="0008453A">
        <w:t xml:space="preserve">uild in the structures and space to enable dialogues based on observation of what students do, say, make or write </w:t>
      </w:r>
    </w:p>
    <w:p w:rsidR="000933B8" w:rsidRDefault="00A22046" w:rsidP="00197AAE">
      <w:pPr>
        <w:pStyle w:val="ListParagraph"/>
        <w:numPr>
          <w:ilvl w:val="0"/>
          <w:numId w:val="28"/>
        </w:numPr>
      </w:pPr>
      <w:r>
        <w:t>a</w:t>
      </w:r>
      <w:r w:rsidR="0008453A">
        <w:t>ctively encourage teachers</w:t>
      </w:r>
      <w:r w:rsidR="000933B8">
        <w:t xml:space="preserve"> to talk about </w:t>
      </w:r>
      <w:r w:rsidR="0008453A">
        <w:t>what they can do to improve their teachin</w:t>
      </w:r>
      <w:r w:rsidR="000933B8">
        <w:t>g</w:t>
      </w:r>
    </w:p>
    <w:p w:rsidR="000933B8" w:rsidRDefault="00A22046" w:rsidP="00197AAE">
      <w:pPr>
        <w:pStyle w:val="ListParagraph"/>
        <w:numPr>
          <w:ilvl w:val="0"/>
          <w:numId w:val="28"/>
        </w:numPr>
      </w:pPr>
      <w:r>
        <w:t>e</w:t>
      </w:r>
      <w:r w:rsidR="000933B8">
        <w:t xml:space="preserve">nsure that teachers understand the purpose of </w:t>
      </w:r>
      <w:r w:rsidR="00F31181">
        <w:t xml:space="preserve">formative assessment, </w:t>
      </w:r>
      <w:r w:rsidR="000933B8">
        <w:t>how it fits into their assessment design</w:t>
      </w:r>
      <w:r w:rsidR="00F31181">
        <w:t xml:space="preserve"> and how it is linked to learning intentions</w:t>
      </w:r>
    </w:p>
    <w:p w:rsidR="0008453A" w:rsidRDefault="00A22046" w:rsidP="00197AAE">
      <w:pPr>
        <w:pStyle w:val="ListParagraph"/>
        <w:numPr>
          <w:ilvl w:val="0"/>
          <w:numId w:val="28"/>
        </w:numPr>
      </w:pPr>
      <w:r>
        <w:t>e</w:t>
      </w:r>
      <w:r w:rsidR="000933B8">
        <w:t xml:space="preserve">ncourage </w:t>
      </w:r>
      <w:r w:rsidR="00AC1840">
        <w:t xml:space="preserve">teachers to use rich dialogue to develop a shared language </w:t>
      </w:r>
      <w:r w:rsidR="000E1743">
        <w:t xml:space="preserve">and consistent understanding of </w:t>
      </w:r>
      <w:r w:rsidR="003A02EF">
        <w:t>a</w:t>
      </w:r>
      <w:r w:rsidR="000E1743">
        <w:t xml:space="preserve">chievement </w:t>
      </w:r>
      <w:r w:rsidR="003A02EF">
        <w:t>s</w:t>
      </w:r>
      <w:r w:rsidR="000E1743">
        <w:t>tandards in the Victorian Curriculum F-10</w:t>
      </w:r>
    </w:p>
    <w:p w:rsidR="009D671F" w:rsidRDefault="00A22046" w:rsidP="00197AAE">
      <w:pPr>
        <w:pStyle w:val="ListParagraph"/>
        <w:numPr>
          <w:ilvl w:val="0"/>
          <w:numId w:val="28"/>
        </w:numPr>
      </w:pPr>
      <w:proofErr w:type="gramStart"/>
      <w:r>
        <w:t>d</w:t>
      </w:r>
      <w:r w:rsidR="00F31181">
        <w:t>emonstrate</w:t>
      </w:r>
      <w:proofErr w:type="gramEnd"/>
      <w:r w:rsidR="00F31181">
        <w:t xml:space="preserve"> </w:t>
      </w:r>
      <w:r w:rsidR="000933B8">
        <w:t xml:space="preserve">the role </w:t>
      </w:r>
      <w:r w:rsidR="00F31181">
        <w:t>formative assessment</w:t>
      </w:r>
      <w:r w:rsidR="00863A8B">
        <w:t xml:space="preserve"> plays</w:t>
      </w:r>
      <w:r w:rsidR="00F31181">
        <w:t xml:space="preserve"> </w:t>
      </w:r>
      <w:r w:rsidR="000933B8">
        <w:t>in criterion</w:t>
      </w:r>
      <w:r w:rsidR="0008453A" w:rsidRPr="000E1743">
        <w:t xml:space="preserve">-based assessment, evaluation of learning </w:t>
      </w:r>
      <w:r w:rsidR="000933B8">
        <w:t>gain</w:t>
      </w:r>
      <w:r w:rsidR="0008453A" w:rsidRPr="000E1743">
        <w:t xml:space="preserve">, </w:t>
      </w:r>
      <w:r w:rsidR="00863A8B">
        <w:t xml:space="preserve">establishing </w:t>
      </w:r>
      <w:r w:rsidR="0008453A" w:rsidRPr="000E1743">
        <w:t>high expectations of all students, and</w:t>
      </w:r>
      <w:r w:rsidR="0008453A">
        <w:t xml:space="preserve"> </w:t>
      </w:r>
      <w:r w:rsidR="00E10D56">
        <w:t>developing clear</w:t>
      </w:r>
      <w:r w:rsidR="00863A8B" w:rsidRPr="000E1743">
        <w:t xml:space="preserve"> </w:t>
      </w:r>
      <w:r w:rsidR="0008453A" w:rsidRPr="000E1743">
        <w:t>understandings of w</w:t>
      </w:r>
      <w:r w:rsidR="000933B8">
        <w:t xml:space="preserve">hat is expected of each student.  </w:t>
      </w:r>
    </w:p>
    <w:p w:rsidR="00AC1840" w:rsidRDefault="000933B8" w:rsidP="00197AAE">
      <w:r>
        <w:t xml:space="preserve">All of these principles </w:t>
      </w:r>
      <w:r w:rsidR="0008453A" w:rsidRPr="000E1743">
        <w:t xml:space="preserve">underpin strong equity-based assessment practices. </w:t>
      </w:r>
      <w:r w:rsidR="0008453A">
        <w:t xml:space="preserve">They </w:t>
      </w:r>
      <w:proofErr w:type="spellStart"/>
      <w:r w:rsidR="0008453A">
        <w:t>emphasise</w:t>
      </w:r>
      <w:proofErr w:type="spellEnd"/>
      <w:r w:rsidR="0008453A">
        <w:t xml:space="preserve"> the fundamental</w:t>
      </w:r>
      <w:r w:rsidR="0008453A" w:rsidRPr="000E1743">
        <w:t xml:space="preserve"> principle that all students can learn</w:t>
      </w:r>
      <w:r w:rsidR="0008453A">
        <w:t>.</w:t>
      </w:r>
      <w:r w:rsidR="0008453A" w:rsidRPr="00197AAE">
        <w:rPr>
          <w:rStyle w:val="FootnoteReference"/>
          <w:color w:val="000000" w:themeColor="text1"/>
        </w:rPr>
        <w:footnoteReference w:id="21"/>
      </w:r>
    </w:p>
    <w:p w:rsidR="00EF669F" w:rsidRDefault="00EF669F" w:rsidP="00B313C6">
      <w:pPr>
        <w:spacing w:line="240" w:lineRule="auto"/>
        <w:rPr>
          <w:b/>
        </w:rPr>
      </w:pPr>
    </w:p>
    <w:p w:rsidR="00B313C6" w:rsidRPr="008D4D01" w:rsidRDefault="00B313C6" w:rsidP="00B313C6">
      <w:pPr>
        <w:spacing w:line="240" w:lineRule="auto"/>
        <w:rPr>
          <w:b/>
        </w:rPr>
      </w:pPr>
      <w:r w:rsidRPr="008D4D01">
        <w:rPr>
          <w:b/>
        </w:rPr>
        <w:t xml:space="preserve">ADVICE FOR TEACHERS </w:t>
      </w:r>
    </w:p>
    <w:p w:rsidR="009D558D" w:rsidRPr="00472E9F" w:rsidRDefault="00780E17" w:rsidP="00EC7837">
      <w:pPr>
        <w:pStyle w:val="ListParagraph"/>
        <w:numPr>
          <w:ilvl w:val="0"/>
          <w:numId w:val="28"/>
        </w:numPr>
      </w:pPr>
      <w:r>
        <w:t>T</w:t>
      </w:r>
      <w:r w:rsidR="009D558D">
        <w:t>eachers can</w:t>
      </w:r>
      <w:r w:rsidR="00067304">
        <w:t xml:space="preserve"> invite collaborative discussion on </w:t>
      </w:r>
      <w:r w:rsidR="00E432CB">
        <w:t xml:space="preserve">how to </w:t>
      </w:r>
      <w:r w:rsidR="006B1252">
        <w:t>incorporate</w:t>
      </w:r>
      <w:r w:rsidR="00E432CB">
        <w:t xml:space="preserve"> </w:t>
      </w:r>
      <w:r w:rsidR="00067304">
        <w:t>formative assessment in</w:t>
      </w:r>
      <w:r w:rsidR="00E10D56">
        <w:t>to</w:t>
      </w:r>
      <w:r w:rsidR="00067304">
        <w:t xml:space="preserve"> a learning program and how to link </w:t>
      </w:r>
      <w:r w:rsidR="006B1252">
        <w:t>it</w:t>
      </w:r>
      <w:r w:rsidR="00E432CB">
        <w:t xml:space="preserve"> explicitly</w:t>
      </w:r>
      <w:r w:rsidR="00067304">
        <w:t xml:space="preserve"> to </w:t>
      </w:r>
      <w:r w:rsidR="00EC7837">
        <w:t>the</w:t>
      </w:r>
      <w:r w:rsidR="009D558D">
        <w:t xml:space="preserve"> </w:t>
      </w:r>
      <w:r w:rsidR="00EC7837" w:rsidRPr="00EC7837">
        <w:t>standards that are articulated in the Victorian Curriculum F-10</w:t>
      </w:r>
      <w:r w:rsidR="009D558D">
        <w:t>.</w:t>
      </w:r>
    </w:p>
    <w:p w:rsidR="00C0313A" w:rsidRPr="00C0313A" w:rsidRDefault="00C0313A" w:rsidP="00C0313A">
      <w:pPr>
        <w:pStyle w:val="ListParagraph"/>
        <w:numPr>
          <w:ilvl w:val="0"/>
          <w:numId w:val="28"/>
        </w:numPr>
      </w:pPr>
      <w:r w:rsidRPr="00C0313A">
        <w:t>Discussion of how to build formative assessment into the teaching and learning cycle across different year levels can be a useful way to embed evidence-based High Impact Teaching Strategies (HITS).</w:t>
      </w:r>
    </w:p>
    <w:p w:rsidR="00421707" w:rsidRDefault="00780E17" w:rsidP="00197AAE">
      <w:pPr>
        <w:pStyle w:val="ListParagraph"/>
        <w:numPr>
          <w:ilvl w:val="0"/>
          <w:numId w:val="28"/>
        </w:numPr>
      </w:pPr>
      <w:r>
        <w:t>T</w:t>
      </w:r>
      <w:r w:rsidR="00421707">
        <w:t xml:space="preserve">eachers </w:t>
      </w:r>
      <w:r w:rsidR="00E039E3">
        <w:t xml:space="preserve">can </w:t>
      </w:r>
      <w:r w:rsidR="006107E3">
        <w:t xml:space="preserve">use discussion of formative assessment practice </w:t>
      </w:r>
      <w:r w:rsidR="00E039E3">
        <w:t>to give each other feedback</w:t>
      </w:r>
      <w:r w:rsidR="00863A8B">
        <w:t xml:space="preserve"> about </w:t>
      </w:r>
      <w:r w:rsidR="00E039E3">
        <w:t xml:space="preserve">where to focus, </w:t>
      </w:r>
      <w:r w:rsidR="00D373BF">
        <w:t xml:space="preserve">where to adjust their practice, and </w:t>
      </w:r>
      <w:r w:rsidR="00E039E3">
        <w:t xml:space="preserve">what is working well.  </w:t>
      </w:r>
      <w:r w:rsidR="00863A8B">
        <w:t>In this way</w:t>
      </w:r>
      <w:r w:rsidR="00F34B96">
        <w:t>,</w:t>
      </w:r>
      <w:r w:rsidR="00863A8B">
        <w:t xml:space="preserve"> they embed a culture based on challenging conversations.</w:t>
      </w:r>
    </w:p>
    <w:p w:rsidR="00C6063B" w:rsidRDefault="00780E17" w:rsidP="00A2587D">
      <w:pPr>
        <w:pStyle w:val="ListParagraph"/>
        <w:numPr>
          <w:ilvl w:val="0"/>
          <w:numId w:val="28"/>
        </w:numPr>
      </w:pPr>
      <w:r>
        <w:t>T</w:t>
      </w:r>
      <w:r w:rsidR="00E039E3">
        <w:t>eachers can engage students dir</w:t>
      </w:r>
      <w:r w:rsidR="00D373BF">
        <w:t xml:space="preserve">ectly in </w:t>
      </w:r>
      <w:r w:rsidR="008740AD">
        <w:t xml:space="preserve">formative assessment </w:t>
      </w:r>
      <w:r w:rsidR="00E039E3">
        <w:t xml:space="preserve">by explicitly teaching </w:t>
      </w:r>
      <w:r w:rsidR="002155BD" w:rsidRPr="002155BD">
        <w:t>what we want students to know, understand and do</w:t>
      </w:r>
      <w:r w:rsidR="002155BD">
        <w:t>,</w:t>
      </w:r>
      <w:r w:rsidR="00E039E3">
        <w:t xml:space="preserve"> and introducing tools such as rubrics, or checklists</w:t>
      </w:r>
      <w:r w:rsidR="00B3148D">
        <w:t>,</w:t>
      </w:r>
      <w:r w:rsidR="00E039E3">
        <w:t xml:space="preserve"> to rate anonymous </w:t>
      </w:r>
      <w:r w:rsidR="00E039E3">
        <w:t>work samples representing different levels of achievement.</w:t>
      </w:r>
    </w:p>
    <w:p w:rsidR="00594D1A" w:rsidRDefault="00594D1A" w:rsidP="00594D1A"/>
    <w:p w:rsidR="00B313C6" w:rsidRPr="008D4D01" w:rsidRDefault="00090A4A" w:rsidP="00B313C6">
      <w:pPr>
        <w:spacing w:before="120"/>
        <w:rPr>
          <w:color w:val="000000" w:themeColor="text1"/>
        </w:rPr>
      </w:pPr>
      <w:r>
        <w:rPr>
          <w:b/>
        </w:rPr>
        <w:t xml:space="preserve">EXTENDING </w:t>
      </w:r>
      <w:r w:rsidR="008740AD">
        <w:rPr>
          <w:b/>
        </w:rPr>
        <w:t>FORMATIVE ASSESSMENT</w:t>
      </w:r>
    </w:p>
    <w:p w:rsidR="001824CB" w:rsidRDefault="006107E3" w:rsidP="00414475">
      <w:r>
        <w:t xml:space="preserve">Focusing on </w:t>
      </w:r>
      <w:r w:rsidR="00F34B96">
        <w:t>a few</w:t>
      </w:r>
      <w:r>
        <w:t xml:space="preserve"> aspect</w:t>
      </w:r>
      <w:r w:rsidR="00F34B96">
        <w:t>s</w:t>
      </w:r>
      <w:r>
        <w:t xml:space="preserve"> of formative assessment practice, such as moderation</w:t>
      </w:r>
      <w:r w:rsidR="00F34B96">
        <w:t xml:space="preserve"> </w:t>
      </w:r>
      <w:r>
        <w:t xml:space="preserve">or feedback, </w:t>
      </w:r>
      <w:r w:rsidR="00C76244">
        <w:t xml:space="preserve">could be part of an inquiry-based improvement cycle for a </w:t>
      </w:r>
      <w:r w:rsidR="00600CE3">
        <w:t>p</w:t>
      </w:r>
      <w:r w:rsidR="001824CB">
        <w:t xml:space="preserve">rofessional </w:t>
      </w:r>
      <w:r w:rsidR="00600CE3">
        <w:t>l</w:t>
      </w:r>
      <w:r w:rsidR="001824CB">
        <w:t xml:space="preserve">earning </w:t>
      </w:r>
      <w:r w:rsidR="00600CE3">
        <w:t>c</w:t>
      </w:r>
      <w:r w:rsidR="00C76244">
        <w:t>ommunity (PLC).</w:t>
      </w:r>
      <w:r w:rsidR="00772156">
        <w:t xml:space="preserve"> </w:t>
      </w:r>
    </w:p>
    <w:p w:rsidR="00D570E8" w:rsidRPr="00414475" w:rsidRDefault="006107E3" w:rsidP="00414475">
      <w:pPr>
        <w:rPr>
          <w:rStyle w:val="Hyperlink"/>
          <w:color w:val="000000" w:themeColor="text1"/>
          <w:u w:val="none"/>
        </w:rPr>
      </w:pPr>
      <w:r>
        <w:t xml:space="preserve">Formative assessment </w:t>
      </w:r>
      <w:r w:rsidR="00BC4D0E">
        <w:t xml:space="preserve">is embedded in </w:t>
      </w:r>
      <w:r w:rsidR="00772156">
        <w:t xml:space="preserve">the </w:t>
      </w:r>
      <w:hyperlink r:id="rId12" w:history="1">
        <w:r w:rsidR="00772156" w:rsidRPr="00EE75B9">
          <w:rPr>
            <w:rStyle w:val="Hyperlink"/>
          </w:rPr>
          <w:t>Practice Principles</w:t>
        </w:r>
      </w:hyperlink>
      <w:r w:rsidR="00772156">
        <w:t xml:space="preserve"> on:  </w:t>
      </w:r>
      <w:r w:rsidR="00E423C3">
        <w:t xml:space="preserve">1: </w:t>
      </w:r>
      <w:r w:rsidR="00772156">
        <w:t xml:space="preserve">High Expectations, </w:t>
      </w:r>
      <w:r w:rsidR="00E423C3">
        <w:t xml:space="preserve">4: </w:t>
      </w:r>
      <w:r w:rsidR="00772156">
        <w:t xml:space="preserve">Curriculum Planning, </w:t>
      </w:r>
      <w:r w:rsidR="00E423C3">
        <w:t xml:space="preserve">6: </w:t>
      </w:r>
      <w:r w:rsidR="00772156">
        <w:t xml:space="preserve">Rigorous assessment practice and </w:t>
      </w:r>
      <w:r w:rsidR="00F941B1">
        <w:t xml:space="preserve">evident in </w:t>
      </w:r>
      <w:hyperlink r:id="rId13" w:history="1">
        <w:r w:rsidR="00D570E8" w:rsidRPr="00F941B1">
          <w:rPr>
            <w:rStyle w:val="Hyperlink"/>
          </w:rPr>
          <w:t>High Impact Teaching Strategies</w:t>
        </w:r>
      </w:hyperlink>
      <w:r w:rsidR="00F941B1">
        <w:t xml:space="preserve">: </w:t>
      </w:r>
      <w:r w:rsidR="00806AC9">
        <w:t>1: Setting Goals</w:t>
      </w:r>
      <w:r w:rsidR="00594D1A">
        <w:t>, 3: Worked Examples</w:t>
      </w:r>
      <w:r w:rsidR="00806AC9">
        <w:t xml:space="preserve">, </w:t>
      </w:r>
      <w:r w:rsidR="00F941B1">
        <w:t>6: Multiple Exposures</w:t>
      </w:r>
      <w:r w:rsidR="00594D1A">
        <w:t>, 10: Differentiated Teaching.</w:t>
      </w:r>
    </w:p>
    <w:p w:rsidR="00D570E8" w:rsidRPr="00DD7A54" w:rsidRDefault="00B3148D" w:rsidP="00414475">
      <w:r>
        <w:t xml:space="preserve">See also </w:t>
      </w:r>
      <w:hyperlink r:id="rId14" w:history="1">
        <w:r w:rsidR="00D570E8" w:rsidRPr="008D4D01">
          <w:rPr>
            <w:rStyle w:val="Hyperlink"/>
          </w:rPr>
          <w:t>AITSL</w:t>
        </w:r>
        <w:r>
          <w:rPr>
            <w:rStyle w:val="Hyperlink"/>
          </w:rPr>
          <w:t>’s</w:t>
        </w:r>
        <w:r w:rsidR="00D570E8" w:rsidRPr="008D4D01">
          <w:rPr>
            <w:rStyle w:val="Hyperlink"/>
          </w:rPr>
          <w:t xml:space="preserve"> formative assessment in the classroom</w:t>
        </w:r>
      </w:hyperlink>
    </w:p>
    <w:p w:rsidR="00C6063B" w:rsidRDefault="00C6063B" w:rsidP="00C6063B">
      <w:pPr>
        <w:spacing w:before="120"/>
        <w:rPr>
          <w:b/>
        </w:rPr>
      </w:pPr>
    </w:p>
    <w:p w:rsidR="00C6063B" w:rsidRPr="00C6063B" w:rsidRDefault="00C6063B" w:rsidP="00C6063B">
      <w:pPr>
        <w:spacing w:before="120"/>
        <w:rPr>
          <w:b/>
        </w:rPr>
      </w:pPr>
      <w:r w:rsidRPr="00C6063B">
        <w:rPr>
          <w:b/>
        </w:rPr>
        <w:t>PROFESSIONAL LEARNING</w:t>
      </w:r>
    </w:p>
    <w:p w:rsidR="00C6063B" w:rsidRDefault="004440AE" w:rsidP="00C6063B">
      <w:r w:rsidRPr="004440AE">
        <w:t xml:space="preserve">The </w:t>
      </w:r>
      <w:proofErr w:type="spellStart"/>
      <w:r w:rsidRPr="004440AE">
        <w:t>Bastow</w:t>
      </w:r>
      <w:proofErr w:type="spellEnd"/>
      <w:r w:rsidRPr="004440AE">
        <w:t xml:space="preserve"> Institute of Educational Leadership </w:t>
      </w:r>
      <w:r w:rsidR="00C6063B">
        <w:t xml:space="preserve">currently offer a </w:t>
      </w:r>
      <w:hyperlink r:id="rId15" w:history="1">
        <w:r w:rsidR="00C6063B" w:rsidRPr="00C6063B">
          <w:rPr>
            <w:rStyle w:val="Hyperlink"/>
          </w:rPr>
          <w:t>Literacy Masterclass Series</w:t>
        </w:r>
      </w:hyperlink>
      <w:r w:rsidR="00C6063B">
        <w:t xml:space="preserve">, the first of which will focus on formative assessment. This will be live-streamed from the </w:t>
      </w:r>
      <w:proofErr w:type="spellStart"/>
      <w:r w:rsidR="00C6063B">
        <w:t>Bastow</w:t>
      </w:r>
      <w:proofErr w:type="spellEnd"/>
      <w:r w:rsidR="00C6063B">
        <w:t xml:space="preserve"> Theatre at 4.30pm on Thursday March 20. This webinar will explore ways </w:t>
      </w:r>
      <w:r w:rsidR="00BC4D0E">
        <w:t xml:space="preserve">to </w:t>
      </w:r>
      <w:r w:rsidR="00C6063B">
        <w:t xml:space="preserve">can plan, gather and </w:t>
      </w:r>
      <w:proofErr w:type="spellStart"/>
      <w:r w:rsidR="00C6063B">
        <w:t>analyse</w:t>
      </w:r>
      <w:proofErr w:type="spellEnd"/>
      <w:r w:rsidR="00C6063B">
        <w:t xml:space="preserve"> data to inform teaching and learning.</w:t>
      </w:r>
    </w:p>
    <w:p w:rsidR="00594D1A" w:rsidRPr="00C174CB" w:rsidRDefault="00C174CB" w:rsidP="00C174CB">
      <w:r>
        <w:t>See also:</w:t>
      </w:r>
      <w:r w:rsidR="00A709F6">
        <w:br/>
      </w:r>
      <w:hyperlink r:id="rId16" w:history="1">
        <w:r w:rsidR="008F7725" w:rsidRPr="008F7725">
          <w:rPr>
            <w:rStyle w:val="Hyperlink"/>
          </w:rPr>
          <w:t>Victorian Literacy Portal</w:t>
        </w:r>
      </w:hyperlink>
      <w:r w:rsidR="008F7725">
        <w:t xml:space="preserve">  and </w:t>
      </w:r>
      <w:hyperlink r:id="rId17" w:history="1">
        <w:r w:rsidR="008F7725" w:rsidRPr="008F7725">
          <w:rPr>
            <w:rStyle w:val="Hyperlink"/>
          </w:rPr>
          <w:t>Victorian Numeracy Portal</w:t>
        </w:r>
      </w:hyperlink>
      <w:r w:rsidR="008F7725">
        <w:t xml:space="preserve"> </w:t>
      </w:r>
      <w:hyperlink r:id="rId18" w:history="1">
        <w:r w:rsidR="00520487" w:rsidRPr="00520487">
          <w:rPr>
            <w:rStyle w:val="Hyperlink"/>
          </w:rPr>
          <w:t>Literacy Teaching Toolkit</w:t>
        </w:r>
      </w:hyperlink>
      <w:r>
        <w:rPr>
          <w:rStyle w:val="Hyperlink"/>
        </w:rPr>
        <w:t xml:space="preserve"> </w:t>
      </w:r>
      <w:r>
        <w:br/>
      </w:r>
      <w:hyperlink r:id="rId19" w:history="1">
        <w:r w:rsidR="00997AE2" w:rsidRPr="00997AE2">
          <w:rPr>
            <w:rStyle w:val="Hyperlink"/>
          </w:rPr>
          <w:t>Tools to Enhance Assessment Literacy</w:t>
        </w:r>
      </w:hyperlink>
      <w:r w:rsidR="00FB0032">
        <w:rPr>
          <w:rStyle w:val="Hyperlink"/>
        </w:rPr>
        <w:t xml:space="preserve"> for Teachers of English as an Additional Language</w:t>
      </w:r>
      <w:r>
        <w:br/>
      </w:r>
      <w:hyperlink r:id="rId20" w:history="1">
        <w:r w:rsidR="00FB0032">
          <w:rPr>
            <w:rStyle w:val="Hyperlink"/>
          </w:rPr>
          <w:t>Literacy C</w:t>
        </w:r>
        <w:r w:rsidR="00997AE2" w:rsidRPr="00997AE2">
          <w:rPr>
            <w:rStyle w:val="Hyperlink"/>
          </w:rPr>
          <w:t>ase</w:t>
        </w:r>
        <w:r w:rsidR="00FB0032">
          <w:rPr>
            <w:rStyle w:val="Hyperlink"/>
          </w:rPr>
          <w:t xml:space="preserve"> S</w:t>
        </w:r>
        <w:r w:rsidR="00997AE2" w:rsidRPr="00997AE2">
          <w:rPr>
            <w:rStyle w:val="Hyperlink"/>
          </w:rPr>
          <w:t>tudies</w:t>
        </w:r>
      </w:hyperlink>
      <w:r>
        <w:br/>
      </w:r>
      <w:hyperlink r:id="rId21" w:history="1">
        <w:r w:rsidR="003A3B80" w:rsidRPr="00C174CB">
          <w:rPr>
            <w:rStyle w:val="Hyperlink"/>
          </w:rPr>
          <w:t>Insight Assessment Platform</w:t>
        </w:r>
      </w:hyperlink>
      <w:r w:rsidR="003A3B80">
        <w:t xml:space="preserve"> </w:t>
      </w:r>
      <w:r w:rsidR="003A3B80">
        <w:br/>
      </w:r>
      <w:hyperlink r:id="rId22" w:history="1">
        <w:r w:rsidR="00A709F6">
          <w:rPr>
            <w:rStyle w:val="Hyperlink"/>
          </w:rPr>
          <w:t>Reading and Viewing Work S</w:t>
        </w:r>
        <w:r w:rsidR="00A709F6" w:rsidRPr="00997AE2">
          <w:rPr>
            <w:rStyle w:val="Hyperlink"/>
          </w:rPr>
          <w:t>amples</w:t>
        </w:r>
      </w:hyperlink>
      <w:r w:rsidR="00A709F6">
        <w:rPr>
          <w:rStyle w:val="Hyperlink"/>
        </w:rPr>
        <w:t>:</w:t>
      </w:r>
      <w:r w:rsidR="00A709F6">
        <w:t xml:space="preserve"> Victorian Curriculum and Assessment Authority (VC</w:t>
      </w:r>
      <w:bookmarkStart w:id="0" w:name="_GoBack"/>
      <w:bookmarkEnd w:id="0"/>
      <w:r w:rsidR="00A709F6">
        <w:t>AA)</w:t>
      </w:r>
      <w:r w:rsidR="00A709F6">
        <w:br/>
      </w:r>
    </w:p>
    <w:p w:rsidR="00494C4A" w:rsidRPr="008D4D01" w:rsidRDefault="00D570E8" w:rsidP="007978C1">
      <w:pPr>
        <w:spacing w:before="120"/>
        <w:rPr>
          <w:b/>
        </w:rPr>
      </w:pPr>
      <w:r>
        <w:rPr>
          <w:b/>
        </w:rPr>
        <w:t>OTHER SUPPORT</w:t>
      </w:r>
    </w:p>
    <w:p w:rsidR="008B3C7E" w:rsidRPr="00472E9F" w:rsidRDefault="00D570E8" w:rsidP="00472E9F">
      <w:pPr>
        <w:spacing w:before="120"/>
        <w:rPr>
          <w:rStyle w:val="Hyperlink"/>
        </w:rPr>
      </w:pPr>
      <w:r>
        <w:t xml:space="preserve">This note is part of a series of professional practice notes to support school based staff to continue improving their practice. See </w:t>
      </w:r>
      <w:hyperlink r:id="rId23" w:history="1">
        <w:r w:rsidRPr="00595E10">
          <w:rPr>
            <w:rStyle w:val="Hyperlink"/>
          </w:rPr>
          <w:t>Professional Practice Elements</w:t>
        </w:r>
      </w:hyperlink>
      <w:r>
        <w:t xml:space="preserve"> for more information.</w:t>
      </w:r>
      <w:r w:rsidR="00414475">
        <w:t xml:space="preserve">  </w:t>
      </w:r>
      <w:r w:rsidRPr="00F5229C">
        <w:t>For more information, or to share your feedback on this resource</w:t>
      </w:r>
      <w:r>
        <w:t xml:space="preserve">, please email: </w:t>
      </w:r>
      <w:hyperlink r:id="rId24" w:history="1">
        <w:r w:rsidRPr="007E542E">
          <w:rPr>
            <w:rStyle w:val="Hyperlink"/>
          </w:rPr>
          <w:t>professional.practice@edumail.vic.gov.au</w:t>
        </w:r>
      </w:hyperlink>
      <w:r>
        <w:t>.</w:t>
      </w:r>
    </w:p>
    <w:sectPr w:rsidR="008B3C7E" w:rsidRPr="00472E9F" w:rsidSect="00230E53">
      <w:headerReference w:type="even" r:id="rId25"/>
      <w:headerReference w:type="default" r:id="rId26"/>
      <w:footerReference w:type="even" r:id="rId27"/>
      <w:footerReference w:type="default" r:id="rId28"/>
      <w:headerReference w:type="first" r:id="rId29"/>
      <w:footerReference w:type="first" r:id="rId30"/>
      <w:pgSz w:w="11900" w:h="16840"/>
      <w:pgMar w:top="3289" w:right="1134" w:bottom="1702" w:left="737" w:header="624" w:footer="1134"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B01" w:rsidRDefault="004E2B01" w:rsidP="008766A4">
      <w:r>
        <w:separator/>
      </w:r>
    </w:p>
  </w:endnote>
  <w:endnote w:type="continuationSeparator" w:id="0">
    <w:p w:rsidR="004E2B01" w:rsidRDefault="004E2B01" w:rsidP="008766A4">
      <w:r>
        <w:continuationSeparator/>
      </w:r>
    </w:p>
  </w:endnote>
  <w:endnote w:type="continuationNotice" w:id="1">
    <w:p w:rsidR="004E2B01" w:rsidRDefault="004E2B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2040503050306020203"/>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VIC Medium">
    <w:altName w:val="VIC Medium"/>
    <w:panose1 w:val="000006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552" w:rsidRDefault="005D15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FEC" w:rsidRPr="003E29B5" w:rsidRDefault="00533FEC" w:rsidP="008766A4">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552" w:rsidRDefault="005D1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B01" w:rsidRDefault="004E2B01" w:rsidP="008766A4">
      <w:r>
        <w:separator/>
      </w:r>
    </w:p>
  </w:footnote>
  <w:footnote w:type="continuationSeparator" w:id="0">
    <w:p w:rsidR="004E2B01" w:rsidRDefault="004E2B01" w:rsidP="008766A4">
      <w:r>
        <w:continuationSeparator/>
      </w:r>
    </w:p>
  </w:footnote>
  <w:footnote w:type="continuationNotice" w:id="1">
    <w:p w:rsidR="004E2B01" w:rsidRDefault="004E2B01">
      <w:pPr>
        <w:spacing w:after="0" w:line="240" w:lineRule="auto"/>
      </w:pPr>
    </w:p>
  </w:footnote>
  <w:footnote w:id="2">
    <w:p w:rsidR="00533FEC" w:rsidRPr="00433573" w:rsidRDefault="00533FEC" w:rsidP="00BE5EAC">
      <w:pPr>
        <w:pStyle w:val="FootnoteText"/>
        <w:rPr>
          <w:sz w:val="16"/>
          <w:szCs w:val="16"/>
          <w:lang w:val="en-AU"/>
        </w:rPr>
      </w:pPr>
      <w:r w:rsidRPr="00512E3A">
        <w:rPr>
          <w:rStyle w:val="FootnoteReference"/>
          <w:sz w:val="16"/>
          <w:szCs w:val="16"/>
        </w:rPr>
        <w:footnoteRef/>
      </w:r>
      <w:r w:rsidRPr="00512E3A">
        <w:rPr>
          <w:sz w:val="16"/>
          <w:szCs w:val="16"/>
        </w:rPr>
        <w:t xml:space="preserve"> </w:t>
      </w:r>
      <w:r w:rsidRPr="00B37E8F">
        <w:rPr>
          <w:sz w:val="16"/>
          <w:szCs w:val="16"/>
          <w:lang w:val="en-AU"/>
        </w:rPr>
        <w:t xml:space="preserve">Masters, G (2015) ‘Rethinking formative and summative assessment’ </w:t>
      </w:r>
      <w:r w:rsidRPr="00B37E8F">
        <w:rPr>
          <w:i/>
          <w:sz w:val="16"/>
          <w:szCs w:val="16"/>
          <w:lang w:val="en-AU"/>
        </w:rPr>
        <w:t>Teacher</w:t>
      </w:r>
      <w:r w:rsidRPr="00B37E8F">
        <w:rPr>
          <w:sz w:val="16"/>
          <w:szCs w:val="16"/>
          <w:lang w:val="en-AU"/>
        </w:rPr>
        <w:t>, AC</w:t>
      </w:r>
      <w:r>
        <w:rPr>
          <w:sz w:val="16"/>
          <w:szCs w:val="16"/>
          <w:lang w:val="en-AU"/>
        </w:rPr>
        <w:t xml:space="preserve">ER.  Retrieved 27 February 2018: </w:t>
      </w:r>
      <w:hyperlink r:id="rId1" w:history="1">
        <w:r w:rsidRPr="00AD510C">
          <w:rPr>
            <w:rStyle w:val="Hyperlink"/>
            <w:sz w:val="16"/>
            <w:szCs w:val="16"/>
            <w:lang w:val="en-AU"/>
          </w:rPr>
          <w:t>https://www.teachermagazine.com.au/columnists/geoff-masters/rethinking-formative-and-summative-assessment</w:t>
        </w:r>
      </w:hyperlink>
    </w:p>
  </w:footnote>
  <w:footnote w:id="3">
    <w:p w:rsidR="00692863" w:rsidRPr="005B2EB1" w:rsidRDefault="00692863" w:rsidP="00692863">
      <w:pPr>
        <w:pStyle w:val="FootnoteText"/>
        <w:rPr>
          <w:sz w:val="16"/>
          <w:szCs w:val="16"/>
          <w:lang w:val="en-AU"/>
        </w:rPr>
      </w:pPr>
      <w:r>
        <w:rPr>
          <w:rStyle w:val="FootnoteReference"/>
        </w:rPr>
        <w:footnoteRef/>
      </w:r>
      <w:r>
        <w:t xml:space="preserve"> </w:t>
      </w:r>
      <w:proofErr w:type="spellStart"/>
      <w:r w:rsidRPr="005B2EB1">
        <w:rPr>
          <w:sz w:val="16"/>
          <w:szCs w:val="16"/>
        </w:rPr>
        <w:t>Wiliam</w:t>
      </w:r>
      <w:proofErr w:type="spellEnd"/>
      <w:r w:rsidRPr="005B2EB1">
        <w:rPr>
          <w:sz w:val="16"/>
          <w:szCs w:val="16"/>
        </w:rPr>
        <w:t>, D (2011), Embedded Formative Assessment.  Victoria: Hawker Brownlow Education, p</w:t>
      </w:r>
      <w:r>
        <w:rPr>
          <w:sz w:val="16"/>
          <w:szCs w:val="16"/>
        </w:rPr>
        <w:t>.127</w:t>
      </w:r>
    </w:p>
  </w:footnote>
  <w:footnote w:id="4">
    <w:p w:rsidR="00015592" w:rsidRPr="00FE54EC" w:rsidRDefault="00015592" w:rsidP="00015592">
      <w:pPr>
        <w:pStyle w:val="FootnoteText"/>
        <w:rPr>
          <w:lang w:val="en-AU"/>
        </w:rPr>
      </w:pPr>
      <w:r>
        <w:rPr>
          <w:rStyle w:val="FootnoteReference"/>
        </w:rPr>
        <w:footnoteRef/>
      </w:r>
      <w:r>
        <w:t xml:space="preserve"> </w:t>
      </w:r>
      <w:r w:rsidRPr="00512E3A">
        <w:rPr>
          <w:sz w:val="16"/>
          <w:szCs w:val="16"/>
          <w:lang w:val="en-AU"/>
        </w:rPr>
        <w:t>Hattie, J (</w:t>
      </w:r>
      <w:r>
        <w:rPr>
          <w:sz w:val="16"/>
          <w:szCs w:val="16"/>
          <w:lang w:val="en-AU"/>
        </w:rPr>
        <w:t xml:space="preserve">2003). </w:t>
      </w:r>
      <w:r w:rsidRPr="00433573">
        <w:rPr>
          <w:i/>
          <w:sz w:val="16"/>
          <w:szCs w:val="16"/>
          <w:lang w:val="en-AU"/>
        </w:rPr>
        <w:t>Formative and Summative Interpretations of Assessment Information:  who says formative assessment matters</w:t>
      </w:r>
      <w:r>
        <w:rPr>
          <w:sz w:val="16"/>
          <w:szCs w:val="16"/>
          <w:lang w:val="en-AU"/>
        </w:rPr>
        <w:t>, p.2</w:t>
      </w:r>
    </w:p>
  </w:footnote>
  <w:footnote w:id="5">
    <w:p w:rsidR="00533FEC" w:rsidRPr="00197AAE" w:rsidRDefault="00533FEC">
      <w:pPr>
        <w:pStyle w:val="FootnoteText"/>
        <w:rPr>
          <w:sz w:val="16"/>
          <w:szCs w:val="16"/>
          <w:lang w:val="en-AU"/>
        </w:rPr>
      </w:pPr>
      <w:r>
        <w:rPr>
          <w:rStyle w:val="FootnoteReference"/>
        </w:rPr>
        <w:footnoteRef/>
      </w:r>
      <w:r>
        <w:t xml:space="preserve"> </w:t>
      </w:r>
      <w:r w:rsidRPr="00197AAE">
        <w:rPr>
          <w:sz w:val="16"/>
          <w:szCs w:val="16"/>
        </w:rPr>
        <w:t xml:space="preserve">See </w:t>
      </w:r>
      <w:r>
        <w:rPr>
          <w:sz w:val="16"/>
          <w:szCs w:val="16"/>
        </w:rPr>
        <w:t>High Impact Teaching Strategy</w:t>
      </w:r>
      <w:r w:rsidR="00DC0AF4">
        <w:rPr>
          <w:sz w:val="16"/>
          <w:szCs w:val="16"/>
        </w:rPr>
        <w:t xml:space="preserve"> </w:t>
      </w:r>
      <w:r>
        <w:rPr>
          <w:sz w:val="16"/>
          <w:szCs w:val="16"/>
        </w:rPr>
        <w:t>6</w:t>
      </w:r>
      <w:r w:rsidR="006A11EC">
        <w:rPr>
          <w:sz w:val="16"/>
          <w:szCs w:val="16"/>
        </w:rPr>
        <w:t xml:space="preserve">: </w:t>
      </w:r>
      <w:r>
        <w:rPr>
          <w:sz w:val="16"/>
          <w:szCs w:val="16"/>
        </w:rPr>
        <w:t>Multiple Exposures</w:t>
      </w:r>
      <w:r w:rsidRPr="00197AAE">
        <w:rPr>
          <w:sz w:val="16"/>
          <w:szCs w:val="16"/>
        </w:rPr>
        <w:t>:  DET – High Impact Teaching Strategies</w:t>
      </w:r>
      <w:r w:rsidR="00D6480B">
        <w:rPr>
          <w:sz w:val="16"/>
          <w:szCs w:val="16"/>
        </w:rPr>
        <w:t xml:space="preserve"> (HITS)</w:t>
      </w:r>
      <w:r w:rsidRPr="00197AAE">
        <w:rPr>
          <w:sz w:val="16"/>
          <w:szCs w:val="16"/>
        </w:rPr>
        <w:t xml:space="preserve">: </w:t>
      </w:r>
      <w:hyperlink r:id="rId2" w:history="1">
        <w:r w:rsidR="00455B1E">
          <w:rPr>
            <w:rStyle w:val="Hyperlink"/>
            <w:sz w:val="16"/>
            <w:szCs w:val="16"/>
          </w:rPr>
          <w:t>https://www.education.vic.gov.au/school/teachers/teachingresources/practice/improve/Pages/hits.aspx</w:t>
        </w:r>
      </w:hyperlink>
      <w:r>
        <w:rPr>
          <w:sz w:val="16"/>
          <w:szCs w:val="16"/>
        </w:rPr>
        <w:t xml:space="preserve"> </w:t>
      </w:r>
    </w:p>
  </w:footnote>
  <w:footnote w:id="6">
    <w:p w:rsidR="00533FEC" w:rsidRPr="00197AAE" w:rsidRDefault="00533FEC">
      <w:pPr>
        <w:pStyle w:val="FootnoteText"/>
        <w:rPr>
          <w:lang w:val="en-AU"/>
        </w:rPr>
      </w:pPr>
      <w:r>
        <w:rPr>
          <w:rStyle w:val="FootnoteReference"/>
        </w:rPr>
        <w:footnoteRef/>
      </w:r>
      <w:r>
        <w:t xml:space="preserve"> </w:t>
      </w:r>
      <w:r w:rsidR="00A11FA0" w:rsidRPr="00A11FA0">
        <w:t xml:space="preserve"> </w:t>
      </w:r>
      <w:r w:rsidR="00A11FA0" w:rsidRPr="00A11FA0">
        <w:rPr>
          <w:sz w:val="16"/>
          <w:szCs w:val="16"/>
          <w:lang w:val="en-AU"/>
        </w:rPr>
        <w:t>Se</w:t>
      </w:r>
      <w:r w:rsidR="00A11FA0">
        <w:rPr>
          <w:sz w:val="16"/>
          <w:szCs w:val="16"/>
          <w:lang w:val="en-AU"/>
        </w:rPr>
        <w:t xml:space="preserve">e High Impact Teaching Strategy 3: Worked Examples and </w:t>
      </w:r>
      <w:r w:rsidR="00A11FA0" w:rsidRPr="00A11FA0">
        <w:rPr>
          <w:sz w:val="16"/>
          <w:szCs w:val="16"/>
          <w:lang w:val="en-AU"/>
        </w:rPr>
        <w:t>10</w:t>
      </w:r>
      <w:r w:rsidR="00D6480B">
        <w:rPr>
          <w:sz w:val="16"/>
          <w:szCs w:val="16"/>
          <w:lang w:val="en-AU"/>
        </w:rPr>
        <w:t xml:space="preserve">: Differentiated Teaching, HITS </w:t>
      </w:r>
      <w:r w:rsidR="00A11FA0" w:rsidRPr="00A11FA0">
        <w:rPr>
          <w:sz w:val="16"/>
          <w:szCs w:val="16"/>
          <w:lang w:val="en-AU"/>
        </w:rPr>
        <w:t>(</w:t>
      </w:r>
      <w:proofErr w:type="spellStart"/>
      <w:r w:rsidR="00A11FA0" w:rsidRPr="00A11FA0">
        <w:rPr>
          <w:sz w:val="16"/>
          <w:szCs w:val="16"/>
          <w:lang w:val="en-AU"/>
        </w:rPr>
        <w:t>op.cit</w:t>
      </w:r>
      <w:proofErr w:type="spellEnd"/>
      <w:r w:rsidR="00A11FA0" w:rsidRPr="00A11FA0">
        <w:rPr>
          <w:sz w:val="16"/>
          <w:szCs w:val="16"/>
          <w:lang w:val="en-AU"/>
        </w:rPr>
        <w:t>.)</w:t>
      </w:r>
    </w:p>
  </w:footnote>
  <w:footnote w:id="7">
    <w:p w:rsidR="00533FEC" w:rsidRPr="00AF28EC" w:rsidRDefault="00533FEC" w:rsidP="00AF28EC">
      <w:pPr>
        <w:pStyle w:val="FootnoteText"/>
      </w:pPr>
      <w:r>
        <w:rPr>
          <w:rStyle w:val="FootnoteReference"/>
        </w:rPr>
        <w:footnoteRef/>
      </w:r>
      <w:r>
        <w:t xml:space="preserve"> </w:t>
      </w:r>
      <w:r w:rsidR="00997420" w:rsidRPr="00024B39">
        <w:rPr>
          <w:sz w:val="16"/>
          <w:szCs w:val="16"/>
        </w:rPr>
        <w:t xml:space="preserve">See High Impact Teaching Strategy 10 – </w:t>
      </w:r>
      <w:r w:rsidR="00997420">
        <w:rPr>
          <w:sz w:val="16"/>
          <w:szCs w:val="16"/>
        </w:rPr>
        <w:t>Differentiated Teaching</w:t>
      </w:r>
      <w:r w:rsidR="00D6480B">
        <w:rPr>
          <w:sz w:val="16"/>
          <w:szCs w:val="16"/>
        </w:rPr>
        <w:t xml:space="preserve">, </w:t>
      </w:r>
      <w:r w:rsidR="00D6480B" w:rsidRPr="00D6480B">
        <w:rPr>
          <w:sz w:val="16"/>
          <w:szCs w:val="16"/>
        </w:rPr>
        <w:t>HITS (</w:t>
      </w:r>
      <w:proofErr w:type="spellStart"/>
      <w:r w:rsidR="00D6480B" w:rsidRPr="00D6480B">
        <w:rPr>
          <w:sz w:val="16"/>
          <w:szCs w:val="16"/>
        </w:rPr>
        <w:t>op.cit</w:t>
      </w:r>
      <w:proofErr w:type="spellEnd"/>
      <w:r w:rsidR="00D6480B" w:rsidRPr="00D6480B">
        <w:rPr>
          <w:sz w:val="16"/>
          <w:szCs w:val="16"/>
        </w:rPr>
        <w:t>.)</w:t>
      </w:r>
    </w:p>
  </w:footnote>
  <w:footnote w:id="8">
    <w:p w:rsidR="00533FEC" w:rsidRPr="00197AAE" w:rsidRDefault="00533FEC" w:rsidP="00AF28EC">
      <w:pPr>
        <w:pStyle w:val="FootnoteText"/>
        <w:rPr>
          <w:lang w:val="en-AU"/>
        </w:rPr>
      </w:pPr>
      <w:r>
        <w:rPr>
          <w:rStyle w:val="FootnoteReference"/>
        </w:rPr>
        <w:footnoteRef/>
      </w:r>
      <w:r>
        <w:t xml:space="preserve"> </w:t>
      </w:r>
      <w:r w:rsidR="00A413A9" w:rsidRPr="00024B39">
        <w:rPr>
          <w:sz w:val="16"/>
          <w:szCs w:val="16"/>
        </w:rPr>
        <w:t xml:space="preserve">Practice Principle 1: High Expectations - </w:t>
      </w:r>
      <w:r w:rsidRPr="00024B39">
        <w:rPr>
          <w:sz w:val="16"/>
          <w:szCs w:val="16"/>
        </w:rPr>
        <w:t>DET</w:t>
      </w:r>
      <w:r>
        <w:rPr>
          <w:sz w:val="16"/>
          <w:szCs w:val="16"/>
        </w:rPr>
        <w:t xml:space="preserve"> - Practice Principles</w:t>
      </w:r>
      <w:r w:rsidR="00A413A9">
        <w:rPr>
          <w:sz w:val="16"/>
          <w:szCs w:val="16"/>
        </w:rPr>
        <w:t xml:space="preserve">: </w:t>
      </w:r>
      <w:hyperlink r:id="rId3" w:history="1">
        <w:r w:rsidR="007856DB">
          <w:rPr>
            <w:rStyle w:val="Hyperlink"/>
            <w:sz w:val="16"/>
            <w:szCs w:val="16"/>
          </w:rPr>
          <w:t>https://www.education.vic.gov.au/school/teachers/teachingresources/practice/improve/Pages/principlesexcellence.aspx</w:t>
        </w:r>
      </w:hyperlink>
      <w:r w:rsidR="00A413A9">
        <w:rPr>
          <w:sz w:val="16"/>
          <w:szCs w:val="16"/>
        </w:rPr>
        <w:t xml:space="preserve"> </w:t>
      </w:r>
    </w:p>
  </w:footnote>
  <w:footnote w:id="9">
    <w:p w:rsidR="00533FEC" w:rsidRPr="0044626A" w:rsidRDefault="00533FEC" w:rsidP="00B4790A">
      <w:pPr>
        <w:pStyle w:val="FootnoteText"/>
        <w:rPr>
          <w:lang w:val="en-AU"/>
        </w:rPr>
      </w:pPr>
      <w:r>
        <w:rPr>
          <w:rStyle w:val="FootnoteReference"/>
        </w:rPr>
        <w:footnoteRef/>
      </w:r>
      <w:r>
        <w:t xml:space="preserve"> </w:t>
      </w:r>
      <w:r w:rsidR="00BB49E7" w:rsidRPr="00024B39">
        <w:rPr>
          <w:sz w:val="16"/>
          <w:szCs w:val="16"/>
        </w:rPr>
        <w:t>Griffin, P (2009), ‘Assessment is for teaching’ Independence, 34, No 2, p.58</w:t>
      </w:r>
    </w:p>
  </w:footnote>
  <w:footnote w:id="10">
    <w:p w:rsidR="00FF3520" w:rsidRPr="007B4FD7" w:rsidRDefault="00FF3520" w:rsidP="00FF3520">
      <w:pPr>
        <w:pStyle w:val="FootnoteText"/>
        <w:rPr>
          <w:lang w:val="en-AU"/>
        </w:rPr>
      </w:pPr>
      <w:r>
        <w:rPr>
          <w:rStyle w:val="FootnoteReference"/>
        </w:rPr>
        <w:footnoteRef/>
      </w:r>
      <w:r>
        <w:t xml:space="preserve"> </w:t>
      </w:r>
      <w:proofErr w:type="spellStart"/>
      <w:r w:rsidRPr="005B2EB1">
        <w:rPr>
          <w:sz w:val="16"/>
          <w:szCs w:val="16"/>
          <w:lang w:val="en-AU"/>
        </w:rPr>
        <w:t>Wiliam</w:t>
      </w:r>
      <w:proofErr w:type="spellEnd"/>
      <w:r w:rsidRPr="005B2EB1">
        <w:rPr>
          <w:sz w:val="16"/>
          <w:szCs w:val="16"/>
          <w:lang w:val="en-AU"/>
        </w:rPr>
        <w:t xml:space="preserve">, D (2011), (op. </w:t>
      </w:r>
      <w:proofErr w:type="spellStart"/>
      <w:r w:rsidRPr="005B2EB1">
        <w:rPr>
          <w:sz w:val="16"/>
          <w:szCs w:val="16"/>
          <w:lang w:val="en-AU"/>
        </w:rPr>
        <w:t>cit</w:t>
      </w:r>
      <w:proofErr w:type="spellEnd"/>
      <w:r w:rsidRPr="005B2EB1">
        <w:rPr>
          <w:sz w:val="16"/>
          <w:szCs w:val="16"/>
          <w:lang w:val="en-AU"/>
        </w:rPr>
        <w:t>), p</w:t>
      </w:r>
      <w:r>
        <w:rPr>
          <w:sz w:val="16"/>
          <w:szCs w:val="16"/>
          <w:lang w:val="en-AU"/>
        </w:rPr>
        <w:t>p.86-88</w:t>
      </w:r>
    </w:p>
  </w:footnote>
  <w:footnote w:id="11">
    <w:p w:rsidR="00533FEC" w:rsidRPr="00D17D78" w:rsidRDefault="00533FEC" w:rsidP="003F607E">
      <w:pPr>
        <w:pStyle w:val="FootnoteText"/>
        <w:rPr>
          <w:lang w:val="en-AU"/>
        </w:rPr>
      </w:pPr>
      <w:r>
        <w:rPr>
          <w:rStyle w:val="FootnoteReference"/>
        </w:rPr>
        <w:footnoteRef/>
      </w:r>
      <w:r>
        <w:t xml:space="preserve"> </w:t>
      </w:r>
      <w:r w:rsidRPr="00D17D78">
        <w:rPr>
          <w:sz w:val="16"/>
          <w:szCs w:val="16"/>
          <w:lang w:val="en-AU"/>
        </w:rPr>
        <w:t xml:space="preserve">DET – Professional Practice Note 6 – Using Data Walls: </w:t>
      </w:r>
      <w:hyperlink r:id="rId4" w:history="1">
        <w:r w:rsidR="00BC2390" w:rsidRPr="00CC2B89">
          <w:rPr>
            <w:rStyle w:val="Hyperlink"/>
            <w:sz w:val="16"/>
            <w:szCs w:val="16"/>
            <w:lang w:val="en-AU"/>
          </w:rPr>
          <w:t>http://www.education.vic.gov.au/school/teachers/classrooms/Pages/approachesdatawalls.aspx</w:t>
        </w:r>
      </w:hyperlink>
      <w:r w:rsidR="00BC2390">
        <w:rPr>
          <w:sz w:val="16"/>
          <w:szCs w:val="16"/>
          <w:lang w:val="en-AU"/>
        </w:rPr>
        <w:t xml:space="preserve"> </w:t>
      </w:r>
      <w:r w:rsidR="00BC2390" w:rsidRPr="00BC2390" w:rsidDel="00BC2390">
        <w:rPr>
          <w:sz w:val="16"/>
          <w:szCs w:val="16"/>
          <w:lang w:val="en-AU"/>
        </w:rPr>
        <w:t xml:space="preserve"> </w:t>
      </w:r>
      <w:r w:rsidR="00BC2390">
        <w:rPr>
          <w:sz w:val="16"/>
          <w:szCs w:val="16"/>
          <w:lang w:val="en-AU"/>
        </w:rPr>
        <w:t xml:space="preserve"> </w:t>
      </w:r>
    </w:p>
  </w:footnote>
  <w:footnote w:id="12">
    <w:p w:rsidR="00F07491" w:rsidRPr="00BA2B72" w:rsidRDefault="00F07491" w:rsidP="00F07491">
      <w:pPr>
        <w:pStyle w:val="FootnoteText"/>
        <w:rPr>
          <w:lang w:val="en-AU"/>
        </w:rPr>
      </w:pPr>
      <w:r>
        <w:rPr>
          <w:rStyle w:val="FootnoteReference"/>
        </w:rPr>
        <w:footnoteRef/>
      </w:r>
      <w:r>
        <w:t xml:space="preserve"> </w:t>
      </w:r>
      <w:r w:rsidRPr="00D17D78">
        <w:rPr>
          <w:sz w:val="16"/>
          <w:szCs w:val="16"/>
          <w:lang w:val="en-AU"/>
        </w:rPr>
        <w:t>DE</w:t>
      </w:r>
      <w:r>
        <w:rPr>
          <w:sz w:val="16"/>
          <w:szCs w:val="16"/>
          <w:lang w:val="en-AU"/>
        </w:rPr>
        <w:t>T – Professional Practice Note 4</w:t>
      </w:r>
      <w:r w:rsidRPr="00D17D78">
        <w:rPr>
          <w:sz w:val="16"/>
          <w:szCs w:val="16"/>
          <w:lang w:val="en-AU"/>
        </w:rPr>
        <w:t xml:space="preserve"> – </w:t>
      </w:r>
      <w:r>
        <w:rPr>
          <w:sz w:val="16"/>
          <w:szCs w:val="16"/>
          <w:lang w:val="en-AU"/>
        </w:rPr>
        <w:t>Peer Observation, Feedback and Reflection</w:t>
      </w:r>
      <w:r w:rsidRPr="00D17D78">
        <w:rPr>
          <w:sz w:val="16"/>
          <w:szCs w:val="16"/>
          <w:lang w:val="en-AU"/>
        </w:rPr>
        <w:t>:</w:t>
      </w:r>
      <w:r w:rsidR="00BC2390">
        <w:rPr>
          <w:sz w:val="16"/>
          <w:szCs w:val="16"/>
          <w:lang w:val="en-AU"/>
        </w:rPr>
        <w:t xml:space="preserve"> </w:t>
      </w:r>
      <w:hyperlink r:id="rId5" w:history="1">
        <w:r w:rsidR="00BC2390" w:rsidRPr="00CC2B89">
          <w:rPr>
            <w:rStyle w:val="Hyperlink"/>
            <w:sz w:val="16"/>
            <w:szCs w:val="16"/>
            <w:lang w:val="en-AU"/>
          </w:rPr>
          <w:t>http://www.education.vic.gov.au/school/teachers/teachingresources/practice/Pages/peerobservation.aspx</w:t>
        </w:r>
      </w:hyperlink>
      <w:r w:rsidR="00BC2390">
        <w:rPr>
          <w:sz w:val="16"/>
          <w:szCs w:val="16"/>
          <w:lang w:val="en-AU"/>
        </w:rPr>
        <w:t xml:space="preserve"> </w:t>
      </w:r>
    </w:p>
  </w:footnote>
  <w:footnote w:id="13">
    <w:p w:rsidR="00533FEC" w:rsidRPr="00D17D78" w:rsidRDefault="00533FEC" w:rsidP="003F607E">
      <w:pPr>
        <w:pStyle w:val="FootnoteText"/>
        <w:rPr>
          <w:sz w:val="16"/>
          <w:szCs w:val="16"/>
          <w:lang w:val="en-AU"/>
        </w:rPr>
      </w:pPr>
      <w:r w:rsidRPr="00D17D78">
        <w:rPr>
          <w:rStyle w:val="FootnoteReference"/>
          <w:sz w:val="16"/>
          <w:szCs w:val="16"/>
        </w:rPr>
        <w:footnoteRef/>
      </w:r>
      <w:r w:rsidRPr="00D17D78">
        <w:rPr>
          <w:sz w:val="16"/>
          <w:szCs w:val="16"/>
        </w:rPr>
        <w:t xml:space="preserve"> </w:t>
      </w:r>
      <w:r w:rsidRPr="00D17D78">
        <w:rPr>
          <w:sz w:val="16"/>
          <w:szCs w:val="16"/>
          <w:lang w:val="en-AU"/>
        </w:rPr>
        <w:t xml:space="preserve">Wiggins, G. &amp; </w:t>
      </w:r>
      <w:proofErr w:type="spellStart"/>
      <w:r w:rsidRPr="00D17D78">
        <w:rPr>
          <w:sz w:val="16"/>
          <w:szCs w:val="16"/>
          <w:lang w:val="en-AU"/>
        </w:rPr>
        <w:t>McTighe</w:t>
      </w:r>
      <w:proofErr w:type="spellEnd"/>
      <w:r w:rsidRPr="00D17D78">
        <w:rPr>
          <w:sz w:val="16"/>
          <w:szCs w:val="16"/>
          <w:lang w:val="en-AU"/>
        </w:rPr>
        <w:t xml:space="preserve">, J. (2005).  </w:t>
      </w:r>
      <w:r w:rsidRPr="00D17D78">
        <w:rPr>
          <w:i/>
          <w:sz w:val="16"/>
          <w:szCs w:val="16"/>
          <w:lang w:val="en-AU"/>
        </w:rPr>
        <w:t>Understanding by Design – Expanded 2</w:t>
      </w:r>
      <w:r w:rsidRPr="00D17D78">
        <w:rPr>
          <w:i/>
          <w:sz w:val="16"/>
          <w:szCs w:val="16"/>
          <w:vertAlign w:val="superscript"/>
          <w:lang w:val="en-AU"/>
        </w:rPr>
        <w:t>nd</w:t>
      </w:r>
      <w:r w:rsidRPr="00D17D78">
        <w:rPr>
          <w:i/>
          <w:sz w:val="16"/>
          <w:szCs w:val="16"/>
          <w:lang w:val="en-AU"/>
        </w:rPr>
        <w:t xml:space="preserve"> Edition</w:t>
      </w:r>
      <w:r w:rsidRPr="00D17D78">
        <w:rPr>
          <w:sz w:val="16"/>
          <w:szCs w:val="16"/>
          <w:lang w:val="en-AU"/>
        </w:rPr>
        <w:t>.  Alexand</w:t>
      </w:r>
      <w:r w:rsidR="00BE7C73">
        <w:rPr>
          <w:sz w:val="16"/>
          <w:szCs w:val="16"/>
          <w:lang w:val="en-AU"/>
        </w:rPr>
        <w:t>ri</w:t>
      </w:r>
      <w:r w:rsidRPr="00D17D78">
        <w:rPr>
          <w:sz w:val="16"/>
          <w:szCs w:val="16"/>
          <w:lang w:val="en-AU"/>
        </w:rPr>
        <w:t>a, VA: ASCD.</w:t>
      </w:r>
    </w:p>
  </w:footnote>
  <w:footnote w:id="14">
    <w:p w:rsidR="00533FEC" w:rsidRPr="00472E9F" w:rsidRDefault="00533FEC" w:rsidP="00895413">
      <w:pPr>
        <w:pStyle w:val="FootnoteText"/>
        <w:rPr>
          <w:lang w:val="en-AU"/>
        </w:rPr>
      </w:pPr>
      <w:r>
        <w:rPr>
          <w:rStyle w:val="FootnoteReference"/>
        </w:rPr>
        <w:footnoteRef/>
      </w:r>
      <w:r>
        <w:t xml:space="preserve"> </w:t>
      </w:r>
      <w:proofErr w:type="spellStart"/>
      <w:r w:rsidRPr="002F2E65">
        <w:rPr>
          <w:sz w:val="16"/>
          <w:szCs w:val="16"/>
          <w:lang w:val="en-AU"/>
        </w:rPr>
        <w:t>Wiliam</w:t>
      </w:r>
      <w:proofErr w:type="spellEnd"/>
      <w:r w:rsidRPr="002F2E65">
        <w:rPr>
          <w:sz w:val="16"/>
          <w:szCs w:val="16"/>
          <w:lang w:val="en-AU"/>
        </w:rPr>
        <w:t>, D (2011),</w:t>
      </w:r>
      <w:r w:rsidRPr="00895413">
        <w:rPr>
          <w:sz w:val="16"/>
          <w:szCs w:val="16"/>
        </w:rPr>
        <w:t xml:space="preserve"> </w:t>
      </w:r>
      <w:r>
        <w:rPr>
          <w:sz w:val="16"/>
          <w:szCs w:val="16"/>
        </w:rPr>
        <w:t xml:space="preserve">(op. </w:t>
      </w:r>
      <w:proofErr w:type="spellStart"/>
      <w:r>
        <w:rPr>
          <w:sz w:val="16"/>
          <w:szCs w:val="16"/>
        </w:rPr>
        <w:t>cit</w:t>
      </w:r>
      <w:proofErr w:type="spellEnd"/>
      <w:r>
        <w:rPr>
          <w:sz w:val="16"/>
          <w:szCs w:val="16"/>
        </w:rPr>
        <w:t>), p.46</w:t>
      </w:r>
    </w:p>
  </w:footnote>
  <w:footnote w:id="15">
    <w:p w:rsidR="00A65543" w:rsidRPr="00024B39" w:rsidRDefault="00A65543">
      <w:pPr>
        <w:pStyle w:val="FootnoteText"/>
        <w:rPr>
          <w:lang w:val="en-AU"/>
        </w:rPr>
      </w:pPr>
      <w:r>
        <w:rPr>
          <w:rStyle w:val="FootnoteReference"/>
        </w:rPr>
        <w:footnoteRef/>
      </w:r>
      <w:r>
        <w:t xml:space="preserve"> </w:t>
      </w:r>
      <w:proofErr w:type="spellStart"/>
      <w:r w:rsidRPr="00024B39">
        <w:rPr>
          <w:sz w:val="16"/>
          <w:szCs w:val="16"/>
        </w:rPr>
        <w:t>Wiliam</w:t>
      </w:r>
      <w:proofErr w:type="spellEnd"/>
      <w:r w:rsidRPr="00024B39">
        <w:rPr>
          <w:sz w:val="16"/>
          <w:szCs w:val="16"/>
        </w:rPr>
        <w:t xml:space="preserve">, D (2011), (op. </w:t>
      </w:r>
      <w:proofErr w:type="spellStart"/>
      <w:r w:rsidRPr="00024B39">
        <w:rPr>
          <w:sz w:val="16"/>
          <w:szCs w:val="16"/>
        </w:rPr>
        <w:t>cit</w:t>
      </w:r>
      <w:proofErr w:type="spellEnd"/>
      <w:r w:rsidRPr="00024B39">
        <w:rPr>
          <w:sz w:val="16"/>
          <w:szCs w:val="16"/>
        </w:rPr>
        <w:t>), p.127</w:t>
      </w:r>
    </w:p>
  </w:footnote>
  <w:footnote w:id="16">
    <w:p w:rsidR="002E359C" w:rsidRPr="002E359C" w:rsidRDefault="002E359C">
      <w:pPr>
        <w:pStyle w:val="FootnoteText"/>
        <w:rPr>
          <w:lang w:val="en-AU"/>
        </w:rPr>
      </w:pPr>
      <w:r>
        <w:rPr>
          <w:rStyle w:val="FootnoteReference"/>
        </w:rPr>
        <w:footnoteRef/>
      </w:r>
      <w:r>
        <w:t xml:space="preserve"> </w:t>
      </w:r>
      <w:r w:rsidRPr="002E359C">
        <w:rPr>
          <w:sz w:val="16"/>
          <w:szCs w:val="16"/>
        </w:rPr>
        <w:t>See High Impact Teaching Strategy 1</w:t>
      </w:r>
      <w:r>
        <w:rPr>
          <w:sz w:val="16"/>
          <w:szCs w:val="16"/>
        </w:rPr>
        <w:t>4</w:t>
      </w:r>
      <w:r w:rsidRPr="002E359C">
        <w:rPr>
          <w:sz w:val="16"/>
          <w:szCs w:val="16"/>
        </w:rPr>
        <w:t xml:space="preserve"> – </w:t>
      </w:r>
      <w:r>
        <w:rPr>
          <w:sz w:val="16"/>
          <w:szCs w:val="16"/>
        </w:rPr>
        <w:t>Explicit Teaching</w:t>
      </w:r>
      <w:proofErr w:type="gramStart"/>
      <w:r w:rsidR="00D6480B">
        <w:rPr>
          <w:sz w:val="16"/>
          <w:szCs w:val="16"/>
        </w:rPr>
        <w:t xml:space="preserve">, </w:t>
      </w:r>
      <w:r w:rsidR="00D6480B" w:rsidRPr="00D6480B">
        <w:rPr>
          <w:sz w:val="16"/>
          <w:szCs w:val="16"/>
        </w:rPr>
        <w:t>,</w:t>
      </w:r>
      <w:proofErr w:type="gramEnd"/>
      <w:r w:rsidR="00D6480B" w:rsidRPr="00D6480B">
        <w:rPr>
          <w:sz w:val="16"/>
          <w:szCs w:val="16"/>
        </w:rPr>
        <w:t xml:space="preserve"> HITS (</w:t>
      </w:r>
      <w:proofErr w:type="spellStart"/>
      <w:r w:rsidR="00D6480B" w:rsidRPr="00D6480B">
        <w:rPr>
          <w:sz w:val="16"/>
          <w:szCs w:val="16"/>
        </w:rPr>
        <w:t>op.cit</w:t>
      </w:r>
      <w:proofErr w:type="spellEnd"/>
      <w:r w:rsidR="00D6480B" w:rsidRPr="00D6480B">
        <w:rPr>
          <w:sz w:val="16"/>
          <w:szCs w:val="16"/>
        </w:rPr>
        <w:t>.)</w:t>
      </w:r>
    </w:p>
  </w:footnote>
  <w:footnote w:id="17">
    <w:p w:rsidR="0077457A" w:rsidRPr="0077457A" w:rsidRDefault="0077457A">
      <w:pPr>
        <w:pStyle w:val="FootnoteText"/>
        <w:rPr>
          <w:sz w:val="16"/>
          <w:szCs w:val="16"/>
          <w:lang w:val="en-AU"/>
        </w:rPr>
      </w:pPr>
      <w:r>
        <w:rPr>
          <w:rStyle w:val="FootnoteReference"/>
        </w:rPr>
        <w:footnoteRef/>
      </w:r>
      <w:r>
        <w:t xml:space="preserve"> </w:t>
      </w:r>
      <w:proofErr w:type="spellStart"/>
      <w:r w:rsidRPr="0077457A">
        <w:rPr>
          <w:sz w:val="16"/>
          <w:szCs w:val="16"/>
        </w:rPr>
        <w:t>Wi</w:t>
      </w:r>
      <w:r>
        <w:rPr>
          <w:sz w:val="16"/>
          <w:szCs w:val="16"/>
        </w:rPr>
        <w:t>liam</w:t>
      </w:r>
      <w:proofErr w:type="spellEnd"/>
      <w:r>
        <w:rPr>
          <w:sz w:val="16"/>
          <w:szCs w:val="16"/>
        </w:rPr>
        <w:t xml:space="preserve">, D (2011), (op. </w:t>
      </w:r>
      <w:proofErr w:type="spellStart"/>
      <w:r>
        <w:rPr>
          <w:sz w:val="16"/>
          <w:szCs w:val="16"/>
        </w:rPr>
        <w:t>cit</w:t>
      </w:r>
      <w:proofErr w:type="spellEnd"/>
      <w:r>
        <w:rPr>
          <w:sz w:val="16"/>
          <w:szCs w:val="16"/>
        </w:rPr>
        <w:t>), p.52</w:t>
      </w:r>
    </w:p>
  </w:footnote>
  <w:footnote w:id="18">
    <w:p w:rsidR="00533FEC" w:rsidRPr="00197AAE" w:rsidRDefault="00533FEC">
      <w:pPr>
        <w:pStyle w:val="FootnoteText"/>
        <w:rPr>
          <w:lang w:val="en-AU"/>
        </w:rPr>
      </w:pPr>
      <w:r>
        <w:rPr>
          <w:rStyle w:val="FootnoteReference"/>
        </w:rPr>
        <w:footnoteRef/>
      </w:r>
      <w:r>
        <w:t xml:space="preserve"> </w:t>
      </w:r>
      <w:r w:rsidR="00BE7C73" w:rsidRPr="00024B39">
        <w:rPr>
          <w:sz w:val="16"/>
          <w:szCs w:val="16"/>
        </w:rPr>
        <w:t>See High Impact Teaching Strategy 1 – Setting Goals</w:t>
      </w:r>
      <w:r w:rsidR="00D6480B" w:rsidRPr="00D6480B">
        <w:rPr>
          <w:sz w:val="16"/>
          <w:szCs w:val="16"/>
        </w:rPr>
        <w:t>, HITS (</w:t>
      </w:r>
      <w:proofErr w:type="spellStart"/>
      <w:r w:rsidR="00D6480B" w:rsidRPr="00D6480B">
        <w:rPr>
          <w:sz w:val="16"/>
          <w:szCs w:val="16"/>
        </w:rPr>
        <w:t>op.cit</w:t>
      </w:r>
      <w:proofErr w:type="spellEnd"/>
      <w:r w:rsidR="00D6480B" w:rsidRPr="00D6480B">
        <w:rPr>
          <w:sz w:val="16"/>
          <w:szCs w:val="16"/>
        </w:rPr>
        <w:t>.)</w:t>
      </w:r>
    </w:p>
  </w:footnote>
  <w:footnote w:id="19">
    <w:p w:rsidR="00533FEC" w:rsidRPr="00024B39" w:rsidRDefault="00533FEC">
      <w:pPr>
        <w:pStyle w:val="FootnoteText"/>
        <w:rPr>
          <w:sz w:val="16"/>
          <w:szCs w:val="16"/>
          <w:lang w:val="en-AU"/>
        </w:rPr>
      </w:pPr>
      <w:r>
        <w:rPr>
          <w:rStyle w:val="FootnoteReference"/>
        </w:rPr>
        <w:footnoteRef/>
      </w:r>
      <w:r>
        <w:t xml:space="preserve"> </w:t>
      </w:r>
      <w:r w:rsidR="00BE7C73" w:rsidRPr="00024B39">
        <w:rPr>
          <w:sz w:val="16"/>
          <w:szCs w:val="16"/>
        </w:rPr>
        <w:t>See High Impact Teaching Strategy 10 – Differentiated Teaching</w:t>
      </w:r>
      <w:r w:rsidR="00D6480B" w:rsidRPr="00D6480B">
        <w:rPr>
          <w:sz w:val="16"/>
          <w:szCs w:val="16"/>
        </w:rPr>
        <w:t>, HITS (</w:t>
      </w:r>
      <w:proofErr w:type="spellStart"/>
      <w:r w:rsidR="00D6480B" w:rsidRPr="00D6480B">
        <w:rPr>
          <w:sz w:val="16"/>
          <w:szCs w:val="16"/>
        </w:rPr>
        <w:t>op.cit</w:t>
      </w:r>
      <w:proofErr w:type="spellEnd"/>
      <w:r w:rsidR="00D6480B" w:rsidRPr="00D6480B">
        <w:rPr>
          <w:sz w:val="16"/>
          <w:szCs w:val="16"/>
        </w:rPr>
        <w:t>.)</w:t>
      </w:r>
    </w:p>
  </w:footnote>
  <w:footnote w:id="20">
    <w:p w:rsidR="00533FEC" w:rsidRPr="00197AAE" w:rsidRDefault="00533FEC">
      <w:pPr>
        <w:pStyle w:val="FootnoteText"/>
        <w:rPr>
          <w:lang w:val="en-AU"/>
        </w:rPr>
      </w:pPr>
      <w:r>
        <w:rPr>
          <w:rStyle w:val="FootnoteReference"/>
        </w:rPr>
        <w:footnoteRef/>
      </w:r>
      <w:r>
        <w:t xml:space="preserve"> </w:t>
      </w:r>
      <w:r w:rsidR="00A413A9" w:rsidRPr="00024B39">
        <w:rPr>
          <w:sz w:val="16"/>
          <w:szCs w:val="16"/>
        </w:rPr>
        <w:t>Practice Principle 6: Rigorous Assessment Practices - DET - Practice Principles</w:t>
      </w:r>
      <w:r w:rsidR="00A413A9" w:rsidRPr="00A413A9" w:rsidDel="00A413A9">
        <w:t xml:space="preserve"> </w:t>
      </w:r>
      <w:r w:rsidR="00A413A9">
        <w:rPr>
          <w:sz w:val="16"/>
          <w:szCs w:val="16"/>
          <w:lang w:val="en-AU"/>
        </w:rPr>
        <w:t>(</w:t>
      </w:r>
      <w:proofErr w:type="spellStart"/>
      <w:r w:rsidR="00A413A9">
        <w:rPr>
          <w:sz w:val="16"/>
          <w:szCs w:val="16"/>
          <w:lang w:val="en-AU"/>
        </w:rPr>
        <w:t>op.cit</w:t>
      </w:r>
      <w:proofErr w:type="spellEnd"/>
      <w:r w:rsidR="00A413A9">
        <w:rPr>
          <w:sz w:val="16"/>
          <w:szCs w:val="16"/>
          <w:lang w:val="en-AU"/>
        </w:rPr>
        <w:t>.)</w:t>
      </w:r>
    </w:p>
  </w:footnote>
  <w:footnote w:id="21">
    <w:p w:rsidR="00533FEC" w:rsidRDefault="00533FEC" w:rsidP="0008453A">
      <w:pPr>
        <w:pStyle w:val="FootnoteText"/>
        <w:rPr>
          <w:sz w:val="16"/>
          <w:szCs w:val="16"/>
          <w:lang w:val="en-AU"/>
        </w:rPr>
      </w:pPr>
      <w:r>
        <w:rPr>
          <w:rStyle w:val="FootnoteReference"/>
        </w:rPr>
        <w:footnoteRef/>
      </w:r>
      <w:r>
        <w:t xml:space="preserve"> </w:t>
      </w:r>
      <w:r w:rsidRPr="00FD20D8">
        <w:rPr>
          <w:sz w:val="16"/>
          <w:szCs w:val="16"/>
          <w:lang w:val="en-AU"/>
        </w:rPr>
        <w:t xml:space="preserve">See </w:t>
      </w:r>
      <w:r w:rsidRPr="004040EA">
        <w:rPr>
          <w:sz w:val="16"/>
          <w:szCs w:val="16"/>
          <w:lang w:val="en-AU"/>
        </w:rPr>
        <w:t>High Impact Teaching Strategy 10 – Differentiated teaching</w:t>
      </w:r>
      <w:r w:rsidRPr="00765EE8">
        <w:rPr>
          <w:sz w:val="16"/>
          <w:szCs w:val="16"/>
          <w:lang w:val="en-AU"/>
        </w:rPr>
        <w:t xml:space="preserve"> and </w:t>
      </w:r>
      <w:r w:rsidRPr="004040EA">
        <w:rPr>
          <w:sz w:val="16"/>
          <w:szCs w:val="16"/>
          <w:lang w:val="en-AU"/>
        </w:rPr>
        <w:t>Practice Principle 1 – High expectations for every student</w:t>
      </w:r>
      <w:r w:rsidR="00D6480B" w:rsidRPr="00D6480B">
        <w:rPr>
          <w:sz w:val="16"/>
          <w:szCs w:val="16"/>
          <w:lang w:val="en-AU"/>
        </w:rPr>
        <w:t>, HITS (</w:t>
      </w:r>
      <w:proofErr w:type="spellStart"/>
      <w:r w:rsidR="00D6480B" w:rsidRPr="00D6480B">
        <w:rPr>
          <w:sz w:val="16"/>
          <w:szCs w:val="16"/>
          <w:lang w:val="en-AU"/>
        </w:rPr>
        <w:t>op.cit</w:t>
      </w:r>
      <w:proofErr w:type="spellEnd"/>
      <w:r w:rsidR="00D6480B" w:rsidRPr="00D6480B">
        <w:rPr>
          <w:sz w:val="16"/>
          <w:szCs w:val="16"/>
          <w:lang w:val="en-AU"/>
        </w:rPr>
        <w:t xml:space="preserve">.) </w:t>
      </w:r>
      <w:r w:rsidR="00A413A9" w:rsidRPr="00A413A9">
        <w:rPr>
          <w:sz w:val="16"/>
          <w:szCs w:val="16"/>
          <w:lang w:val="en-AU"/>
        </w:rPr>
        <w:t>(</w:t>
      </w:r>
      <w:proofErr w:type="gramStart"/>
      <w:r w:rsidR="00A413A9">
        <w:rPr>
          <w:sz w:val="16"/>
          <w:szCs w:val="16"/>
          <w:lang w:val="en-AU"/>
        </w:rPr>
        <w:t>and</w:t>
      </w:r>
      <w:proofErr w:type="gramEnd"/>
      <w:r w:rsidR="00A413A9">
        <w:rPr>
          <w:sz w:val="16"/>
          <w:szCs w:val="16"/>
          <w:lang w:val="en-AU"/>
        </w:rPr>
        <w:t xml:space="preserve"> </w:t>
      </w:r>
      <w:r w:rsidR="00A413A9" w:rsidRPr="00A413A9">
        <w:rPr>
          <w:sz w:val="16"/>
          <w:szCs w:val="16"/>
          <w:lang w:val="en-AU"/>
        </w:rPr>
        <w:t>Practice Principles (</w:t>
      </w:r>
      <w:proofErr w:type="spellStart"/>
      <w:r w:rsidR="00A413A9" w:rsidRPr="00A413A9">
        <w:rPr>
          <w:sz w:val="16"/>
          <w:szCs w:val="16"/>
          <w:lang w:val="en-AU"/>
        </w:rPr>
        <w:t>op.cit</w:t>
      </w:r>
      <w:proofErr w:type="spellEnd"/>
      <w:r w:rsidR="00A413A9" w:rsidRPr="00A413A9">
        <w:rPr>
          <w:sz w:val="16"/>
          <w:szCs w:val="16"/>
          <w:lang w:val="en-AU"/>
        </w:rPr>
        <w:t>.)</w:t>
      </w:r>
    </w:p>
    <w:p w:rsidR="00533FEC" w:rsidRPr="00FD20D8" w:rsidRDefault="00533FEC" w:rsidP="0008453A">
      <w:pPr>
        <w:pStyle w:val="FootnoteText"/>
        <w:rPr>
          <w:sz w:val="16"/>
          <w:szCs w:val="16"/>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552" w:rsidRDefault="005D15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FEC" w:rsidRPr="003E29B5" w:rsidRDefault="00533FEC" w:rsidP="008766A4">
    <w:r>
      <w:rPr>
        <w:noProof/>
        <w:lang w:val="en-AU" w:eastAsia="en-AU"/>
      </w:rPr>
      <mc:AlternateContent>
        <mc:Choice Requires="wps">
          <w:drawing>
            <wp:anchor distT="45720" distB="45720" distL="114300" distR="114300" simplePos="0" relativeHeight="251657728" behindDoc="0" locked="0" layoutInCell="1" allowOverlap="1" wp14:anchorId="03233300" wp14:editId="1F481202">
              <wp:simplePos x="0" y="0"/>
              <wp:positionH relativeFrom="column">
                <wp:posOffset>5372100</wp:posOffset>
              </wp:positionH>
              <wp:positionV relativeFrom="paragraph">
                <wp:posOffset>559435</wp:posOffset>
              </wp:positionV>
              <wp:extent cx="1647825" cy="585470"/>
              <wp:effectExtent l="0" t="0" r="0" b="5080"/>
              <wp:wrapSquare wrapText="bothSides"/>
              <wp:docPr id="217" name="Text Box 2" descr="&quot;&qu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585470"/>
                      </a:xfrm>
                      <a:prstGeom prst="rect">
                        <a:avLst/>
                      </a:prstGeom>
                      <a:noFill/>
                      <a:ln w="9525">
                        <a:noFill/>
                        <a:miter lim="800000"/>
                        <a:headEnd/>
                        <a:tailEnd/>
                      </a:ln>
                    </wps:spPr>
                    <wps:txbx>
                      <w:txbxContent>
                        <w:p w:rsidR="00533FEC" w:rsidRPr="00B24ECE" w:rsidRDefault="00533FEC" w:rsidP="00B31A38">
                          <w:pPr>
                            <w:rPr>
                              <w:b/>
                              <w:color w:val="FFFFFF" w:themeColor="background1"/>
                              <w:sz w:val="28"/>
                              <w:szCs w:val="28"/>
                            </w:rPr>
                          </w:pPr>
                          <w:r>
                            <w:rPr>
                              <w:b/>
                              <w:color w:val="FFFFFF" w:themeColor="background1"/>
                              <w:sz w:val="28"/>
                              <w:szCs w:val="28"/>
                            </w:rPr>
                            <w:t>Professional Practice Note 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233300" id="_x0000_t202" coordsize="21600,21600" o:spt="202" path="m,l,21600r21600,l21600,xe">
              <v:stroke joinstyle="miter"/>
              <v:path gradientshapeok="t" o:connecttype="rect"/>
            </v:shapetype>
            <v:shape id="Text Box 2" o:spid="_x0000_s1026" type="#_x0000_t202" alt="&quot;&quot;" style="position:absolute;margin-left:423pt;margin-top:44.05pt;width:129.75pt;height:46.1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" filled="f" stroked="f">
              <v:textbox style="mso-fit-shape-to-text:t">
                <w:txbxContent>
                  <w:p w:rsidR="00533FEC" w:rsidRPr="00B24ECE" w:rsidRDefault="00533FEC" w:rsidP="00B31A38">
                    <w:pPr>
                      <w:rPr>
                        <w:b/>
                        <w:color w:val="FFFFFF" w:themeColor="background1"/>
                        <w:sz w:val="28"/>
                        <w:szCs w:val="28"/>
                      </w:rPr>
                    </w:pPr>
                    <w:r>
                      <w:rPr>
                        <w:b/>
                        <w:color w:val="FFFFFF" w:themeColor="background1"/>
                        <w:sz w:val="28"/>
                        <w:szCs w:val="28"/>
                      </w:rPr>
                      <w:t>Professional Practice Note 6</w:t>
                    </w:r>
                  </w:p>
                </w:txbxContent>
              </v:textbox>
              <w10:wrap type="square"/>
            </v:shape>
          </w:pict>
        </mc:Fallback>
      </mc:AlternateContent>
    </w:r>
    <w:r>
      <w:rPr>
        <w:noProof/>
        <w:lang w:val="en-AU" w:eastAsia="en-AU"/>
      </w:rPr>
      <w:drawing>
        <wp:anchor distT="0" distB="0" distL="114300" distR="114300" simplePos="0" relativeHeight="251656704" behindDoc="1" locked="0" layoutInCell="1" allowOverlap="1" wp14:anchorId="6BB7B5ED" wp14:editId="1C3F2107">
          <wp:simplePos x="0" y="0"/>
          <wp:positionH relativeFrom="page">
            <wp:align>left</wp:align>
          </wp:positionH>
          <wp:positionV relativeFrom="page">
            <wp:align>top</wp:align>
          </wp:positionV>
          <wp:extent cx="7560000" cy="10692000"/>
          <wp:effectExtent l="0" t="0" r="3175" b="0"/>
          <wp:wrapNone/>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tsheet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552" w:rsidRDefault="005D1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632D6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E6ECD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23C92C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91E90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B0630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5026C4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79C2D8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388EB7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09C95F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1E2035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CB8306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9C776C"/>
    <w:multiLevelType w:val="hybridMultilevel"/>
    <w:tmpl w:val="341EED3C"/>
    <w:lvl w:ilvl="0" w:tplc="D22A2FB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D10279"/>
    <w:multiLevelType w:val="hybridMultilevel"/>
    <w:tmpl w:val="0C42A9E2"/>
    <w:lvl w:ilvl="0" w:tplc="EFE0E6AC">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C935E3E"/>
    <w:multiLevelType w:val="hybridMultilevel"/>
    <w:tmpl w:val="7F346F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674E08"/>
    <w:multiLevelType w:val="hybridMultilevel"/>
    <w:tmpl w:val="345296A6"/>
    <w:lvl w:ilvl="0" w:tplc="EC56540C">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5" w15:restartNumberingAfterBreak="0">
    <w:nsid w:val="20D953B2"/>
    <w:multiLevelType w:val="hybridMultilevel"/>
    <w:tmpl w:val="62DA9E9A"/>
    <w:lvl w:ilvl="0" w:tplc="104E06F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23879CF"/>
    <w:multiLevelType w:val="hybridMultilevel"/>
    <w:tmpl w:val="77A8D3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88177C"/>
    <w:multiLevelType w:val="hybridMultilevel"/>
    <w:tmpl w:val="27124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516018"/>
    <w:multiLevelType w:val="hybridMultilevel"/>
    <w:tmpl w:val="CC9C1B10"/>
    <w:lvl w:ilvl="0" w:tplc="A5C8612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9E3F49"/>
    <w:multiLevelType w:val="hybridMultilevel"/>
    <w:tmpl w:val="86F87860"/>
    <w:lvl w:ilvl="0" w:tplc="65BA20B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8772107"/>
    <w:multiLevelType w:val="hybridMultilevel"/>
    <w:tmpl w:val="7056EBB8"/>
    <w:lvl w:ilvl="0" w:tplc="4CC6D9FE">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1" w15:restartNumberingAfterBreak="0">
    <w:nsid w:val="5CB14B3C"/>
    <w:multiLevelType w:val="hybridMultilevel"/>
    <w:tmpl w:val="CDAA704C"/>
    <w:lvl w:ilvl="0" w:tplc="0C090001">
      <w:start w:val="1"/>
      <w:numFmt w:val="bullet"/>
      <w:pStyle w:val="ListNumber"/>
      <w:lvlText w:val=""/>
      <w:lvlJc w:val="left"/>
      <w:pPr>
        <w:tabs>
          <w:tab w:val="num" w:pos="720"/>
        </w:tabs>
        <w:ind w:left="720" w:hanging="360"/>
      </w:pPr>
      <w:rPr>
        <w:rFonts w:ascii="Symbol" w:hAnsi="Symbol" w:hint="default"/>
        <w:b w:val="0"/>
        <w:sz w:val="24"/>
        <w:szCs w:val="24"/>
      </w:rPr>
    </w:lvl>
    <w:lvl w:ilvl="1" w:tplc="0C090001">
      <w:start w:val="1"/>
      <w:numFmt w:val="bullet"/>
      <w:lvlText w:val=""/>
      <w:lvlJc w:val="left"/>
      <w:pPr>
        <w:tabs>
          <w:tab w:val="num" w:pos="1495"/>
        </w:tabs>
        <w:ind w:left="1495" w:hanging="360"/>
      </w:pPr>
      <w:rPr>
        <w:rFonts w:ascii="Symbol" w:hAnsi="Symbol"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2" w15:restartNumberingAfterBreak="0">
    <w:nsid w:val="5D4F76F8"/>
    <w:multiLevelType w:val="hybridMultilevel"/>
    <w:tmpl w:val="BBB4A290"/>
    <w:lvl w:ilvl="0" w:tplc="1596940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38C4562"/>
    <w:multiLevelType w:val="hybridMultilevel"/>
    <w:tmpl w:val="34DEAC6E"/>
    <w:lvl w:ilvl="0" w:tplc="761C70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FF300B"/>
    <w:multiLevelType w:val="hybridMultilevel"/>
    <w:tmpl w:val="1912298C"/>
    <w:lvl w:ilvl="0" w:tplc="56B038C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67F6F6B"/>
    <w:multiLevelType w:val="hybridMultilevel"/>
    <w:tmpl w:val="FA4275F8"/>
    <w:lvl w:ilvl="0" w:tplc="1062F7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21"/>
  </w:num>
  <w:num w:numId="14">
    <w:abstractNumId w:val="19"/>
  </w:num>
  <w:num w:numId="15">
    <w:abstractNumId w:val="18"/>
  </w:num>
  <w:num w:numId="16">
    <w:abstractNumId w:val="25"/>
  </w:num>
  <w:num w:numId="17">
    <w:abstractNumId w:val="25"/>
  </w:num>
  <w:num w:numId="18">
    <w:abstractNumId w:val="25"/>
  </w:num>
  <w:num w:numId="19">
    <w:abstractNumId w:val="17"/>
  </w:num>
  <w:num w:numId="20">
    <w:abstractNumId w:val="23"/>
  </w:num>
  <w:num w:numId="21">
    <w:abstractNumId w:val="25"/>
  </w:num>
  <w:num w:numId="22">
    <w:abstractNumId w:val="25"/>
  </w:num>
  <w:num w:numId="23">
    <w:abstractNumId w:val="25"/>
  </w:num>
  <w:num w:numId="24">
    <w:abstractNumId w:val="25"/>
  </w:num>
  <w:num w:numId="25">
    <w:abstractNumId w:val="25"/>
  </w:num>
  <w:num w:numId="26">
    <w:abstractNumId w:val="25"/>
  </w:num>
  <w:num w:numId="27">
    <w:abstractNumId w:val="25"/>
  </w:num>
  <w:num w:numId="28">
    <w:abstractNumId w:val="16"/>
  </w:num>
  <w:num w:numId="29">
    <w:abstractNumId w:val="25"/>
  </w:num>
  <w:num w:numId="30">
    <w:abstractNumId w:val="24"/>
  </w:num>
  <w:num w:numId="31">
    <w:abstractNumId w:val="15"/>
  </w:num>
  <w:num w:numId="32">
    <w:abstractNumId w:val="14"/>
  </w:num>
  <w:num w:numId="33">
    <w:abstractNumId w:val="20"/>
  </w:num>
  <w:num w:numId="34">
    <w:abstractNumId w:val="14"/>
  </w:num>
  <w:num w:numId="35">
    <w:abstractNumId w:val="13"/>
  </w:num>
  <w:num w:numId="36">
    <w:abstractNumId w:val="22"/>
  </w:num>
  <w:num w:numId="37">
    <w:abstractNumId w:val="2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2751"/>
    <w:rsid w:val="000047D8"/>
    <w:rsid w:val="00004886"/>
    <w:rsid w:val="000077E7"/>
    <w:rsid w:val="00015592"/>
    <w:rsid w:val="0001779A"/>
    <w:rsid w:val="00017ED0"/>
    <w:rsid w:val="00024B39"/>
    <w:rsid w:val="00031B80"/>
    <w:rsid w:val="00037C5E"/>
    <w:rsid w:val="0004089F"/>
    <w:rsid w:val="00040CA5"/>
    <w:rsid w:val="000450B6"/>
    <w:rsid w:val="00046C5E"/>
    <w:rsid w:val="00047532"/>
    <w:rsid w:val="000529BE"/>
    <w:rsid w:val="00054F76"/>
    <w:rsid w:val="00056053"/>
    <w:rsid w:val="000568D2"/>
    <w:rsid w:val="00061064"/>
    <w:rsid w:val="000619AB"/>
    <w:rsid w:val="00062AF4"/>
    <w:rsid w:val="00062DA9"/>
    <w:rsid w:val="00065681"/>
    <w:rsid w:val="0006596C"/>
    <w:rsid w:val="00067304"/>
    <w:rsid w:val="000708FE"/>
    <w:rsid w:val="00072277"/>
    <w:rsid w:val="00072FFE"/>
    <w:rsid w:val="00073762"/>
    <w:rsid w:val="0007564B"/>
    <w:rsid w:val="00083228"/>
    <w:rsid w:val="0008453A"/>
    <w:rsid w:val="00084C97"/>
    <w:rsid w:val="00085ACF"/>
    <w:rsid w:val="00087024"/>
    <w:rsid w:val="00090A4A"/>
    <w:rsid w:val="000933B8"/>
    <w:rsid w:val="00094148"/>
    <w:rsid w:val="000965DE"/>
    <w:rsid w:val="000B0254"/>
    <w:rsid w:val="000B364A"/>
    <w:rsid w:val="000C008D"/>
    <w:rsid w:val="000C1CAD"/>
    <w:rsid w:val="000C20EA"/>
    <w:rsid w:val="000C24A2"/>
    <w:rsid w:val="000C3ACF"/>
    <w:rsid w:val="000C4641"/>
    <w:rsid w:val="000C4CE1"/>
    <w:rsid w:val="000C6041"/>
    <w:rsid w:val="000C6108"/>
    <w:rsid w:val="000D30EA"/>
    <w:rsid w:val="000D3321"/>
    <w:rsid w:val="000D4407"/>
    <w:rsid w:val="000E1743"/>
    <w:rsid w:val="000E3152"/>
    <w:rsid w:val="000E4F50"/>
    <w:rsid w:val="000E7752"/>
    <w:rsid w:val="000F36D2"/>
    <w:rsid w:val="00100F5E"/>
    <w:rsid w:val="00101C2B"/>
    <w:rsid w:val="00102897"/>
    <w:rsid w:val="0010358C"/>
    <w:rsid w:val="00106DFA"/>
    <w:rsid w:val="00111B75"/>
    <w:rsid w:val="00112988"/>
    <w:rsid w:val="00112F5E"/>
    <w:rsid w:val="001207AC"/>
    <w:rsid w:val="00127D48"/>
    <w:rsid w:val="0013028F"/>
    <w:rsid w:val="00133F4C"/>
    <w:rsid w:val="0014310A"/>
    <w:rsid w:val="001433B8"/>
    <w:rsid w:val="00146F8F"/>
    <w:rsid w:val="001509D3"/>
    <w:rsid w:val="00164C46"/>
    <w:rsid w:val="001663FF"/>
    <w:rsid w:val="00167682"/>
    <w:rsid w:val="00171BCB"/>
    <w:rsid w:val="001724FF"/>
    <w:rsid w:val="001726E8"/>
    <w:rsid w:val="0017700E"/>
    <w:rsid w:val="0018037C"/>
    <w:rsid w:val="00180EDB"/>
    <w:rsid w:val="001824CB"/>
    <w:rsid w:val="00182626"/>
    <w:rsid w:val="00182671"/>
    <w:rsid w:val="00183040"/>
    <w:rsid w:val="001903CC"/>
    <w:rsid w:val="0019094E"/>
    <w:rsid w:val="00197AAE"/>
    <w:rsid w:val="001A7338"/>
    <w:rsid w:val="001A7AEF"/>
    <w:rsid w:val="001B326E"/>
    <w:rsid w:val="001B515A"/>
    <w:rsid w:val="001B7908"/>
    <w:rsid w:val="001C0D23"/>
    <w:rsid w:val="001D4E0B"/>
    <w:rsid w:val="001E1DCF"/>
    <w:rsid w:val="001E39C1"/>
    <w:rsid w:val="001F0C63"/>
    <w:rsid w:val="00201652"/>
    <w:rsid w:val="00201955"/>
    <w:rsid w:val="002021C2"/>
    <w:rsid w:val="00202A29"/>
    <w:rsid w:val="0020343F"/>
    <w:rsid w:val="002079EF"/>
    <w:rsid w:val="0021039A"/>
    <w:rsid w:val="00211DAA"/>
    <w:rsid w:val="002149D5"/>
    <w:rsid w:val="00214A37"/>
    <w:rsid w:val="002155BD"/>
    <w:rsid w:val="0021775A"/>
    <w:rsid w:val="00220ADE"/>
    <w:rsid w:val="00221FF9"/>
    <w:rsid w:val="00225F45"/>
    <w:rsid w:val="00230E53"/>
    <w:rsid w:val="00234A82"/>
    <w:rsid w:val="002364F9"/>
    <w:rsid w:val="00242A01"/>
    <w:rsid w:val="00245B46"/>
    <w:rsid w:val="00245F50"/>
    <w:rsid w:val="00247FA3"/>
    <w:rsid w:val="00250891"/>
    <w:rsid w:val="00256B79"/>
    <w:rsid w:val="00267747"/>
    <w:rsid w:val="00270D4D"/>
    <w:rsid w:val="00280C0E"/>
    <w:rsid w:val="00282536"/>
    <w:rsid w:val="00283D10"/>
    <w:rsid w:val="002840C6"/>
    <w:rsid w:val="00284E66"/>
    <w:rsid w:val="0028502D"/>
    <w:rsid w:val="00285262"/>
    <w:rsid w:val="00290C0C"/>
    <w:rsid w:val="00290FCC"/>
    <w:rsid w:val="002A0051"/>
    <w:rsid w:val="002A3B4E"/>
    <w:rsid w:val="002B236A"/>
    <w:rsid w:val="002B3872"/>
    <w:rsid w:val="002C3E8A"/>
    <w:rsid w:val="002C40E9"/>
    <w:rsid w:val="002C7C8B"/>
    <w:rsid w:val="002E359C"/>
    <w:rsid w:val="002E7F02"/>
    <w:rsid w:val="002F1468"/>
    <w:rsid w:val="002F2E65"/>
    <w:rsid w:val="002F3323"/>
    <w:rsid w:val="002F334C"/>
    <w:rsid w:val="002F5863"/>
    <w:rsid w:val="002F6B25"/>
    <w:rsid w:val="002F6B38"/>
    <w:rsid w:val="002F796D"/>
    <w:rsid w:val="00300925"/>
    <w:rsid w:val="00301B5B"/>
    <w:rsid w:val="00307F47"/>
    <w:rsid w:val="00317620"/>
    <w:rsid w:val="00320841"/>
    <w:rsid w:val="0032339B"/>
    <w:rsid w:val="00326F48"/>
    <w:rsid w:val="00334642"/>
    <w:rsid w:val="00335162"/>
    <w:rsid w:val="0033697E"/>
    <w:rsid w:val="00340180"/>
    <w:rsid w:val="00341ED4"/>
    <w:rsid w:val="00343113"/>
    <w:rsid w:val="00343CCA"/>
    <w:rsid w:val="00350D11"/>
    <w:rsid w:val="00351147"/>
    <w:rsid w:val="00353C0D"/>
    <w:rsid w:val="00361684"/>
    <w:rsid w:val="00364186"/>
    <w:rsid w:val="0037421B"/>
    <w:rsid w:val="00375E79"/>
    <w:rsid w:val="00380A30"/>
    <w:rsid w:val="00381497"/>
    <w:rsid w:val="003821E1"/>
    <w:rsid w:val="00382234"/>
    <w:rsid w:val="0038357D"/>
    <w:rsid w:val="00384EED"/>
    <w:rsid w:val="00385860"/>
    <w:rsid w:val="003858BE"/>
    <w:rsid w:val="00385BD4"/>
    <w:rsid w:val="00392B7B"/>
    <w:rsid w:val="00396023"/>
    <w:rsid w:val="0039651B"/>
    <w:rsid w:val="003A02EF"/>
    <w:rsid w:val="003A1889"/>
    <w:rsid w:val="003A3B80"/>
    <w:rsid w:val="003A538B"/>
    <w:rsid w:val="003A5D3F"/>
    <w:rsid w:val="003A70B7"/>
    <w:rsid w:val="003B01B0"/>
    <w:rsid w:val="003B1542"/>
    <w:rsid w:val="003B66A5"/>
    <w:rsid w:val="003C110C"/>
    <w:rsid w:val="003C467C"/>
    <w:rsid w:val="003C530C"/>
    <w:rsid w:val="003D0A48"/>
    <w:rsid w:val="003E29B5"/>
    <w:rsid w:val="003E3015"/>
    <w:rsid w:val="003E4F98"/>
    <w:rsid w:val="003E5347"/>
    <w:rsid w:val="003E5361"/>
    <w:rsid w:val="003E7B35"/>
    <w:rsid w:val="003F18AC"/>
    <w:rsid w:val="003F3F5F"/>
    <w:rsid w:val="003F593D"/>
    <w:rsid w:val="003F607E"/>
    <w:rsid w:val="003F63AA"/>
    <w:rsid w:val="004028DD"/>
    <w:rsid w:val="00402906"/>
    <w:rsid w:val="00410A6C"/>
    <w:rsid w:val="00413565"/>
    <w:rsid w:val="00414475"/>
    <w:rsid w:val="0041726C"/>
    <w:rsid w:val="00421707"/>
    <w:rsid w:val="00422435"/>
    <w:rsid w:val="00424A3A"/>
    <w:rsid w:val="00424F9D"/>
    <w:rsid w:val="00426D80"/>
    <w:rsid w:val="00431DD1"/>
    <w:rsid w:val="00433573"/>
    <w:rsid w:val="00440E87"/>
    <w:rsid w:val="004440AE"/>
    <w:rsid w:val="0044626A"/>
    <w:rsid w:val="00452E79"/>
    <w:rsid w:val="004537CE"/>
    <w:rsid w:val="00455B1E"/>
    <w:rsid w:val="004572D1"/>
    <w:rsid w:val="00460545"/>
    <w:rsid w:val="00461E0C"/>
    <w:rsid w:val="004624EB"/>
    <w:rsid w:val="00462A9C"/>
    <w:rsid w:val="00472E9F"/>
    <w:rsid w:val="00482897"/>
    <w:rsid w:val="00485601"/>
    <w:rsid w:val="00487C92"/>
    <w:rsid w:val="00494C4A"/>
    <w:rsid w:val="004A001F"/>
    <w:rsid w:val="004A06B3"/>
    <w:rsid w:val="004A1C8F"/>
    <w:rsid w:val="004A1D27"/>
    <w:rsid w:val="004A71D1"/>
    <w:rsid w:val="004B2F64"/>
    <w:rsid w:val="004C062D"/>
    <w:rsid w:val="004C29DD"/>
    <w:rsid w:val="004C3BD3"/>
    <w:rsid w:val="004C60FE"/>
    <w:rsid w:val="004D13D7"/>
    <w:rsid w:val="004D2CC7"/>
    <w:rsid w:val="004E1BAE"/>
    <w:rsid w:val="004E2B01"/>
    <w:rsid w:val="004E34AD"/>
    <w:rsid w:val="004E6B4C"/>
    <w:rsid w:val="004F2E2E"/>
    <w:rsid w:val="004F6FED"/>
    <w:rsid w:val="00507490"/>
    <w:rsid w:val="00507B22"/>
    <w:rsid w:val="00510935"/>
    <w:rsid w:val="00511666"/>
    <w:rsid w:val="00512886"/>
    <w:rsid w:val="00512922"/>
    <w:rsid w:val="00512E3A"/>
    <w:rsid w:val="00517E9F"/>
    <w:rsid w:val="00520487"/>
    <w:rsid w:val="00524525"/>
    <w:rsid w:val="00524D0C"/>
    <w:rsid w:val="00530190"/>
    <w:rsid w:val="00533FEC"/>
    <w:rsid w:val="005362D9"/>
    <w:rsid w:val="005375BF"/>
    <w:rsid w:val="00537716"/>
    <w:rsid w:val="005407BB"/>
    <w:rsid w:val="005426E5"/>
    <w:rsid w:val="005528FF"/>
    <w:rsid w:val="0055605B"/>
    <w:rsid w:val="00557268"/>
    <w:rsid w:val="0056146D"/>
    <w:rsid w:val="00566AA2"/>
    <w:rsid w:val="00566FA9"/>
    <w:rsid w:val="005678B0"/>
    <w:rsid w:val="0057209D"/>
    <w:rsid w:val="0057294C"/>
    <w:rsid w:val="005849E0"/>
    <w:rsid w:val="0058668E"/>
    <w:rsid w:val="0058738C"/>
    <w:rsid w:val="00587BA4"/>
    <w:rsid w:val="00593CC9"/>
    <w:rsid w:val="005946A1"/>
    <w:rsid w:val="00594D1A"/>
    <w:rsid w:val="00596588"/>
    <w:rsid w:val="00596923"/>
    <w:rsid w:val="005A41E9"/>
    <w:rsid w:val="005B07EC"/>
    <w:rsid w:val="005B2EB1"/>
    <w:rsid w:val="005B3C98"/>
    <w:rsid w:val="005C0AFB"/>
    <w:rsid w:val="005C5E84"/>
    <w:rsid w:val="005D1552"/>
    <w:rsid w:val="005D1F1F"/>
    <w:rsid w:val="005D52A9"/>
    <w:rsid w:val="005E1B87"/>
    <w:rsid w:val="005E6B0E"/>
    <w:rsid w:val="005F0B06"/>
    <w:rsid w:val="005F14E0"/>
    <w:rsid w:val="005F150A"/>
    <w:rsid w:val="005F159C"/>
    <w:rsid w:val="0060003F"/>
    <w:rsid w:val="00600CE3"/>
    <w:rsid w:val="00601CAF"/>
    <w:rsid w:val="00605841"/>
    <w:rsid w:val="006107E3"/>
    <w:rsid w:val="00610D9C"/>
    <w:rsid w:val="00616C5C"/>
    <w:rsid w:val="00623981"/>
    <w:rsid w:val="006255DD"/>
    <w:rsid w:val="00627EC9"/>
    <w:rsid w:val="006300B4"/>
    <w:rsid w:val="00633D21"/>
    <w:rsid w:val="00636831"/>
    <w:rsid w:val="006424AF"/>
    <w:rsid w:val="0064290D"/>
    <w:rsid w:val="0064326C"/>
    <w:rsid w:val="00643648"/>
    <w:rsid w:val="0064511F"/>
    <w:rsid w:val="006456A4"/>
    <w:rsid w:val="00657445"/>
    <w:rsid w:val="00665047"/>
    <w:rsid w:val="00667E07"/>
    <w:rsid w:val="006709B6"/>
    <w:rsid w:val="00674059"/>
    <w:rsid w:val="00675A30"/>
    <w:rsid w:val="00676EA2"/>
    <w:rsid w:val="00681A21"/>
    <w:rsid w:val="006827FA"/>
    <w:rsid w:val="00687ED7"/>
    <w:rsid w:val="006903EC"/>
    <w:rsid w:val="00691C2F"/>
    <w:rsid w:val="00692863"/>
    <w:rsid w:val="006953E8"/>
    <w:rsid w:val="00696317"/>
    <w:rsid w:val="00697DCC"/>
    <w:rsid w:val="006A11EC"/>
    <w:rsid w:val="006A1A8F"/>
    <w:rsid w:val="006A4F4D"/>
    <w:rsid w:val="006A7CEF"/>
    <w:rsid w:val="006B1252"/>
    <w:rsid w:val="006B1D93"/>
    <w:rsid w:val="006B351F"/>
    <w:rsid w:val="006B49E3"/>
    <w:rsid w:val="006B7ECC"/>
    <w:rsid w:val="006C03DA"/>
    <w:rsid w:val="006C0F25"/>
    <w:rsid w:val="006C268E"/>
    <w:rsid w:val="006C546C"/>
    <w:rsid w:val="006C5AC0"/>
    <w:rsid w:val="006D5A31"/>
    <w:rsid w:val="006E0E24"/>
    <w:rsid w:val="006E7C89"/>
    <w:rsid w:val="006F20C3"/>
    <w:rsid w:val="006F5205"/>
    <w:rsid w:val="006F5362"/>
    <w:rsid w:val="00706C0C"/>
    <w:rsid w:val="0071227F"/>
    <w:rsid w:val="007122EB"/>
    <w:rsid w:val="0071433B"/>
    <w:rsid w:val="00720C80"/>
    <w:rsid w:val="00724777"/>
    <w:rsid w:val="007300D6"/>
    <w:rsid w:val="0073655D"/>
    <w:rsid w:val="0073724D"/>
    <w:rsid w:val="00742D95"/>
    <w:rsid w:val="00744027"/>
    <w:rsid w:val="007450C9"/>
    <w:rsid w:val="007464BE"/>
    <w:rsid w:val="00750A42"/>
    <w:rsid w:val="00750F09"/>
    <w:rsid w:val="007557E2"/>
    <w:rsid w:val="00763A49"/>
    <w:rsid w:val="007642DA"/>
    <w:rsid w:val="00765EE8"/>
    <w:rsid w:val="007673F1"/>
    <w:rsid w:val="00767F37"/>
    <w:rsid w:val="00772156"/>
    <w:rsid w:val="00772CBD"/>
    <w:rsid w:val="0077457A"/>
    <w:rsid w:val="007749CC"/>
    <w:rsid w:val="00780E17"/>
    <w:rsid w:val="00781A5E"/>
    <w:rsid w:val="00783906"/>
    <w:rsid w:val="007856DB"/>
    <w:rsid w:val="007864D8"/>
    <w:rsid w:val="00790D33"/>
    <w:rsid w:val="00792041"/>
    <w:rsid w:val="007978C1"/>
    <w:rsid w:val="00797B10"/>
    <w:rsid w:val="007B27BC"/>
    <w:rsid w:val="007B35E5"/>
    <w:rsid w:val="007B4FD7"/>
    <w:rsid w:val="007B727D"/>
    <w:rsid w:val="007C620E"/>
    <w:rsid w:val="007C7C75"/>
    <w:rsid w:val="007D178D"/>
    <w:rsid w:val="007D46F5"/>
    <w:rsid w:val="007E7CEC"/>
    <w:rsid w:val="007F06C8"/>
    <w:rsid w:val="007F12FE"/>
    <w:rsid w:val="008014EB"/>
    <w:rsid w:val="00805002"/>
    <w:rsid w:val="008063E2"/>
    <w:rsid w:val="00806AC9"/>
    <w:rsid w:val="008074FE"/>
    <w:rsid w:val="0081066B"/>
    <w:rsid w:val="00814900"/>
    <w:rsid w:val="008160CC"/>
    <w:rsid w:val="008165AD"/>
    <w:rsid w:val="00816ED5"/>
    <w:rsid w:val="008240D9"/>
    <w:rsid w:val="008274E2"/>
    <w:rsid w:val="0083368E"/>
    <w:rsid w:val="00834485"/>
    <w:rsid w:val="00840BB8"/>
    <w:rsid w:val="00841065"/>
    <w:rsid w:val="00846BA9"/>
    <w:rsid w:val="00851B98"/>
    <w:rsid w:val="008565E2"/>
    <w:rsid w:val="00860993"/>
    <w:rsid w:val="00863A8B"/>
    <w:rsid w:val="0086491B"/>
    <w:rsid w:val="00865463"/>
    <w:rsid w:val="00865A11"/>
    <w:rsid w:val="00866E14"/>
    <w:rsid w:val="00872F6B"/>
    <w:rsid w:val="00874046"/>
    <w:rsid w:val="008740AD"/>
    <w:rsid w:val="008766A4"/>
    <w:rsid w:val="00880494"/>
    <w:rsid w:val="00887406"/>
    <w:rsid w:val="00891B29"/>
    <w:rsid w:val="00893F32"/>
    <w:rsid w:val="00895413"/>
    <w:rsid w:val="008955F4"/>
    <w:rsid w:val="008A0D22"/>
    <w:rsid w:val="008A45AF"/>
    <w:rsid w:val="008A5778"/>
    <w:rsid w:val="008A6CB9"/>
    <w:rsid w:val="008B3C7E"/>
    <w:rsid w:val="008B4CD0"/>
    <w:rsid w:val="008B6BEE"/>
    <w:rsid w:val="008C46E9"/>
    <w:rsid w:val="008C4FDD"/>
    <w:rsid w:val="008D4D01"/>
    <w:rsid w:val="008E20D8"/>
    <w:rsid w:val="008E6E4A"/>
    <w:rsid w:val="008E71DF"/>
    <w:rsid w:val="008F73F4"/>
    <w:rsid w:val="008F7725"/>
    <w:rsid w:val="00900B34"/>
    <w:rsid w:val="00905181"/>
    <w:rsid w:val="0090537C"/>
    <w:rsid w:val="0091570B"/>
    <w:rsid w:val="009176FE"/>
    <w:rsid w:val="0091796B"/>
    <w:rsid w:val="009264A9"/>
    <w:rsid w:val="0093259E"/>
    <w:rsid w:val="009335C2"/>
    <w:rsid w:val="009415BA"/>
    <w:rsid w:val="00941AA2"/>
    <w:rsid w:val="009535EC"/>
    <w:rsid w:val="00960C0D"/>
    <w:rsid w:val="0096131E"/>
    <w:rsid w:val="0096792E"/>
    <w:rsid w:val="00972498"/>
    <w:rsid w:val="00980015"/>
    <w:rsid w:val="009805FF"/>
    <w:rsid w:val="00983CD3"/>
    <w:rsid w:val="00993747"/>
    <w:rsid w:val="00997420"/>
    <w:rsid w:val="00997AE2"/>
    <w:rsid w:val="009A4664"/>
    <w:rsid w:val="009A732B"/>
    <w:rsid w:val="009B1AC3"/>
    <w:rsid w:val="009B323A"/>
    <w:rsid w:val="009B3760"/>
    <w:rsid w:val="009B40D9"/>
    <w:rsid w:val="009B442A"/>
    <w:rsid w:val="009B5ECE"/>
    <w:rsid w:val="009B6516"/>
    <w:rsid w:val="009B7A77"/>
    <w:rsid w:val="009C1DF6"/>
    <w:rsid w:val="009C40A0"/>
    <w:rsid w:val="009C5A94"/>
    <w:rsid w:val="009C5AF7"/>
    <w:rsid w:val="009C7DDB"/>
    <w:rsid w:val="009D0975"/>
    <w:rsid w:val="009D30CE"/>
    <w:rsid w:val="009D558D"/>
    <w:rsid w:val="009D5DF7"/>
    <w:rsid w:val="009D671F"/>
    <w:rsid w:val="009E0126"/>
    <w:rsid w:val="009E0920"/>
    <w:rsid w:val="009E1EA0"/>
    <w:rsid w:val="009E6DDD"/>
    <w:rsid w:val="009F1FD7"/>
    <w:rsid w:val="009F2302"/>
    <w:rsid w:val="009F31CC"/>
    <w:rsid w:val="009F6B01"/>
    <w:rsid w:val="00A00C0E"/>
    <w:rsid w:val="00A0161A"/>
    <w:rsid w:val="00A0408F"/>
    <w:rsid w:val="00A04C3D"/>
    <w:rsid w:val="00A05AFC"/>
    <w:rsid w:val="00A07C7B"/>
    <w:rsid w:val="00A11FA0"/>
    <w:rsid w:val="00A14C2C"/>
    <w:rsid w:val="00A21C33"/>
    <w:rsid w:val="00A22046"/>
    <w:rsid w:val="00A25317"/>
    <w:rsid w:val="00A27CEF"/>
    <w:rsid w:val="00A37269"/>
    <w:rsid w:val="00A413A9"/>
    <w:rsid w:val="00A44340"/>
    <w:rsid w:val="00A46851"/>
    <w:rsid w:val="00A60C09"/>
    <w:rsid w:val="00A61042"/>
    <w:rsid w:val="00A65543"/>
    <w:rsid w:val="00A66145"/>
    <w:rsid w:val="00A709F6"/>
    <w:rsid w:val="00A70B1D"/>
    <w:rsid w:val="00A71352"/>
    <w:rsid w:val="00A7198B"/>
    <w:rsid w:val="00A81D50"/>
    <w:rsid w:val="00A900A5"/>
    <w:rsid w:val="00AA1D29"/>
    <w:rsid w:val="00AA46DE"/>
    <w:rsid w:val="00AA4FB2"/>
    <w:rsid w:val="00AA6CFA"/>
    <w:rsid w:val="00AB50D1"/>
    <w:rsid w:val="00AC1840"/>
    <w:rsid w:val="00AC26BC"/>
    <w:rsid w:val="00AD058E"/>
    <w:rsid w:val="00AD315D"/>
    <w:rsid w:val="00AD6742"/>
    <w:rsid w:val="00AE0B13"/>
    <w:rsid w:val="00AE2147"/>
    <w:rsid w:val="00AE5932"/>
    <w:rsid w:val="00AE5C26"/>
    <w:rsid w:val="00AE7992"/>
    <w:rsid w:val="00AF0125"/>
    <w:rsid w:val="00AF21D4"/>
    <w:rsid w:val="00AF28EC"/>
    <w:rsid w:val="00AF4957"/>
    <w:rsid w:val="00AF4FB0"/>
    <w:rsid w:val="00AF671E"/>
    <w:rsid w:val="00AF6EDB"/>
    <w:rsid w:val="00B00A39"/>
    <w:rsid w:val="00B00C6A"/>
    <w:rsid w:val="00B04920"/>
    <w:rsid w:val="00B20D93"/>
    <w:rsid w:val="00B26466"/>
    <w:rsid w:val="00B27D66"/>
    <w:rsid w:val="00B313C6"/>
    <w:rsid w:val="00B313E8"/>
    <w:rsid w:val="00B313F1"/>
    <w:rsid w:val="00B3148D"/>
    <w:rsid w:val="00B31A38"/>
    <w:rsid w:val="00B3256F"/>
    <w:rsid w:val="00B357A8"/>
    <w:rsid w:val="00B36B8F"/>
    <w:rsid w:val="00B37A4D"/>
    <w:rsid w:val="00B37E8F"/>
    <w:rsid w:val="00B41D6D"/>
    <w:rsid w:val="00B42CB3"/>
    <w:rsid w:val="00B463A6"/>
    <w:rsid w:val="00B469C3"/>
    <w:rsid w:val="00B4790A"/>
    <w:rsid w:val="00B60218"/>
    <w:rsid w:val="00B65A24"/>
    <w:rsid w:val="00B72540"/>
    <w:rsid w:val="00B74CC7"/>
    <w:rsid w:val="00B75DA8"/>
    <w:rsid w:val="00B7655A"/>
    <w:rsid w:val="00B7726A"/>
    <w:rsid w:val="00B778FF"/>
    <w:rsid w:val="00B86814"/>
    <w:rsid w:val="00B87E1D"/>
    <w:rsid w:val="00B930A8"/>
    <w:rsid w:val="00BA6E0B"/>
    <w:rsid w:val="00BB2315"/>
    <w:rsid w:val="00BB3FD7"/>
    <w:rsid w:val="00BB49E7"/>
    <w:rsid w:val="00BC1167"/>
    <w:rsid w:val="00BC1DC3"/>
    <w:rsid w:val="00BC2390"/>
    <w:rsid w:val="00BC4D0E"/>
    <w:rsid w:val="00BC7296"/>
    <w:rsid w:val="00BD1DF4"/>
    <w:rsid w:val="00BD1EC1"/>
    <w:rsid w:val="00BD219F"/>
    <w:rsid w:val="00BD355C"/>
    <w:rsid w:val="00BD3762"/>
    <w:rsid w:val="00BE2401"/>
    <w:rsid w:val="00BE493B"/>
    <w:rsid w:val="00BE5EAC"/>
    <w:rsid w:val="00BE7C73"/>
    <w:rsid w:val="00BF1374"/>
    <w:rsid w:val="00BF17CC"/>
    <w:rsid w:val="00BF1B29"/>
    <w:rsid w:val="00BF20DF"/>
    <w:rsid w:val="00BF33B0"/>
    <w:rsid w:val="00BF6AD8"/>
    <w:rsid w:val="00C000C5"/>
    <w:rsid w:val="00C028E6"/>
    <w:rsid w:val="00C03086"/>
    <w:rsid w:val="00C0313A"/>
    <w:rsid w:val="00C0363F"/>
    <w:rsid w:val="00C06348"/>
    <w:rsid w:val="00C10031"/>
    <w:rsid w:val="00C10192"/>
    <w:rsid w:val="00C12663"/>
    <w:rsid w:val="00C14CF5"/>
    <w:rsid w:val="00C17403"/>
    <w:rsid w:val="00C174CB"/>
    <w:rsid w:val="00C206D8"/>
    <w:rsid w:val="00C20B89"/>
    <w:rsid w:val="00C3161C"/>
    <w:rsid w:val="00C31DDF"/>
    <w:rsid w:val="00C32BA1"/>
    <w:rsid w:val="00C33631"/>
    <w:rsid w:val="00C35E9F"/>
    <w:rsid w:val="00C3691D"/>
    <w:rsid w:val="00C440CB"/>
    <w:rsid w:val="00C45F42"/>
    <w:rsid w:val="00C466FC"/>
    <w:rsid w:val="00C566AB"/>
    <w:rsid w:val="00C6063B"/>
    <w:rsid w:val="00C64D33"/>
    <w:rsid w:val="00C66E20"/>
    <w:rsid w:val="00C72D9A"/>
    <w:rsid w:val="00C76244"/>
    <w:rsid w:val="00C82EE1"/>
    <w:rsid w:val="00C84239"/>
    <w:rsid w:val="00C86485"/>
    <w:rsid w:val="00C86AA3"/>
    <w:rsid w:val="00C877AE"/>
    <w:rsid w:val="00C905EA"/>
    <w:rsid w:val="00C91903"/>
    <w:rsid w:val="00C94144"/>
    <w:rsid w:val="00C96C6D"/>
    <w:rsid w:val="00C96F9E"/>
    <w:rsid w:val="00CA34E8"/>
    <w:rsid w:val="00CA6581"/>
    <w:rsid w:val="00CB60C7"/>
    <w:rsid w:val="00CB76FA"/>
    <w:rsid w:val="00CC04B1"/>
    <w:rsid w:val="00CC1D6E"/>
    <w:rsid w:val="00CC78C6"/>
    <w:rsid w:val="00CD1500"/>
    <w:rsid w:val="00CD2FB9"/>
    <w:rsid w:val="00CD3509"/>
    <w:rsid w:val="00CD68C2"/>
    <w:rsid w:val="00CD76E9"/>
    <w:rsid w:val="00CE688D"/>
    <w:rsid w:val="00CE77A8"/>
    <w:rsid w:val="00CF09C8"/>
    <w:rsid w:val="00CF706C"/>
    <w:rsid w:val="00CF7E71"/>
    <w:rsid w:val="00D027E9"/>
    <w:rsid w:val="00D070D7"/>
    <w:rsid w:val="00D11044"/>
    <w:rsid w:val="00D11EBF"/>
    <w:rsid w:val="00D16544"/>
    <w:rsid w:val="00D1699E"/>
    <w:rsid w:val="00D17D78"/>
    <w:rsid w:val="00D20050"/>
    <w:rsid w:val="00D31299"/>
    <w:rsid w:val="00D36E05"/>
    <w:rsid w:val="00D373BF"/>
    <w:rsid w:val="00D40B55"/>
    <w:rsid w:val="00D43AF7"/>
    <w:rsid w:val="00D51E49"/>
    <w:rsid w:val="00D521C7"/>
    <w:rsid w:val="00D52FDB"/>
    <w:rsid w:val="00D53218"/>
    <w:rsid w:val="00D53E79"/>
    <w:rsid w:val="00D54090"/>
    <w:rsid w:val="00D551DB"/>
    <w:rsid w:val="00D570E8"/>
    <w:rsid w:val="00D6480B"/>
    <w:rsid w:val="00D66EEB"/>
    <w:rsid w:val="00D8063E"/>
    <w:rsid w:val="00D82E6B"/>
    <w:rsid w:val="00D85A0C"/>
    <w:rsid w:val="00D900E2"/>
    <w:rsid w:val="00DA3637"/>
    <w:rsid w:val="00DA5477"/>
    <w:rsid w:val="00DB5268"/>
    <w:rsid w:val="00DB6CEC"/>
    <w:rsid w:val="00DC0AF4"/>
    <w:rsid w:val="00DC1A35"/>
    <w:rsid w:val="00DC1CEB"/>
    <w:rsid w:val="00DC3CCC"/>
    <w:rsid w:val="00DD0BA6"/>
    <w:rsid w:val="00DD544F"/>
    <w:rsid w:val="00DD7A54"/>
    <w:rsid w:val="00DE17C3"/>
    <w:rsid w:val="00DE27BA"/>
    <w:rsid w:val="00DE530F"/>
    <w:rsid w:val="00E039E3"/>
    <w:rsid w:val="00E040F2"/>
    <w:rsid w:val="00E04B06"/>
    <w:rsid w:val="00E04E4F"/>
    <w:rsid w:val="00E052F5"/>
    <w:rsid w:val="00E05D3E"/>
    <w:rsid w:val="00E10D56"/>
    <w:rsid w:val="00E11026"/>
    <w:rsid w:val="00E23B58"/>
    <w:rsid w:val="00E30298"/>
    <w:rsid w:val="00E32BEC"/>
    <w:rsid w:val="00E33029"/>
    <w:rsid w:val="00E423C3"/>
    <w:rsid w:val="00E432CB"/>
    <w:rsid w:val="00E43A23"/>
    <w:rsid w:val="00E45B83"/>
    <w:rsid w:val="00E509BB"/>
    <w:rsid w:val="00E5136A"/>
    <w:rsid w:val="00E52323"/>
    <w:rsid w:val="00E52B81"/>
    <w:rsid w:val="00E55E38"/>
    <w:rsid w:val="00E562CB"/>
    <w:rsid w:val="00E56DE0"/>
    <w:rsid w:val="00E602E2"/>
    <w:rsid w:val="00E6723B"/>
    <w:rsid w:val="00E677C9"/>
    <w:rsid w:val="00E719EA"/>
    <w:rsid w:val="00E72216"/>
    <w:rsid w:val="00E73388"/>
    <w:rsid w:val="00E821E2"/>
    <w:rsid w:val="00E84BCF"/>
    <w:rsid w:val="00E86183"/>
    <w:rsid w:val="00E9085F"/>
    <w:rsid w:val="00E93186"/>
    <w:rsid w:val="00E9558C"/>
    <w:rsid w:val="00E96341"/>
    <w:rsid w:val="00EA61DF"/>
    <w:rsid w:val="00EA648A"/>
    <w:rsid w:val="00EA728F"/>
    <w:rsid w:val="00EB64E8"/>
    <w:rsid w:val="00EB6C8C"/>
    <w:rsid w:val="00EB6DF1"/>
    <w:rsid w:val="00EC4546"/>
    <w:rsid w:val="00EC56A6"/>
    <w:rsid w:val="00EC6828"/>
    <w:rsid w:val="00EC7837"/>
    <w:rsid w:val="00ED0B79"/>
    <w:rsid w:val="00ED17CE"/>
    <w:rsid w:val="00ED323F"/>
    <w:rsid w:val="00EE3EC4"/>
    <w:rsid w:val="00EE41DA"/>
    <w:rsid w:val="00EE585B"/>
    <w:rsid w:val="00EE707D"/>
    <w:rsid w:val="00EE753B"/>
    <w:rsid w:val="00EE75B9"/>
    <w:rsid w:val="00EF5474"/>
    <w:rsid w:val="00EF669F"/>
    <w:rsid w:val="00EF6EB9"/>
    <w:rsid w:val="00F0127E"/>
    <w:rsid w:val="00F01A9D"/>
    <w:rsid w:val="00F02FE3"/>
    <w:rsid w:val="00F040D0"/>
    <w:rsid w:val="00F05941"/>
    <w:rsid w:val="00F06340"/>
    <w:rsid w:val="00F07491"/>
    <w:rsid w:val="00F079A9"/>
    <w:rsid w:val="00F07F41"/>
    <w:rsid w:val="00F31181"/>
    <w:rsid w:val="00F313F5"/>
    <w:rsid w:val="00F33E51"/>
    <w:rsid w:val="00F34B96"/>
    <w:rsid w:val="00F35012"/>
    <w:rsid w:val="00F37D33"/>
    <w:rsid w:val="00F5105E"/>
    <w:rsid w:val="00F54177"/>
    <w:rsid w:val="00F56E6B"/>
    <w:rsid w:val="00F57ADB"/>
    <w:rsid w:val="00F6128A"/>
    <w:rsid w:val="00F619F8"/>
    <w:rsid w:val="00F62C3D"/>
    <w:rsid w:val="00F63352"/>
    <w:rsid w:val="00F63F47"/>
    <w:rsid w:val="00F674AB"/>
    <w:rsid w:val="00F67AA6"/>
    <w:rsid w:val="00F719BF"/>
    <w:rsid w:val="00F8137B"/>
    <w:rsid w:val="00F85A94"/>
    <w:rsid w:val="00F86C02"/>
    <w:rsid w:val="00F93138"/>
    <w:rsid w:val="00F93BE9"/>
    <w:rsid w:val="00F941B1"/>
    <w:rsid w:val="00F942D7"/>
    <w:rsid w:val="00F94346"/>
    <w:rsid w:val="00FB0032"/>
    <w:rsid w:val="00FB0572"/>
    <w:rsid w:val="00FB4976"/>
    <w:rsid w:val="00FB62E2"/>
    <w:rsid w:val="00FC5EF4"/>
    <w:rsid w:val="00FD20D8"/>
    <w:rsid w:val="00FD22A1"/>
    <w:rsid w:val="00FD24F5"/>
    <w:rsid w:val="00FD4EAE"/>
    <w:rsid w:val="00FD51EC"/>
    <w:rsid w:val="00FD6E86"/>
    <w:rsid w:val="00FE129E"/>
    <w:rsid w:val="00FE3C4F"/>
    <w:rsid w:val="00FE54EC"/>
    <w:rsid w:val="00FF3520"/>
    <w:rsid w:val="00FF4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C969A5B8-8548-413D-9B51-DED13823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5E1B87"/>
    <w:pPr>
      <w:keepNext/>
      <w:keepLines/>
      <w:spacing w:after="40"/>
      <w:outlineLvl w:val="0"/>
    </w:pPr>
    <w:rPr>
      <w:rFonts w:eastAsiaTheme="majorEastAsia" w:cstheme="majorBidi"/>
      <w:b/>
      <w:bCs/>
      <w:caps/>
      <w:color w:val="AF272F" w:themeColor="accent1"/>
      <w:sz w:val="20"/>
      <w:szCs w:val="20"/>
    </w:rPr>
  </w:style>
  <w:style w:type="paragraph" w:styleId="Heading2">
    <w:name w:val="heading 2"/>
    <w:basedOn w:val="Heading1"/>
    <w:next w:val="Normal"/>
    <w:link w:val="Heading2Char"/>
    <w:uiPriority w:val="9"/>
    <w:unhideWhenUsed/>
    <w:qFormat/>
    <w:rsid w:val="00B41D6D"/>
    <w:pPr>
      <w:pBdr>
        <w:top w:val="single" w:sz="8" w:space="3" w:color="000000" w:themeColor="text1"/>
      </w:pBdr>
      <w:spacing w:before="200"/>
      <w:outlineLvl w:val="1"/>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EB6C8C"/>
    <w:pPr>
      <w:numPr>
        <w:ilvl w:val="1"/>
      </w:numPr>
      <w:spacing w:after="48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EB6C8C"/>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326F48"/>
    <w:rPr>
      <w:b/>
      <w:bCs/>
      <w:i/>
      <w:iCs/>
      <w:color w:val="AF272F" w:themeColor="accent1"/>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5E1B87"/>
    <w:rPr>
      <w:rFonts w:ascii="Arial" w:eastAsiaTheme="majorEastAsia" w:hAnsi="Arial" w:cstheme="majorBidi"/>
      <w:b/>
      <w:bCs/>
      <w:caps/>
      <w:color w:val="AF272F" w:themeColor="accent1"/>
      <w:sz w:val="20"/>
      <w:szCs w:val="20"/>
    </w:rPr>
  </w:style>
  <w:style w:type="paragraph" w:styleId="Title">
    <w:name w:val="Title"/>
    <w:next w:val="Subtitle"/>
    <w:link w:val="TitleChar"/>
    <w:uiPriority w:val="10"/>
    <w:qFormat/>
    <w:rsid w:val="005E1B87"/>
    <w:pPr>
      <w:spacing w:after="120" w:line="340" w:lineRule="atLeast"/>
      <w:outlineLvl w:val="0"/>
    </w:pPr>
    <w:rPr>
      <w:rFonts w:ascii="Arial" w:eastAsiaTheme="majorEastAsia" w:hAnsi="Arial" w:cstheme="majorBidi"/>
      <w:b/>
      <w:color w:val="AF272F" w:themeColor="accent1"/>
      <w:spacing w:val="5"/>
      <w:kern w:val="28"/>
      <w:sz w:val="44"/>
      <w:szCs w:val="52"/>
    </w:rPr>
  </w:style>
  <w:style w:type="character" w:customStyle="1" w:styleId="TitleChar">
    <w:name w:val="Title Char"/>
    <w:basedOn w:val="DefaultParagraphFont"/>
    <w:link w:val="Title"/>
    <w:uiPriority w:val="10"/>
    <w:rsid w:val="005E1B87"/>
    <w:rPr>
      <w:rFonts w:ascii="Arial" w:eastAsiaTheme="majorEastAsia" w:hAnsi="Arial" w:cstheme="majorBidi"/>
      <w:b/>
      <w:color w:val="AF272F" w:themeColor="accent1"/>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B41D6D"/>
    <w:rPr>
      <w:rFonts w:ascii="Arial" w:eastAsiaTheme="majorEastAsia" w:hAnsi="Arial" w:cstheme="majorBidi"/>
      <w:b/>
      <w:caps/>
      <w:color w:val="000000" w:themeColor="text1"/>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941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5BA"/>
    <w:rPr>
      <w:rFonts w:ascii="Arial" w:hAnsi="Arial" w:cs="Arial"/>
      <w:sz w:val="18"/>
      <w:szCs w:val="18"/>
    </w:rPr>
  </w:style>
  <w:style w:type="paragraph" w:styleId="FootnoteText">
    <w:name w:val="footnote text"/>
    <w:basedOn w:val="Normal"/>
    <w:link w:val="FootnoteTextChar"/>
    <w:uiPriority w:val="99"/>
    <w:semiHidden/>
    <w:unhideWhenUsed/>
    <w:rsid w:val="00E330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3029"/>
    <w:rPr>
      <w:rFonts w:ascii="Arial" w:hAnsi="Arial" w:cs="Arial"/>
      <w:sz w:val="20"/>
      <w:szCs w:val="20"/>
    </w:rPr>
  </w:style>
  <w:style w:type="character" w:styleId="FootnoteReference">
    <w:name w:val="footnote reference"/>
    <w:basedOn w:val="DefaultParagraphFont"/>
    <w:uiPriority w:val="99"/>
    <w:semiHidden/>
    <w:unhideWhenUsed/>
    <w:rsid w:val="00E33029"/>
    <w:rPr>
      <w:vertAlign w:val="superscript"/>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basedOn w:val="Normal"/>
    <w:link w:val="ListParagraphChar"/>
    <w:autoRedefine/>
    <w:uiPriority w:val="34"/>
    <w:qFormat/>
    <w:rsid w:val="00C20B89"/>
    <w:pPr>
      <w:numPr>
        <w:numId w:val="38"/>
      </w:numPr>
      <w:spacing w:before="120"/>
    </w:p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link w:val="ListParagraph"/>
    <w:uiPriority w:val="34"/>
    <w:rsid w:val="00C20B89"/>
    <w:rPr>
      <w:rFonts w:ascii="Arial" w:hAnsi="Arial" w:cs="Arial"/>
      <w:sz w:val="18"/>
      <w:szCs w:val="18"/>
    </w:rPr>
  </w:style>
  <w:style w:type="paragraph" w:styleId="BodyText">
    <w:name w:val="Body Text"/>
    <w:basedOn w:val="ListNumber"/>
    <w:link w:val="BodyTextChar"/>
    <w:rsid w:val="004028DD"/>
    <w:pPr>
      <w:numPr>
        <w:numId w:val="0"/>
      </w:numPr>
      <w:spacing w:after="120"/>
      <w:ind w:left="1760" w:hanging="680"/>
      <w:contextualSpacing w:val="0"/>
    </w:pPr>
    <w:rPr>
      <w:rFonts w:ascii="Arial" w:hAnsi="Arial"/>
      <w:lang w:eastAsia="en-US"/>
    </w:rPr>
  </w:style>
  <w:style w:type="character" w:customStyle="1" w:styleId="BodyTextChar">
    <w:name w:val="Body Text Char"/>
    <w:basedOn w:val="DefaultParagraphFont"/>
    <w:link w:val="BodyText"/>
    <w:rsid w:val="004028DD"/>
    <w:rPr>
      <w:rFonts w:ascii="Arial" w:eastAsia="Times New Roman" w:hAnsi="Arial" w:cs="Arial"/>
      <w:noProof/>
      <w:lang w:val="en-AU"/>
    </w:rPr>
  </w:style>
  <w:style w:type="paragraph" w:styleId="ListNumber">
    <w:name w:val="List Number"/>
    <w:basedOn w:val="Normal"/>
    <w:uiPriority w:val="99"/>
    <w:unhideWhenUsed/>
    <w:rsid w:val="004028DD"/>
    <w:pPr>
      <w:numPr>
        <w:numId w:val="13"/>
      </w:numPr>
      <w:spacing w:after="0" w:line="240" w:lineRule="auto"/>
      <w:contextualSpacing/>
    </w:pPr>
    <w:rPr>
      <w:rFonts w:ascii="Times New Roman" w:eastAsia="Times New Roman" w:hAnsi="Times New Roman"/>
      <w:noProof/>
      <w:sz w:val="24"/>
      <w:szCs w:val="24"/>
      <w:lang w:val="en-AU" w:eastAsia="en-AU"/>
    </w:rPr>
  </w:style>
  <w:style w:type="character" w:styleId="Hyperlink">
    <w:name w:val="Hyperlink"/>
    <w:basedOn w:val="DefaultParagraphFont"/>
    <w:uiPriority w:val="99"/>
    <w:unhideWhenUsed/>
    <w:rsid w:val="003C530C"/>
    <w:rPr>
      <w:color w:val="004EA8" w:themeColor="hyperlink"/>
      <w:u w:val="single"/>
    </w:rPr>
  </w:style>
  <w:style w:type="character" w:styleId="CommentReference">
    <w:name w:val="annotation reference"/>
    <w:basedOn w:val="DefaultParagraphFont"/>
    <w:uiPriority w:val="99"/>
    <w:semiHidden/>
    <w:unhideWhenUsed/>
    <w:rsid w:val="001509D3"/>
    <w:rPr>
      <w:sz w:val="16"/>
      <w:szCs w:val="16"/>
    </w:rPr>
  </w:style>
  <w:style w:type="paragraph" w:styleId="CommentText">
    <w:name w:val="annotation text"/>
    <w:basedOn w:val="Normal"/>
    <w:link w:val="CommentTextChar"/>
    <w:uiPriority w:val="99"/>
    <w:semiHidden/>
    <w:unhideWhenUsed/>
    <w:rsid w:val="001509D3"/>
    <w:pPr>
      <w:spacing w:line="240" w:lineRule="auto"/>
    </w:pPr>
    <w:rPr>
      <w:sz w:val="20"/>
      <w:szCs w:val="20"/>
    </w:rPr>
  </w:style>
  <w:style w:type="character" w:customStyle="1" w:styleId="CommentTextChar">
    <w:name w:val="Comment Text Char"/>
    <w:basedOn w:val="DefaultParagraphFont"/>
    <w:link w:val="CommentText"/>
    <w:uiPriority w:val="99"/>
    <w:semiHidden/>
    <w:rsid w:val="001509D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509D3"/>
    <w:rPr>
      <w:b/>
      <w:bCs/>
    </w:rPr>
  </w:style>
  <w:style w:type="character" w:customStyle="1" w:styleId="CommentSubjectChar">
    <w:name w:val="Comment Subject Char"/>
    <w:basedOn w:val="CommentTextChar"/>
    <w:link w:val="CommentSubject"/>
    <w:uiPriority w:val="99"/>
    <w:semiHidden/>
    <w:rsid w:val="001509D3"/>
    <w:rPr>
      <w:rFonts w:ascii="Arial" w:hAnsi="Arial" w:cs="Arial"/>
      <w:b/>
      <w:bCs/>
      <w:sz w:val="20"/>
      <w:szCs w:val="20"/>
    </w:rPr>
  </w:style>
  <w:style w:type="character" w:customStyle="1" w:styleId="A7">
    <w:name w:val="A7"/>
    <w:uiPriority w:val="99"/>
    <w:rsid w:val="00C566AB"/>
    <w:rPr>
      <w:rFonts w:ascii="VIC Medium" w:hAnsi="VIC Medium" w:cs="VIC Medium"/>
      <w:color w:val="000000"/>
      <w:sz w:val="16"/>
      <w:szCs w:val="16"/>
      <w:u w:val="single"/>
    </w:rPr>
  </w:style>
  <w:style w:type="character" w:styleId="FollowedHyperlink">
    <w:name w:val="FollowedHyperlink"/>
    <w:basedOn w:val="DefaultParagraphFont"/>
    <w:uiPriority w:val="99"/>
    <w:semiHidden/>
    <w:unhideWhenUsed/>
    <w:rsid w:val="00A07C7B"/>
    <w:rPr>
      <w:color w:val="87189D" w:themeColor="followedHyperlink"/>
      <w:u w:val="single"/>
    </w:rPr>
  </w:style>
  <w:style w:type="paragraph" w:styleId="Revision">
    <w:name w:val="Revision"/>
    <w:hidden/>
    <w:uiPriority w:val="99"/>
    <w:semiHidden/>
    <w:rsid w:val="007C7C75"/>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476408">
      <w:bodyDiv w:val="1"/>
      <w:marLeft w:val="0"/>
      <w:marRight w:val="0"/>
      <w:marTop w:val="0"/>
      <w:marBottom w:val="0"/>
      <w:divBdr>
        <w:top w:val="none" w:sz="0" w:space="0" w:color="auto"/>
        <w:left w:val="none" w:sz="0" w:space="0" w:color="auto"/>
        <w:bottom w:val="none" w:sz="0" w:space="0" w:color="auto"/>
        <w:right w:val="none" w:sz="0" w:space="0" w:color="auto"/>
      </w:divBdr>
      <w:divsChild>
        <w:div w:id="1710837850">
          <w:marLeft w:val="0"/>
          <w:marRight w:val="0"/>
          <w:marTop w:val="0"/>
          <w:marBottom w:val="0"/>
          <w:divBdr>
            <w:top w:val="none" w:sz="0" w:space="0" w:color="auto"/>
            <w:left w:val="none" w:sz="0" w:space="0" w:color="auto"/>
            <w:bottom w:val="none" w:sz="0" w:space="0" w:color="auto"/>
            <w:right w:val="none" w:sz="0" w:space="0" w:color="auto"/>
          </w:divBdr>
          <w:divsChild>
            <w:div w:id="942109316">
              <w:marLeft w:val="0"/>
              <w:marRight w:val="0"/>
              <w:marTop w:val="0"/>
              <w:marBottom w:val="0"/>
              <w:divBdr>
                <w:top w:val="none" w:sz="0" w:space="0" w:color="auto"/>
                <w:left w:val="none" w:sz="0" w:space="0" w:color="auto"/>
                <w:bottom w:val="none" w:sz="0" w:space="0" w:color="auto"/>
                <w:right w:val="none" w:sz="0" w:space="0" w:color="auto"/>
              </w:divBdr>
              <w:divsChild>
                <w:div w:id="1151679497">
                  <w:marLeft w:val="0"/>
                  <w:marRight w:val="0"/>
                  <w:marTop w:val="0"/>
                  <w:marBottom w:val="0"/>
                  <w:divBdr>
                    <w:top w:val="none" w:sz="0" w:space="0" w:color="auto"/>
                    <w:left w:val="none" w:sz="0" w:space="0" w:color="auto"/>
                    <w:bottom w:val="none" w:sz="0" w:space="0" w:color="auto"/>
                    <w:right w:val="none" w:sz="0" w:space="0" w:color="auto"/>
                  </w:divBdr>
                  <w:divsChild>
                    <w:div w:id="2010136309">
                      <w:marLeft w:val="375"/>
                      <w:marRight w:val="375"/>
                      <w:marTop w:val="0"/>
                      <w:marBottom w:val="0"/>
                      <w:divBdr>
                        <w:top w:val="none" w:sz="0" w:space="0" w:color="auto"/>
                        <w:left w:val="none" w:sz="0" w:space="0" w:color="auto"/>
                        <w:bottom w:val="none" w:sz="0" w:space="0" w:color="auto"/>
                        <w:right w:val="none" w:sz="0" w:space="0" w:color="auto"/>
                      </w:divBdr>
                      <w:divsChild>
                        <w:div w:id="1976175166">
                          <w:marLeft w:val="120"/>
                          <w:marRight w:val="0"/>
                          <w:marTop w:val="0"/>
                          <w:marBottom w:val="0"/>
                          <w:divBdr>
                            <w:top w:val="none" w:sz="0" w:space="0" w:color="auto"/>
                            <w:left w:val="none" w:sz="0" w:space="0" w:color="auto"/>
                            <w:bottom w:val="single" w:sz="6" w:space="0" w:color="AAAAAA"/>
                            <w:right w:val="none" w:sz="0" w:space="0" w:color="auto"/>
                          </w:divBdr>
                          <w:divsChild>
                            <w:div w:id="656227382">
                              <w:marLeft w:val="0"/>
                              <w:marRight w:val="0"/>
                              <w:marTop w:val="0"/>
                              <w:marBottom w:val="0"/>
                              <w:divBdr>
                                <w:top w:val="none" w:sz="0" w:space="0" w:color="auto"/>
                                <w:left w:val="none" w:sz="0" w:space="0" w:color="auto"/>
                                <w:bottom w:val="none" w:sz="0" w:space="0" w:color="auto"/>
                                <w:right w:val="none" w:sz="0" w:space="0" w:color="auto"/>
                              </w:divBdr>
                              <w:divsChild>
                                <w:div w:id="105203781">
                                  <w:marLeft w:val="0"/>
                                  <w:marRight w:val="0"/>
                                  <w:marTop w:val="0"/>
                                  <w:marBottom w:val="0"/>
                                  <w:divBdr>
                                    <w:top w:val="none" w:sz="0" w:space="0" w:color="auto"/>
                                    <w:left w:val="none" w:sz="0" w:space="0" w:color="auto"/>
                                    <w:bottom w:val="none" w:sz="0" w:space="0" w:color="auto"/>
                                    <w:right w:val="none" w:sz="0" w:space="0" w:color="auto"/>
                                  </w:divBdr>
                                  <w:divsChild>
                                    <w:div w:id="1434283833">
                                      <w:marLeft w:val="-225"/>
                                      <w:marRight w:val="-195"/>
                                      <w:marTop w:val="0"/>
                                      <w:marBottom w:val="75"/>
                                      <w:divBdr>
                                        <w:top w:val="none" w:sz="0" w:space="0" w:color="auto"/>
                                        <w:left w:val="none" w:sz="0" w:space="0" w:color="auto"/>
                                        <w:bottom w:val="none" w:sz="0" w:space="0" w:color="auto"/>
                                        <w:right w:val="none" w:sz="0" w:space="0" w:color="auto"/>
                                      </w:divBdr>
                                      <w:divsChild>
                                        <w:div w:id="21437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643316">
      <w:bodyDiv w:val="1"/>
      <w:marLeft w:val="0"/>
      <w:marRight w:val="0"/>
      <w:marTop w:val="0"/>
      <w:marBottom w:val="0"/>
      <w:divBdr>
        <w:top w:val="none" w:sz="0" w:space="0" w:color="auto"/>
        <w:left w:val="none" w:sz="0" w:space="0" w:color="auto"/>
        <w:bottom w:val="none" w:sz="0" w:space="0" w:color="auto"/>
        <w:right w:val="none" w:sz="0" w:space="0" w:color="auto"/>
      </w:divBdr>
    </w:div>
    <w:div w:id="1073628851">
      <w:bodyDiv w:val="1"/>
      <w:marLeft w:val="0"/>
      <w:marRight w:val="0"/>
      <w:marTop w:val="0"/>
      <w:marBottom w:val="0"/>
      <w:divBdr>
        <w:top w:val="none" w:sz="0" w:space="0" w:color="auto"/>
        <w:left w:val="none" w:sz="0" w:space="0" w:color="auto"/>
        <w:bottom w:val="none" w:sz="0" w:space="0" w:color="auto"/>
        <w:right w:val="none" w:sz="0" w:space="0" w:color="auto"/>
      </w:divBdr>
    </w:div>
    <w:div w:id="1758551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vic.gov.au/school/teachers/teachingresources/practice/improve/Pages/hits.aspx" TargetMode="External"/><Relationship Id="rId18" Type="http://schemas.openxmlformats.org/officeDocument/2006/relationships/hyperlink" Target="http://www.education.vic.gov.au/school/teachers/teachingresources/discipline/english/literacy/Pages/default.aspx"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insight.vic.edu.au/" TargetMode="External"/><Relationship Id="rId7" Type="http://schemas.openxmlformats.org/officeDocument/2006/relationships/settings" Target="settings.xml"/><Relationship Id="rId12" Type="http://schemas.openxmlformats.org/officeDocument/2006/relationships/hyperlink" Target="https://www.education.vic.gov.au/school/teachers/teachingresources/practice/improve/Pages/principlesexcellence.aspx" TargetMode="External"/><Relationship Id="rId17" Type="http://schemas.openxmlformats.org/officeDocument/2006/relationships/hyperlink" Target="http://www.education.vic.gov.au/about/programs/learningdev/vicstem/Pages/numeracyportal.asp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ducation.vic.gov.au/school/teachers/teachingresources/discipline/english/Pages/literacyportal.aspx" TargetMode="External"/><Relationship Id="rId20" Type="http://schemas.openxmlformats.org/officeDocument/2006/relationships/hyperlink" Target="https://fuse.education.vic.gov.au/pages/literacy"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school/teachers/teachingresources/practice/improve/Pages/principlesexcellence.aspx" TargetMode="External"/><Relationship Id="rId24" Type="http://schemas.openxmlformats.org/officeDocument/2006/relationships/hyperlink" Target="mailto:professional.practice@edumail.vic.gov.a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astow.vic.edu.au/professional-learning/course?eventtemplate=350" TargetMode="External"/><Relationship Id="rId23" Type="http://schemas.openxmlformats.org/officeDocument/2006/relationships/hyperlink" Target="https://www.education.vic.gov.au/school/teachers/teachingresources/practice/improve/Pages/ppe-elements.aspx"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teal.global2.vic.edu.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itsl.edu.au/tools-resources/resource/formative-assessment-in-the-classroom-illustration-of-practice" TargetMode="External"/><Relationship Id="rId22" Type="http://schemas.openxmlformats.org/officeDocument/2006/relationships/hyperlink" Target="http://www.vcaa.vic.edu.au/Pages/foundation10/viccurriculum/english/readingsamples/readingsamples.aspx" TargetMode="External"/><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education.vic.gov.au/school/teachers/teachingresources/practice/improve/Pages/principlesexcellence.aspx" TargetMode="External"/><Relationship Id="rId2" Type="http://schemas.openxmlformats.org/officeDocument/2006/relationships/hyperlink" Target="https://www.education.vic.gov.au/school/teachers/teachingresources/practice/improve/Pages/hits.aspx" TargetMode="External"/><Relationship Id="rId1" Type="http://schemas.openxmlformats.org/officeDocument/2006/relationships/hyperlink" Target="https://www.teachermagazine.com.au/columnists/geoff-masters/rethinking-formative-and-summative-assessment" TargetMode="External"/><Relationship Id="rId5" Type="http://schemas.openxmlformats.org/officeDocument/2006/relationships/hyperlink" Target="http://www.education.vic.gov.au/school/teachers/teachingresources/practice/Pages/peerobservation.aspx" TargetMode="External"/><Relationship Id="rId4" Type="http://schemas.openxmlformats.org/officeDocument/2006/relationships/hyperlink" Target="http://www.education.vic.gov.au/school/teachers/classrooms/Pages/approachesdatawalls.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This Professional Practice Note provides guidance for teachers and school leaders on formative assessment: what it is and how to build it into regular classroom practice.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D9FDD-6512-4E1E-A2EB-8EC149742A63}"/>
</file>

<file path=customXml/itemProps2.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3.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4.xml><?xml version="1.0" encoding="utf-8"?>
<ds:datastoreItem xmlns:ds="http://schemas.openxmlformats.org/officeDocument/2006/customXml" ds:itemID="{4F885A0A-E476-402D-AA69-834A810FB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2194</Words>
  <Characters>12511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Professional_practice_note_6_formative_assessment_accessible</dc:title>
  <dc:subject/>
  <dc:creator>Dori Maniatakis</dc:creator>
  <cp:keywords/>
  <dc:description/>
  <cp:lastModifiedBy>Daniel, Henry R</cp:lastModifiedBy>
  <cp:revision>7</cp:revision>
  <cp:lastPrinted>2018-03-19T00:14:00Z</cp:lastPrinted>
  <dcterms:created xsi:type="dcterms:W3CDTF">2018-03-19T23:50:00Z</dcterms:created>
  <dcterms:modified xsi:type="dcterms:W3CDTF">2019-07-03T03:11:00Z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RecordPoint_ActiveItemSiteId">
    <vt:lpwstr>{03dc8113-b288-4f44-a289-6e7ea0196235}</vt:lpwstr>
  </property>
  <property fmtid="{D5CDD505-2E9C-101B-9397-08002B2CF9AE}" pid="5" name="RecordPoint_ActiveItemListId">
    <vt:lpwstr>{6ef9849d-c3c7-4026-8b61-646835e4ac4e}</vt:lpwstr>
  </property>
  <property fmtid="{D5CDD505-2E9C-101B-9397-08002B2CF9AE}" pid="6" name="RecordPoint_ActiveItemWebId">
    <vt:lpwstr>{69c6d17e-4966-4cea-b47f-eb6dea2170e9}</vt:lpwstr>
  </property>
  <property fmtid="{D5CDD505-2E9C-101B-9397-08002B2CF9AE}" pid="7" name="DET_EDRMS_RCS">
    <vt:lpwstr>20;#1.2.2 Project Documentation|a3ce4c3c-7960-4756-834e-8cbbf9028802</vt:lpwstr>
  </property>
  <property fmtid="{D5CDD505-2E9C-101B-9397-08002B2CF9AE}" pid="8" name="DET_EDRMS_BusUnit">
    <vt:lpwstr/>
  </property>
  <property fmtid="{D5CDD505-2E9C-101B-9397-08002B2CF9AE}" pid="9" name="DET_EDRMS_SecClass">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RecordPoint_ActiveItemUniqueId">
    <vt:lpwstr>{3df087d1-1848-44fd-b67d-5494067d9ed9}</vt:lpwstr>
  </property>
  <property fmtid="{D5CDD505-2E9C-101B-9397-08002B2CF9AE}" pid="14" name="RecordPoint_RecordNumberSubmitted">
    <vt:lpwstr>R2018/0156728</vt:lpwstr>
  </property>
  <property fmtid="{D5CDD505-2E9C-101B-9397-08002B2CF9AE}" pid="15" name="RecordPoint_SubmissionCompleted">
    <vt:lpwstr>2018-03-20T16:13:33.1600833+11:00</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