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74E5" w14:textId="77777777" w:rsidR="00724453" w:rsidRPr="00724453" w:rsidRDefault="00724453" w:rsidP="00BD628A">
      <w:pPr>
        <w:pStyle w:val="Heading1"/>
        <w:spacing w:before="0"/>
        <w:rPr>
          <w:rStyle w:val="TitleChar"/>
        </w:rPr>
      </w:pPr>
      <w:r w:rsidRPr="00444096">
        <w:rPr>
          <w:noProof/>
          <w:lang w:val="en-AU" w:eastAsia="en-AU"/>
        </w:rPr>
        <w:drawing>
          <wp:anchor distT="107950" distB="107950" distL="114300" distR="114300" simplePos="0" relativeHeight="251655168" behindDoc="0" locked="0" layoutInCell="1" allowOverlap="1" wp14:anchorId="5694985F" wp14:editId="2EF08AC8">
            <wp:simplePos x="0" y="0"/>
            <wp:positionH relativeFrom="column">
              <wp:posOffset>3313430</wp:posOffset>
            </wp:positionH>
            <wp:positionV relativeFrom="paragraph">
              <wp:posOffset>-5561330</wp:posOffset>
            </wp:positionV>
            <wp:extent cx="3060000" cy="2034000"/>
            <wp:effectExtent l="0" t="0" r="7620" b="4445"/>
            <wp:wrapSquare wrapText="bothSides"/>
            <wp:docPr id="6" name="Picture 6" descr="Image result for student data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udent data w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TitleChar"/>
        </w:rPr>
        <w:t xml:space="preserve">USING </w:t>
      </w:r>
      <w:r w:rsidR="007A0FA9" w:rsidRPr="00724453">
        <w:rPr>
          <w:rStyle w:val="TitleChar"/>
        </w:rPr>
        <w:t xml:space="preserve">DATA WALLS TO </w:t>
      </w:r>
      <w:r w:rsidR="00411669" w:rsidRPr="00724453">
        <w:rPr>
          <w:rStyle w:val="TitleChar"/>
        </w:rPr>
        <w:t>TURN DATA INTO INSTRUCTION</w:t>
      </w:r>
      <w:r w:rsidR="007A0FA9" w:rsidRPr="00724453">
        <w:rPr>
          <w:rStyle w:val="TitleChar"/>
        </w:rPr>
        <w:t xml:space="preserve"> </w:t>
      </w:r>
    </w:p>
    <w:p w14:paraId="579548CF" w14:textId="77777777" w:rsidR="007A7CE2" w:rsidRDefault="007A7CE2" w:rsidP="007A7CE2">
      <w:pPr>
        <w:pStyle w:val="ListParagraph"/>
        <w:spacing w:after="60"/>
        <w:ind w:left="0" w:firstLine="0"/>
        <w:jc w:val="center"/>
      </w:pPr>
      <w:r w:rsidRPr="00C54E12">
        <w:rPr>
          <w:i/>
          <w:sz w:val="20"/>
        </w:rPr>
        <w:t>“Data today is instruction tomorrow”.</w:t>
      </w:r>
      <w:r w:rsidRPr="00C54E12">
        <w:rPr>
          <w:sz w:val="20"/>
        </w:rPr>
        <w:t xml:space="preserve"> </w:t>
      </w:r>
      <w:r w:rsidRPr="00C54E12">
        <w:rPr>
          <w:sz w:val="20"/>
        </w:rPr>
        <w:br/>
      </w:r>
      <w:r w:rsidRPr="00C54E12">
        <w:rPr>
          <w:sz w:val="16"/>
          <w:szCs w:val="16"/>
        </w:rPr>
        <w:t xml:space="preserve">– </w:t>
      </w:r>
      <w:proofErr w:type="spellStart"/>
      <w:r w:rsidRPr="00C54E12">
        <w:rPr>
          <w:sz w:val="16"/>
          <w:szCs w:val="16"/>
        </w:rPr>
        <w:t>Dr</w:t>
      </w:r>
      <w:proofErr w:type="spellEnd"/>
      <w:r w:rsidRPr="00C54E12">
        <w:rPr>
          <w:sz w:val="16"/>
          <w:szCs w:val="16"/>
        </w:rPr>
        <w:t xml:space="preserve"> Lynn </w:t>
      </w:r>
      <w:proofErr w:type="spellStart"/>
      <w:r w:rsidRPr="00C54E12">
        <w:rPr>
          <w:sz w:val="16"/>
          <w:szCs w:val="16"/>
        </w:rPr>
        <w:t>Sharratt</w:t>
      </w:r>
      <w:proofErr w:type="spellEnd"/>
      <w:r>
        <w:rPr>
          <w:rStyle w:val="FootnoteReference"/>
        </w:rPr>
        <w:footnoteReference w:id="2"/>
      </w:r>
    </w:p>
    <w:p w14:paraId="23B005EE" w14:textId="77777777" w:rsidR="00BD3DDE" w:rsidRDefault="007A0FA9" w:rsidP="000013E4">
      <w:pPr>
        <w:pStyle w:val="Heading1"/>
      </w:pPr>
      <w:r>
        <w:t>Introduction to data walls</w:t>
      </w:r>
    </w:p>
    <w:p w14:paraId="32E0389B" w14:textId="77777777" w:rsidR="00BD3DDE" w:rsidRPr="00BD628A" w:rsidRDefault="007A0FA9" w:rsidP="00BD628A">
      <w:pPr>
        <w:pStyle w:val="Boldtitle"/>
      </w:pPr>
      <w:r w:rsidRPr="00BD628A">
        <w:t xml:space="preserve">What </w:t>
      </w:r>
      <w:r w:rsidR="002D3536" w:rsidRPr="00BD628A">
        <w:t>is a</w:t>
      </w:r>
      <w:r w:rsidRPr="00BD628A">
        <w:t xml:space="preserve"> data wall?</w:t>
      </w:r>
    </w:p>
    <w:p w14:paraId="5EE84E2D" w14:textId="77777777" w:rsidR="00DA103A" w:rsidRDefault="00314AED" w:rsidP="007B0311">
      <w:pPr>
        <w:spacing w:before="120"/>
      </w:pPr>
      <w:r>
        <w:t>A data wall uses simple and inexpensive materials</w:t>
      </w:r>
      <w:r w:rsidR="0007045C">
        <w:t xml:space="preserve"> like sticky notes and masking tape</w:t>
      </w:r>
      <w:r>
        <w:t xml:space="preserve"> to </w:t>
      </w:r>
      <w:proofErr w:type="spellStart"/>
      <w:r>
        <w:t>visualise</w:t>
      </w:r>
      <w:proofErr w:type="spellEnd"/>
      <w:r>
        <w:t xml:space="preserve"> </w:t>
      </w:r>
      <w:r w:rsidR="00055181">
        <w:t>individual students’</w:t>
      </w:r>
      <w:r>
        <w:t xml:space="preserve"> achievement </w:t>
      </w:r>
      <w:r w:rsidR="006E45FD">
        <w:t xml:space="preserve">over time </w:t>
      </w:r>
      <w:r>
        <w:t>on a physical</w:t>
      </w:r>
      <w:r w:rsidR="00B8525C">
        <w:t xml:space="preserve"> wall</w:t>
      </w:r>
      <w:r w:rsidR="00DA103A">
        <w:t>.</w:t>
      </w:r>
      <w:r w:rsidR="00047540">
        <w:t xml:space="preserve"> </w:t>
      </w:r>
    </w:p>
    <w:p w14:paraId="110BF336" w14:textId="38CD1EFD" w:rsidR="007A0FA9" w:rsidRPr="00BD628A" w:rsidRDefault="007A0FA9" w:rsidP="00BD628A">
      <w:pPr>
        <w:pStyle w:val="Boldtitle"/>
      </w:pPr>
      <w:r w:rsidRPr="00BD628A">
        <w:t>Why use</w:t>
      </w:r>
      <w:r w:rsidR="002D3536" w:rsidRPr="00BD628A">
        <w:t xml:space="preserve"> a</w:t>
      </w:r>
      <w:r w:rsidRPr="00BD628A">
        <w:t xml:space="preserve"> data wall?</w:t>
      </w:r>
    </w:p>
    <w:p w14:paraId="127E1073" w14:textId="77777777" w:rsidR="006043E8" w:rsidRDefault="007A323D" w:rsidP="007978C1">
      <w:pPr>
        <w:spacing w:before="120"/>
      </w:pPr>
      <w:r>
        <w:t>B</w:t>
      </w:r>
      <w:r w:rsidR="003E03CE">
        <w:t xml:space="preserve">uilding a data wall </w:t>
      </w:r>
      <w:r w:rsidR="000C316A">
        <w:t>is a practical</w:t>
      </w:r>
      <w:r w:rsidR="00E2390F">
        <w:t xml:space="preserve"> and powerful</w:t>
      </w:r>
      <w:r w:rsidR="000C316A">
        <w:t xml:space="preserve"> way to</w:t>
      </w:r>
      <w:r w:rsidR="00676CA7">
        <w:t xml:space="preserve"> focus </w:t>
      </w:r>
      <w:r w:rsidR="000C316A">
        <w:t xml:space="preserve">the work of </w:t>
      </w:r>
      <w:r w:rsidR="000C316A" w:rsidRPr="00E2390F">
        <w:rPr>
          <w:i/>
        </w:rPr>
        <w:t>every</w:t>
      </w:r>
      <w:r w:rsidR="000C316A">
        <w:t xml:space="preserve"> teacher on the growth and achievement of </w:t>
      </w:r>
      <w:r w:rsidR="000C316A" w:rsidRPr="00E2390F">
        <w:rPr>
          <w:i/>
        </w:rPr>
        <w:t>every</w:t>
      </w:r>
      <w:r w:rsidR="005B1784">
        <w:t xml:space="preserve"> student</w:t>
      </w:r>
      <w:r w:rsidR="00BC5488">
        <w:t>.</w:t>
      </w:r>
      <w:r w:rsidR="00C11C35">
        <w:t xml:space="preserve"> </w:t>
      </w:r>
    </w:p>
    <w:p w14:paraId="0949B73D" w14:textId="5413ED18" w:rsidR="00C11C35" w:rsidRDefault="00677A35" w:rsidP="00BC5488">
      <w:pPr>
        <w:spacing w:before="120"/>
      </w:pPr>
      <w:r>
        <w:t xml:space="preserve">Any grouping of students, from a single class to the whole school, can form the basis of a data wall. </w:t>
      </w:r>
      <w:r w:rsidR="005B1784">
        <w:t>The power of a data wall comes from including every student</w:t>
      </w:r>
      <w:r>
        <w:t xml:space="preserve"> in that group</w:t>
      </w:r>
      <w:r w:rsidR="004C6DB4">
        <w:t xml:space="preserve"> </w:t>
      </w:r>
      <w:r w:rsidR="004C6DB4" w:rsidRPr="00C11C35">
        <w:t>–</w:t>
      </w:r>
      <w:r w:rsidR="004C6DB4">
        <w:t xml:space="preserve"> </w:t>
      </w:r>
      <w:r w:rsidR="00C11C35">
        <w:t xml:space="preserve">not </w:t>
      </w:r>
      <w:r w:rsidR="00B679D9">
        <w:t>just</w:t>
      </w:r>
      <w:r w:rsidR="00C11C35">
        <w:t xml:space="preserve"> those struggling, flying or </w:t>
      </w:r>
      <w:r>
        <w:t xml:space="preserve">doing okay. </w:t>
      </w:r>
      <w:r w:rsidR="00C11C35">
        <w:t xml:space="preserve">This shifts the conversation from </w:t>
      </w:r>
      <w:r w:rsidR="00674256">
        <w:t>‘</w:t>
      </w:r>
      <w:r w:rsidR="00C11C35" w:rsidRPr="004C6DB4">
        <w:rPr>
          <w:i/>
        </w:rPr>
        <w:t>my</w:t>
      </w:r>
      <w:r w:rsidR="00C11C35">
        <w:t xml:space="preserve"> students in </w:t>
      </w:r>
      <w:r w:rsidR="00C11C35" w:rsidRPr="004C6DB4">
        <w:rPr>
          <w:i/>
        </w:rPr>
        <w:t>my</w:t>
      </w:r>
      <w:r w:rsidR="00C11C35">
        <w:t xml:space="preserve"> </w:t>
      </w:r>
      <w:r w:rsidR="00674256">
        <w:t>classroom’</w:t>
      </w:r>
      <w:r w:rsidR="00C11C35">
        <w:t xml:space="preserve"> to </w:t>
      </w:r>
      <w:r w:rsidR="00674256">
        <w:t>‘</w:t>
      </w:r>
      <w:r w:rsidR="00C11C35" w:rsidRPr="004C6DB4">
        <w:rPr>
          <w:i/>
        </w:rPr>
        <w:t>our</w:t>
      </w:r>
      <w:r w:rsidR="00C11C35">
        <w:t xml:space="preserve"> students in </w:t>
      </w:r>
      <w:r w:rsidR="00C11C35" w:rsidRPr="004C6DB4">
        <w:rPr>
          <w:i/>
        </w:rPr>
        <w:t>our</w:t>
      </w:r>
      <w:r w:rsidR="00C11C35">
        <w:t xml:space="preserve"> school</w:t>
      </w:r>
      <w:r w:rsidR="00674256">
        <w:t>’</w:t>
      </w:r>
      <w:r w:rsidR="00396AA0">
        <w:t>; a</w:t>
      </w:r>
      <w:r w:rsidR="00C11C35">
        <w:t xml:space="preserve">nd it shifts the motivation from </w:t>
      </w:r>
      <w:r w:rsidR="00674256">
        <w:t>‘</w:t>
      </w:r>
      <w:r w:rsidR="00C11C35">
        <w:t xml:space="preserve">improving </w:t>
      </w:r>
      <w:r w:rsidR="00C11C35" w:rsidRPr="004C6DB4">
        <w:rPr>
          <w:i/>
        </w:rPr>
        <w:t>my</w:t>
      </w:r>
      <w:r w:rsidR="00C11C35">
        <w:t xml:space="preserve"> practice</w:t>
      </w:r>
      <w:r w:rsidR="00674256">
        <w:t>’</w:t>
      </w:r>
      <w:r w:rsidR="00C11C35">
        <w:t xml:space="preserve"> to </w:t>
      </w:r>
      <w:r w:rsidR="00674256">
        <w:t>‘</w:t>
      </w:r>
      <w:r w:rsidR="00C11C35">
        <w:t xml:space="preserve">improving </w:t>
      </w:r>
      <w:r w:rsidR="00C11C35" w:rsidRPr="004C6DB4">
        <w:rPr>
          <w:i/>
        </w:rPr>
        <w:t>our</w:t>
      </w:r>
      <w:r w:rsidR="00C11C35">
        <w:t xml:space="preserve"> practice</w:t>
      </w:r>
      <w:r w:rsidR="00674256">
        <w:t>’</w:t>
      </w:r>
      <w:r w:rsidR="00C11C35">
        <w:t>.</w:t>
      </w:r>
    </w:p>
    <w:p w14:paraId="6C07601F" w14:textId="40D1C9F0" w:rsidR="00C54E12" w:rsidRDefault="00C11C35" w:rsidP="00BC5488">
      <w:pPr>
        <w:spacing w:before="120"/>
      </w:pPr>
      <w:r>
        <w:t>A data wall can become the place where</w:t>
      </w:r>
      <w:r w:rsidR="00BC4D13">
        <w:t xml:space="preserve"> teachers </w:t>
      </w:r>
      <w:r w:rsidR="004B306D">
        <w:t xml:space="preserve">gather </w:t>
      </w:r>
      <w:r w:rsidR="00BC4D13">
        <w:t>to tame</w:t>
      </w:r>
      <w:r w:rsidR="00C54E12">
        <w:t xml:space="preserve"> the torrent of data coming at </w:t>
      </w:r>
      <w:r w:rsidR="00BC4D13">
        <w:t>them a</w:t>
      </w:r>
      <w:r w:rsidR="00C54E12">
        <w:t>nd transform</w:t>
      </w:r>
      <w:r w:rsidR="00BC4D13">
        <w:t xml:space="preserve"> it into</w:t>
      </w:r>
      <w:r w:rsidR="00C54E12">
        <w:t xml:space="preserve"> actionable </w:t>
      </w:r>
      <w:r w:rsidR="00BC4D13">
        <w:t xml:space="preserve">classroom </w:t>
      </w:r>
      <w:r w:rsidR="00CF69B7">
        <w:t>strategies</w:t>
      </w:r>
      <w:r w:rsidR="00C54E12">
        <w:t>.</w:t>
      </w:r>
      <w:r w:rsidR="00BC4D13">
        <w:t xml:space="preserve"> Over time</w:t>
      </w:r>
      <w:r w:rsidR="00396AA0">
        <w:t>,</w:t>
      </w:r>
      <w:r w:rsidR="00BC4D13">
        <w:t xml:space="preserve"> this not only builds teachers’ confidence </w:t>
      </w:r>
      <w:r w:rsidR="00822846">
        <w:t xml:space="preserve">with </w:t>
      </w:r>
      <w:r w:rsidR="00BC4D13">
        <w:t>incorporating evidence into everyday teaching</w:t>
      </w:r>
      <w:r w:rsidR="00640380">
        <w:t xml:space="preserve"> </w:t>
      </w:r>
      <w:r w:rsidR="00BC4D13" w:rsidRPr="00C11C35">
        <w:t>–</w:t>
      </w:r>
      <w:r w:rsidR="00BC4D13">
        <w:t xml:space="preserve"> it also builds</w:t>
      </w:r>
      <w:r w:rsidR="008918E5">
        <w:t xml:space="preserve"> </w:t>
      </w:r>
      <w:r w:rsidR="004B306D">
        <w:t xml:space="preserve">their </w:t>
      </w:r>
      <w:r w:rsidR="008918E5">
        <w:t xml:space="preserve">belief in </w:t>
      </w:r>
      <w:r w:rsidR="008918E5">
        <w:rPr>
          <w:i/>
        </w:rPr>
        <w:t xml:space="preserve">collective </w:t>
      </w:r>
      <w:r w:rsidR="00CF69B7">
        <w:rPr>
          <w:i/>
        </w:rPr>
        <w:t>efficacy</w:t>
      </w:r>
      <w:r w:rsidR="008918E5">
        <w:t>, that is,</w:t>
      </w:r>
      <w:r w:rsidR="00314076">
        <w:t xml:space="preserve"> </w:t>
      </w:r>
      <w:r w:rsidR="004B306D">
        <w:t>teachers’</w:t>
      </w:r>
      <w:r w:rsidR="00314076">
        <w:t xml:space="preserve"> collective power to improve learning outcomes for all students.</w:t>
      </w:r>
      <w:r w:rsidR="008918E5">
        <w:t xml:space="preserve">  </w:t>
      </w:r>
      <w:r w:rsidR="00BC4D13">
        <w:t xml:space="preserve"> </w:t>
      </w:r>
      <w:r w:rsidR="00C54E12">
        <w:t xml:space="preserve"> </w:t>
      </w:r>
    </w:p>
    <w:p w14:paraId="71FF719B" w14:textId="77777777" w:rsidR="00306724" w:rsidRDefault="00306724" w:rsidP="000013E4">
      <w:pPr>
        <w:pStyle w:val="Boldtitle"/>
        <w:rPr>
          <w:b w:val="0"/>
        </w:rPr>
      </w:pPr>
      <w:r>
        <w:t>What does the research tell us?</w:t>
      </w:r>
    </w:p>
    <w:p w14:paraId="6FB63A52" w14:textId="77777777" w:rsidR="00411669" w:rsidRDefault="00753726" w:rsidP="00753726">
      <w:pPr>
        <w:spacing w:before="120"/>
      </w:pPr>
      <w:r>
        <w:t xml:space="preserve">Building collective teacher efficacy is one of the most powerful things schools can do for students </w:t>
      </w:r>
      <w:r w:rsidRPr="00753726">
        <w:t>–</w:t>
      </w:r>
      <w:r>
        <w:t xml:space="preserve"> </w:t>
      </w:r>
      <w:r w:rsidR="004C6DB4">
        <w:t>delivering</w:t>
      </w:r>
      <w:r>
        <w:t xml:space="preserve"> three times the </w:t>
      </w:r>
      <w:r w:rsidR="004C6DB4">
        <w:t>boost</w:t>
      </w:r>
      <w:r>
        <w:t xml:space="preserve"> to outcomes as </w:t>
      </w:r>
      <w:r w:rsidR="004C6DB4">
        <w:t>a privileged background</w:t>
      </w:r>
      <w:r>
        <w:t>.</w:t>
      </w:r>
      <w:r w:rsidR="00411669">
        <w:rPr>
          <w:rStyle w:val="FootnoteReference"/>
        </w:rPr>
        <w:footnoteReference w:id="3"/>
      </w:r>
    </w:p>
    <w:p w14:paraId="38157CEB" w14:textId="77777777" w:rsidR="00627C55" w:rsidRDefault="00E47304" w:rsidP="007252B6">
      <w:pPr>
        <w:spacing w:before="120"/>
      </w:pPr>
      <w:r>
        <w:t>A</w:t>
      </w:r>
      <w:r w:rsidR="00D63698">
        <w:t xml:space="preserve"> data wall can also overcome</w:t>
      </w:r>
      <w:r>
        <w:t xml:space="preserve"> barriers to putting collective efficacy</w:t>
      </w:r>
      <w:r w:rsidR="00D63698">
        <w:t xml:space="preserve"> </w:t>
      </w:r>
      <w:r w:rsidR="00933601">
        <w:t>i</w:t>
      </w:r>
      <w:r w:rsidR="00402F89">
        <w:t xml:space="preserve">nto practice. High-performing schools have found simple visual approaches to integrating and </w:t>
      </w:r>
      <w:proofErr w:type="spellStart"/>
      <w:r w:rsidR="00402F89">
        <w:t>analysing</w:t>
      </w:r>
      <w:proofErr w:type="spellEnd"/>
      <w:r w:rsidR="00402F89">
        <w:t xml:space="preserve"> data sources just as effective as </w:t>
      </w:r>
      <w:r w:rsidR="00640380">
        <w:t>complex IT approaches.</w:t>
      </w:r>
      <w:r w:rsidR="00640380">
        <w:rPr>
          <w:rStyle w:val="FootnoteReference"/>
        </w:rPr>
        <w:footnoteReference w:id="4"/>
      </w:r>
      <w:r w:rsidR="00640380">
        <w:t xml:space="preserve"> </w:t>
      </w:r>
    </w:p>
    <w:p w14:paraId="07C90ECD" w14:textId="77777777" w:rsidR="00BD3DDE" w:rsidRDefault="00FA7533" w:rsidP="000013E4">
      <w:pPr>
        <w:pStyle w:val="Heading1"/>
      </w:pPr>
      <w:r>
        <w:t>The building blocks of data walls</w:t>
      </w:r>
    </w:p>
    <w:p w14:paraId="47498552" w14:textId="649D8116" w:rsidR="005B2E13" w:rsidRDefault="002467D1" w:rsidP="007978C1">
      <w:pPr>
        <w:spacing w:before="120"/>
      </w:pPr>
      <w:r>
        <w:t>You can set up a data wall at any time</w:t>
      </w:r>
      <w:r w:rsidR="00B679D9">
        <w:t xml:space="preserve">. The </w:t>
      </w:r>
      <w:r w:rsidR="00080FE1">
        <w:t>beginning of a unit of work</w:t>
      </w:r>
      <w:r w:rsidR="005B2E13">
        <w:t xml:space="preserve"> or a key point in a learning sequence can be</w:t>
      </w:r>
      <w:r w:rsidR="0045148D">
        <w:t xml:space="preserve"> a</w:t>
      </w:r>
      <w:r w:rsidR="005B2E13">
        <w:t xml:space="preserve"> good place to start.</w:t>
      </w:r>
      <w:r w:rsidR="004A6B1D">
        <w:t xml:space="preserve"> It can</w:t>
      </w:r>
      <w:r w:rsidR="00047540">
        <w:t xml:space="preserve"> also</w:t>
      </w:r>
      <w:r w:rsidR="004A6B1D">
        <w:t xml:space="preserve"> </w:t>
      </w:r>
      <w:r w:rsidR="00B679D9">
        <w:t>begin an inquiry-based improvement cycle for a</w:t>
      </w:r>
      <w:r w:rsidR="004A6B1D">
        <w:t xml:space="preserve"> </w:t>
      </w:r>
      <w:r w:rsidR="004A6B1D" w:rsidRPr="00E104CB">
        <w:t>Professional Learning Community</w:t>
      </w:r>
      <w:r w:rsidR="00E104CB">
        <w:rPr>
          <w:rStyle w:val="FootnoteReference"/>
        </w:rPr>
        <w:footnoteReference w:id="5"/>
      </w:r>
      <w:r w:rsidR="004A6B1D">
        <w:t xml:space="preserve"> (PLC) team.</w:t>
      </w:r>
    </w:p>
    <w:p w14:paraId="292998C0" w14:textId="77777777" w:rsidR="00CC3922" w:rsidRDefault="007A7CE2" w:rsidP="007978C1">
      <w:pPr>
        <w:spacing w:before="120"/>
        <w:rPr>
          <w:b/>
        </w:rPr>
      </w:pPr>
      <w:r>
        <w:t>To build a data wall:</w:t>
      </w:r>
    </w:p>
    <w:p w14:paraId="3BD5B679" w14:textId="77777777" w:rsidR="005B2E13" w:rsidRDefault="005B2E13" w:rsidP="00ED3266">
      <w:pPr>
        <w:pStyle w:val="Headingbullet"/>
        <w:ind w:left="284" w:hanging="284"/>
        <w:rPr>
          <w:b w:val="0"/>
        </w:rPr>
      </w:pPr>
      <w:r>
        <w:t>Find a confidential location</w:t>
      </w:r>
    </w:p>
    <w:p w14:paraId="10C606B1" w14:textId="77777777" w:rsidR="00306724" w:rsidRDefault="00B80FE5" w:rsidP="00C9027E">
      <w:pPr>
        <w:pStyle w:val="Indentedparagraph"/>
        <w:rPr>
          <w:b/>
        </w:rPr>
      </w:pPr>
      <w:r>
        <w:t>A data wall should be</w:t>
      </w:r>
      <w:r w:rsidR="00E837E9">
        <w:t xml:space="preserve"> accessible to school</w:t>
      </w:r>
      <w:r>
        <w:t xml:space="preserve"> </w:t>
      </w:r>
      <w:r w:rsidR="00E074D0">
        <w:t>staff</w:t>
      </w:r>
      <w:r>
        <w:t xml:space="preserve"> only</w:t>
      </w:r>
      <w:r w:rsidR="00E837E9">
        <w:t xml:space="preserve">. </w:t>
      </w:r>
      <w:r w:rsidR="00C9297E">
        <w:t>Professional learning space</w:t>
      </w:r>
      <w:r w:rsidR="00577A81">
        <w:t>s and team preparation areas</w:t>
      </w:r>
      <w:r w:rsidR="00E837E9">
        <w:t xml:space="preserve"> </w:t>
      </w:r>
      <w:r w:rsidR="00577A81">
        <w:t xml:space="preserve">make ideal locations. </w:t>
      </w:r>
    </w:p>
    <w:p w14:paraId="17FB79C3" w14:textId="77777777" w:rsidR="00294BFC" w:rsidRDefault="00763F1D" w:rsidP="00ED3266">
      <w:pPr>
        <w:pStyle w:val="Headingbullet"/>
        <w:ind w:left="284" w:hanging="284"/>
      </w:pPr>
      <w:r w:rsidRPr="00BD628A">
        <w:t xml:space="preserve">Identify </w:t>
      </w:r>
      <w:r w:rsidR="005A6FE3" w:rsidRPr="00BD628A">
        <w:t xml:space="preserve">and moderate </w:t>
      </w:r>
      <w:r w:rsidRPr="00BD628A">
        <w:t>common assessments</w:t>
      </w:r>
    </w:p>
    <w:p w14:paraId="257AEFEE" w14:textId="18985ACE" w:rsidR="00294BFC" w:rsidRDefault="00763F1D" w:rsidP="00C9027E">
      <w:pPr>
        <w:pStyle w:val="Indentedparagraph"/>
      </w:pPr>
      <w:r>
        <w:t xml:space="preserve">Common assessments </w:t>
      </w:r>
      <w:r w:rsidR="00456676">
        <w:t xml:space="preserve">are the foundation of </w:t>
      </w:r>
      <w:r w:rsidR="00DD0BED">
        <w:t>a data wall</w:t>
      </w:r>
      <w:r w:rsidR="00456676">
        <w:t xml:space="preserve"> </w:t>
      </w:r>
      <w:r w:rsidR="00456676" w:rsidRPr="00C11C35">
        <w:t>–</w:t>
      </w:r>
      <w:r w:rsidR="00456676">
        <w:t xml:space="preserve"> providing the achievement </w:t>
      </w:r>
      <w:r w:rsidR="00937156">
        <w:t>yardstick</w:t>
      </w:r>
      <w:r w:rsidR="00456676">
        <w:t xml:space="preserve"> to measure student growth</w:t>
      </w:r>
      <w:r w:rsidR="00DD0BED">
        <w:t>.</w:t>
      </w:r>
      <w:r w:rsidR="00456676">
        <w:t xml:space="preserve"> </w:t>
      </w:r>
      <w:r w:rsidR="00DD0BED">
        <w:t>The</w:t>
      </w:r>
      <w:r w:rsidR="00456676">
        <w:t>se</w:t>
      </w:r>
      <w:r w:rsidR="00DD0BED">
        <w:t xml:space="preserve"> can be diagnostic (like unit pre-tests), formative (running records) or summative</w:t>
      </w:r>
      <w:r w:rsidR="00342387">
        <w:t xml:space="preserve"> </w:t>
      </w:r>
      <w:r w:rsidR="00DD0BED">
        <w:lastRenderedPageBreak/>
        <w:t>(NAPLAN).</w:t>
      </w:r>
      <w:r w:rsidR="008704A0" w:rsidRPr="008704A0">
        <w:rPr>
          <w:rStyle w:val="FootnoteReference"/>
        </w:rPr>
        <w:t xml:space="preserve"> </w:t>
      </w:r>
      <w:r w:rsidR="008704A0">
        <w:rPr>
          <w:rStyle w:val="FootnoteReference"/>
        </w:rPr>
        <w:footnoteReference w:id="6"/>
      </w:r>
      <w:r w:rsidR="00456676">
        <w:t xml:space="preserve"> </w:t>
      </w:r>
      <w:r w:rsidR="00B37CDC">
        <w:t xml:space="preserve">Whatever the type, common assessments should address </w:t>
      </w:r>
      <w:r w:rsidR="0063553E">
        <w:t>a</w:t>
      </w:r>
      <w:r w:rsidR="000179BB">
        <w:t xml:space="preserve"> Victorian Curriculum achievement</w:t>
      </w:r>
      <w:r w:rsidR="0063553E">
        <w:t xml:space="preserve"> standard linked to </w:t>
      </w:r>
      <w:r w:rsidR="00B37CDC">
        <w:t xml:space="preserve">an </w:t>
      </w:r>
      <w:r w:rsidR="0063553E">
        <w:t>agreed</w:t>
      </w:r>
      <w:r w:rsidR="00B37CDC">
        <w:t xml:space="preserve"> learning goal </w:t>
      </w:r>
      <w:r w:rsidR="00942BC2">
        <w:t xml:space="preserve">along the continuum of student learning </w:t>
      </w:r>
      <w:r w:rsidR="00B37CDC">
        <w:t>(</w:t>
      </w:r>
      <w:r w:rsidR="0050667F">
        <w:t>whole-school, year- or learning area-specific</w:t>
      </w:r>
      <w:r w:rsidR="00B37CDC">
        <w:t>)</w:t>
      </w:r>
      <w:r w:rsidR="009C2E6C">
        <w:t>.</w:t>
      </w:r>
      <w:r w:rsidR="008704A0">
        <w:t xml:space="preserve"> </w:t>
      </w:r>
    </w:p>
    <w:p w14:paraId="2BB9EB27" w14:textId="77777777" w:rsidR="005A6FE3" w:rsidRPr="00BD628A" w:rsidRDefault="00AA67F3" w:rsidP="00ED3266">
      <w:pPr>
        <w:pStyle w:val="Headingbullet"/>
        <w:ind w:left="284" w:hanging="284"/>
      </w:pPr>
      <w:r w:rsidRPr="00BD628A">
        <w:t xml:space="preserve">Link data </w:t>
      </w:r>
      <w:r w:rsidR="00E971DD" w:rsidRPr="00BD628A">
        <w:t xml:space="preserve">to </w:t>
      </w:r>
      <w:r w:rsidRPr="00BD628A">
        <w:t>individual student</w:t>
      </w:r>
      <w:r w:rsidR="00E971DD" w:rsidRPr="00BD628A">
        <w:t>s</w:t>
      </w:r>
    </w:p>
    <w:p w14:paraId="167F01B9" w14:textId="654F4DF1" w:rsidR="00140C8F" w:rsidRDefault="00140C8F" w:rsidP="00C9027E">
      <w:pPr>
        <w:pStyle w:val="Indentedparagraph"/>
      </w:pPr>
      <w:r>
        <w:t>Prepare</w:t>
      </w:r>
      <w:r w:rsidR="001F0C6D">
        <w:t xml:space="preserve"> </w:t>
      </w:r>
      <w:r>
        <w:t xml:space="preserve">a </w:t>
      </w:r>
      <w:r w:rsidR="001F0C6D">
        <w:t>separate, physical sticky note</w:t>
      </w:r>
      <w:r w:rsidR="006E45FD">
        <w:t xml:space="preserve"> (or card)</w:t>
      </w:r>
      <w:r w:rsidR="001F0C6D">
        <w:t xml:space="preserve"> for each individual student</w:t>
      </w:r>
      <w:r>
        <w:t xml:space="preserve">. Consider using </w:t>
      </w:r>
      <w:proofErr w:type="spellStart"/>
      <w:r>
        <w:t>coloured</w:t>
      </w:r>
      <w:proofErr w:type="spellEnd"/>
      <w:r>
        <w:t xml:space="preserve"> notes or dots to show individ</w:t>
      </w:r>
      <w:r w:rsidR="00DE5329">
        <w:t>ual student’s</w:t>
      </w:r>
      <w:r>
        <w:t xml:space="preserve"> achievement level</w:t>
      </w:r>
      <w:r w:rsidR="00501097">
        <w:t xml:space="preserve"> </w:t>
      </w:r>
      <w:r>
        <w:t>(</w:t>
      </w:r>
      <w:r w:rsidR="00501097">
        <w:t>u</w:t>
      </w:r>
      <w:r>
        <w:t>sing written scores makes it harder to spot patterns in the data)</w:t>
      </w:r>
      <w:r w:rsidR="00501097">
        <w:t>.</w:t>
      </w:r>
      <w:r>
        <w:t xml:space="preserve">   </w:t>
      </w:r>
    </w:p>
    <w:p w14:paraId="2171E5C8" w14:textId="77777777" w:rsidR="00B76E93" w:rsidRPr="00E077E6" w:rsidRDefault="00C4428F" w:rsidP="00C9027E">
      <w:pPr>
        <w:pStyle w:val="Indentedparagraph"/>
      </w:pPr>
      <w:r>
        <w:t>More than one assessment can be represented on the sticky note.</w:t>
      </w:r>
      <w:r w:rsidR="00444096">
        <w:t xml:space="preserve"> </w:t>
      </w:r>
      <w:r w:rsidR="00D6749D">
        <w:t xml:space="preserve">This </w:t>
      </w:r>
      <w:r w:rsidR="00724453">
        <w:t>can</w:t>
      </w:r>
      <w:r w:rsidR="00D6749D">
        <w:t xml:space="preserve"> identify students </w:t>
      </w:r>
      <w:r w:rsidR="009174D7">
        <w:t>that need</w:t>
      </w:r>
      <w:r w:rsidR="00D6749D">
        <w:t xml:space="preserve"> support or extension across</w:t>
      </w:r>
      <w:r w:rsidR="009174D7">
        <w:t xml:space="preserve"> several</w:t>
      </w:r>
      <w:r w:rsidR="00D6749D">
        <w:t xml:space="preserve"> learning areas. </w:t>
      </w:r>
    </w:p>
    <w:p w14:paraId="2988FFC0" w14:textId="77777777" w:rsidR="00444096" w:rsidRDefault="000269EE" w:rsidP="00ED3266">
      <w:pPr>
        <w:pStyle w:val="Headingbullet"/>
        <w:ind w:left="284" w:hanging="284"/>
        <w:rPr>
          <w:b w:val="0"/>
        </w:rPr>
      </w:pPr>
      <w:r>
        <w:t>Find patterns</w:t>
      </w:r>
      <w:r w:rsidR="006E45FD">
        <w:t xml:space="preserve"> and s</w:t>
      </w:r>
      <w:r w:rsidR="00444096">
        <w:t>et learning goals</w:t>
      </w:r>
    </w:p>
    <w:p w14:paraId="07C83747" w14:textId="77777777" w:rsidR="00C9027E" w:rsidRDefault="006E45FD" w:rsidP="00C9027E">
      <w:pPr>
        <w:pStyle w:val="Indentedparagraph"/>
      </w:pPr>
      <w:r>
        <w:t xml:space="preserve">After plotting each card on the wall, </w:t>
      </w:r>
      <w:r w:rsidR="00C9027E">
        <w:t xml:space="preserve">look for patterns in the data. </w:t>
      </w:r>
      <w:r w:rsidR="00787037">
        <w:t>Consider using the</w:t>
      </w:r>
      <w:r w:rsidR="00C9027E">
        <w:t xml:space="preserve"> following prompts</w:t>
      </w:r>
      <w:r w:rsidR="00492D0E">
        <w:rPr>
          <w:rStyle w:val="FootnoteReference"/>
        </w:rPr>
        <w:footnoteReference w:id="7"/>
      </w:r>
      <w:r w:rsidR="00787037">
        <w:t xml:space="preserve"> </w:t>
      </w:r>
      <w:r w:rsidR="00E06F0F">
        <w:t>in PLC teams</w:t>
      </w:r>
      <w:r w:rsidR="00C9027E">
        <w:t>:</w:t>
      </w:r>
    </w:p>
    <w:p w14:paraId="615ADAF1" w14:textId="77777777" w:rsidR="00C9027E" w:rsidRDefault="00C9027E" w:rsidP="00C9027E">
      <w:pPr>
        <w:pStyle w:val="IndentedList"/>
      </w:pPr>
      <w:proofErr w:type="spellStart"/>
      <w:r>
        <w:rPr>
          <w:i/>
        </w:rPr>
        <w:t>Generalisations</w:t>
      </w:r>
      <w:proofErr w:type="spellEnd"/>
      <w:r>
        <w:t>: “In general, I noticed...”</w:t>
      </w:r>
    </w:p>
    <w:p w14:paraId="7397A5C2" w14:textId="77777777" w:rsidR="002312F7" w:rsidRDefault="006C37FE" w:rsidP="006C37FE">
      <w:pPr>
        <w:pStyle w:val="IndentedList"/>
      </w:pPr>
      <w:r w:rsidRPr="006C37FE">
        <w:rPr>
          <w:i/>
        </w:rPr>
        <w:t>Exceptions</w:t>
      </w:r>
      <w:r>
        <w:t>: “</w:t>
      </w:r>
      <w:r w:rsidR="00C9027E" w:rsidRPr="00C9027E">
        <w:t>Exceptions to this were...</w:t>
      </w:r>
      <w:r>
        <w:t>”</w:t>
      </w:r>
    </w:p>
    <w:p w14:paraId="758E31EE" w14:textId="435A2058" w:rsidR="00C9027E" w:rsidRDefault="006C37FE" w:rsidP="006C37FE">
      <w:pPr>
        <w:pStyle w:val="IndentedList"/>
      </w:pPr>
      <w:r>
        <w:rPr>
          <w:i/>
        </w:rPr>
        <w:t>Contradictions</w:t>
      </w:r>
      <w:r w:rsidR="00C9027E">
        <w:t xml:space="preserve">: </w:t>
      </w:r>
      <w:r>
        <w:t>“</w:t>
      </w:r>
      <w:r w:rsidR="00C9027E">
        <w:t>On the one hand....but on the other hand...</w:t>
      </w:r>
      <w:r>
        <w:t>”</w:t>
      </w:r>
    </w:p>
    <w:p w14:paraId="6B1E6441" w14:textId="77777777" w:rsidR="00C9027E" w:rsidRDefault="006C37FE" w:rsidP="006C37FE">
      <w:pPr>
        <w:pStyle w:val="IndentedList"/>
      </w:pPr>
      <w:r>
        <w:rPr>
          <w:i/>
        </w:rPr>
        <w:t>Surprises</w:t>
      </w:r>
      <w:r w:rsidR="00C9027E">
        <w:t xml:space="preserve">: </w:t>
      </w:r>
      <w:r>
        <w:t>“</w:t>
      </w:r>
      <w:r w:rsidR="00C9027E">
        <w:t>Things I was</w:t>
      </w:r>
      <w:r>
        <w:t xml:space="preserve"> (wasn’t)</w:t>
      </w:r>
      <w:r w:rsidR="00C9027E">
        <w:t xml:space="preserve"> expecting to see, but didn’t </w:t>
      </w:r>
      <w:r>
        <w:t xml:space="preserve">(did) </w:t>
      </w:r>
      <w:r w:rsidR="00C9027E">
        <w:t>see were…</w:t>
      </w:r>
      <w:r>
        <w:t>”</w:t>
      </w:r>
    </w:p>
    <w:p w14:paraId="07F907EE" w14:textId="77777777" w:rsidR="006C37FE" w:rsidRDefault="006C37FE" w:rsidP="006C37FE">
      <w:pPr>
        <w:pStyle w:val="IndentedList"/>
      </w:pPr>
      <w:r>
        <w:rPr>
          <w:i/>
        </w:rPr>
        <w:t>Puzzles</w:t>
      </w:r>
      <w:r>
        <w:t>: “Things that still puzzle me that may need following up on are…”</w:t>
      </w:r>
    </w:p>
    <w:p w14:paraId="77B1E1BE" w14:textId="183C4302" w:rsidR="00BB65F5" w:rsidRDefault="00B70F2F" w:rsidP="000269EE">
      <w:pPr>
        <w:pStyle w:val="Indentedparagraph"/>
      </w:pPr>
      <w:r>
        <w:t xml:space="preserve">Teams can then ask “why” these patterns </w:t>
      </w:r>
      <w:r w:rsidR="0045148D">
        <w:t>might be evident, and keep</w:t>
      </w:r>
      <w:r>
        <w:t xml:space="preserve"> asking “why” until they get to root causes they can target </w:t>
      </w:r>
      <w:r w:rsidR="00721414">
        <w:t>with instruction</w:t>
      </w:r>
      <w:r>
        <w:t xml:space="preserve">. </w:t>
      </w:r>
      <w:r w:rsidR="000269EE">
        <w:t xml:space="preserve">These </w:t>
      </w:r>
      <w:r>
        <w:t>causes</w:t>
      </w:r>
      <w:r w:rsidR="000269EE">
        <w:t xml:space="preserve"> can be used to set learning goals for individual and groups of students, and identify professional learning opportunities for teachers.</w:t>
      </w:r>
    </w:p>
    <w:p w14:paraId="5AE35E3F" w14:textId="60EC4045" w:rsidR="00E85BC6" w:rsidRDefault="00E85BC6" w:rsidP="000269EE">
      <w:pPr>
        <w:pStyle w:val="Indentedparagraph"/>
      </w:pPr>
    </w:p>
    <w:p w14:paraId="626A73D3" w14:textId="77777777" w:rsidR="00E85BC6" w:rsidRDefault="00E85BC6" w:rsidP="000269EE">
      <w:pPr>
        <w:pStyle w:val="Indentedparagraph"/>
      </w:pPr>
    </w:p>
    <w:p w14:paraId="7E2E1D45" w14:textId="77777777" w:rsidR="00BB65F5" w:rsidRDefault="000269EE" w:rsidP="00ED3266">
      <w:pPr>
        <w:pStyle w:val="Headingbullet"/>
        <w:ind w:left="284" w:hanging="284"/>
      </w:pPr>
      <w:r>
        <w:t>Map individual students’ progress</w:t>
      </w:r>
    </w:p>
    <w:p w14:paraId="4A25EBF5" w14:textId="77777777" w:rsidR="00B52879" w:rsidRDefault="008E6B5E" w:rsidP="000269EE">
      <w:pPr>
        <w:pStyle w:val="Indentedparagraph"/>
      </w:pPr>
      <w:r>
        <w:t xml:space="preserve">The physical act of moving an individual student’s sticky note is a tangible measure of teachers’ impact </w:t>
      </w:r>
      <w:r w:rsidRPr="00C11C35">
        <w:t>–</w:t>
      </w:r>
      <w:r>
        <w:t xml:space="preserve"> and a powerful spur to </w:t>
      </w:r>
      <w:r w:rsidR="00325394">
        <w:t xml:space="preserve">search for </w:t>
      </w:r>
      <w:r>
        <w:t>the next classroom intervention</w:t>
      </w:r>
      <w:r w:rsidR="00B52879">
        <w:t xml:space="preserve"> to keep that note moving.</w:t>
      </w:r>
    </w:p>
    <w:p w14:paraId="2BD9F4A4" w14:textId="24790953" w:rsidR="00A724DB" w:rsidRDefault="00721414" w:rsidP="000269EE">
      <w:pPr>
        <w:pStyle w:val="Indentedparagraph"/>
      </w:pPr>
      <w:r>
        <w:t>Motivating and guiding the</w:t>
      </w:r>
      <w:r w:rsidR="00A724DB">
        <w:t xml:space="preserve"> search for improvement is an important benefit of a data wall. Updating it regularly b</w:t>
      </w:r>
      <w:r w:rsidR="00942BC2">
        <w:t>inds</w:t>
      </w:r>
      <w:r w:rsidR="00A724DB">
        <w:t xml:space="preserve"> that search to real and current learning needs,</w:t>
      </w:r>
      <w:r w:rsidR="00077B85">
        <w:t xml:space="preserve"> </w:t>
      </w:r>
      <w:r w:rsidR="00A724DB">
        <w:t xml:space="preserve">while </w:t>
      </w:r>
      <w:r w:rsidR="00077B85">
        <w:t xml:space="preserve">being </w:t>
      </w:r>
      <w:r w:rsidR="00A75246">
        <w:t xml:space="preserve">a persistent </w:t>
      </w:r>
      <w:r w:rsidR="00A724DB">
        <w:t>remi</w:t>
      </w:r>
      <w:r w:rsidR="00BB65F5">
        <w:t>nder that students at all levels have those needs.</w:t>
      </w:r>
    </w:p>
    <w:p w14:paraId="638AFADD" w14:textId="77777777" w:rsidR="00BD3DDE" w:rsidRPr="000013E4" w:rsidRDefault="003B6EB3" w:rsidP="000013E4">
      <w:pPr>
        <w:pStyle w:val="Heading1"/>
      </w:pPr>
      <w:r w:rsidRPr="000013E4">
        <w:t>Advice for school leaders</w:t>
      </w:r>
    </w:p>
    <w:p w14:paraId="65C6CE78" w14:textId="77777777" w:rsidR="0012324A" w:rsidRPr="00BD628A" w:rsidRDefault="00050CA2" w:rsidP="00ED3266">
      <w:pPr>
        <w:pStyle w:val="Headingbullet"/>
        <w:ind w:left="284" w:hanging="284"/>
      </w:pPr>
      <w:r w:rsidRPr="00BD628A">
        <w:t>Align</w:t>
      </w:r>
      <w:r w:rsidR="0012324A" w:rsidRPr="00BD628A">
        <w:t xml:space="preserve"> data wall </w:t>
      </w:r>
      <w:r w:rsidR="00782EBF" w:rsidRPr="00BD628A">
        <w:t xml:space="preserve">focus </w:t>
      </w:r>
      <w:r w:rsidR="0012324A" w:rsidRPr="00BD628A">
        <w:t xml:space="preserve">to </w:t>
      </w:r>
      <w:r w:rsidR="00023D88">
        <w:t xml:space="preserve">a </w:t>
      </w:r>
      <w:r w:rsidR="0012324A" w:rsidRPr="00BD628A">
        <w:t>school improvement goal</w:t>
      </w:r>
    </w:p>
    <w:p w14:paraId="16EBB7CC" w14:textId="4BB24F1B" w:rsidR="0012324A" w:rsidRDefault="00782EBF" w:rsidP="0036283E">
      <w:pPr>
        <w:pStyle w:val="Indentedparagraph"/>
      </w:pPr>
      <w:r>
        <w:t>A data wall can be a rallying point for school improvement</w:t>
      </w:r>
      <w:r w:rsidR="007A3DB4">
        <w:t xml:space="preserve"> </w:t>
      </w:r>
      <w:r>
        <w:t>if it measures progress toward</w:t>
      </w:r>
      <w:r w:rsidR="0045148D">
        <w:t>s</w:t>
      </w:r>
      <w:r>
        <w:t xml:space="preserve"> a</w:t>
      </w:r>
      <w:r w:rsidR="00FE153F">
        <w:t xml:space="preserve"> </w:t>
      </w:r>
      <w:r>
        <w:t xml:space="preserve">goal in </w:t>
      </w:r>
      <w:r w:rsidR="001B7013">
        <w:t>the</w:t>
      </w:r>
      <w:r>
        <w:t xml:space="preserve"> school</w:t>
      </w:r>
      <w:r w:rsidR="00FE153F">
        <w:t xml:space="preserve"> </w:t>
      </w:r>
      <w:r w:rsidR="00571633">
        <w:t>AIP</w:t>
      </w:r>
      <w:r w:rsidR="001B7013">
        <w:t>.</w:t>
      </w:r>
      <w:r w:rsidR="00937E76">
        <w:t xml:space="preserve"> </w:t>
      </w:r>
    </w:p>
    <w:p w14:paraId="6BF6DDA8" w14:textId="77777777" w:rsidR="00081643" w:rsidRPr="00BD6C3A" w:rsidRDefault="00054722" w:rsidP="00ED3266">
      <w:pPr>
        <w:pStyle w:val="Headingbullet"/>
        <w:ind w:left="284" w:hanging="284"/>
      </w:pPr>
      <w:r>
        <w:t>De</w:t>
      </w:r>
      <w:r w:rsidR="00081643" w:rsidRPr="00BD6C3A">
        <w:t xml:space="preserve">velop whole-school </w:t>
      </w:r>
      <w:r w:rsidR="0081486A" w:rsidRPr="00BD6C3A">
        <w:t xml:space="preserve">norms and </w:t>
      </w:r>
      <w:r w:rsidR="00081643" w:rsidRPr="00BD6C3A">
        <w:t>protocols</w:t>
      </w:r>
    </w:p>
    <w:p w14:paraId="78A259FC" w14:textId="77777777" w:rsidR="003C2026" w:rsidRDefault="000013E4" w:rsidP="0036283E">
      <w:pPr>
        <w:pStyle w:val="Indentedparagraph"/>
      </w:pPr>
      <w:r>
        <w:t>Engaging</w:t>
      </w:r>
      <w:r w:rsidR="001F12CA" w:rsidRPr="001F12CA">
        <w:t xml:space="preserve"> staff </w:t>
      </w:r>
      <w:r w:rsidR="003C2026">
        <w:t xml:space="preserve">in developing </w:t>
      </w:r>
      <w:r w:rsidR="001F12CA" w:rsidRPr="001F12CA">
        <w:t>norms and protocols</w:t>
      </w:r>
      <w:r w:rsidR="003C2026">
        <w:t xml:space="preserve"> </w:t>
      </w:r>
      <w:r>
        <w:t xml:space="preserve">is a </w:t>
      </w:r>
      <w:r w:rsidR="00FE153F">
        <w:t>must for</w:t>
      </w:r>
      <w:r w:rsidR="003C2026">
        <w:t xml:space="preserve"> successful implementation. These should cover the purpose of data walls and set out clear expectations for their use by teachers, including who will update them and how often.  </w:t>
      </w:r>
    </w:p>
    <w:p w14:paraId="0762FE61" w14:textId="77777777" w:rsidR="00054722" w:rsidRDefault="003C2026" w:rsidP="003C2026">
      <w:pPr>
        <w:pStyle w:val="Indentedparagraph"/>
      </w:pPr>
      <w:r>
        <w:t xml:space="preserve">Norms and protocols </w:t>
      </w:r>
      <w:r w:rsidR="00E104CB">
        <w:t>can</w:t>
      </w:r>
      <w:r>
        <w:t xml:space="preserve"> also support </w:t>
      </w:r>
      <w:r w:rsidR="0081486A">
        <w:t>a culture of ethical and responsible data use</w:t>
      </w:r>
      <w:r>
        <w:t xml:space="preserve">. </w:t>
      </w:r>
      <w:r w:rsidR="007F7AA3">
        <w:t xml:space="preserve">Schools </w:t>
      </w:r>
      <w:r>
        <w:t xml:space="preserve">are required to </w:t>
      </w:r>
      <w:r w:rsidR="007F7AA3">
        <w:t>p</w:t>
      </w:r>
      <w:r w:rsidR="0081486A">
        <w:t>rotect student privacy and maintain confidentiality of student data</w:t>
      </w:r>
      <w:r w:rsidR="00E104CB">
        <w:t xml:space="preserve"> under </w:t>
      </w:r>
      <w:r w:rsidR="00F93BDE">
        <w:t xml:space="preserve">the </w:t>
      </w:r>
      <w:r w:rsidR="003D2CE6">
        <w:t>Schools’ Privacy Policy</w:t>
      </w:r>
      <w:r w:rsidR="00F93BDE">
        <w:t>.</w:t>
      </w:r>
      <w:r w:rsidR="00F93BDE">
        <w:rPr>
          <w:rStyle w:val="FootnoteReference"/>
        </w:rPr>
        <w:footnoteReference w:id="8"/>
      </w:r>
    </w:p>
    <w:p w14:paraId="625A01FB" w14:textId="77777777" w:rsidR="00802E78" w:rsidRPr="00802E78" w:rsidRDefault="007A3DB4" w:rsidP="00ED3266">
      <w:pPr>
        <w:pStyle w:val="Headingbullet"/>
        <w:ind w:left="284" w:hanging="284"/>
        <w:rPr>
          <w:b w:val="0"/>
        </w:rPr>
      </w:pPr>
      <w:r>
        <w:t>Use a data wall to build data literacy</w:t>
      </w:r>
    </w:p>
    <w:p w14:paraId="320ADA05" w14:textId="7E7AB23A" w:rsidR="0003658B" w:rsidRDefault="00231FC2" w:rsidP="000013E4">
      <w:pPr>
        <w:pStyle w:val="Indentedparagraph"/>
      </w:pPr>
      <w:r>
        <w:t xml:space="preserve">On an electronic </w:t>
      </w:r>
      <w:r w:rsidR="00140C8F">
        <w:t xml:space="preserve">screen, data can seem disconnected from </w:t>
      </w:r>
      <w:r>
        <w:t>students</w:t>
      </w:r>
      <w:r w:rsidR="00140C8F">
        <w:t>.</w:t>
      </w:r>
      <w:r w:rsidR="007A3DB4">
        <w:t xml:space="preserve"> On </w:t>
      </w:r>
      <w:r>
        <w:t>a physical wall, data is reconnected to individuals</w:t>
      </w:r>
      <w:r w:rsidR="0003658B">
        <w:t xml:space="preserve">. So a data wall is more likely to lead to </w:t>
      </w:r>
      <w:r w:rsidR="00396AA0">
        <w:t>data-driven teaching because it</w:t>
      </w:r>
      <w:r w:rsidR="0003658B">
        <w:t xml:space="preserve"> connects data to </w:t>
      </w:r>
      <w:r w:rsidR="001D2C3C">
        <w:t>teachers’</w:t>
      </w:r>
      <w:r w:rsidR="0003658B">
        <w:t xml:space="preserve"> strong emotional commitment to their students.</w:t>
      </w:r>
      <w:r w:rsidR="0003658B">
        <w:rPr>
          <w:rStyle w:val="FootnoteReference"/>
        </w:rPr>
        <w:footnoteReference w:id="9"/>
      </w:r>
    </w:p>
    <w:p w14:paraId="63588AD6" w14:textId="2835FB8E" w:rsidR="00AE1DD2" w:rsidRDefault="00AE1DD2" w:rsidP="000013E4">
      <w:pPr>
        <w:pStyle w:val="Indentedparagraph"/>
      </w:pPr>
      <w:r>
        <w:t xml:space="preserve">As data-driven teaching through a data wall becomes routine, leaders can support teachers to </w:t>
      </w:r>
      <w:r w:rsidR="00294BFC">
        <w:t xml:space="preserve">continue </w:t>
      </w:r>
      <w:r>
        <w:lastRenderedPageBreak/>
        <w:t>build</w:t>
      </w:r>
      <w:r w:rsidR="00294BFC">
        <w:t>ing</w:t>
      </w:r>
      <w:r>
        <w:t xml:space="preserve"> their data literacy through </w:t>
      </w:r>
      <w:r w:rsidR="00294BFC">
        <w:t xml:space="preserve">further </w:t>
      </w:r>
      <w:r>
        <w:t>professional development.</w:t>
      </w:r>
      <w:r>
        <w:rPr>
          <w:rStyle w:val="FootnoteReference"/>
        </w:rPr>
        <w:footnoteReference w:id="10"/>
      </w:r>
      <w:r>
        <w:t xml:space="preserve"> </w:t>
      </w:r>
    </w:p>
    <w:p w14:paraId="216361F3" w14:textId="2AE8B6E1" w:rsidR="00721414" w:rsidRPr="00755D13" w:rsidRDefault="00755D13" w:rsidP="00ED3266">
      <w:pPr>
        <w:pStyle w:val="Headingbullet"/>
        <w:ind w:left="284" w:hanging="284"/>
        <w:rPr>
          <w:rFonts w:eastAsiaTheme="majorEastAsia" w:cstheme="majorBidi"/>
          <w:bCs/>
          <w:caps/>
          <w:color w:val="AF272F" w:themeColor="accent1"/>
          <w:sz w:val="20"/>
          <w:szCs w:val="20"/>
        </w:rPr>
      </w:pPr>
      <w:r>
        <w:t xml:space="preserve">Use </w:t>
      </w:r>
      <w:r w:rsidR="00ED3266">
        <w:t>a data wall</w:t>
      </w:r>
      <w:r>
        <w:t xml:space="preserve"> to build collective responsibility for all students</w:t>
      </w:r>
    </w:p>
    <w:p w14:paraId="5286C470" w14:textId="262EAFDA" w:rsidR="00755D13" w:rsidRPr="00ED3266" w:rsidRDefault="00ED3266" w:rsidP="00755D13">
      <w:pPr>
        <w:pStyle w:val="Indentedparagraph"/>
      </w:pPr>
      <w:r w:rsidRPr="00ED3266">
        <w:t xml:space="preserve">Professional </w:t>
      </w:r>
      <w:r>
        <w:t>conversations</w:t>
      </w:r>
      <w:r w:rsidR="00342387">
        <w:t xml:space="preserve"> around a data wall will ensure the learning needs of every student </w:t>
      </w:r>
      <w:r>
        <w:t xml:space="preserve">drive </w:t>
      </w:r>
      <w:r w:rsidR="00342387">
        <w:t xml:space="preserve">teacher learning and </w:t>
      </w:r>
      <w:r>
        <w:t>practice.</w:t>
      </w:r>
    </w:p>
    <w:p w14:paraId="7C7D1F1D" w14:textId="4F12DADE" w:rsidR="003B6EB3" w:rsidRPr="001B7013" w:rsidRDefault="003B6EB3" w:rsidP="000013E4">
      <w:pPr>
        <w:pStyle w:val="Heading1"/>
      </w:pPr>
      <w:r w:rsidRPr="001B7013">
        <w:t>Advice for teachers</w:t>
      </w:r>
    </w:p>
    <w:p w14:paraId="671F8F13" w14:textId="77777777" w:rsidR="001B7013" w:rsidRDefault="00294BFC" w:rsidP="00ED3266">
      <w:pPr>
        <w:pStyle w:val="Headingbullet"/>
        <w:ind w:left="284" w:hanging="284"/>
        <w:rPr>
          <w:b w:val="0"/>
        </w:rPr>
      </w:pPr>
      <w:r>
        <w:t>Moderate</w:t>
      </w:r>
      <w:r w:rsidR="00D9305D">
        <w:t xml:space="preserve"> ass</w:t>
      </w:r>
      <w:r>
        <w:t xml:space="preserve">essments </w:t>
      </w:r>
      <w:r w:rsidR="00D9305D">
        <w:t>before they go on display</w:t>
      </w:r>
    </w:p>
    <w:p w14:paraId="40C0A957" w14:textId="59FF0B41" w:rsidR="00294BFC" w:rsidRDefault="00294BFC" w:rsidP="00294BFC">
      <w:pPr>
        <w:pStyle w:val="Indentedparagraph"/>
      </w:pPr>
      <w:r w:rsidRPr="00294BFC">
        <w:t xml:space="preserve">Moderation ensures </w:t>
      </w:r>
      <w:r w:rsidR="00DC42AA">
        <w:t>the data wall displays</w:t>
      </w:r>
      <w:r w:rsidR="00721414">
        <w:t xml:space="preserve"> each student’s </w:t>
      </w:r>
      <w:r w:rsidRPr="00294BFC">
        <w:t>proficiency.</w:t>
      </w:r>
      <w:r w:rsidR="00E0771D">
        <w:rPr>
          <w:rStyle w:val="FootnoteReference"/>
        </w:rPr>
        <w:footnoteReference w:id="11"/>
      </w:r>
      <w:r w:rsidRPr="00294BFC">
        <w:t xml:space="preserve"> It also establish</w:t>
      </w:r>
      <w:r w:rsidR="00DC42AA">
        <w:t>es</w:t>
      </w:r>
      <w:r w:rsidRPr="00294BFC">
        <w:t xml:space="preserve"> a common language for discussing effective t</w:t>
      </w:r>
      <w:r w:rsidR="00342387">
        <w:t>eaching, built on a consensus of</w:t>
      </w:r>
      <w:r w:rsidRPr="00294BFC">
        <w:t xml:space="preserve"> what achievement standards mean, and what constitutes proficiency at each achievement level.  </w:t>
      </w:r>
    </w:p>
    <w:p w14:paraId="7369CFCD" w14:textId="77777777" w:rsidR="00C42335" w:rsidRPr="00C42335" w:rsidRDefault="00D9305D" w:rsidP="00ED3266">
      <w:pPr>
        <w:pStyle w:val="Headingbullet"/>
        <w:ind w:left="284" w:hanging="284"/>
        <w:rPr>
          <w:b w:val="0"/>
        </w:rPr>
      </w:pPr>
      <w:r>
        <w:t>Anchor professional conversations to the data wall</w:t>
      </w:r>
    </w:p>
    <w:p w14:paraId="3D55F20B" w14:textId="2D49B86C" w:rsidR="00BB65F5" w:rsidRDefault="00D9305D" w:rsidP="00BB65F5">
      <w:pPr>
        <w:pStyle w:val="Indentedparagraph"/>
      </w:pPr>
      <w:r>
        <w:t xml:space="preserve">Consider making the data wall a standing item on your team’s meeting agenda. Even if there are no updates, just referring to it will help </w:t>
      </w:r>
      <w:proofErr w:type="spellStart"/>
      <w:r>
        <w:t>centre</w:t>
      </w:r>
      <w:proofErr w:type="spellEnd"/>
      <w:r>
        <w:t xml:space="preserve"> the conversation on ho</w:t>
      </w:r>
      <w:r w:rsidR="00396AA0">
        <w:t xml:space="preserve">w to move every student forward – </w:t>
      </w:r>
      <w:r w:rsidR="00224448">
        <w:t xml:space="preserve">and stop the data wall becoming </w:t>
      </w:r>
      <w:r w:rsidR="00BB65F5" w:rsidRPr="00BB65F5">
        <w:t xml:space="preserve">a </w:t>
      </w:r>
      <w:proofErr w:type="spellStart"/>
      <w:r w:rsidR="00BB65F5" w:rsidRPr="00BB65F5">
        <w:t>colourful</w:t>
      </w:r>
      <w:proofErr w:type="spellEnd"/>
      <w:r w:rsidR="00BB65F5" w:rsidRPr="00BB65F5">
        <w:t xml:space="preserve"> record of past performance.</w:t>
      </w:r>
    </w:p>
    <w:p w14:paraId="25337287" w14:textId="1CCBC1E9" w:rsidR="00F60B4C" w:rsidRDefault="00F45F94" w:rsidP="005A3BD9">
      <w:pPr>
        <w:pStyle w:val="Headingbullet"/>
        <w:ind w:left="284" w:hanging="284"/>
      </w:pPr>
      <w:r>
        <w:t>Use high impact strategies</w:t>
      </w:r>
      <w:r w:rsidR="00AE1B46">
        <w:t xml:space="preserve"> to </w:t>
      </w:r>
      <w:r w:rsidR="00342387">
        <w:t>impact learning</w:t>
      </w:r>
    </w:p>
    <w:p w14:paraId="41BD796A" w14:textId="70B1DA89" w:rsidR="00F60B4C" w:rsidRPr="00F60B4C" w:rsidRDefault="00F60B4C" w:rsidP="00F60B4C">
      <w:pPr>
        <w:pStyle w:val="Indentedparagraph"/>
      </w:pPr>
      <w:r>
        <w:t>The search for classroom interventions to keep students moving along the data wall should be guided by reliable teaching principles and strategies.</w:t>
      </w:r>
      <w:r w:rsidR="00721751">
        <w:t xml:space="preserve"> </w:t>
      </w:r>
      <w:r>
        <w:t xml:space="preserve">The </w:t>
      </w:r>
      <w:r w:rsidRPr="00F60B4C">
        <w:rPr>
          <w:i/>
        </w:rPr>
        <w:t>Practice Principles for Excellence in Teaching</w:t>
      </w:r>
      <w:r w:rsidR="00721751">
        <w:rPr>
          <w:i/>
        </w:rPr>
        <w:t xml:space="preserve"> and Learning</w:t>
      </w:r>
      <w:r w:rsidR="00045F3C">
        <w:rPr>
          <w:rStyle w:val="FootnoteReference"/>
          <w:i/>
        </w:rPr>
        <w:footnoteReference w:id="12"/>
      </w:r>
      <w:r w:rsidR="00DF154B">
        <w:t>,</w:t>
      </w:r>
      <w:r w:rsidRPr="00F60B4C">
        <w:rPr>
          <w:i/>
        </w:rPr>
        <w:t xml:space="preserve"> </w:t>
      </w:r>
      <w:r w:rsidRPr="00C86047">
        <w:rPr>
          <w:i/>
        </w:rPr>
        <w:t>High Impact Teaching Strategies</w:t>
      </w:r>
      <w:r w:rsidR="00045F3C">
        <w:rPr>
          <w:rStyle w:val="FootnoteReference"/>
          <w:i/>
        </w:rPr>
        <w:footnoteReference w:id="13"/>
      </w:r>
      <w:r w:rsidR="00DF154B">
        <w:rPr>
          <w:i/>
        </w:rPr>
        <w:t xml:space="preserve"> </w:t>
      </w:r>
      <w:r w:rsidR="00DF154B">
        <w:t xml:space="preserve">and </w:t>
      </w:r>
      <w:r w:rsidR="00DF154B">
        <w:rPr>
          <w:i/>
        </w:rPr>
        <w:t>Literacy Teaching Toolkit</w:t>
      </w:r>
      <w:r w:rsidR="00DF154B">
        <w:rPr>
          <w:rStyle w:val="FootnoteReference"/>
          <w:i/>
        </w:rPr>
        <w:footnoteReference w:id="14"/>
      </w:r>
      <w:r w:rsidR="00DF154B">
        <w:rPr>
          <w:i/>
        </w:rPr>
        <w:t xml:space="preserve"> </w:t>
      </w:r>
      <w:r w:rsidR="00C86047">
        <w:t xml:space="preserve">draw on the best available </w:t>
      </w:r>
      <w:r w:rsidR="00AC2F5A">
        <w:t xml:space="preserve">evidence from </w:t>
      </w:r>
      <w:r w:rsidR="00C86047">
        <w:t xml:space="preserve">international research, leading experts and </w:t>
      </w:r>
      <w:r w:rsidR="00AC2F5A">
        <w:t>high-performing Victorian schools.</w:t>
      </w:r>
      <w:r w:rsidR="00C86047">
        <w:t xml:space="preserve"> </w:t>
      </w:r>
    </w:p>
    <w:p w14:paraId="23786959" w14:textId="77777777" w:rsidR="00DE73D6" w:rsidRDefault="00DE73D6" w:rsidP="000013E4">
      <w:pPr>
        <w:pStyle w:val="Heading1"/>
      </w:pPr>
      <w:r>
        <w:t>EVALUATING DATA WALLS</w:t>
      </w:r>
    </w:p>
    <w:p w14:paraId="5D6E2FEE" w14:textId="1C7A1B18" w:rsidR="006E428C" w:rsidRDefault="006B2557" w:rsidP="00A9204B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As with any </w:t>
      </w:r>
      <w:r w:rsidR="00067B09">
        <w:rPr>
          <w:color w:val="000000" w:themeColor="text1"/>
        </w:rPr>
        <w:t xml:space="preserve">tool, the use of data walls should </w:t>
      </w:r>
      <w:r w:rsidR="00DE5329">
        <w:rPr>
          <w:color w:val="000000" w:themeColor="text1"/>
        </w:rPr>
        <w:t xml:space="preserve">be </w:t>
      </w:r>
      <w:r w:rsidR="00067B09">
        <w:rPr>
          <w:color w:val="000000" w:themeColor="text1"/>
        </w:rPr>
        <w:t>evaluated to confirm it is having a positive impact on student learning outcomes. This can be done at</w:t>
      </w:r>
      <w:r w:rsidR="0045148D">
        <w:rPr>
          <w:color w:val="000000" w:themeColor="text1"/>
        </w:rPr>
        <w:t xml:space="preserve"> </w:t>
      </w:r>
      <w:r w:rsidR="00067B09">
        <w:rPr>
          <w:color w:val="000000" w:themeColor="text1"/>
        </w:rPr>
        <w:t xml:space="preserve">both </w:t>
      </w:r>
      <w:r w:rsidR="0045148D">
        <w:rPr>
          <w:color w:val="000000" w:themeColor="text1"/>
        </w:rPr>
        <w:t xml:space="preserve">a </w:t>
      </w:r>
      <w:r w:rsidR="00067B09">
        <w:rPr>
          <w:color w:val="000000" w:themeColor="text1"/>
        </w:rPr>
        <w:t>team and whole-</w:t>
      </w:r>
      <w:r w:rsidR="00067B09">
        <w:rPr>
          <w:color w:val="000000" w:themeColor="text1"/>
        </w:rPr>
        <w:t xml:space="preserve">school level, and include classroom observations. PLC and school improvement teams </w:t>
      </w:r>
      <w:r w:rsidR="00CE6B2A">
        <w:rPr>
          <w:color w:val="000000" w:themeColor="text1"/>
        </w:rPr>
        <w:t>might consider asking whether the</w:t>
      </w:r>
      <w:r w:rsidR="00396AA0">
        <w:rPr>
          <w:color w:val="000000" w:themeColor="text1"/>
        </w:rPr>
        <w:t xml:space="preserve"> data wall:</w:t>
      </w:r>
    </w:p>
    <w:p w14:paraId="6731AAEE" w14:textId="0DB76AFF" w:rsidR="00146AEF" w:rsidRDefault="00146AEF" w:rsidP="00067B09">
      <w:pPr>
        <w:pStyle w:val="IndentedList"/>
      </w:pPr>
      <w:r>
        <w:t>prompt</w:t>
      </w:r>
      <w:r w:rsidR="00396AA0">
        <w:t>s</w:t>
      </w:r>
      <w:r>
        <w:t xml:space="preserve"> rich conversations about teaching and learning</w:t>
      </w:r>
    </w:p>
    <w:p w14:paraId="777754C2" w14:textId="4F457793" w:rsidR="00CE6B2A" w:rsidRDefault="00396AA0" w:rsidP="00067B09">
      <w:pPr>
        <w:pStyle w:val="IndentedList"/>
      </w:pPr>
      <w:r>
        <w:t>generates</w:t>
      </w:r>
      <w:r w:rsidR="00CE6B2A">
        <w:t xml:space="preserve"> questions that lead to </w:t>
      </w:r>
      <w:r w:rsidR="00146AEF">
        <w:t xml:space="preserve">changes in </w:t>
      </w:r>
      <w:r w:rsidR="00175848">
        <w:t xml:space="preserve">classroom </w:t>
      </w:r>
      <w:r w:rsidR="00146AEF">
        <w:t>practice</w:t>
      </w:r>
    </w:p>
    <w:p w14:paraId="37FB90AF" w14:textId="450C08D7" w:rsidR="00CE6B2A" w:rsidRDefault="00CE6B2A" w:rsidP="00067B09">
      <w:pPr>
        <w:pStyle w:val="IndentedList"/>
      </w:pPr>
      <w:r>
        <w:t>lead</w:t>
      </w:r>
      <w:r w:rsidR="00396AA0">
        <w:t>s</w:t>
      </w:r>
      <w:r>
        <w:t xml:space="preserve"> to</w:t>
      </w:r>
      <w:r w:rsidR="00175848">
        <w:t xml:space="preserve"> the</w:t>
      </w:r>
      <w:r>
        <w:t xml:space="preserve"> building</w:t>
      </w:r>
      <w:r w:rsidR="00175848">
        <w:t xml:space="preserve"> of a</w:t>
      </w:r>
      <w:r>
        <w:t xml:space="preserve"> new, more precise data wall</w:t>
      </w:r>
    </w:p>
    <w:p w14:paraId="48EA6D4E" w14:textId="0438C2B0" w:rsidR="00146AEF" w:rsidRDefault="00175848" w:rsidP="00067B09">
      <w:pPr>
        <w:pStyle w:val="IndentedList"/>
      </w:pPr>
      <w:r>
        <w:t>build</w:t>
      </w:r>
      <w:r w:rsidR="00396AA0">
        <w:t>s</w:t>
      </w:r>
      <w:r>
        <w:t xml:space="preserve"> a collaborative professional culture</w:t>
      </w:r>
      <w:r w:rsidR="00146AEF">
        <w:rPr>
          <w:rStyle w:val="FootnoteReference"/>
        </w:rPr>
        <w:footnoteReference w:id="15"/>
      </w:r>
    </w:p>
    <w:p w14:paraId="4D345EA9" w14:textId="14B7B9FA" w:rsidR="00AE1B46" w:rsidRDefault="00AE1B46" w:rsidP="00067B09">
      <w:pPr>
        <w:pStyle w:val="IndentedList"/>
      </w:pPr>
      <w:proofErr w:type="gramStart"/>
      <w:r>
        <w:t>impacts</w:t>
      </w:r>
      <w:proofErr w:type="gramEnd"/>
      <w:r>
        <w:t xml:space="preserve"> teaching practice and student learning.</w:t>
      </w:r>
    </w:p>
    <w:p w14:paraId="3BA676AB" w14:textId="77777777" w:rsidR="0014524E" w:rsidRDefault="00602E71" w:rsidP="000013E4">
      <w:pPr>
        <w:pStyle w:val="Heading1"/>
      </w:pPr>
      <w:r>
        <w:t>extending data walls</w:t>
      </w:r>
    </w:p>
    <w:p w14:paraId="7C23576F" w14:textId="77777777" w:rsidR="00416242" w:rsidRDefault="00416242" w:rsidP="007B0311">
      <w:pPr>
        <w:spacing w:before="120"/>
        <w:rPr>
          <w:b/>
        </w:rPr>
      </w:pPr>
      <w:r>
        <w:t>Like any tool, data walls can be extended to open up new opportunities for incorporating</w:t>
      </w:r>
      <w:r w:rsidR="00146AEF">
        <w:t xml:space="preserve"> evidence into everyday teaching</w:t>
      </w:r>
      <w:r>
        <w:t>.</w:t>
      </w:r>
    </w:p>
    <w:p w14:paraId="72DE2AF1" w14:textId="77777777" w:rsidR="000C028A" w:rsidRPr="007B0311" w:rsidRDefault="00602E71" w:rsidP="00ED3266">
      <w:pPr>
        <w:pStyle w:val="Headingbullet"/>
        <w:ind w:left="284" w:hanging="284"/>
        <w:rPr>
          <w:b w:val="0"/>
        </w:rPr>
      </w:pPr>
      <w:r w:rsidRPr="007B0311">
        <w:t>Virtual data walls</w:t>
      </w:r>
    </w:p>
    <w:p w14:paraId="502255DD" w14:textId="77777777" w:rsidR="00416242" w:rsidRDefault="00416242" w:rsidP="00416242">
      <w:pPr>
        <w:pStyle w:val="Indentedparagraph"/>
      </w:pPr>
      <w:r>
        <w:t>Screen-based displays of student data can overcome some of the limitations of physical data walls:</w:t>
      </w:r>
    </w:p>
    <w:p w14:paraId="5044D1EE" w14:textId="77777777" w:rsidR="00416242" w:rsidRDefault="00416242" w:rsidP="00416242">
      <w:pPr>
        <w:pStyle w:val="IndentedList"/>
      </w:pPr>
      <w:r>
        <w:t>A data wall can show only one measure of</w:t>
      </w:r>
      <w:r w:rsidR="004A61D8">
        <w:t xml:space="preserve"> student achievement at a time </w:t>
      </w:r>
      <w:r w:rsidR="004A61D8" w:rsidRPr="004A61D8">
        <w:t>–</w:t>
      </w:r>
      <w:r w:rsidR="004A61D8">
        <w:t xml:space="preserve"> data analysis software can combine or switch quickly between multiple measures.</w:t>
      </w:r>
    </w:p>
    <w:p w14:paraId="7B367EB5" w14:textId="77777777" w:rsidR="004A61D8" w:rsidRDefault="004A61D8" w:rsidP="004A61D8">
      <w:pPr>
        <w:pStyle w:val="IndentedList"/>
      </w:pPr>
      <w:r>
        <w:t xml:space="preserve">A data wall is in one place only </w:t>
      </w:r>
      <w:r w:rsidRPr="004A61D8">
        <w:t>–</w:t>
      </w:r>
      <w:r>
        <w:t xml:space="preserve"> data stored online is available to teachers wherever they have an internet connection.</w:t>
      </w:r>
    </w:p>
    <w:p w14:paraId="74A7F17E" w14:textId="77777777" w:rsidR="004A61D8" w:rsidRDefault="004A61D8" w:rsidP="004A61D8">
      <w:pPr>
        <w:pStyle w:val="IndentedList"/>
      </w:pPr>
      <w:r>
        <w:t xml:space="preserve">A data wall </w:t>
      </w:r>
      <w:r w:rsidR="003848D7">
        <w:t xml:space="preserve">can be time-consuming to set up and maintain </w:t>
      </w:r>
      <w:r w:rsidR="003848D7" w:rsidRPr="004A61D8">
        <w:t>–</w:t>
      </w:r>
      <w:r w:rsidR="003848D7">
        <w:t xml:space="preserve"> data analysis software can generate </w:t>
      </w:r>
      <w:proofErr w:type="spellStart"/>
      <w:r w:rsidR="003848D7">
        <w:t>colour</w:t>
      </w:r>
      <w:proofErr w:type="spellEnd"/>
      <w:r w:rsidR="003848D7">
        <w:t xml:space="preserve">-coded displays at the click of a mouse, and automatically incorporate data from online assessments. </w:t>
      </w:r>
    </w:p>
    <w:p w14:paraId="75BDF1C3" w14:textId="77777777" w:rsidR="00E85BC6" w:rsidRDefault="00E85BC6">
      <w:pPr>
        <w:spacing w:after="0" w:line="240" w:lineRule="auto"/>
        <w:rPr>
          <w:b/>
        </w:rPr>
      </w:pPr>
      <w:r>
        <w:br w:type="page"/>
      </w:r>
    </w:p>
    <w:p w14:paraId="69E865D5" w14:textId="58E8CAEE" w:rsidR="00602E71" w:rsidRDefault="00887736" w:rsidP="00ED3266">
      <w:pPr>
        <w:pStyle w:val="Headingbullet"/>
        <w:ind w:left="284" w:hanging="284"/>
        <w:rPr>
          <w:b w:val="0"/>
        </w:rPr>
      </w:pPr>
      <w:r>
        <w:lastRenderedPageBreak/>
        <w:t>Classroom data walls</w:t>
      </w:r>
    </w:p>
    <w:p w14:paraId="13978E59" w14:textId="112968A1" w:rsidR="00146AEF" w:rsidRDefault="00CA5405" w:rsidP="00CA5405">
      <w:pPr>
        <w:pStyle w:val="Indentedparagraph"/>
      </w:pPr>
      <w:r>
        <w:t>Data walls can be opened up to students and even parents</w:t>
      </w:r>
      <w:r w:rsidR="00023D88">
        <w:t>/</w:t>
      </w:r>
      <w:proofErr w:type="spellStart"/>
      <w:r w:rsidR="00023D88">
        <w:t>carers</w:t>
      </w:r>
      <w:proofErr w:type="spellEnd"/>
      <w:r>
        <w:t>.</w:t>
      </w:r>
      <w:r w:rsidR="00DF1B28">
        <w:t xml:space="preserve"> </w:t>
      </w:r>
      <w:r w:rsidR="00645358">
        <w:t xml:space="preserve">Teachers can use </w:t>
      </w:r>
      <w:r w:rsidR="00DF1B28">
        <w:t>visual displays</w:t>
      </w:r>
      <w:r w:rsidR="00645358">
        <w:t xml:space="preserve"> </w:t>
      </w:r>
      <w:r w:rsidR="00942BC2">
        <w:t xml:space="preserve">of carefully-selected and appropriate data </w:t>
      </w:r>
      <w:r w:rsidR="00645358">
        <w:t xml:space="preserve">to </w:t>
      </w:r>
      <w:r w:rsidR="00887736">
        <w:t xml:space="preserve">provide </w:t>
      </w:r>
      <w:r w:rsidR="00E118CB" w:rsidRPr="00E118CB">
        <w:t>ongoing, learner-specific feedback that excites and engages students toward continued growth</w:t>
      </w:r>
      <w:r w:rsidR="00A04A3C">
        <w:t>.</w:t>
      </w:r>
      <w:r w:rsidR="00076D50">
        <w:t xml:space="preserve"> </w:t>
      </w:r>
      <w:r w:rsidR="00A04A3C">
        <w:t xml:space="preserve">This </w:t>
      </w:r>
      <w:r w:rsidR="00645358">
        <w:t>build</w:t>
      </w:r>
      <w:r w:rsidR="00DF1B28">
        <w:t>s</w:t>
      </w:r>
      <w:r w:rsidR="00645358">
        <w:t xml:space="preserve"> student capacity to monitor and evaluate their own progress and achievement.</w:t>
      </w:r>
      <w:r w:rsidR="00E0771D">
        <w:rPr>
          <w:rStyle w:val="FootnoteReference"/>
        </w:rPr>
        <w:footnoteReference w:id="16"/>
      </w:r>
      <w:r w:rsidR="00146AEF">
        <w:t xml:space="preserve"> Before opening up your data wall, consider how it might affect the confidence and self-esteem of some students.</w:t>
      </w:r>
      <w:r w:rsidR="00076D50">
        <w:t xml:space="preserve"> </w:t>
      </w:r>
    </w:p>
    <w:p w14:paraId="0A60E7A4" w14:textId="77777777" w:rsidR="00C42335" w:rsidRPr="00C42335" w:rsidRDefault="00BE0CC5" w:rsidP="00023D88">
      <w:pPr>
        <w:pStyle w:val="Heading1"/>
      </w:pPr>
      <w:r>
        <w:t>FOR FURTHER EXPLORATION</w:t>
      </w:r>
    </w:p>
    <w:p w14:paraId="42A32BFC" w14:textId="182B5B4C" w:rsidR="00C42335" w:rsidRDefault="00BE0CC5" w:rsidP="00F20084">
      <w:r>
        <w:t xml:space="preserve">Many primary schools are already successfully using data walls to support literacy-related key improvement strategies in their school AIP. Introducing </w:t>
      </w:r>
      <w:r w:rsidR="00F20084">
        <w:t>data walls to a large school, or a</w:t>
      </w:r>
      <w:r>
        <w:t xml:space="preserve"> secondary school</w:t>
      </w:r>
      <w:r w:rsidR="00F20084">
        <w:t xml:space="preserve"> with many learning areas, can present challenges. The Department is keen to hear from leaders and teachers that are </w:t>
      </w:r>
      <w:r w:rsidR="00822846">
        <w:t>(</w:t>
      </w:r>
      <w:r w:rsidR="00F20084">
        <w:t>or have ideas about</w:t>
      </w:r>
      <w:r w:rsidR="00822846">
        <w:t>)</w:t>
      </w:r>
      <w:r w:rsidR="00F20084">
        <w:t xml:space="preserve"> adapting data walls for these sett</w:t>
      </w:r>
      <w:r w:rsidR="00342387">
        <w:t>ings (see contact email address at end of note</w:t>
      </w:r>
      <w:r w:rsidR="00F20084">
        <w:t xml:space="preserve">).    </w:t>
      </w:r>
    </w:p>
    <w:p w14:paraId="08DB3F3D" w14:textId="77777777" w:rsidR="007B1629" w:rsidRDefault="007B1629" w:rsidP="000013E4">
      <w:pPr>
        <w:pStyle w:val="Heading1"/>
      </w:pPr>
      <w:r>
        <w:t>LINKS TO KEY EDUCATION STATE INITIATIVES</w:t>
      </w:r>
    </w:p>
    <w:p w14:paraId="5E15AEB9" w14:textId="6BFAA46E" w:rsidR="007B1629" w:rsidRPr="007B1629" w:rsidRDefault="007B1629" w:rsidP="007B1629">
      <w:pPr>
        <w:rPr>
          <w:b/>
        </w:rPr>
      </w:pPr>
      <w:r w:rsidRPr="007B1629">
        <w:rPr>
          <w:b/>
        </w:rPr>
        <w:t>Framework for Improving Student Outcomes</w:t>
      </w:r>
    </w:p>
    <w:p w14:paraId="00DCC574" w14:textId="77777777" w:rsidR="007B1629" w:rsidRPr="007F12C9" w:rsidRDefault="007F12C9" w:rsidP="007B1629">
      <w:r>
        <w:t>Evaluating the impact of teaching on student learning is a critical step in the Framework for Improving Student Outcomes (FISO)</w:t>
      </w:r>
      <w:r>
        <w:rPr>
          <w:rStyle w:val="FootnoteReference"/>
        </w:rPr>
        <w:footnoteReference w:id="17"/>
      </w:r>
      <w:r>
        <w:t xml:space="preserve"> Improvement Cycle. </w:t>
      </w:r>
      <w:proofErr w:type="spellStart"/>
      <w:r w:rsidR="006910E5">
        <w:t>Analysing</w:t>
      </w:r>
      <w:proofErr w:type="spellEnd"/>
      <w:r>
        <w:t xml:space="preserve"> </w:t>
      </w:r>
      <w:r w:rsidR="006910E5">
        <w:t>assessment data</w:t>
      </w:r>
      <w:r w:rsidR="00D250F4">
        <w:t xml:space="preserve"> </w:t>
      </w:r>
      <w:r w:rsidR="006910E5">
        <w:t>to guide each cycle of practice improvement is an essential element of the FISO</w:t>
      </w:r>
      <w:r w:rsidR="006910E5" w:rsidRPr="006910E5">
        <w:t xml:space="preserve"> high-impact Improvement Initiative</w:t>
      </w:r>
      <w:r w:rsidR="006910E5">
        <w:t xml:space="preserve"> </w:t>
      </w:r>
      <w:r>
        <w:rPr>
          <w:i/>
        </w:rPr>
        <w:t>Building practice excellence</w:t>
      </w:r>
      <w:r w:rsidR="006910E5">
        <w:t>.</w:t>
      </w:r>
      <w:r w:rsidR="00D250F4">
        <w:t xml:space="preserve"> By using data walls and other tools to monitor student learning </w:t>
      </w:r>
      <w:r w:rsidR="00AB4F77">
        <w:t xml:space="preserve">as part of the FISO Improvement Cycle, </w:t>
      </w:r>
      <w:r w:rsidR="00AE4753">
        <w:t>schools</w:t>
      </w:r>
      <w:r w:rsidR="00AB4F77">
        <w:t xml:space="preserve"> can ensure </w:t>
      </w:r>
      <w:r w:rsidR="00AE4753">
        <w:t>the teaching in every</w:t>
      </w:r>
      <w:r w:rsidR="00AB4F77">
        <w:t xml:space="preserve"> classroom </w:t>
      </w:r>
      <w:r w:rsidR="00AE4753">
        <w:t xml:space="preserve">is improving the learning of </w:t>
      </w:r>
      <w:r w:rsidR="00AB4F77">
        <w:t>every student.</w:t>
      </w:r>
    </w:p>
    <w:p w14:paraId="125C688C" w14:textId="77777777" w:rsidR="007B1629" w:rsidRDefault="007B1629" w:rsidP="007B1629">
      <w:pPr>
        <w:rPr>
          <w:b/>
        </w:rPr>
      </w:pPr>
      <w:r w:rsidRPr="007B1629">
        <w:rPr>
          <w:b/>
        </w:rPr>
        <w:t>Practice Principles for Excellence in Teaching and Learning</w:t>
      </w:r>
    </w:p>
    <w:p w14:paraId="7E238A9A" w14:textId="77777777" w:rsidR="009A3209" w:rsidRDefault="006910E5" w:rsidP="007B1629">
      <w:r>
        <w:t xml:space="preserve">The </w:t>
      </w:r>
      <w:r w:rsidRPr="006910E5">
        <w:t>Practice Principles for Excellence in Teaching and Learning</w:t>
      </w:r>
      <w:r>
        <w:t xml:space="preserve"> (Practice Principles)</w:t>
      </w:r>
      <w:r w:rsidR="00773A7F">
        <w:t xml:space="preserve"> </w:t>
      </w:r>
      <w:r w:rsidR="009A3209">
        <w:t xml:space="preserve">provide a foundation for the conversations, collaborations and actions at the </w:t>
      </w:r>
      <w:proofErr w:type="spellStart"/>
      <w:r w:rsidR="009A3209">
        <w:t>centre</w:t>
      </w:r>
      <w:proofErr w:type="spellEnd"/>
      <w:r w:rsidR="009A3209">
        <w:t xml:space="preserve"> of teaching and learning. A substantial body of research links each Practice Principle to improved student achievement and motivation.</w:t>
      </w:r>
    </w:p>
    <w:p w14:paraId="34891FEF" w14:textId="77777777" w:rsidR="009A3209" w:rsidRPr="009A3209" w:rsidRDefault="009A3209" w:rsidP="007B1629">
      <w:r>
        <w:t>Practice Princ</w:t>
      </w:r>
      <w:r w:rsidR="00A01B35">
        <w:t>i</w:t>
      </w:r>
      <w:r>
        <w:t xml:space="preserve">ple 6: </w:t>
      </w:r>
      <w:r>
        <w:rPr>
          <w:i/>
        </w:rPr>
        <w:t>Rigorous assessment practices and feedback inform teaching and learning</w:t>
      </w:r>
      <w:r>
        <w:t xml:space="preserve"> supports the use of data walls and other monitoring tools </w:t>
      </w:r>
      <w:r w:rsidR="00D250F4">
        <w:t>to diagnose student learning needs and identify areas of practice for improvement.</w:t>
      </w:r>
    </w:p>
    <w:p w14:paraId="0B9AD7F0" w14:textId="77777777" w:rsidR="00F5229C" w:rsidRDefault="00F5229C" w:rsidP="000013E4">
      <w:pPr>
        <w:pStyle w:val="Heading1"/>
      </w:pPr>
      <w:r>
        <w:t>Other support</w:t>
      </w:r>
    </w:p>
    <w:p w14:paraId="4E5AC9EF" w14:textId="4A842394" w:rsidR="00F5229C" w:rsidRDefault="00F5229C" w:rsidP="00F5229C">
      <w:pPr>
        <w:spacing w:before="120"/>
      </w:pPr>
      <w:r>
        <w:t>This note is part of a series of professional practice notes to support school</w:t>
      </w:r>
      <w:r w:rsidR="0006034B">
        <w:t>-</w:t>
      </w:r>
      <w:r w:rsidR="00557FB9">
        <w:t xml:space="preserve">based staff to </w:t>
      </w:r>
      <w:r w:rsidR="00146AEF">
        <w:t>continue improving</w:t>
      </w:r>
      <w:r>
        <w:t xml:space="preserve"> their practice. </w:t>
      </w:r>
      <w:r w:rsidR="00595E10">
        <w:t xml:space="preserve">See </w:t>
      </w:r>
      <w:hyperlink r:id="rId12" w:history="1">
        <w:r w:rsidR="00595E10" w:rsidRPr="00595E10">
          <w:rPr>
            <w:rStyle w:val="Hyperlink"/>
          </w:rPr>
          <w:t>Professional Practice Elements</w:t>
        </w:r>
      </w:hyperlink>
      <w:bookmarkStart w:id="0" w:name="_GoBack"/>
      <w:bookmarkEnd w:id="0"/>
      <w:r w:rsidR="00595E10">
        <w:t xml:space="preserve"> for more information</w:t>
      </w:r>
      <w:r w:rsidR="00D3359D">
        <w:t>.</w:t>
      </w:r>
    </w:p>
    <w:p w14:paraId="3E56D5BE" w14:textId="249D9C90" w:rsidR="00FB1B95" w:rsidRDefault="00A84A9A" w:rsidP="00F5229C">
      <w:pPr>
        <w:spacing w:before="120"/>
      </w:pPr>
      <w:r>
        <w:t xml:space="preserve">International education expert </w:t>
      </w:r>
      <w:proofErr w:type="spellStart"/>
      <w:r w:rsidR="00FB1B95" w:rsidRPr="008E2560">
        <w:t>Dr</w:t>
      </w:r>
      <w:proofErr w:type="spellEnd"/>
      <w:r w:rsidR="00FB1B95" w:rsidRPr="008E2560">
        <w:t xml:space="preserve"> Lyn </w:t>
      </w:r>
      <w:proofErr w:type="spellStart"/>
      <w:r w:rsidR="00FB1B95" w:rsidRPr="008E2560">
        <w:t>Sharratt</w:t>
      </w:r>
      <w:proofErr w:type="spellEnd"/>
      <w:r w:rsidR="00FB1B95" w:rsidRPr="008E2560">
        <w:t xml:space="preserve"> presented at the 2017 Regional Conferences on data walls. </w:t>
      </w:r>
      <w:r w:rsidR="00342387">
        <w:t>A video of the presentation</w:t>
      </w:r>
      <w:r w:rsidR="00FB1B95" w:rsidRPr="008E2560">
        <w:t xml:space="preserve"> can be found </w:t>
      </w:r>
      <w:hyperlink r:id="rId13" w:history="1">
        <w:r w:rsidR="008E2560" w:rsidRPr="008E2560">
          <w:rPr>
            <w:rStyle w:val="Hyperlink"/>
          </w:rPr>
          <w:t>here</w:t>
        </w:r>
      </w:hyperlink>
      <w:r w:rsidR="008E2560" w:rsidRPr="008E2560">
        <w:t>.</w:t>
      </w:r>
    </w:p>
    <w:p w14:paraId="0C01B510" w14:textId="77777777" w:rsidR="003F2472" w:rsidRPr="00C06749" w:rsidRDefault="00F5229C" w:rsidP="00C06749">
      <w:pPr>
        <w:spacing w:before="120"/>
      </w:pPr>
      <w:r w:rsidRPr="00F5229C">
        <w:t>For more information, or to share your feedback on this resource</w:t>
      </w:r>
      <w:r>
        <w:t xml:space="preserve">, please email: </w:t>
      </w:r>
      <w:hyperlink r:id="rId14" w:history="1">
        <w:r w:rsidRPr="007E542E">
          <w:rPr>
            <w:rStyle w:val="Hyperlink"/>
          </w:rPr>
          <w:t>professional.practice@edumail.vic.gov.au</w:t>
        </w:r>
      </w:hyperlink>
      <w:r w:rsidR="00C06749">
        <w:t>.</w:t>
      </w:r>
    </w:p>
    <w:sectPr w:rsidR="003F2472" w:rsidRPr="00C06749" w:rsidSect="00230E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289" w:right="1134" w:bottom="1702" w:left="737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6922" w14:textId="77777777" w:rsidR="00BC008F" w:rsidRDefault="00BC008F" w:rsidP="008766A4">
      <w:r>
        <w:separator/>
      </w:r>
    </w:p>
  </w:endnote>
  <w:endnote w:type="continuationSeparator" w:id="0">
    <w:p w14:paraId="38124445" w14:textId="77777777" w:rsidR="00BC008F" w:rsidRDefault="00BC008F" w:rsidP="008766A4">
      <w:r>
        <w:continuationSeparator/>
      </w:r>
    </w:p>
  </w:endnote>
  <w:endnote w:type="continuationNotice" w:id="1">
    <w:p w14:paraId="23A8FA0C" w14:textId="77777777" w:rsidR="00BC008F" w:rsidRDefault="00BC0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IC Medium">
    <w:altName w:val="VIC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F720" w14:textId="77777777" w:rsidR="004B1ADB" w:rsidRDefault="004B1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812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1E42A" w14:textId="13EF7657" w:rsidR="00F45F94" w:rsidRDefault="00F45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C4FC8" w14:textId="2B1AA5A8" w:rsidR="007F57F8" w:rsidRPr="003E29B5" w:rsidRDefault="007F57F8" w:rsidP="008766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19EC" w14:textId="77777777" w:rsidR="004B1ADB" w:rsidRDefault="004B1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C1EF" w14:textId="77777777" w:rsidR="00BC008F" w:rsidRDefault="00BC008F" w:rsidP="008766A4">
      <w:r>
        <w:separator/>
      </w:r>
    </w:p>
  </w:footnote>
  <w:footnote w:type="continuationSeparator" w:id="0">
    <w:p w14:paraId="4EF0FE11" w14:textId="77777777" w:rsidR="00BC008F" w:rsidRDefault="00BC008F" w:rsidP="008766A4">
      <w:r>
        <w:continuationSeparator/>
      </w:r>
    </w:p>
  </w:footnote>
  <w:footnote w:type="continuationNotice" w:id="1">
    <w:p w14:paraId="236131CA" w14:textId="77777777" w:rsidR="00BC008F" w:rsidRDefault="00BC008F">
      <w:pPr>
        <w:spacing w:after="0" w:line="240" w:lineRule="auto"/>
      </w:pPr>
    </w:p>
  </w:footnote>
  <w:footnote w:id="2">
    <w:p w14:paraId="2157AF52" w14:textId="77777777" w:rsidR="007F57F8" w:rsidRPr="00701979" w:rsidRDefault="007F57F8" w:rsidP="007A7CE2">
      <w:pPr>
        <w:pStyle w:val="FootnoteText"/>
        <w:rPr>
          <w:sz w:val="16"/>
          <w:szCs w:val="16"/>
          <w:lang w:val="en-AU"/>
        </w:rPr>
      </w:pPr>
      <w:r w:rsidRPr="00701979">
        <w:rPr>
          <w:rStyle w:val="FootnoteReference"/>
          <w:sz w:val="16"/>
          <w:szCs w:val="16"/>
        </w:rPr>
        <w:footnoteRef/>
      </w:r>
      <w:r w:rsidRPr="00701979">
        <w:rPr>
          <w:sz w:val="16"/>
          <w:szCs w:val="16"/>
        </w:rPr>
        <w:t xml:space="preserve"> </w:t>
      </w:r>
      <w:proofErr w:type="spellStart"/>
      <w:r w:rsidRPr="00701979">
        <w:rPr>
          <w:sz w:val="16"/>
          <w:szCs w:val="16"/>
          <w:lang w:val="en-AU"/>
        </w:rPr>
        <w:t>Sharratt</w:t>
      </w:r>
      <w:proofErr w:type="spellEnd"/>
      <w:r w:rsidRPr="00701979">
        <w:rPr>
          <w:sz w:val="16"/>
          <w:szCs w:val="16"/>
          <w:lang w:val="en-AU"/>
        </w:rPr>
        <w:t xml:space="preserve">, L. </w:t>
      </w:r>
      <w:r>
        <w:rPr>
          <w:sz w:val="16"/>
          <w:szCs w:val="16"/>
          <w:lang w:val="en-AU"/>
        </w:rPr>
        <w:t>and</w:t>
      </w:r>
      <w:r w:rsidRPr="00701979">
        <w:rPr>
          <w:sz w:val="16"/>
          <w:szCs w:val="16"/>
          <w:lang w:val="en-AU"/>
        </w:rPr>
        <w:t xml:space="preserve"> </w:t>
      </w:r>
      <w:proofErr w:type="spellStart"/>
      <w:r w:rsidRPr="00701979">
        <w:rPr>
          <w:sz w:val="16"/>
          <w:szCs w:val="16"/>
          <w:lang w:val="en-AU"/>
        </w:rPr>
        <w:t>Fullan</w:t>
      </w:r>
      <w:proofErr w:type="spellEnd"/>
      <w:r w:rsidRPr="00701979">
        <w:rPr>
          <w:sz w:val="16"/>
          <w:szCs w:val="16"/>
          <w:lang w:val="en-AU"/>
        </w:rPr>
        <w:t xml:space="preserve">, M. (2012). </w:t>
      </w:r>
      <w:r w:rsidRPr="00701979">
        <w:rPr>
          <w:i/>
          <w:sz w:val="16"/>
          <w:szCs w:val="16"/>
          <w:lang w:val="en-AU"/>
        </w:rPr>
        <w:t>Putting FACES on the data</w:t>
      </w:r>
      <w:r w:rsidRPr="00701979">
        <w:rPr>
          <w:sz w:val="16"/>
          <w:szCs w:val="16"/>
          <w:lang w:val="en-AU"/>
        </w:rPr>
        <w:t xml:space="preserve">: </w:t>
      </w:r>
      <w:r w:rsidRPr="007F57F8">
        <w:rPr>
          <w:i/>
          <w:sz w:val="16"/>
          <w:szCs w:val="16"/>
          <w:lang w:val="en-AU"/>
        </w:rPr>
        <w:t xml:space="preserve">What great leaders do! </w:t>
      </w:r>
      <w:r w:rsidRPr="00701979">
        <w:rPr>
          <w:sz w:val="16"/>
          <w:szCs w:val="16"/>
          <w:lang w:val="en-AU"/>
        </w:rPr>
        <w:t>Thousand Oaks, CA: Corwin.</w:t>
      </w:r>
    </w:p>
  </w:footnote>
  <w:footnote w:id="3">
    <w:p w14:paraId="3BED90F1" w14:textId="77777777" w:rsidR="007F57F8" w:rsidRPr="003C1C09" w:rsidRDefault="007F57F8" w:rsidP="00411669">
      <w:pPr>
        <w:pStyle w:val="FootnoteText"/>
        <w:rPr>
          <w:sz w:val="16"/>
          <w:szCs w:val="16"/>
          <w:lang w:val="en-AU"/>
        </w:rPr>
      </w:pPr>
      <w:r w:rsidRPr="003C1C09">
        <w:rPr>
          <w:rStyle w:val="FootnoteReference"/>
          <w:sz w:val="16"/>
          <w:szCs w:val="16"/>
        </w:rPr>
        <w:footnoteRef/>
      </w:r>
      <w:r w:rsidRPr="003C1C09">
        <w:rPr>
          <w:sz w:val="16"/>
          <w:szCs w:val="16"/>
        </w:rPr>
        <w:t xml:space="preserve"> </w:t>
      </w:r>
      <w:r>
        <w:rPr>
          <w:sz w:val="16"/>
          <w:szCs w:val="16"/>
        </w:rPr>
        <w:t>Visible Learning (unknown),</w:t>
      </w:r>
      <w:r w:rsidRPr="003C1C09">
        <w:rPr>
          <w:sz w:val="16"/>
          <w:szCs w:val="16"/>
        </w:rPr>
        <w:t xml:space="preserve"> </w:t>
      </w:r>
      <w:r w:rsidRPr="00193897">
        <w:rPr>
          <w:i/>
          <w:sz w:val="16"/>
          <w:szCs w:val="16"/>
          <w:lang w:val="en-AU"/>
        </w:rPr>
        <w:t>Hattie Ranking - Interactive Visualization</w:t>
      </w:r>
      <w:r w:rsidRPr="004A6B1D">
        <w:rPr>
          <w:sz w:val="16"/>
          <w:szCs w:val="16"/>
          <w:lang w:val="en-AU"/>
        </w:rPr>
        <w:t>.</w:t>
      </w:r>
      <w:r>
        <w:rPr>
          <w:sz w:val="16"/>
          <w:szCs w:val="16"/>
          <w:lang w:val="en-AU"/>
        </w:rPr>
        <w:t xml:space="preserve"> </w:t>
      </w:r>
      <w:r w:rsidRPr="004A6B1D">
        <w:rPr>
          <w:sz w:val="16"/>
          <w:szCs w:val="16"/>
          <w:lang w:val="en-AU"/>
        </w:rPr>
        <w:t xml:space="preserve">Retrieved February 22, 2018, from </w:t>
      </w:r>
      <w:hyperlink r:id="rId1" w:history="1">
        <w:r w:rsidRPr="005E5144">
          <w:rPr>
            <w:rStyle w:val="Hyperlink"/>
            <w:sz w:val="16"/>
            <w:szCs w:val="16"/>
            <w:lang w:val="en-AU"/>
          </w:rPr>
          <w:t>https://visible-learning.org/nvd3/visualize/hattie-ranking-interactive-2009-2011-2015.html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4">
    <w:p w14:paraId="23DE3137" w14:textId="77777777" w:rsidR="007F57F8" w:rsidRPr="00B718C0" w:rsidRDefault="007F57F8" w:rsidP="0064038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B718C0">
        <w:rPr>
          <w:sz w:val="16"/>
          <w:szCs w:val="16"/>
        </w:rPr>
        <w:t xml:space="preserve">Goss, P. </w:t>
      </w:r>
      <w:r w:rsidR="00E104CB">
        <w:rPr>
          <w:sz w:val="16"/>
          <w:szCs w:val="16"/>
        </w:rPr>
        <w:t>and</w:t>
      </w:r>
      <w:r w:rsidRPr="00B718C0">
        <w:rPr>
          <w:sz w:val="16"/>
          <w:szCs w:val="16"/>
        </w:rPr>
        <w:t xml:space="preserve"> Hunter, J. </w:t>
      </w:r>
      <w:r>
        <w:rPr>
          <w:sz w:val="16"/>
          <w:szCs w:val="16"/>
        </w:rPr>
        <w:t>(</w:t>
      </w:r>
      <w:r w:rsidRPr="00B718C0">
        <w:rPr>
          <w:sz w:val="16"/>
          <w:szCs w:val="16"/>
        </w:rPr>
        <w:t>2015</w:t>
      </w:r>
      <w:r>
        <w:rPr>
          <w:sz w:val="16"/>
          <w:szCs w:val="16"/>
        </w:rPr>
        <w:t xml:space="preserve">). </w:t>
      </w:r>
      <w:r w:rsidRPr="007F57F8">
        <w:rPr>
          <w:i/>
          <w:sz w:val="16"/>
          <w:szCs w:val="16"/>
        </w:rPr>
        <w:t>Targeted teaching: How better use of data can improve student learning</w:t>
      </w:r>
      <w:r w:rsidRPr="00B718C0">
        <w:rPr>
          <w:sz w:val="16"/>
          <w:szCs w:val="16"/>
        </w:rPr>
        <w:t>. Grattan Institute.</w:t>
      </w:r>
    </w:p>
  </w:footnote>
  <w:footnote w:id="5">
    <w:p w14:paraId="1E12BF48" w14:textId="77777777" w:rsidR="00E104CB" w:rsidRPr="00E104CB" w:rsidRDefault="00E104C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104CB">
        <w:rPr>
          <w:sz w:val="16"/>
          <w:szCs w:val="16"/>
        </w:rPr>
        <w:t>DET –</w:t>
      </w:r>
      <w:r>
        <w:rPr>
          <w:sz w:val="16"/>
          <w:szCs w:val="16"/>
        </w:rPr>
        <w:t xml:space="preserve"> Professional Learning Communities: </w:t>
      </w:r>
      <w:hyperlink r:id="rId2" w:history="1">
        <w:r w:rsidRPr="000238B0">
          <w:rPr>
            <w:rStyle w:val="Hyperlink"/>
            <w:sz w:val="16"/>
            <w:szCs w:val="16"/>
          </w:rPr>
          <w:t>http://www.education.vic.gov.au/school/teachers/management/improvement/Pages/proflearncommunities.aspx</w:t>
        </w:r>
      </w:hyperlink>
      <w:r>
        <w:rPr>
          <w:sz w:val="16"/>
          <w:szCs w:val="16"/>
        </w:rPr>
        <w:t xml:space="preserve"> </w:t>
      </w:r>
    </w:p>
  </w:footnote>
  <w:footnote w:id="6">
    <w:p w14:paraId="5040FEC1" w14:textId="77777777" w:rsidR="008704A0" w:rsidRPr="00937E76" w:rsidRDefault="008704A0" w:rsidP="008704A0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 xml:space="preserve">For literacy assessment ideas and resources, see the Victorian Literacy Portal:  </w:t>
      </w:r>
      <w:hyperlink r:id="rId3" w:history="1">
        <w:r w:rsidRPr="000C7F59">
          <w:rPr>
            <w:rStyle w:val="Hyperlink"/>
            <w:sz w:val="16"/>
            <w:szCs w:val="16"/>
            <w:lang w:val="en-AU"/>
          </w:rPr>
          <w:t>http://www.education.vic.gov.au/school/teachers/teachingresources/literacynumeracy/Pages/literacyportal.aspx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7">
    <w:p w14:paraId="687A0488" w14:textId="77777777" w:rsidR="007F57F8" w:rsidRPr="00492D0E" w:rsidRDefault="007F57F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2D0E">
        <w:rPr>
          <w:sz w:val="16"/>
          <w:szCs w:val="16"/>
          <w:lang w:val="en-AU"/>
        </w:rPr>
        <w:t>The Knowledge Institute</w:t>
      </w:r>
      <w:r>
        <w:rPr>
          <w:sz w:val="16"/>
          <w:szCs w:val="16"/>
          <w:lang w:val="en-AU"/>
        </w:rPr>
        <w:t>:</w:t>
      </w:r>
      <w:r w:rsidRPr="00492D0E">
        <w:rPr>
          <w:sz w:val="16"/>
          <w:szCs w:val="16"/>
          <w:lang w:val="en-AU"/>
        </w:rPr>
        <w:t xml:space="preserve"> </w:t>
      </w:r>
      <w:hyperlink r:id="rId4" w:history="1">
        <w:r w:rsidRPr="005E5144">
          <w:rPr>
            <w:rStyle w:val="Hyperlink"/>
            <w:sz w:val="16"/>
            <w:szCs w:val="16"/>
            <w:lang w:val="en-AU"/>
          </w:rPr>
          <w:t>https://knowledgeinstitute.co.nz/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8">
    <w:p w14:paraId="2C0CCE1E" w14:textId="77777777" w:rsidR="007F57F8" w:rsidRPr="00F93BDE" w:rsidRDefault="007F57F8" w:rsidP="00F93BD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E104CB">
        <w:rPr>
          <w:sz w:val="16"/>
          <w:szCs w:val="16"/>
          <w:lang w:val="en-AU"/>
        </w:rPr>
        <w:t>DET – Schools’ Privacy Policy</w:t>
      </w:r>
      <w:r w:rsidR="00023D88">
        <w:rPr>
          <w:sz w:val="16"/>
          <w:szCs w:val="16"/>
          <w:lang w:val="en-AU"/>
        </w:rPr>
        <w:t>:</w:t>
      </w:r>
      <w:r>
        <w:rPr>
          <w:sz w:val="16"/>
          <w:szCs w:val="16"/>
          <w:lang w:val="en-AU"/>
        </w:rPr>
        <w:t xml:space="preserve"> </w:t>
      </w:r>
      <w:hyperlink r:id="rId5" w:history="1">
        <w:r w:rsidRPr="00020FA8">
          <w:rPr>
            <w:rStyle w:val="Hyperlink"/>
            <w:sz w:val="16"/>
            <w:szCs w:val="16"/>
          </w:rPr>
          <w:t>http://www.education.vic.gov.au/Pages/schoolsprivacypolicy.aspx</w:t>
        </w:r>
      </w:hyperlink>
      <w:r>
        <w:t xml:space="preserve"> </w:t>
      </w:r>
    </w:p>
  </w:footnote>
  <w:footnote w:id="9">
    <w:p w14:paraId="024C2048" w14:textId="77777777" w:rsidR="0003658B" w:rsidRPr="0003658B" w:rsidRDefault="0003658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3658B">
        <w:rPr>
          <w:sz w:val="16"/>
          <w:szCs w:val="16"/>
          <w:lang w:val="en-AU"/>
        </w:rPr>
        <w:t>Sharratt</w:t>
      </w:r>
      <w:proofErr w:type="spellEnd"/>
      <w:r w:rsidRPr="0003658B">
        <w:rPr>
          <w:sz w:val="16"/>
          <w:szCs w:val="16"/>
          <w:lang w:val="en-AU"/>
        </w:rPr>
        <w:t xml:space="preserve">, L. and </w:t>
      </w:r>
      <w:proofErr w:type="spellStart"/>
      <w:r w:rsidRPr="0003658B">
        <w:rPr>
          <w:sz w:val="16"/>
          <w:szCs w:val="16"/>
          <w:lang w:val="en-AU"/>
        </w:rPr>
        <w:t>Fullan</w:t>
      </w:r>
      <w:proofErr w:type="spellEnd"/>
      <w:r w:rsidRPr="0003658B">
        <w:rPr>
          <w:sz w:val="16"/>
          <w:szCs w:val="16"/>
          <w:lang w:val="en-AU"/>
        </w:rPr>
        <w:t>, M. (2012). Putting FACES on the data: What great leaders do! Thousand Oaks, CA: Corwin.</w:t>
      </w:r>
    </w:p>
  </w:footnote>
  <w:footnote w:id="10">
    <w:p w14:paraId="3D7F134B" w14:textId="77777777" w:rsidR="00AE1DD2" w:rsidRPr="00AE1DD2" w:rsidRDefault="00AE1DD2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 xml:space="preserve">The </w:t>
      </w:r>
      <w:proofErr w:type="spellStart"/>
      <w:r>
        <w:rPr>
          <w:sz w:val="16"/>
          <w:szCs w:val="16"/>
          <w:lang w:val="en-AU"/>
        </w:rPr>
        <w:t>Bastow</w:t>
      </w:r>
      <w:proofErr w:type="spellEnd"/>
      <w:r>
        <w:rPr>
          <w:sz w:val="16"/>
          <w:szCs w:val="16"/>
          <w:lang w:val="en-AU"/>
        </w:rPr>
        <w:t xml:space="preserve"> Institute of Educational Leadership offers programs and courses covering data literacy: </w:t>
      </w:r>
      <w:hyperlink r:id="rId6" w:history="1">
        <w:r w:rsidRPr="000238B0">
          <w:rPr>
            <w:rStyle w:val="Hyperlink"/>
            <w:sz w:val="16"/>
            <w:szCs w:val="16"/>
            <w:lang w:val="en-AU"/>
          </w:rPr>
          <w:t>https://www.bastow.vic.edu.au/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11">
    <w:p w14:paraId="4F13F35F" w14:textId="77777777" w:rsidR="00E0771D" w:rsidRPr="00E0771D" w:rsidRDefault="00E0771D" w:rsidP="00E0771D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 xml:space="preserve">See </w:t>
      </w:r>
      <w:r w:rsidRPr="00E0771D">
        <w:rPr>
          <w:i/>
          <w:sz w:val="16"/>
          <w:szCs w:val="16"/>
          <w:lang w:val="en-AU"/>
        </w:rPr>
        <w:t xml:space="preserve">Principle </w:t>
      </w:r>
      <w:r>
        <w:rPr>
          <w:i/>
          <w:sz w:val="16"/>
          <w:szCs w:val="16"/>
          <w:lang w:val="en-AU"/>
        </w:rPr>
        <w:t>6</w:t>
      </w:r>
      <w:r w:rsidRPr="00E0771D">
        <w:rPr>
          <w:i/>
          <w:sz w:val="16"/>
          <w:szCs w:val="16"/>
          <w:lang w:val="en-AU"/>
        </w:rPr>
        <w:t>: Rigorous assessment practices and feedback inform teaching and learning</w:t>
      </w:r>
      <w:r>
        <w:rPr>
          <w:i/>
          <w:sz w:val="16"/>
          <w:szCs w:val="16"/>
          <w:lang w:val="en-AU"/>
        </w:rPr>
        <w:t xml:space="preserve"> </w:t>
      </w:r>
      <w:r w:rsidRPr="00E0771D">
        <w:rPr>
          <w:sz w:val="16"/>
          <w:szCs w:val="16"/>
          <w:lang w:val="en-AU"/>
        </w:rPr>
        <w:t>of</w:t>
      </w:r>
      <w:r>
        <w:rPr>
          <w:sz w:val="16"/>
          <w:szCs w:val="16"/>
          <w:lang w:val="en-AU"/>
        </w:rPr>
        <w:t xml:space="preserve"> the Practice Principles (op. cit.)</w:t>
      </w:r>
    </w:p>
  </w:footnote>
  <w:footnote w:id="12">
    <w:p w14:paraId="4B6C6D29" w14:textId="2B91A905" w:rsidR="00045F3C" w:rsidRPr="00045F3C" w:rsidRDefault="00045F3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>DET –</w:t>
      </w:r>
      <w:r w:rsidR="004613CE">
        <w:rPr>
          <w:sz w:val="16"/>
          <w:szCs w:val="16"/>
          <w:lang w:val="en-AU"/>
        </w:rPr>
        <w:t xml:space="preserve"> </w:t>
      </w:r>
      <w:r w:rsidRPr="00045F3C">
        <w:rPr>
          <w:sz w:val="16"/>
          <w:szCs w:val="16"/>
          <w:lang w:val="en-AU"/>
        </w:rPr>
        <w:t>Practice Principles for Excellence in Teaching</w:t>
      </w:r>
      <w:r>
        <w:rPr>
          <w:sz w:val="16"/>
          <w:szCs w:val="16"/>
          <w:lang w:val="en-AU"/>
        </w:rPr>
        <w:t>:</w:t>
      </w:r>
      <w:r w:rsidRPr="00045F3C">
        <w:rPr>
          <w:sz w:val="16"/>
          <w:szCs w:val="16"/>
          <w:lang w:val="en-AU"/>
        </w:rPr>
        <w:t xml:space="preserve"> </w:t>
      </w:r>
      <w:hyperlink r:id="rId7" w:history="1">
        <w:r w:rsidRPr="000C7F59">
          <w:rPr>
            <w:rStyle w:val="Hyperlink"/>
            <w:sz w:val="16"/>
            <w:szCs w:val="16"/>
          </w:rPr>
          <w:t>http://www.education.vic.gov.au/school/teachers/teachingresources/practice/Pages/principlesexcellence.aspx</w:t>
        </w:r>
      </w:hyperlink>
      <w:r>
        <w:rPr>
          <w:sz w:val="16"/>
          <w:szCs w:val="16"/>
        </w:rPr>
        <w:t xml:space="preserve"> </w:t>
      </w:r>
    </w:p>
  </w:footnote>
  <w:footnote w:id="13">
    <w:p w14:paraId="19A49C15" w14:textId="3D7A52AD" w:rsidR="00045F3C" w:rsidRPr="00045F3C" w:rsidRDefault="00045F3C" w:rsidP="00045F3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>DET –</w:t>
      </w:r>
      <w:r w:rsidRPr="00045F3C">
        <w:rPr>
          <w:sz w:val="16"/>
          <w:szCs w:val="16"/>
          <w:lang w:val="en-AU"/>
        </w:rPr>
        <w:t xml:space="preserve"> H</w:t>
      </w:r>
      <w:r>
        <w:rPr>
          <w:sz w:val="16"/>
          <w:szCs w:val="16"/>
          <w:lang w:val="en-AU"/>
        </w:rPr>
        <w:t xml:space="preserve">igh Impact Teaching Strategies: </w:t>
      </w:r>
      <w:hyperlink r:id="rId8" w:history="1">
        <w:r w:rsidRPr="000C7F59">
          <w:rPr>
            <w:rStyle w:val="Hyperlink"/>
            <w:sz w:val="16"/>
            <w:szCs w:val="16"/>
            <w:lang w:val="en-AU"/>
          </w:rPr>
          <w:t>http://www.education.vic.gov.au/school/teachers/teachingresources/practice/Pages/hits.aspx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14">
    <w:p w14:paraId="5B049177" w14:textId="3561A066" w:rsidR="00DF154B" w:rsidRPr="00DF154B" w:rsidRDefault="00DF154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>DET –</w:t>
      </w:r>
      <w:r w:rsidR="004613CE">
        <w:rPr>
          <w:sz w:val="16"/>
          <w:szCs w:val="16"/>
          <w:lang w:val="en-AU"/>
        </w:rPr>
        <w:t xml:space="preserve"> </w:t>
      </w:r>
      <w:r>
        <w:rPr>
          <w:sz w:val="16"/>
          <w:szCs w:val="16"/>
          <w:lang w:val="en-AU"/>
        </w:rPr>
        <w:t xml:space="preserve">Literacy Teaching Toolkit </w:t>
      </w:r>
      <w:hyperlink r:id="rId9" w:history="1">
        <w:r w:rsidRPr="000C7F59">
          <w:rPr>
            <w:rStyle w:val="Hyperlink"/>
            <w:sz w:val="16"/>
            <w:szCs w:val="16"/>
          </w:rPr>
          <w:t>http://www.education.vic.gov.au/school/teachers/teachingresources/discipline/english/literacy/Pages/default.aspx</w:t>
        </w:r>
      </w:hyperlink>
      <w:r>
        <w:rPr>
          <w:sz w:val="16"/>
          <w:szCs w:val="16"/>
        </w:rPr>
        <w:t xml:space="preserve"> </w:t>
      </w:r>
    </w:p>
  </w:footnote>
  <w:footnote w:id="15">
    <w:p w14:paraId="594D7924" w14:textId="77777777" w:rsidR="00146AEF" w:rsidRPr="0083455E" w:rsidRDefault="00146AEF" w:rsidP="00146AEF">
      <w:pPr>
        <w:pStyle w:val="FootnoteText"/>
        <w:rPr>
          <w:sz w:val="16"/>
          <w:szCs w:val="16"/>
          <w:lang w:val="en-AU"/>
        </w:rPr>
      </w:pPr>
      <w:r w:rsidRPr="00E0771D">
        <w:rPr>
          <w:rStyle w:val="FootnoteReference"/>
        </w:rPr>
        <w:footnoteRef/>
      </w:r>
      <w:r>
        <w:rPr>
          <w:sz w:val="16"/>
          <w:szCs w:val="16"/>
        </w:rPr>
        <w:t xml:space="preserve"> Adapted from: </w:t>
      </w:r>
      <w:proofErr w:type="spellStart"/>
      <w:r>
        <w:rPr>
          <w:sz w:val="16"/>
          <w:szCs w:val="16"/>
        </w:rPr>
        <w:t>Sharratt</w:t>
      </w:r>
      <w:proofErr w:type="spellEnd"/>
      <w:r>
        <w:rPr>
          <w:sz w:val="16"/>
          <w:szCs w:val="16"/>
        </w:rPr>
        <w:t>, L</w:t>
      </w:r>
      <w:r w:rsidRPr="00901C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2016, </w:t>
      </w:r>
      <w:r>
        <w:rPr>
          <w:i/>
          <w:sz w:val="16"/>
          <w:szCs w:val="16"/>
        </w:rPr>
        <w:t>Data Walls: Living Wallpaper!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Sharratt</w:t>
      </w:r>
      <w:proofErr w:type="spellEnd"/>
      <w:r>
        <w:rPr>
          <w:sz w:val="16"/>
          <w:szCs w:val="16"/>
        </w:rPr>
        <w:t xml:space="preserve"> Educational Group, viewed 23 February 2018,</w:t>
      </w:r>
      <w:hyperlink r:id="rId10" w:history="1">
        <w:r w:rsidRPr="002C4E6C">
          <w:rPr>
            <w:rStyle w:val="Hyperlink"/>
            <w:sz w:val="16"/>
            <w:szCs w:val="16"/>
            <w:lang w:val="en-AU"/>
          </w:rPr>
          <w:t>http://lynsharratt.com/text-blog/data-walls-living-wallpaper/</w:t>
        </w:r>
      </w:hyperlink>
      <w:r>
        <w:rPr>
          <w:sz w:val="16"/>
          <w:szCs w:val="16"/>
          <w:lang w:val="en-AU"/>
        </w:rPr>
        <w:t xml:space="preserve"> </w:t>
      </w:r>
    </w:p>
  </w:footnote>
  <w:footnote w:id="16">
    <w:p w14:paraId="0C2D3E09" w14:textId="77777777" w:rsidR="00E0771D" w:rsidRPr="00E0771D" w:rsidRDefault="00E0771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0771D">
        <w:rPr>
          <w:sz w:val="16"/>
          <w:szCs w:val="16"/>
          <w:lang w:val="en-AU"/>
        </w:rPr>
        <w:t xml:space="preserve">See </w:t>
      </w:r>
      <w:r w:rsidRPr="00E0771D">
        <w:rPr>
          <w:i/>
          <w:sz w:val="16"/>
          <w:szCs w:val="16"/>
          <w:lang w:val="en-AU"/>
        </w:rPr>
        <w:t>Principle 3: Student voice, agency and leadership empower students and build school pride</w:t>
      </w:r>
      <w:r w:rsidRPr="00E0771D">
        <w:rPr>
          <w:sz w:val="16"/>
          <w:szCs w:val="16"/>
          <w:lang w:val="en-AU"/>
        </w:rPr>
        <w:t xml:space="preserve"> of</w:t>
      </w:r>
      <w:r>
        <w:rPr>
          <w:sz w:val="16"/>
          <w:szCs w:val="16"/>
          <w:lang w:val="en-AU"/>
        </w:rPr>
        <w:t xml:space="preserve"> the Practice Principles (op. cit.)</w:t>
      </w:r>
      <w:r>
        <w:rPr>
          <w:lang w:val="en-AU"/>
        </w:rPr>
        <w:t xml:space="preserve"> </w:t>
      </w:r>
    </w:p>
  </w:footnote>
  <w:footnote w:id="17">
    <w:p w14:paraId="3EB19E96" w14:textId="77777777" w:rsidR="007F12C9" w:rsidRPr="007F12C9" w:rsidRDefault="007F12C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AU"/>
        </w:rPr>
        <w:t>DET – Framework for Improving Student Outcomes</w:t>
      </w:r>
      <w:r>
        <w:t xml:space="preserve"> </w:t>
      </w:r>
      <w:r w:rsidRPr="007F12C9">
        <w:t xml:space="preserve"> </w:t>
      </w:r>
      <w:hyperlink r:id="rId11" w:history="1">
        <w:r w:rsidRPr="00241DAA">
          <w:rPr>
            <w:rStyle w:val="Hyperlink"/>
            <w:sz w:val="16"/>
            <w:szCs w:val="16"/>
          </w:rPr>
          <w:t>http://www.education.vic.gov.au/school/teachers/management/improvement/Pages/FISO.aspx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F59D" w14:textId="77777777" w:rsidR="004B1ADB" w:rsidRDefault="004B1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C37A" w14:textId="7FADA3CC" w:rsidR="007F57F8" w:rsidRPr="003E29B5" w:rsidRDefault="007F57F8" w:rsidP="008766A4"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233300" wp14:editId="1F481202">
              <wp:simplePos x="0" y="0"/>
              <wp:positionH relativeFrom="column">
                <wp:posOffset>5372100</wp:posOffset>
              </wp:positionH>
              <wp:positionV relativeFrom="paragraph">
                <wp:posOffset>559435</wp:posOffset>
              </wp:positionV>
              <wp:extent cx="1647825" cy="5854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585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DF5AF9" w14:textId="5677E568" w:rsidR="007F57F8" w:rsidRPr="00B24ECE" w:rsidRDefault="00070776" w:rsidP="00B31A3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Professional Practice Note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233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pt;margin-top:44.05pt;width:129.75pt;height:46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" filled="f" stroked="f">
              <v:textbox style="mso-fit-shape-to-text:t">
                <w:txbxContent>
                  <w:p w14:paraId="0FDF5AF9" w14:textId="5677E568" w:rsidR="007F57F8" w:rsidRPr="00B24ECE" w:rsidRDefault="00070776" w:rsidP="00B31A3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Professional Practice Note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6BB7B5ED" wp14:editId="2214DA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5" name="Pictur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9C2F8" w14:textId="77777777" w:rsidR="004B1ADB" w:rsidRDefault="004B1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DF"/>
    <w:multiLevelType w:val="hybridMultilevel"/>
    <w:tmpl w:val="0B0AB89A"/>
    <w:lvl w:ilvl="0" w:tplc="6AA81410">
      <w:start w:val="1"/>
      <w:numFmt w:val="bullet"/>
      <w:pStyle w:val="Indented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B14B3C"/>
    <w:multiLevelType w:val="hybridMultilevel"/>
    <w:tmpl w:val="CDAA704C"/>
    <w:lvl w:ilvl="0" w:tplc="0C090001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F7804"/>
    <w:multiLevelType w:val="hybridMultilevel"/>
    <w:tmpl w:val="ABE4DAF8"/>
    <w:lvl w:ilvl="0" w:tplc="F52074F2">
      <w:start w:val="1"/>
      <w:numFmt w:val="bullet"/>
      <w:pStyle w:val="Heading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3E4"/>
    <w:rsid w:val="00002751"/>
    <w:rsid w:val="00004886"/>
    <w:rsid w:val="00011461"/>
    <w:rsid w:val="00011A7E"/>
    <w:rsid w:val="0001779A"/>
    <w:rsid w:val="000179BB"/>
    <w:rsid w:val="00020FA8"/>
    <w:rsid w:val="00021394"/>
    <w:rsid w:val="00023D88"/>
    <w:rsid w:val="000269EE"/>
    <w:rsid w:val="00027154"/>
    <w:rsid w:val="0003463C"/>
    <w:rsid w:val="00035AE6"/>
    <w:rsid w:val="0003658B"/>
    <w:rsid w:val="00037C5E"/>
    <w:rsid w:val="0004089F"/>
    <w:rsid w:val="000450B6"/>
    <w:rsid w:val="0004575B"/>
    <w:rsid w:val="00045F3C"/>
    <w:rsid w:val="00047540"/>
    <w:rsid w:val="000502F9"/>
    <w:rsid w:val="00050CA2"/>
    <w:rsid w:val="00051523"/>
    <w:rsid w:val="000529BE"/>
    <w:rsid w:val="00054722"/>
    <w:rsid w:val="00054A5B"/>
    <w:rsid w:val="00055181"/>
    <w:rsid w:val="0006034B"/>
    <w:rsid w:val="00062DA9"/>
    <w:rsid w:val="00065681"/>
    <w:rsid w:val="000658F2"/>
    <w:rsid w:val="00066C3F"/>
    <w:rsid w:val="00067B09"/>
    <w:rsid w:val="0007045C"/>
    <w:rsid w:val="00070776"/>
    <w:rsid w:val="00072277"/>
    <w:rsid w:val="00072FFE"/>
    <w:rsid w:val="00073762"/>
    <w:rsid w:val="0007564B"/>
    <w:rsid w:val="00076D50"/>
    <w:rsid w:val="00077B85"/>
    <w:rsid w:val="00080FE1"/>
    <w:rsid w:val="00081643"/>
    <w:rsid w:val="00084C97"/>
    <w:rsid w:val="00084CD2"/>
    <w:rsid w:val="00085ACF"/>
    <w:rsid w:val="00085EE8"/>
    <w:rsid w:val="00087024"/>
    <w:rsid w:val="000909C7"/>
    <w:rsid w:val="000932A2"/>
    <w:rsid w:val="000938F8"/>
    <w:rsid w:val="00096E04"/>
    <w:rsid w:val="000A085E"/>
    <w:rsid w:val="000A46F8"/>
    <w:rsid w:val="000A616B"/>
    <w:rsid w:val="000B0254"/>
    <w:rsid w:val="000B12A6"/>
    <w:rsid w:val="000C008D"/>
    <w:rsid w:val="000C028A"/>
    <w:rsid w:val="000C1CAD"/>
    <w:rsid w:val="000C316A"/>
    <w:rsid w:val="000C3ACF"/>
    <w:rsid w:val="000C4CE1"/>
    <w:rsid w:val="000C57C3"/>
    <w:rsid w:val="000C6041"/>
    <w:rsid w:val="000C6108"/>
    <w:rsid w:val="000C6F3D"/>
    <w:rsid w:val="000D30EA"/>
    <w:rsid w:val="000D4407"/>
    <w:rsid w:val="000D7077"/>
    <w:rsid w:val="000E261E"/>
    <w:rsid w:val="000E310D"/>
    <w:rsid w:val="000E3152"/>
    <w:rsid w:val="000E4F50"/>
    <w:rsid w:val="000E7752"/>
    <w:rsid w:val="000F07FB"/>
    <w:rsid w:val="00100F5E"/>
    <w:rsid w:val="00101C2B"/>
    <w:rsid w:val="00102897"/>
    <w:rsid w:val="00106DFA"/>
    <w:rsid w:val="00111B75"/>
    <w:rsid w:val="00112988"/>
    <w:rsid w:val="00112F5E"/>
    <w:rsid w:val="0011313D"/>
    <w:rsid w:val="00115A66"/>
    <w:rsid w:val="001207AC"/>
    <w:rsid w:val="00122D41"/>
    <w:rsid w:val="0012324A"/>
    <w:rsid w:val="00127D48"/>
    <w:rsid w:val="001301A4"/>
    <w:rsid w:val="00133F4C"/>
    <w:rsid w:val="00140C8F"/>
    <w:rsid w:val="0014310A"/>
    <w:rsid w:val="0014524E"/>
    <w:rsid w:val="001454B7"/>
    <w:rsid w:val="00146AEF"/>
    <w:rsid w:val="00146F8F"/>
    <w:rsid w:val="001509D3"/>
    <w:rsid w:val="00151F51"/>
    <w:rsid w:val="001540B1"/>
    <w:rsid w:val="001573E0"/>
    <w:rsid w:val="00167682"/>
    <w:rsid w:val="00171BCB"/>
    <w:rsid w:val="001724FF"/>
    <w:rsid w:val="00175848"/>
    <w:rsid w:val="0018037C"/>
    <w:rsid w:val="00181BF0"/>
    <w:rsid w:val="00182671"/>
    <w:rsid w:val="00183040"/>
    <w:rsid w:val="001903CC"/>
    <w:rsid w:val="00193897"/>
    <w:rsid w:val="00193E65"/>
    <w:rsid w:val="001A4936"/>
    <w:rsid w:val="001A50C5"/>
    <w:rsid w:val="001A7338"/>
    <w:rsid w:val="001A7919"/>
    <w:rsid w:val="001A7AEF"/>
    <w:rsid w:val="001B1D39"/>
    <w:rsid w:val="001B4BBF"/>
    <w:rsid w:val="001B515A"/>
    <w:rsid w:val="001B5B0F"/>
    <w:rsid w:val="001B7013"/>
    <w:rsid w:val="001D2C3C"/>
    <w:rsid w:val="001D3C10"/>
    <w:rsid w:val="001D3E26"/>
    <w:rsid w:val="001D4E0B"/>
    <w:rsid w:val="001D7168"/>
    <w:rsid w:val="001E1A21"/>
    <w:rsid w:val="001E1DCF"/>
    <w:rsid w:val="001E36C9"/>
    <w:rsid w:val="001E39C1"/>
    <w:rsid w:val="001E471B"/>
    <w:rsid w:val="001F0C63"/>
    <w:rsid w:val="001F0C6D"/>
    <w:rsid w:val="001F12CA"/>
    <w:rsid w:val="00201955"/>
    <w:rsid w:val="002021C2"/>
    <w:rsid w:val="00203698"/>
    <w:rsid w:val="00205105"/>
    <w:rsid w:val="00207DE0"/>
    <w:rsid w:val="0021039A"/>
    <w:rsid w:val="00211DAA"/>
    <w:rsid w:val="00214A37"/>
    <w:rsid w:val="00220559"/>
    <w:rsid w:val="00220ADE"/>
    <w:rsid w:val="00224448"/>
    <w:rsid w:val="00227CF5"/>
    <w:rsid w:val="00230E53"/>
    <w:rsid w:val="002312F7"/>
    <w:rsid w:val="00231FC2"/>
    <w:rsid w:val="002346D1"/>
    <w:rsid w:val="002364F9"/>
    <w:rsid w:val="002412A1"/>
    <w:rsid w:val="00241EF9"/>
    <w:rsid w:val="00242A01"/>
    <w:rsid w:val="00242F1D"/>
    <w:rsid w:val="00244C47"/>
    <w:rsid w:val="002467D1"/>
    <w:rsid w:val="00247FA3"/>
    <w:rsid w:val="00250412"/>
    <w:rsid w:val="00250891"/>
    <w:rsid w:val="0025475C"/>
    <w:rsid w:val="00256B79"/>
    <w:rsid w:val="00262843"/>
    <w:rsid w:val="0026760B"/>
    <w:rsid w:val="00267747"/>
    <w:rsid w:val="00270D4D"/>
    <w:rsid w:val="00283D10"/>
    <w:rsid w:val="002840C6"/>
    <w:rsid w:val="00284E66"/>
    <w:rsid w:val="00287960"/>
    <w:rsid w:val="00287ECA"/>
    <w:rsid w:val="00290FCC"/>
    <w:rsid w:val="00294BFC"/>
    <w:rsid w:val="00296EF7"/>
    <w:rsid w:val="002A0051"/>
    <w:rsid w:val="002A3287"/>
    <w:rsid w:val="002A4EE9"/>
    <w:rsid w:val="002B09D3"/>
    <w:rsid w:val="002B57A6"/>
    <w:rsid w:val="002B6B35"/>
    <w:rsid w:val="002C0DFB"/>
    <w:rsid w:val="002C3E8A"/>
    <w:rsid w:val="002C5E03"/>
    <w:rsid w:val="002C7C8B"/>
    <w:rsid w:val="002D1B1D"/>
    <w:rsid w:val="002D3536"/>
    <w:rsid w:val="002D42AD"/>
    <w:rsid w:val="002E4FEE"/>
    <w:rsid w:val="002F3323"/>
    <w:rsid w:val="002F334C"/>
    <w:rsid w:val="002F7A72"/>
    <w:rsid w:val="00300E26"/>
    <w:rsid w:val="00306724"/>
    <w:rsid w:val="00310AC9"/>
    <w:rsid w:val="00311485"/>
    <w:rsid w:val="00314076"/>
    <w:rsid w:val="00314AED"/>
    <w:rsid w:val="003177C3"/>
    <w:rsid w:val="00320841"/>
    <w:rsid w:val="0032339B"/>
    <w:rsid w:val="00325394"/>
    <w:rsid w:val="00326F48"/>
    <w:rsid w:val="00327167"/>
    <w:rsid w:val="00335FE7"/>
    <w:rsid w:val="0033697E"/>
    <w:rsid w:val="00340180"/>
    <w:rsid w:val="00342387"/>
    <w:rsid w:val="00343CCA"/>
    <w:rsid w:val="00347C71"/>
    <w:rsid w:val="00351147"/>
    <w:rsid w:val="003518CD"/>
    <w:rsid w:val="00353C0D"/>
    <w:rsid w:val="003544B9"/>
    <w:rsid w:val="00361FF6"/>
    <w:rsid w:val="0036283E"/>
    <w:rsid w:val="00364186"/>
    <w:rsid w:val="003719EE"/>
    <w:rsid w:val="0037421B"/>
    <w:rsid w:val="00375D8C"/>
    <w:rsid w:val="00377A10"/>
    <w:rsid w:val="00380A30"/>
    <w:rsid w:val="00381497"/>
    <w:rsid w:val="00382234"/>
    <w:rsid w:val="0038357D"/>
    <w:rsid w:val="003848D7"/>
    <w:rsid w:val="00385860"/>
    <w:rsid w:val="003858BE"/>
    <w:rsid w:val="00385BD4"/>
    <w:rsid w:val="00391A74"/>
    <w:rsid w:val="00396023"/>
    <w:rsid w:val="0039651B"/>
    <w:rsid w:val="00396AA0"/>
    <w:rsid w:val="003A0ABD"/>
    <w:rsid w:val="003A1889"/>
    <w:rsid w:val="003A2EAA"/>
    <w:rsid w:val="003A3C63"/>
    <w:rsid w:val="003A538B"/>
    <w:rsid w:val="003A70B7"/>
    <w:rsid w:val="003B01B0"/>
    <w:rsid w:val="003B1542"/>
    <w:rsid w:val="003B6EB3"/>
    <w:rsid w:val="003C1C09"/>
    <w:rsid w:val="003C2026"/>
    <w:rsid w:val="003C30A4"/>
    <w:rsid w:val="003C530C"/>
    <w:rsid w:val="003D0443"/>
    <w:rsid w:val="003D0A48"/>
    <w:rsid w:val="003D142A"/>
    <w:rsid w:val="003D2CE6"/>
    <w:rsid w:val="003E03CE"/>
    <w:rsid w:val="003E18D2"/>
    <w:rsid w:val="003E29B5"/>
    <w:rsid w:val="003E3015"/>
    <w:rsid w:val="003E3DFC"/>
    <w:rsid w:val="003E4F98"/>
    <w:rsid w:val="003E5347"/>
    <w:rsid w:val="003E5361"/>
    <w:rsid w:val="003F18AC"/>
    <w:rsid w:val="003F2472"/>
    <w:rsid w:val="003F593D"/>
    <w:rsid w:val="003F63AA"/>
    <w:rsid w:val="003F6D87"/>
    <w:rsid w:val="00402408"/>
    <w:rsid w:val="004028DD"/>
    <w:rsid w:val="00402F89"/>
    <w:rsid w:val="00410A6C"/>
    <w:rsid w:val="00411669"/>
    <w:rsid w:val="004116FE"/>
    <w:rsid w:val="00415618"/>
    <w:rsid w:val="00416242"/>
    <w:rsid w:val="0041726C"/>
    <w:rsid w:val="00422435"/>
    <w:rsid w:val="00424604"/>
    <w:rsid w:val="00424F9D"/>
    <w:rsid w:val="004251A7"/>
    <w:rsid w:val="00426D80"/>
    <w:rsid w:val="00430D37"/>
    <w:rsid w:val="00431DD1"/>
    <w:rsid w:val="00440E87"/>
    <w:rsid w:val="004410FC"/>
    <w:rsid w:val="00444096"/>
    <w:rsid w:val="00447693"/>
    <w:rsid w:val="00447E2A"/>
    <w:rsid w:val="0045148D"/>
    <w:rsid w:val="00452B93"/>
    <w:rsid w:val="00452E79"/>
    <w:rsid w:val="004537CE"/>
    <w:rsid w:val="00456676"/>
    <w:rsid w:val="004572D1"/>
    <w:rsid w:val="004613CE"/>
    <w:rsid w:val="00461E0C"/>
    <w:rsid w:val="004624EB"/>
    <w:rsid w:val="00462D74"/>
    <w:rsid w:val="0047434B"/>
    <w:rsid w:val="00482897"/>
    <w:rsid w:val="00492D0E"/>
    <w:rsid w:val="00494C4A"/>
    <w:rsid w:val="004A001F"/>
    <w:rsid w:val="004A06B3"/>
    <w:rsid w:val="004A1C8F"/>
    <w:rsid w:val="004A1D27"/>
    <w:rsid w:val="004A2FF1"/>
    <w:rsid w:val="004A61D8"/>
    <w:rsid w:val="004A6B1D"/>
    <w:rsid w:val="004B1ADB"/>
    <w:rsid w:val="004B2F64"/>
    <w:rsid w:val="004B306D"/>
    <w:rsid w:val="004B30CF"/>
    <w:rsid w:val="004B3882"/>
    <w:rsid w:val="004B5B6A"/>
    <w:rsid w:val="004C062D"/>
    <w:rsid w:val="004C0C43"/>
    <w:rsid w:val="004C3BD3"/>
    <w:rsid w:val="004C404C"/>
    <w:rsid w:val="004C4AA5"/>
    <w:rsid w:val="004C60FE"/>
    <w:rsid w:val="004C6DB4"/>
    <w:rsid w:val="004E1BAE"/>
    <w:rsid w:val="004E34AD"/>
    <w:rsid w:val="004E6B4C"/>
    <w:rsid w:val="004E74B9"/>
    <w:rsid w:val="004F231F"/>
    <w:rsid w:val="004F6FED"/>
    <w:rsid w:val="00501097"/>
    <w:rsid w:val="005044A5"/>
    <w:rsid w:val="0050462D"/>
    <w:rsid w:val="0050667F"/>
    <w:rsid w:val="00507490"/>
    <w:rsid w:val="00507B22"/>
    <w:rsid w:val="00510935"/>
    <w:rsid w:val="00511666"/>
    <w:rsid w:val="00512886"/>
    <w:rsid w:val="00512922"/>
    <w:rsid w:val="00517E9F"/>
    <w:rsid w:val="00524525"/>
    <w:rsid w:val="00530190"/>
    <w:rsid w:val="00535345"/>
    <w:rsid w:val="005375BF"/>
    <w:rsid w:val="00537716"/>
    <w:rsid w:val="0054031D"/>
    <w:rsid w:val="005407BB"/>
    <w:rsid w:val="00547A37"/>
    <w:rsid w:val="005528FF"/>
    <w:rsid w:val="00557688"/>
    <w:rsid w:val="00557FB9"/>
    <w:rsid w:val="0056155C"/>
    <w:rsid w:val="00566AA2"/>
    <w:rsid w:val="00566FA9"/>
    <w:rsid w:val="005678B0"/>
    <w:rsid w:val="0057090B"/>
    <w:rsid w:val="00571633"/>
    <w:rsid w:val="005762B1"/>
    <w:rsid w:val="00577A81"/>
    <w:rsid w:val="005849E0"/>
    <w:rsid w:val="0058668E"/>
    <w:rsid w:val="00586BBF"/>
    <w:rsid w:val="0058738C"/>
    <w:rsid w:val="00587BA4"/>
    <w:rsid w:val="00592D55"/>
    <w:rsid w:val="005946A1"/>
    <w:rsid w:val="00595E10"/>
    <w:rsid w:val="00596923"/>
    <w:rsid w:val="005A3BD9"/>
    <w:rsid w:val="005A605B"/>
    <w:rsid w:val="005A6FE3"/>
    <w:rsid w:val="005B1784"/>
    <w:rsid w:val="005B2E13"/>
    <w:rsid w:val="005B3C98"/>
    <w:rsid w:val="005B70FD"/>
    <w:rsid w:val="005D69BC"/>
    <w:rsid w:val="005E1B87"/>
    <w:rsid w:val="005E6B0E"/>
    <w:rsid w:val="005F0B06"/>
    <w:rsid w:val="005F150A"/>
    <w:rsid w:val="005F159C"/>
    <w:rsid w:val="00601CAF"/>
    <w:rsid w:val="00602E71"/>
    <w:rsid w:val="006032D7"/>
    <w:rsid w:val="006043E8"/>
    <w:rsid w:val="00604B03"/>
    <w:rsid w:val="00605841"/>
    <w:rsid w:val="006159AD"/>
    <w:rsid w:val="00616C5C"/>
    <w:rsid w:val="0061741F"/>
    <w:rsid w:val="00622CC5"/>
    <w:rsid w:val="00623981"/>
    <w:rsid w:val="00627C55"/>
    <w:rsid w:val="00627EC9"/>
    <w:rsid w:val="006300B4"/>
    <w:rsid w:val="0063259E"/>
    <w:rsid w:val="00633D21"/>
    <w:rsid w:val="0063553E"/>
    <w:rsid w:val="00635A29"/>
    <w:rsid w:val="00640380"/>
    <w:rsid w:val="00640535"/>
    <w:rsid w:val="0064169C"/>
    <w:rsid w:val="0064290D"/>
    <w:rsid w:val="00643648"/>
    <w:rsid w:val="0064511F"/>
    <w:rsid w:val="00645358"/>
    <w:rsid w:val="006453D9"/>
    <w:rsid w:val="006456A4"/>
    <w:rsid w:val="006460C2"/>
    <w:rsid w:val="00657445"/>
    <w:rsid w:val="00665047"/>
    <w:rsid w:val="00665723"/>
    <w:rsid w:val="00667E07"/>
    <w:rsid w:val="00670E0D"/>
    <w:rsid w:val="006729D5"/>
    <w:rsid w:val="00674059"/>
    <w:rsid w:val="00674256"/>
    <w:rsid w:val="00676CA7"/>
    <w:rsid w:val="00676EA2"/>
    <w:rsid w:val="00677A35"/>
    <w:rsid w:val="00681A21"/>
    <w:rsid w:val="006827FA"/>
    <w:rsid w:val="00687ED7"/>
    <w:rsid w:val="006903EC"/>
    <w:rsid w:val="006910E5"/>
    <w:rsid w:val="006953E8"/>
    <w:rsid w:val="00696317"/>
    <w:rsid w:val="00696668"/>
    <w:rsid w:val="006A1A8F"/>
    <w:rsid w:val="006A2C93"/>
    <w:rsid w:val="006A4F8B"/>
    <w:rsid w:val="006B05D4"/>
    <w:rsid w:val="006B2557"/>
    <w:rsid w:val="006B49E3"/>
    <w:rsid w:val="006B7677"/>
    <w:rsid w:val="006B7ECC"/>
    <w:rsid w:val="006C0F25"/>
    <w:rsid w:val="006C37FE"/>
    <w:rsid w:val="006C445B"/>
    <w:rsid w:val="006C546C"/>
    <w:rsid w:val="006C5AC0"/>
    <w:rsid w:val="006D4FBA"/>
    <w:rsid w:val="006D6198"/>
    <w:rsid w:val="006E0E24"/>
    <w:rsid w:val="006E1E17"/>
    <w:rsid w:val="006E25D4"/>
    <w:rsid w:val="006E428C"/>
    <w:rsid w:val="006E45FD"/>
    <w:rsid w:val="006E7C89"/>
    <w:rsid w:val="006F01FC"/>
    <w:rsid w:val="006F20C3"/>
    <w:rsid w:val="00700679"/>
    <w:rsid w:val="00701979"/>
    <w:rsid w:val="007029E3"/>
    <w:rsid w:val="00704ECB"/>
    <w:rsid w:val="007066EA"/>
    <w:rsid w:val="00721414"/>
    <w:rsid w:val="00721751"/>
    <w:rsid w:val="00723104"/>
    <w:rsid w:val="00724453"/>
    <w:rsid w:val="007252B6"/>
    <w:rsid w:val="007278A8"/>
    <w:rsid w:val="007300D6"/>
    <w:rsid w:val="007301FA"/>
    <w:rsid w:val="007363BD"/>
    <w:rsid w:val="0073655D"/>
    <w:rsid w:val="0073673E"/>
    <w:rsid w:val="0073724D"/>
    <w:rsid w:val="00742794"/>
    <w:rsid w:val="007450C9"/>
    <w:rsid w:val="007464BE"/>
    <w:rsid w:val="00753726"/>
    <w:rsid w:val="00755D13"/>
    <w:rsid w:val="00757EF6"/>
    <w:rsid w:val="00762B9C"/>
    <w:rsid w:val="00763A49"/>
    <w:rsid w:val="00763F1D"/>
    <w:rsid w:val="00766BA6"/>
    <w:rsid w:val="007673F1"/>
    <w:rsid w:val="00767F37"/>
    <w:rsid w:val="00772922"/>
    <w:rsid w:val="00773A7F"/>
    <w:rsid w:val="007749CC"/>
    <w:rsid w:val="00777F12"/>
    <w:rsid w:val="00781A5E"/>
    <w:rsid w:val="007828E7"/>
    <w:rsid w:val="00782EBF"/>
    <w:rsid w:val="00785494"/>
    <w:rsid w:val="007864D8"/>
    <w:rsid w:val="00787037"/>
    <w:rsid w:val="00792041"/>
    <w:rsid w:val="0079626B"/>
    <w:rsid w:val="007978C1"/>
    <w:rsid w:val="00797B10"/>
    <w:rsid w:val="007A04DB"/>
    <w:rsid w:val="007A0FA9"/>
    <w:rsid w:val="007A323D"/>
    <w:rsid w:val="007A3DB4"/>
    <w:rsid w:val="007A6ABC"/>
    <w:rsid w:val="007A7CE2"/>
    <w:rsid w:val="007B0311"/>
    <w:rsid w:val="007B1629"/>
    <w:rsid w:val="007B35E5"/>
    <w:rsid w:val="007B727D"/>
    <w:rsid w:val="007C50C2"/>
    <w:rsid w:val="007C7C75"/>
    <w:rsid w:val="007D0DE7"/>
    <w:rsid w:val="007D178D"/>
    <w:rsid w:val="007D268A"/>
    <w:rsid w:val="007D46F5"/>
    <w:rsid w:val="007E48BA"/>
    <w:rsid w:val="007E7CEC"/>
    <w:rsid w:val="007F06C8"/>
    <w:rsid w:val="007F12C9"/>
    <w:rsid w:val="007F12FE"/>
    <w:rsid w:val="007F57F8"/>
    <w:rsid w:val="007F7AA3"/>
    <w:rsid w:val="00802E78"/>
    <w:rsid w:val="008063E2"/>
    <w:rsid w:val="008074FE"/>
    <w:rsid w:val="0081282A"/>
    <w:rsid w:val="0081486A"/>
    <w:rsid w:val="00814900"/>
    <w:rsid w:val="00816ED5"/>
    <w:rsid w:val="00822846"/>
    <w:rsid w:val="00825781"/>
    <w:rsid w:val="00826C77"/>
    <w:rsid w:val="008274E2"/>
    <w:rsid w:val="00827513"/>
    <w:rsid w:val="0083368E"/>
    <w:rsid w:val="00833DE7"/>
    <w:rsid w:val="00834485"/>
    <w:rsid w:val="0083455E"/>
    <w:rsid w:val="00835D01"/>
    <w:rsid w:val="00840BB8"/>
    <w:rsid w:val="00841065"/>
    <w:rsid w:val="00843C74"/>
    <w:rsid w:val="008524D8"/>
    <w:rsid w:val="0085278B"/>
    <w:rsid w:val="00860993"/>
    <w:rsid w:val="00863952"/>
    <w:rsid w:val="0086491B"/>
    <w:rsid w:val="00864EF5"/>
    <w:rsid w:val="00865A11"/>
    <w:rsid w:val="008704A0"/>
    <w:rsid w:val="008757FC"/>
    <w:rsid w:val="008766A4"/>
    <w:rsid w:val="00880494"/>
    <w:rsid w:val="00881624"/>
    <w:rsid w:val="00887406"/>
    <w:rsid w:val="00887736"/>
    <w:rsid w:val="008918E5"/>
    <w:rsid w:val="00891B29"/>
    <w:rsid w:val="00893253"/>
    <w:rsid w:val="00893F32"/>
    <w:rsid w:val="008955F4"/>
    <w:rsid w:val="00896C2E"/>
    <w:rsid w:val="008A1823"/>
    <w:rsid w:val="008A45AF"/>
    <w:rsid w:val="008A5778"/>
    <w:rsid w:val="008A6243"/>
    <w:rsid w:val="008A6CB9"/>
    <w:rsid w:val="008B3CF7"/>
    <w:rsid w:val="008B4637"/>
    <w:rsid w:val="008B4822"/>
    <w:rsid w:val="008B4CD0"/>
    <w:rsid w:val="008C46E9"/>
    <w:rsid w:val="008D5C89"/>
    <w:rsid w:val="008E20D8"/>
    <w:rsid w:val="008E2560"/>
    <w:rsid w:val="008E6153"/>
    <w:rsid w:val="008E6B5E"/>
    <w:rsid w:val="008F1204"/>
    <w:rsid w:val="008F572F"/>
    <w:rsid w:val="008F73F4"/>
    <w:rsid w:val="00900B34"/>
    <w:rsid w:val="00901CD4"/>
    <w:rsid w:val="00903407"/>
    <w:rsid w:val="009076E3"/>
    <w:rsid w:val="009137BF"/>
    <w:rsid w:val="00913DE5"/>
    <w:rsid w:val="00915193"/>
    <w:rsid w:val="009174D7"/>
    <w:rsid w:val="0091796B"/>
    <w:rsid w:val="00921730"/>
    <w:rsid w:val="00924B7E"/>
    <w:rsid w:val="00927555"/>
    <w:rsid w:val="0093259E"/>
    <w:rsid w:val="009335C2"/>
    <w:rsid w:val="00933601"/>
    <w:rsid w:val="00933AE5"/>
    <w:rsid w:val="00933B1E"/>
    <w:rsid w:val="00937156"/>
    <w:rsid w:val="00937E76"/>
    <w:rsid w:val="009415BA"/>
    <w:rsid w:val="00941AA2"/>
    <w:rsid w:val="009422F0"/>
    <w:rsid w:val="00942BC2"/>
    <w:rsid w:val="00950D23"/>
    <w:rsid w:val="009535EC"/>
    <w:rsid w:val="00972E48"/>
    <w:rsid w:val="009741B1"/>
    <w:rsid w:val="00980015"/>
    <w:rsid w:val="009805FF"/>
    <w:rsid w:val="00982F6D"/>
    <w:rsid w:val="00983F6B"/>
    <w:rsid w:val="00990097"/>
    <w:rsid w:val="00993747"/>
    <w:rsid w:val="009A3011"/>
    <w:rsid w:val="009A3209"/>
    <w:rsid w:val="009B323A"/>
    <w:rsid w:val="009B3503"/>
    <w:rsid w:val="009B40D9"/>
    <w:rsid w:val="009B442A"/>
    <w:rsid w:val="009B5ECE"/>
    <w:rsid w:val="009B6516"/>
    <w:rsid w:val="009B71B8"/>
    <w:rsid w:val="009C2E6C"/>
    <w:rsid w:val="009C4836"/>
    <w:rsid w:val="009C5A94"/>
    <w:rsid w:val="009C5AF7"/>
    <w:rsid w:val="009C7DDB"/>
    <w:rsid w:val="009D0975"/>
    <w:rsid w:val="009D30CE"/>
    <w:rsid w:val="009D7071"/>
    <w:rsid w:val="009E0920"/>
    <w:rsid w:val="009E0EFC"/>
    <w:rsid w:val="009E1E96"/>
    <w:rsid w:val="009E1EA0"/>
    <w:rsid w:val="009E28A7"/>
    <w:rsid w:val="009E4B9A"/>
    <w:rsid w:val="009E65A7"/>
    <w:rsid w:val="009E6DDD"/>
    <w:rsid w:val="009F0549"/>
    <w:rsid w:val="009F1FD7"/>
    <w:rsid w:val="009F2302"/>
    <w:rsid w:val="009F32D1"/>
    <w:rsid w:val="009F4075"/>
    <w:rsid w:val="009F6B01"/>
    <w:rsid w:val="00A00C0E"/>
    <w:rsid w:val="00A0161A"/>
    <w:rsid w:val="00A01B35"/>
    <w:rsid w:val="00A0408F"/>
    <w:rsid w:val="00A04A3C"/>
    <w:rsid w:val="00A05AFC"/>
    <w:rsid w:val="00A07C7B"/>
    <w:rsid w:val="00A116A4"/>
    <w:rsid w:val="00A13E10"/>
    <w:rsid w:val="00A14C2C"/>
    <w:rsid w:val="00A21C33"/>
    <w:rsid w:val="00A27CEF"/>
    <w:rsid w:val="00A32220"/>
    <w:rsid w:val="00A32DEB"/>
    <w:rsid w:val="00A3650A"/>
    <w:rsid w:val="00A37269"/>
    <w:rsid w:val="00A37A82"/>
    <w:rsid w:val="00A4063D"/>
    <w:rsid w:val="00A42AA5"/>
    <w:rsid w:val="00A465C3"/>
    <w:rsid w:val="00A61042"/>
    <w:rsid w:val="00A617E6"/>
    <w:rsid w:val="00A6606E"/>
    <w:rsid w:val="00A66145"/>
    <w:rsid w:val="00A67DD3"/>
    <w:rsid w:val="00A70B1D"/>
    <w:rsid w:val="00A71352"/>
    <w:rsid w:val="00A7198B"/>
    <w:rsid w:val="00A724DB"/>
    <w:rsid w:val="00A75246"/>
    <w:rsid w:val="00A81D50"/>
    <w:rsid w:val="00A82D87"/>
    <w:rsid w:val="00A84A9A"/>
    <w:rsid w:val="00A900A5"/>
    <w:rsid w:val="00A9204B"/>
    <w:rsid w:val="00A943CB"/>
    <w:rsid w:val="00A97494"/>
    <w:rsid w:val="00AA1D29"/>
    <w:rsid w:val="00AA46DE"/>
    <w:rsid w:val="00AA67F3"/>
    <w:rsid w:val="00AA6CFA"/>
    <w:rsid w:val="00AB3A20"/>
    <w:rsid w:val="00AB4F77"/>
    <w:rsid w:val="00AC100D"/>
    <w:rsid w:val="00AC2F5A"/>
    <w:rsid w:val="00AD058E"/>
    <w:rsid w:val="00AD315D"/>
    <w:rsid w:val="00AD6742"/>
    <w:rsid w:val="00AD6F06"/>
    <w:rsid w:val="00AE1B46"/>
    <w:rsid w:val="00AE1C5A"/>
    <w:rsid w:val="00AE1DD2"/>
    <w:rsid w:val="00AE2147"/>
    <w:rsid w:val="00AE4753"/>
    <w:rsid w:val="00AE60FF"/>
    <w:rsid w:val="00AE7992"/>
    <w:rsid w:val="00AF0F3D"/>
    <w:rsid w:val="00AF4879"/>
    <w:rsid w:val="00AF671E"/>
    <w:rsid w:val="00B04920"/>
    <w:rsid w:val="00B1045F"/>
    <w:rsid w:val="00B109E0"/>
    <w:rsid w:val="00B145AB"/>
    <w:rsid w:val="00B20D93"/>
    <w:rsid w:val="00B26116"/>
    <w:rsid w:val="00B26466"/>
    <w:rsid w:val="00B27D66"/>
    <w:rsid w:val="00B313E8"/>
    <w:rsid w:val="00B313F1"/>
    <w:rsid w:val="00B31A38"/>
    <w:rsid w:val="00B3256F"/>
    <w:rsid w:val="00B32DC3"/>
    <w:rsid w:val="00B34FC0"/>
    <w:rsid w:val="00B357A8"/>
    <w:rsid w:val="00B3674C"/>
    <w:rsid w:val="00B36B8F"/>
    <w:rsid w:val="00B37CDC"/>
    <w:rsid w:val="00B41D6D"/>
    <w:rsid w:val="00B42CB3"/>
    <w:rsid w:val="00B4570E"/>
    <w:rsid w:val="00B475A0"/>
    <w:rsid w:val="00B519D8"/>
    <w:rsid w:val="00B52879"/>
    <w:rsid w:val="00B60218"/>
    <w:rsid w:val="00B614E4"/>
    <w:rsid w:val="00B679D9"/>
    <w:rsid w:val="00B70158"/>
    <w:rsid w:val="00B70F2F"/>
    <w:rsid w:val="00B718C0"/>
    <w:rsid w:val="00B72540"/>
    <w:rsid w:val="00B76E93"/>
    <w:rsid w:val="00B7726A"/>
    <w:rsid w:val="00B80FE5"/>
    <w:rsid w:val="00B8525C"/>
    <w:rsid w:val="00B8603E"/>
    <w:rsid w:val="00B86814"/>
    <w:rsid w:val="00B87E1D"/>
    <w:rsid w:val="00B96377"/>
    <w:rsid w:val="00BA51F5"/>
    <w:rsid w:val="00BA7502"/>
    <w:rsid w:val="00BB019D"/>
    <w:rsid w:val="00BB16A9"/>
    <w:rsid w:val="00BB65F5"/>
    <w:rsid w:val="00BC008F"/>
    <w:rsid w:val="00BC1167"/>
    <w:rsid w:val="00BC4D13"/>
    <w:rsid w:val="00BC5488"/>
    <w:rsid w:val="00BC693D"/>
    <w:rsid w:val="00BC7296"/>
    <w:rsid w:val="00BD1DF4"/>
    <w:rsid w:val="00BD1EC1"/>
    <w:rsid w:val="00BD219F"/>
    <w:rsid w:val="00BD355C"/>
    <w:rsid w:val="00BD3DDE"/>
    <w:rsid w:val="00BD628A"/>
    <w:rsid w:val="00BD6A6D"/>
    <w:rsid w:val="00BD6C3A"/>
    <w:rsid w:val="00BD78C5"/>
    <w:rsid w:val="00BE0CC5"/>
    <w:rsid w:val="00BE0CF8"/>
    <w:rsid w:val="00BE2401"/>
    <w:rsid w:val="00BF1374"/>
    <w:rsid w:val="00BF17CC"/>
    <w:rsid w:val="00BF1B29"/>
    <w:rsid w:val="00BF20DF"/>
    <w:rsid w:val="00BF33B0"/>
    <w:rsid w:val="00BF6048"/>
    <w:rsid w:val="00BF6AD8"/>
    <w:rsid w:val="00C0285E"/>
    <w:rsid w:val="00C028E6"/>
    <w:rsid w:val="00C0363F"/>
    <w:rsid w:val="00C06348"/>
    <w:rsid w:val="00C06749"/>
    <w:rsid w:val="00C10031"/>
    <w:rsid w:val="00C11C35"/>
    <w:rsid w:val="00C11E53"/>
    <w:rsid w:val="00C12663"/>
    <w:rsid w:val="00C12738"/>
    <w:rsid w:val="00C14CF5"/>
    <w:rsid w:val="00C21EAD"/>
    <w:rsid w:val="00C31DDF"/>
    <w:rsid w:val="00C34C41"/>
    <w:rsid w:val="00C35E9F"/>
    <w:rsid w:val="00C3691D"/>
    <w:rsid w:val="00C40037"/>
    <w:rsid w:val="00C42335"/>
    <w:rsid w:val="00C440CB"/>
    <w:rsid w:val="00C4428F"/>
    <w:rsid w:val="00C45F42"/>
    <w:rsid w:val="00C53E2D"/>
    <w:rsid w:val="00C54E12"/>
    <w:rsid w:val="00C566AB"/>
    <w:rsid w:val="00C64D33"/>
    <w:rsid w:val="00C66E20"/>
    <w:rsid w:val="00C72D9A"/>
    <w:rsid w:val="00C778E3"/>
    <w:rsid w:val="00C80043"/>
    <w:rsid w:val="00C84E2F"/>
    <w:rsid w:val="00C86047"/>
    <w:rsid w:val="00C86485"/>
    <w:rsid w:val="00C86AD3"/>
    <w:rsid w:val="00C9027E"/>
    <w:rsid w:val="00C905EA"/>
    <w:rsid w:val="00C91903"/>
    <w:rsid w:val="00C9297E"/>
    <w:rsid w:val="00C9344C"/>
    <w:rsid w:val="00C94144"/>
    <w:rsid w:val="00C96C6D"/>
    <w:rsid w:val="00CA34E8"/>
    <w:rsid w:val="00CA5405"/>
    <w:rsid w:val="00CA5977"/>
    <w:rsid w:val="00CB3257"/>
    <w:rsid w:val="00CB60C7"/>
    <w:rsid w:val="00CC04B1"/>
    <w:rsid w:val="00CC1D6E"/>
    <w:rsid w:val="00CC3922"/>
    <w:rsid w:val="00CC47EA"/>
    <w:rsid w:val="00CC5ADE"/>
    <w:rsid w:val="00CD06F6"/>
    <w:rsid w:val="00CD1500"/>
    <w:rsid w:val="00CD152E"/>
    <w:rsid w:val="00CD3509"/>
    <w:rsid w:val="00CD68C2"/>
    <w:rsid w:val="00CE6B2A"/>
    <w:rsid w:val="00CE77A8"/>
    <w:rsid w:val="00CF09C8"/>
    <w:rsid w:val="00CF40F8"/>
    <w:rsid w:val="00CF69B7"/>
    <w:rsid w:val="00CF706C"/>
    <w:rsid w:val="00CF7E71"/>
    <w:rsid w:val="00D049E8"/>
    <w:rsid w:val="00D11044"/>
    <w:rsid w:val="00D11EBF"/>
    <w:rsid w:val="00D16167"/>
    <w:rsid w:val="00D1699E"/>
    <w:rsid w:val="00D20050"/>
    <w:rsid w:val="00D250F4"/>
    <w:rsid w:val="00D259E6"/>
    <w:rsid w:val="00D303B7"/>
    <w:rsid w:val="00D31299"/>
    <w:rsid w:val="00D323F0"/>
    <w:rsid w:val="00D3359D"/>
    <w:rsid w:val="00D36E05"/>
    <w:rsid w:val="00D46068"/>
    <w:rsid w:val="00D521C7"/>
    <w:rsid w:val="00D53218"/>
    <w:rsid w:val="00D54090"/>
    <w:rsid w:val="00D546B9"/>
    <w:rsid w:val="00D551DB"/>
    <w:rsid w:val="00D574FA"/>
    <w:rsid w:val="00D63698"/>
    <w:rsid w:val="00D6749D"/>
    <w:rsid w:val="00D8063E"/>
    <w:rsid w:val="00D8078E"/>
    <w:rsid w:val="00D82E6B"/>
    <w:rsid w:val="00D859AA"/>
    <w:rsid w:val="00D85A0C"/>
    <w:rsid w:val="00D900E2"/>
    <w:rsid w:val="00D90B0D"/>
    <w:rsid w:val="00D9305D"/>
    <w:rsid w:val="00D95479"/>
    <w:rsid w:val="00DA103A"/>
    <w:rsid w:val="00DA2DF1"/>
    <w:rsid w:val="00DA5477"/>
    <w:rsid w:val="00DB0FA5"/>
    <w:rsid w:val="00DB51D3"/>
    <w:rsid w:val="00DB5268"/>
    <w:rsid w:val="00DC3CCC"/>
    <w:rsid w:val="00DC42AA"/>
    <w:rsid w:val="00DC54AB"/>
    <w:rsid w:val="00DD0BA6"/>
    <w:rsid w:val="00DD0BED"/>
    <w:rsid w:val="00DD4CEC"/>
    <w:rsid w:val="00DD544F"/>
    <w:rsid w:val="00DD6208"/>
    <w:rsid w:val="00DD76A2"/>
    <w:rsid w:val="00DD7A54"/>
    <w:rsid w:val="00DE08EB"/>
    <w:rsid w:val="00DE5329"/>
    <w:rsid w:val="00DE73D6"/>
    <w:rsid w:val="00DF0681"/>
    <w:rsid w:val="00DF154B"/>
    <w:rsid w:val="00DF1B28"/>
    <w:rsid w:val="00DF5679"/>
    <w:rsid w:val="00DF72B8"/>
    <w:rsid w:val="00E040F2"/>
    <w:rsid w:val="00E04291"/>
    <w:rsid w:val="00E04B06"/>
    <w:rsid w:val="00E04E4F"/>
    <w:rsid w:val="00E05B5A"/>
    <w:rsid w:val="00E06F0F"/>
    <w:rsid w:val="00E074D0"/>
    <w:rsid w:val="00E0771D"/>
    <w:rsid w:val="00E077E6"/>
    <w:rsid w:val="00E101DD"/>
    <w:rsid w:val="00E104CB"/>
    <w:rsid w:val="00E118CB"/>
    <w:rsid w:val="00E119A0"/>
    <w:rsid w:val="00E17052"/>
    <w:rsid w:val="00E2390F"/>
    <w:rsid w:val="00E23B58"/>
    <w:rsid w:val="00E2567B"/>
    <w:rsid w:val="00E30298"/>
    <w:rsid w:val="00E32BEC"/>
    <w:rsid w:val="00E32DCB"/>
    <w:rsid w:val="00E33029"/>
    <w:rsid w:val="00E3305D"/>
    <w:rsid w:val="00E35C4F"/>
    <w:rsid w:val="00E45B83"/>
    <w:rsid w:val="00E47304"/>
    <w:rsid w:val="00E5136A"/>
    <w:rsid w:val="00E52321"/>
    <w:rsid w:val="00E52B81"/>
    <w:rsid w:val="00E56DE0"/>
    <w:rsid w:val="00E579FB"/>
    <w:rsid w:val="00E677C9"/>
    <w:rsid w:val="00E72216"/>
    <w:rsid w:val="00E73388"/>
    <w:rsid w:val="00E7464E"/>
    <w:rsid w:val="00E759F7"/>
    <w:rsid w:val="00E821E2"/>
    <w:rsid w:val="00E837E9"/>
    <w:rsid w:val="00E85BC6"/>
    <w:rsid w:val="00E87514"/>
    <w:rsid w:val="00E9085F"/>
    <w:rsid w:val="00E93186"/>
    <w:rsid w:val="00E9558C"/>
    <w:rsid w:val="00E96341"/>
    <w:rsid w:val="00E971DD"/>
    <w:rsid w:val="00EA648A"/>
    <w:rsid w:val="00EB31AB"/>
    <w:rsid w:val="00EB6C8C"/>
    <w:rsid w:val="00EB7EE5"/>
    <w:rsid w:val="00EC4CDD"/>
    <w:rsid w:val="00EC56A6"/>
    <w:rsid w:val="00EC590C"/>
    <w:rsid w:val="00EC6828"/>
    <w:rsid w:val="00EC6EB4"/>
    <w:rsid w:val="00ED0810"/>
    <w:rsid w:val="00ED0B79"/>
    <w:rsid w:val="00ED17CE"/>
    <w:rsid w:val="00ED323F"/>
    <w:rsid w:val="00ED3266"/>
    <w:rsid w:val="00ED52B6"/>
    <w:rsid w:val="00EE3EC4"/>
    <w:rsid w:val="00EE41DA"/>
    <w:rsid w:val="00EE585B"/>
    <w:rsid w:val="00EF16EE"/>
    <w:rsid w:val="00EF1758"/>
    <w:rsid w:val="00EF2168"/>
    <w:rsid w:val="00EF473E"/>
    <w:rsid w:val="00EF5474"/>
    <w:rsid w:val="00EF6EB9"/>
    <w:rsid w:val="00F00F3B"/>
    <w:rsid w:val="00F010A2"/>
    <w:rsid w:val="00F01A9D"/>
    <w:rsid w:val="00F02FE3"/>
    <w:rsid w:val="00F040D0"/>
    <w:rsid w:val="00F05941"/>
    <w:rsid w:val="00F066AC"/>
    <w:rsid w:val="00F07F41"/>
    <w:rsid w:val="00F139BD"/>
    <w:rsid w:val="00F20084"/>
    <w:rsid w:val="00F20E38"/>
    <w:rsid w:val="00F2146C"/>
    <w:rsid w:val="00F259AC"/>
    <w:rsid w:val="00F25B90"/>
    <w:rsid w:val="00F313F5"/>
    <w:rsid w:val="00F31654"/>
    <w:rsid w:val="00F330F4"/>
    <w:rsid w:val="00F339F6"/>
    <w:rsid w:val="00F33E51"/>
    <w:rsid w:val="00F34159"/>
    <w:rsid w:val="00F349E4"/>
    <w:rsid w:val="00F35012"/>
    <w:rsid w:val="00F363D3"/>
    <w:rsid w:val="00F37D33"/>
    <w:rsid w:val="00F424C0"/>
    <w:rsid w:val="00F45F94"/>
    <w:rsid w:val="00F47C21"/>
    <w:rsid w:val="00F5105E"/>
    <w:rsid w:val="00F5229C"/>
    <w:rsid w:val="00F54177"/>
    <w:rsid w:val="00F57ADB"/>
    <w:rsid w:val="00F60B4C"/>
    <w:rsid w:val="00F6128A"/>
    <w:rsid w:val="00F619F8"/>
    <w:rsid w:val="00F62C3D"/>
    <w:rsid w:val="00F63352"/>
    <w:rsid w:val="00F67AA6"/>
    <w:rsid w:val="00F71CFA"/>
    <w:rsid w:val="00F81EA1"/>
    <w:rsid w:val="00F82592"/>
    <w:rsid w:val="00F85A94"/>
    <w:rsid w:val="00F86C02"/>
    <w:rsid w:val="00F917E9"/>
    <w:rsid w:val="00F93BDE"/>
    <w:rsid w:val="00F942D7"/>
    <w:rsid w:val="00F94346"/>
    <w:rsid w:val="00F94534"/>
    <w:rsid w:val="00F948EE"/>
    <w:rsid w:val="00FA446B"/>
    <w:rsid w:val="00FA45B1"/>
    <w:rsid w:val="00FA7533"/>
    <w:rsid w:val="00FB1B95"/>
    <w:rsid w:val="00FC08D5"/>
    <w:rsid w:val="00FC5C45"/>
    <w:rsid w:val="00FC5EF4"/>
    <w:rsid w:val="00FD22A1"/>
    <w:rsid w:val="00FD24F5"/>
    <w:rsid w:val="00FD4EAE"/>
    <w:rsid w:val="00FD51EC"/>
    <w:rsid w:val="00FD7DEF"/>
    <w:rsid w:val="00FE06C9"/>
    <w:rsid w:val="00FE153F"/>
    <w:rsid w:val="00FE3C4F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4AA1E"/>
  <w14:defaultImageDpi w14:val="300"/>
  <w15:docId w15:val="{C969A5B8-8548-413D-9B51-DED1382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3E4"/>
    <w:pPr>
      <w:keepNext/>
      <w:keepLines/>
      <w:spacing w:before="120"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13E4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02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029"/>
    <w:rPr>
      <w:vertAlign w:val="superscript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2D3536"/>
    <w:pPr>
      <w:spacing w:before="120"/>
      <w:ind w:left="360" w:hanging="360"/>
    </w:p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"/>
    <w:link w:val="ListParagraph"/>
    <w:uiPriority w:val="34"/>
    <w:rsid w:val="002D3536"/>
    <w:rPr>
      <w:rFonts w:ascii="Arial" w:hAnsi="Arial" w:cs="Arial"/>
      <w:sz w:val="18"/>
      <w:szCs w:val="18"/>
    </w:rPr>
  </w:style>
  <w:style w:type="paragraph" w:styleId="BodyText">
    <w:name w:val="Body Text"/>
    <w:basedOn w:val="ListNumber"/>
    <w:link w:val="BodyTextChar"/>
    <w:rsid w:val="004028DD"/>
    <w:pPr>
      <w:numPr>
        <w:numId w:val="0"/>
      </w:numPr>
      <w:spacing w:after="120"/>
      <w:ind w:left="1760" w:hanging="680"/>
      <w:contextualSpacing w:val="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4028DD"/>
    <w:rPr>
      <w:rFonts w:ascii="Arial" w:eastAsia="Times New Roman" w:hAnsi="Arial" w:cs="Arial"/>
      <w:noProof/>
      <w:lang w:val="en-AU"/>
    </w:rPr>
  </w:style>
  <w:style w:type="paragraph" w:styleId="ListNumber">
    <w:name w:val="List Number"/>
    <w:basedOn w:val="Normal"/>
    <w:uiPriority w:val="99"/>
    <w:unhideWhenUsed/>
    <w:rsid w:val="004028D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noProof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C530C"/>
    <w:rPr>
      <w:color w:val="004EA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D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D3"/>
    <w:rPr>
      <w:rFonts w:ascii="Arial" w:hAnsi="Arial" w:cs="Arial"/>
      <w:b/>
      <w:bCs/>
      <w:sz w:val="20"/>
      <w:szCs w:val="20"/>
    </w:rPr>
  </w:style>
  <w:style w:type="character" w:customStyle="1" w:styleId="A7">
    <w:name w:val="A7"/>
    <w:uiPriority w:val="99"/>
    <w:rsid w:val="00C566AB"/>
    <w:rPr>
      <w:rFonts w:ascii="VIC Medium" w:hAnsi="VIC Medium" w:cs="VIC Medium"/>
      <w:color w:val="000000"/>
      <w:sz w:val="16"/>
      <w:szCs w:val="1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C7B"/>
    <w:rPr>
      <w:color w:val="87189D" w:themeColor="followedHyperlink"/>
      <w:u w:val="single"/>
    </w:rPr>
  </w:style>
  <w:style w:type="paragraph" w:styleId="Revision">
    <w:name w:val="Revision"/>
    <w:hidden/>
    <w:uiPriority w:val="99"/>
    <w:semiHidden/>
    <w:rsid w:val="007C7C75"/>
    <w:rPr>
      <w:rFonts w:ascii="Arial" w:hAnsi="Arial" w:cs="Arial"/>
      <w:sz w:val="18"/>
      <w:szCs w:val="18"/>
    </w:rPr>
  </w:style>
  <w:style w:type="paragraph" w:customStyle="1" w:styleId="Headingbullet">
    <w:name w:val="Heading bullet"/>
    <w:basedOn w:val="ListParagraph"/>
    <w:link w:val="HeadingbulletChar"/>
    <w:qFormat/>
    <w:rsid w:val="00C9027E"/>
    <w:pPr>
      <w:numPr>
        <w:numId w:val="2"/>
      </w:numPr>
      <w:spacing w:before="180" w:after="60"/>
    </w:pPr>
    <w:rPr>
      <w:b/>
    </w:rPr>
  </w:style>
  <w:style w:type="paragraph" w:customStyle="1" w:styleId="Indentedparagraph">
    <w:name w:val="Indented paragraph"/>
    <w:basedOn w:val="Normal"/>
    <w:link w:val="IndentedparagraphChar"/>
    <w:qFormat/>
    <w:rsid w:val="00C9027E"/>
    <w:pPr>
      <w:spacing w:before="120"/>
      <w:ind w:left="284"/>
    </w:pPr>
  </w:style>
  <w:style w:type="character" w:customStyle="1" w:styleId="HeadingbulletChar">
    <w:name w:val="Heading bullet Char"/>
    <w:basedOn w:val="ListParagraphChar"/>
    <w:link w:val="Headingbullet"/>
    <w:rsid w:val="00C9027E"/>
    <w:rPr>
      <w:rFonts w:ascii="Arial" w:hAnsi="Arial" w:cs="Arial"/>
      <w:b/>
      <w:sz w:val="18"/>
      <w:szCs w:val="18"/>
    </w:rPr>
  </w:style>
  <w:style w:type="paragraph" w:customStyle="1" w:styleId="IndentedList">
    <w:name w:val="Indented List"/>
    <w:basedOn w:val="Indentedparagraph"/>
    <w:link w:val="IndentedListChar"/>
    <w:qFormat/>
    <w:rsid w:val="00C9027E"/>
    <w:pPr>
      <w:numPr>
        <w:numId w:val="3"/>
      </w:numPr>
      <w:ind w:left="567" w:hanging="283"/>
    </w:pPr>
  </w:style>
  <w:style w:type="character" w:customStyle="1" w:styleId="IndentedparagraphChar">
    <w:name w:val="Indented paragraph Char"/>
    <w:basedOn w:val="DefaultParagraphFont"/>
    <w:link w:val="Indentedparagraph"/>
    <w:rsid w:val="00C9027E"/>
    <w:rPr>
      <w:rFonts w:ascii="Arial" w:hAnsi="Arial" w:cs="Arial"/>
      <w:sz w:val="18"/>
      <w:szCs w:val="18"/>
    </w:rPr>
  </w:style>
  <w:style w:type="paragraph" w:customStyle="1" w:styleId="Boldtitle">
    <w:name w:val="Bold title"/>
    <w:basedOn w:val="ListParagraph"/>
    <w:link w:val="BoldtitleChar"/>
    <w:qFormat/>
    <w:rsid w:val="000013E4"/>
    <w:pPr>
      <w:spacing w:after="60"/>
      <w:ind w:left="0" w:firstLine="0"/>
    </w:pPr>
    <w:rPr>
      <w:b/>
    </w:rPr>
  </w:style>
  <w:style w:type="character" w:customStyle="1" w:styleId="IndentedListChar">
    <w:name w:val="Indented List Char"/>
    <w:basedOn w:val="IndentedparagraphChar"/>
    <w:link w:val="IndentedList"/>
    <w:rsid w:val="00C9027E"/>
    <w:rPr>
      <w:rFonts w:ascii="Arial" w:hAnsi="Arial" w:cs="Arial"/>
      <w:sz w:val="18"/>
      <w:szCs w:val="18"/>
    </w:rPr>
  </w:style>
  <w:style w:type="character" w:customStyle="1" w:styleId="BoldtitleChar">
    <w:name w:val="Bold title Char"/>
    <w:basedOn w:val="ListParagraphChar"/>
    <w:link w:val="Boldtitle"/>
    <w:rsid w:val="000013E4"/>
    <w:rPr>
      <w:rFonts w:ascii="Arial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30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516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6562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3833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258562802/f12086a90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teachers/teachingresources/practice/improve/Pages/ppe-element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fessional.practice@edumail.vic.gov.a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teachers/teachingresources/practice/Pages/hits.aspx" TargetMode="External"/><Relationship Id="rId3" Type="http://schemas.openxmlformats.org/officeDocument/2006/relationships/hyperlink" Target="http://www.education.vic.gov.au/school/teachers/teachingresources/literacynumeracy/Pages/literacyportal.aspx" TargetMode="External"/><Relationship Id="rId7" Type="http://schemas.openxmlformats.org/officeDocument/2006/relationships/hyperlink" Target="http://www.education.vic.gov.au/school/teachers/teachingresources/practice/Pages/principlesexcellence.aspx" TargetMode="External"/><Relationship Id="rId2" Type="http://schemas.openxmlformats.org/officeDocument/2006/relationships/hyperlink" Target="http://www.education.vic.gov.au/school/teachers/management/improvement/Pages/proflearncommunities.aspx" TargetMode="External"/><Relationship Id="rId1" Type="http://schemas.openxmlformats.org/officeDocument/2006/relationships/hyperlink" Target="https://visible-learning.org/nvd3/visualize/hattie-ranking-interactive-2009-2011-2015.html" TargetMode="External"/><Relationship Id="rId6" Type="http://schemas.openxmlformats.org/officeDocument/2006/relationships/hyperlink" Target="https://www.bastow.vic.edu.au/" TargetMode="External"/><Relationship Id="rId11" Type="http://schemas.openxmlformats.org/officeDocument/2006/relationships/hyperlink" Target="http://www.education.vic.gov.au/school/teachers/management/improvement/Pages/FISO.aspx" TargetMode="External"/><Relationship Id="rId5" Type="http://schemas.openxmlformats.org/officeDocument/2006/relationships/hyperlink" Target="http://www.education.vic.gov.au/Pages/schoolsprivacypolicy.aspx" TargetMode="External"/><Relationship Id="rId10" Type="http://schemas.openxmlformats.org/officeDocument/2006/relationships/hyperlink" Target="http://lynsharratt.com/text-blog/data-walls-living-wallpaper/" TargetMode="External"/><Relationship Id="rId4" Type="http://schemas.openxmlformats.org/officeDocument/2006/relationships/hyperlink" Target="https://knowledgeinstitute.co.nz/" TargetMode="External"/><Relationship Id="rId9" Type="http://schemas.openxmlformats.org/officeDocument/2006/relationships/hyperlink" Target="http://www.education.vic.gov.au/school/teachers/teachingresources/discipline/english/literacy/Pages/defaul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PPN#5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314A7-7AB6-45AD-8149-9CB3230B1A04}"/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26AE25A4-4B4F-468A-910D-BF72F915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Beck, Luke L</cp:lastModifiedBy>
  <cp:revision>13</cp:revision>
  <cp:lastPrinted>2018-03-07T05:31:00Z</cp:lastPrinted>
  <dcterms:created xsi:type="dcterms:W3CDTF">2018-03-06T01:44:00Z</dcterms:created>
  <dcterms:modified xsi:type="dcterms:W3CDTF">2019-05-16T06:09:00Z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{24cb86e1-71bf-4f47-acd6-c70effc44957}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{03dc8113-b288-4f44-a289-6e7ea0196235}</vt:lpwstr>
  </property>
  <property fmtid="{D5CDD505-2E9C-101B-9397-08002B2CF9AE}" pid="6" name="RecordPoint_ActiveItemListId">
    <vt:lpwstr>{6ef9849d-c3c7-4026-8b61-646835e4ac4e}</vt:lpwstr>
  </property>
  <property fmtid="{D5CDD505-2E9C-101B-9397-08002B2CF9AE}" pid="7" name="RecordPoint_ActiveItemWebId">
    <vt:lpwstr>{69c6d17e-4966-4cea-b47f-eb6dea2170e9}</vt:lpwstr>
  </property>
  <property fmtid="{D5CDD505-2E9C-101B-9397-08002B2CF9AE}" pid="8" name="RecordPoint_RecordNumberSubmitted">
    <vt:lpwstr>R2018/0131408</vt:lpwstr>
  </property>
  <property fmtid="{D5CDD505-2E9C-101B-9397-08002B2CF9AE}" pid="9" name="RecordPoint_SubmissionCompleted">
    <vt:lpwstr>2018-03-07T16:42:02.9356935+11:00</vt:lpwstr>
  </property>
  <property fmtid="{D5CDD505-2E9C-101B-9397-08002B2CF9AE}" pid="10" name="DET_EDRMS_RCS">
    <vt:lpwstr>20;#1.2.2 Project Documentation|a3ce4c3c-7960-4756-834e-8cbbf9028802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