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C2BF" w14:textId="5CC2A702" w:rsidR="00EB6C8C" w:rsidRPr="00EC598C" w:rsidRDefault="003B02CF" w:rsidP="00D8262A">
      <w:pPr>
        <w:pStyle w:val="Heading1"/>
        <w:spacing w:before="120"/>
        <w:ind w:right="-170"/>
        <w:rPr>
          <w:b w:val="0"/>
          <w:sz w:val="44"/>
          <w:szCs w:val="44"/>
        </w:rPr>
      </w:pPr>
      <w:r w:rsidRPr="00EC598C">
        <w:rPr>
          <w:b w:val="0"/>
          <w:sz w:val="44"/>
          <w:szCs w:val="44"/>
        </w:rPr>
        <w:t>USING HIGH IMPACT TEACHING STRATEGIES</w:t>
      </w:r>
      <w:r w:rsidR="00C57DB4" w:rsidRPr="00EC598C">
        <w:rPr>
          <w:b w:val="0"/>
          <w:sz w:val="44"/>
          <w:szCs w:val="44"/>
        </w:rPr>
        <w:t xml:space="preserve"> </w:t>
      </w:r>
      <w:r w:rsidR="00975A58" w:rsidRPr="00EC598C">
        <w:rPr>
          <w:b w:val="0"/>
          <w:sz w:val="44"/>
          <w:szCs w:val="44"/>
        </w:rPr>
        <w:t xml:space="preserve">TO </w:t>
      </w:r>
      <w:r w:rsidR="00C57DB4" w:rsidRPr="00EC598C">
        <w:rPr>
          <w:b w:val="0"/>
          <w:sz w:val="44"/>
          <w:szCs w:val="44"/>
        </w:rPr>
        <w:t xml:space="preserve">SUPPORT </w:t>
      </w:r>
      <w:r w:rsidR="00A3503A" w:rsidRPr="00EC598C">
        <w:rPr>
          <w:b w:val="0"/>
          <w:sz w:val="44"/>
          <w:szCs w:val="44"/>
        </w:rPr>
        <w:t>LITERACY LEARNING</w:t>
      </w:r>
    </w:p>
    <w:p w14:paraId="0A678D95" w14:textId="4E38DDD1" w:rsidR="00C55920" w:rsidRPr="00EC598C" w:rsidRDefault="00472469" w:rsidP="002D574E">
      <w:pPr>
        <w:pStyle w:val="Quote"/>
      </w:pPr>
      <w:r w:rsidRPr="00EC598C">
        <w:t>“</w:t>
      </w:r>
      <w:r w:rsidR="00F86A05" w:rsidRPr="00EC598C">
        <w:t>It is critical that teachers learn about the success or otherwise of their interventions: those teachers who are students of their own impact are the teachers who are the most influential in raising students’ achievement</w:t>
      </w:r>
      <w:r w:rsidRPr="00EC598C">
        <w:t>”</w:t>
      </w:r>
      <w:r w:rsidR="002D574E" w:rsidRPr="00EC598C">
        <w:rPr>
          <w:rStyle w:val="FootnoteReference"/>
        </w:rPr>
        <w:footnoteReference w:id="1"/>
      </w:r>
    </w:p>
    <w:p w14:paraId="1CA5E526" w14:textId="68F36B9B" w:rsidR="00472469" w:rsidRPr="00EC598C" w:rsidRDefault="002D574E" w:rsidP="00BD24A8">
      <w:pPr>
        <w:pStyle w:val="EndnoteText"/>
        <w:jc w:val="both"/>
        <w:rPr>
          <w:color w:val="000000" w:themeColor="text1"/>
        </w:rPr>
      </w:pPr>
      <w:r w:rsidRPr="00EC598C">
        <w:rPr>
          <w:color w:val="000000" w:themeColor="text1"/>
        </w:rPr>
        <w:t>Hattie, 2014</w:t>
      </w:r>
    </w:p>
    <w:p w14:paraId="4C34B713" w14:textId="13567E9A" w:rsidR="003E29B5" w:rsidRPr="00EC598C" w:rsidRDefault="00294983" w:rsidP="00BD24A8">
      <w:pPr>
        <w:pStyle w:val="Heading1"/>
        <w:jc w:val="both"/>
      </w:pPr>
      <w:r w:rsidRPr="00EC598C">
        <w:t>OVERVIEW</w:t>
      </w:r>
    </w:p>
    <w:p w14:paraId="4B62014E" w14:textId="563D68A8" w:rsidR="00C504C5" w:rsidRPr="00EC598C" w:rsidRDefault="002D574E" w:rsidP="009F7A09">
      <w:pPr>
        <w:jc w:val="both"/>
      </w:pPr>
      <w:r w:rsidRPr="00EC598C">
        <w:rPr>
          <w:color w:val="000000" w:themeColor="text1"/>
        </w:rPr>
        <w:t>This professional practice note provides advice to school le</w:t>
      </w:r>
      <w:r w:rsidR="00AA5D70" w:rsidRPr="00EC598C">
        <w:rPr>
          <w:color w:val="000000" w:themeColor="text1"/>
        </w:rPr>
        <w:t>aders and teachers on applying High I</w:t>
      </w:r>
      <w:r w:rsidRPr="00EC598C">
        <w:rPr>
          <w:color w:val="000000" w:themeColor="text1"/>
        </w:rPr>
        <w:t xml:space="preserve">mpact </w:t>
      </w:r>
      <w:r w:rsidR="001574C5" w:rsidRPr="00EC598C">
        <w:rPr>
          <w:color w:val="000000" w:themeColor="text1"/>
        </w:rPr>
        <w:t>T</w:t>
      </w:r>
      <w:r w:rsidRPr="00EC598C">
        <w:rPr>
          <w:color w:val="000000" w:themeColor="text1"/>
        </w:rPr>
        <w:t xml:space="preserve">eaching </w:t>
      </w:r>
      <w:r w:rsidR="00AA5D70" w:rsidRPr="00EC598C">
        <w:rPr>
          <w:color w:val="000000" w:themeColor="text1"/>
        </w:rPr>
        <w:t>S</w:t>
      </w:r>
      <w:r w:rsidRPr="00EC598C">
        <w:rPr>
          <w:color w:val="000000" w:themeColor="text1"/>
        </w:rPr>
        <w:t xml:space="preserve">trategies (HITS) to areas of the Victorian </w:t>
      </w:r>
      <w:r w:rsidR="009029B3" w:rsidRPr="00EC598C">
        <w:rPr>
          <w:color w:val="000000" w:themeColor="text1"/>
        </w:rPr>
        <w:t>C</w:t>
      </w:r>
      <w:r w:rsidRPr="00EC598C">
        <w:rPr>
          <w:color w:val="000000" w:themeColor="text1"/>
        </w:rPr>
        <w:t xml:space="preserve">urriculum </w:t>
      </w:r>
      <w:r w:rsidR="009029B3" w:rsidRPr="00EC598C">
        <w:rPr>
          <w:color w:val="000000" w:themeColor="text1"/>
        </w:rPr>
        <w:t xml:space="preserve">F-10 </w:t>
      </w:r>
      <w:r w:rsidRPr="00EC598C">
        <w:rPr>
          <w:color w:val="000000" w:themeColor="text1"/>
        </w:rPr>
        <w:t xml:space="preserve">to support effective literacy learning. </w:t>
      </w:r>
      <w:r w:rsidR="00C0546C" w:rsidRPr="00EC598C">
        <w:rPr>
          <w:color w:val="000000" w:themeColor="text1"/>
        </w:rPr>
        <w:t xml:space="preserve">This note will describe how the </w:t>
      </w:r>
      <w:r w:rsidR="009F7A09" w:rsidRPr="00EC598C">
        <w:rPr>
          <w:color w:val="000000" w:themeColor="text1"/>
        </w:rPr>
        <w:t xml:space="preserve">Literacy and Numeracy Strategy, </w:t>
      </w:r>
      <w:r w:rsidR="001574C5" w:rsidRPr="00EC598C">
        <w:rPr>
          <w:color w:val="000000" w:themeColor="text1"/>
        </w:rPr>
        <w:t>Framework for Improving Student Outcomes (</w:t>
      </w:r>
      <w:r w:rsidR="009F7A09" w:rsidRPr="00EC598C">
        <w:rPr>
          <w:color w:val="000000" w:themeColor="text1"/>
        </w:rPr>
        <w:t>FISO</w:t>
      </w:r>
      <w:r w:rsidR="001574C5" w:rsidRPr="00EC598C">
        <w:rPr>
          <w:color w:val="000000" w:themeColor="text1"/>
        </w:rPr>
        <w:t>)</w:t>
      </w:r>
      <w:r w:rsidR="00EB1616" w:rsidRPr="00EC598C">
        <w:rPr>
          <w:color w:val="000000" w:themeColor="text1"/>
        </w:rPr>
        <w:t xml:space="preserve">, </w:t>
      </w:r>
      <w:r w:rsidR="009F7A09" w:rsidRPr="00EC598C">
        <w:rPr>
          <w:color w:val="000000" w:themeColor="text1"/>
        </w:rPr>
        <w:t>the Victorian Curriculum</w:t>
      </w:r>
      <w:r w:rsidR="001574C5" w:rsidRPr="00EC598C">
        <w:rPr>
          <w:color w:val="000000" w:themeColor="text1"/>
        </w:rPr>
        <w:t xml:space="preserve"> F-10</w:t>
      </w:r>
      <w:r w:rsidR="00E44344" w:rsidRPr="00EC598C">
        <w:rPr>
          <w:color w:val="000000" w:themeColor="text1"/>
        </w:rPr>
        <w:t xml:space="preserve">, </w:t>
      </w:r>
      <w:r w:rsidR="009F7A09" w:rsidRPr="00EC598C">
        <w:rPr>
          <w:color w:val="000000" w:themeColor="text1"/>
        </w:rPr>
        <w:t>and HITS</w:t>
      </w:r>
      <w:r w:rsidR="00C0546C" w:rsidRPr="00EC598C">
        <w:rPr>
          <w:color w:val="000000" w:themeColor="text1"/>
        </w:rPr>
        <w:t xml:space="preserve"> can be used together to improve literacy learning outcomes</w:t>
      </w:r>
      <w:r w:rsidR="009F7A09" w:rsidRPr="00EC598C">
        <w:rPr>
          <w:color w:val="000000" w:themeColor="text1"/>
        </w:rPr>
        <w:t>.</w:t>
      </w:r>
    </w:p>
    <w:p w14:paraId="5E6A035F" w14:textId="7725D336" w:rsidR="003E29B5" w:rsidRPr="00EC598C" w:rsidRDefault="00C0546C" w:rsidP="00BD24A8">
      <w:pPr>
        <w:pStyle w:val="Heading1"/>
        <w:jc w:val="both"/>
      </w:pPr>
      <w:r w:rsidRPr="00EC598C">
        <w:t>EFFECTIVE LITERACY LEARNING</w:t>
      </w:r>
    </w:p>
    <w:p w14:paraId="176E41C1" w14:textId="167236FF" w:rsidR="00C0546C" w:rsidRPr="00EC598C" w:rsidRDefault="00C0546C" w:rsidP="0000282D">
      <w:pPr>
        <w:jc w:val="both"/>
        <w:rPr>
          <w:color w:val="000000" w:themeColor="text1"/>
        </w:rPr>
      </w:pPr>
      <w:r w:rsidRPr="00EC598C">
        <w:rPr>
          <w:color w:val="000000" w:themeColor="text1"/>
        </w:rPr>
        <w:t>Literacy can be defined as students’ ability to interpret and create texts with appropriateness, accuracy, confidence, fluency and efficacy for learning in and out of school, and for participating</w:t>
      </w:r>
      <w:r w:rsidR="0000282D" w:rsidRPr="00EC598C">
        <w:rPr>
          <w:color w:val="000000" w:themeColor="text1"/>
        </w:rPr>
        <w:t xml:space="preserve"> in the workplace and community.</w:t>
      </w:r>
      <w:r w:rsidRPr="00EC598C">
        <w:rPr>
          <w:rStyle w:val="FootnoteReference"/>
          <w:color w:val="000000" w:themeColor="text1"/>
        </w:rPr>
        <w:footnoteReference w:id="2"/>
      </w:r>
      <w:r w:rsidR="0000282D" w:rsidRPr="00EC598C">
        <w:rPr>
          <w:rStyle w:val="FootnoteReference"/>
        </w:rPr>
        <w:t xml:space="preserve"> </w:t>
      </w:r>
      <w:r w:rsidR="0000282D" w:rsidRPr="00EC598C">
        <w:rPr>
          <w:color w:val="000000" w:themeColor="text1"/>
        </w:rPr>
        <w:t>A</w:t>
      </w:r>
      <w:r w:rsidRPr="00EC598C">
        <w:rPr>
          <w:color w:val="000000" w:themeColor="text1"/>
        </w:rPr>
        <w:t xml:space="preserve"> strong foundation in literacy is vital for every child and young person, and underpins their ability to engage in education, reach their potential and fully participate in the community</w:t>
      </w:r>
      <w:r w:rsidR="00C22D70" w:rsidRPr="00EC598C">
        <w:rPr>
          <w:color w:val="000000" w:themeColor="text1"/>
        </w:rPr>
        <w:t>.</w:t>
      </w:r>
    </w:p>
    <w:p w14:paraId="72BA852E" w14:textId="410C26F3" w:rsidR="00C22D70" w:rsidRPr="00EC598C" w:rsidRDefault="00C22D70" w:rsidP="00BD24A8">
      <w:pPr>
        <w:jc w:val="both"/>
        <w:rPr>
          <w:color w:val="000000" w:themeColor="text1"/>
        </w:rPr>
      </w:pPr>
      <w:r w:rsidRPr="00EC598C">
        <w:rPr>
          <w:color w:val="000000" w:themeColor="text1"/>
        </w:rPr>
        <w:t xml:space="preserve">While literacy </w:t>
      </w:r>
      <w:r w:rsidR="00E44344" w:rsidRPr="00EC598C">
        <w:rPr>
          <w:color w:val="000000" w:themeColor="text1"/>
        </w:rPr>
        <w:t>is</w:t>
      </w:r>
      <w:r w:rsidRPr="00EC598C">
        <w:rPr>
          <w:color w:val="000000" w:themeColor="text1"/>
        </w:rPr>
        <w:t xml:space="preserve"> explored, developed, challenged and embedded across all areas of the Victorian Curriculum</w:t>
      </w:r>
      <w:r w:rsidR="00F74C9D" w:rsidRPr="00EC598C">
        <w:rPr>
          <w:color w:val="000000" w:themeColor="text1"/>
        </w:rPr>
        <w:t xml:space="preserve"> F-10</w:t>
      </w:r>
      <w:r w:rsidRPr="00EC598C">
        <w:rPr>
          <w:color w:val="000000" w:themeColor="text1"/>
        </w:rPr>
        <w:t xml:space="preserve">, students also experience explicit literacy instruction through the English learning area. </w:t>
      </w:r>
    </w:p>
    <w:p w14:paraId="1F8485D8" w14:textId="0A3F0CBA" w:rsidR="00167CDB" w:rsidRPr="00EC598C" w:rsidRDefault="00C22D70" w:rsidP="00BD24A8">
      <w:pPr>
        <w:jc w:val="both"/>
        <w:rPr>
          <w:color w:val="000000" w:themeColor="text1"/>
        </w:rPr>
      </w:pPr>
      <w:r w:rsidRPr="00EC598C">
        <w:rPr>
          <w:color w:val="000000" w:themeColor="text1"/>
        </w:rPr>
        <w:t xml:space="preserve">Effective literacy learning occurs when </w:t>
      </w:r>
      <w:r w:rsidR="005B75AC" w:rsidRPr="00EC598C">
        <w:rPr>
          <w:color w:val="000000" w:themeColor="text1"/>
        </w:rPr>
        <w:t>schools embed high impact strategies in</w:t>
      </w:r>
      <w:r w:rsidRPr="00EC598C">
        <w:rPr>
          <w:color w:val="000000" w:themeColor="text1"/>
        </w:rPr>
        <w:t xml:space="preserve"> </w:t>
      </w:r>
      <w:r w:rsidR="00526064" w:rsidRPr="00EC598C">
        <w:rPr>
          <w:color w:val="000000" w:themeColor="text1"/>
        </w:rPr>
        <w:t xml:space="preserve">literacy </w:t>
      </w:r>
      <w:r w:rsidR="005B75AC" w:rsidRPr="00EC598C">
        <w:rPr>
          <w:color w:val="000000" w:themeColor="text1"/>
        </w:rPr>
        <w:t>programs</w:t>
      </w:r>
      <w:r w:rsidR="00526064" w:rsidRPr="00EC598C">
        <w:rPr>
          <w:color w:val="000000" w:themeColor="text1"/>
        </w:rPr>
        <w:t xml:space="preserve">. This </w:t>
      </w:r>
      <w:r w:rsidR="007A2658" w:rsidRPr="00EC598C">
        <w:rPr>
          <w:color w:val="000000" w:themeColor="text1"/>
        </w:rPr>
        <w:t>includes</w:t>
      </w:r>
      <w:r w:rsidR="00526064" w:rsidRPr="00EC598C">
        <w:rPr>
          <w:color w:val="000000" w:themeColor="text1"/>
        </w:rPr>
        <w:t xml:space="preserve"> teachers </w:t>
      </w:r>
      <w:r w:rsidR="00526064" w:rsidRPr="00EC598C">
        <w:rPr>
          <w:color w:val="000000" w:themeColor="text1"/>
        </w:rPr>
        <w:t>reflecting on their practice, identifying an area of improvement focus</w:t>
      </w:r>
      <w:r w:rsidR="007A2658" w:rsidRPr="00EC598C">
        <w:rPr>
          <w:color w:val="000000" w:themeColor="text1"/>
        </w:rPr>
        <w:t>, applying the teaching strategy</w:t>
      </w:r>
      <w:r w:rsidR="00526064" w:rsidRPr="00EC598C">
        <w:rPr>
          <w:color w:val="000000" w:themeColor="text1"/>
        </w:rPr>
        <w:t xml:space="preserve"> and evaluating </w:t>
      </w:r>
      <w:r w:rsidR="001574C5" w:rsidRPr="00EC598C">
        <w:rPr>
          <w:color w:val="000000" w:themeColor="text1"/>
        </w:rPr>
        <w:t xml:space="preserve">its </w:t>
      </w:r>
      <w:r w:rsidR="00526064" w:rsidRPr="00EC598C">
        <w:rPr>
          <w:color w:val="000000" w:themeColor="text1"/>
        </w:rPr>
        <w:t>impact.</w:t>
      </w:r>
      <w:r w:rsidR="00B35988" w:rsidRPr="00EC598C">
        <w:rPr>
          <w:color w:val="000000" w:themeColor="text1"/>
        </w:rPr>
        <w:t xml:space="preserve"> </w:t>
      </w:r>
    </w:p>
    <w:p w14:paraId="62B98A41" w14:textId="2C7620DA" w:rsidR="007A2658" w:rsidRPr="00EC598C" w:rsidRDefault="00EB1616" w:rsidP="00BD24A8">
      <w:pPr>
        <w:jc w:val="both"/>
        <w:rPr>
          <w:color w:val="000000" w:themeColor="text1"/>
        </w:rPr>
      </w:pPr>
      <w:r w:rsidRPr="00EC598C">
        <w:rPr>
          <w:color w:val="000000" w:themeColor="text1"/>
        </w:rPr>
        <w:t xml:space="preserve">The Department’s </w:t>
      </w:r>
      <w:r w:rsidR="001574C5" w:rsidRPr="00EC598C">
        <w:rPr>
          <w:color w:val="000000" w:themeColor="text1"/>
        </w:rPr>
        <w:t>HITS</w:t>
      </w:r>
      <w:r w:rsidR="000F111B" w:rsidRPr="00EC598C">
        <w:rPr>
          <w:color w:val="000000" w:themeColor="text1"/>
        </w:rPr>
        <w:t xml:space="preserve"> </w:t>
      </w:r>
      <w:r w:rsidR="00526064" w:rsidRPr="00EC598C">
        <w:rPr>
          <w:color w:val="000000" w:themeColor="text1"/>
        </w:rPr>
        <w:t>resource</w:t>
      </w:r>
      <w:r w:rsidR="007A2658" w:rsidRPr="00EC598C">
        <w:rPr>
          <w:color w:val="000000" w:themeColor="text1"/>
        </w:rPr>
        <w:t xml:space="preserve"> support</w:t>
      </w:r>
      <w:r w:rsidR="00C219F4" w:rsidRPr="00EC598C">
        <w:rPr>
          <w:color w:val="000000" w:themeColor="text1"/>
        </w:rPr>
        <w:t>s</w:t>
      </w:r>
      <w:r w:rsidR="007A2658" w:rsidRPr="00EC598C">
        <w:rPr>
          <w:color w:val="000000" w:themeColor="text1"/>
        </w:rPr>
        <w:t xml:space="preserve"> teachers</w:t>
      </w:r>
      <w:r w:rsidR="00C219F4" w:rsidRPr="00EC598C">
        <w:rPr>
          <w:color w:val="000000" w:themeColor="text1"/>
        </w:rPr>
        <w:t>, professional learning communit</w:t>
      </w:r>
      <w:r w:rsidR="000F111B" w:rsidRPr="00EC598C">
        <w:rPr>
          <w:color w:val="000000" w:themeColor="text1"/>
        </w:rPr>
        <w:t>ies</w:t>
      </w:r>
      <w:r w:rsidR="00C219F4" w:rsidRPr="00EC598C">
        <w:rPr>
          <w:color w:val="000000" w:themeColor="text1"/>
        </w:rPr>
        <w:t xml:space="preserve"> and whole-school groups to set goals and actions based on the teaching strategies. </w:t>
      </w:r>
      <w:r w:rsidR="007A2658" w:rsidRPr="00EC598C">
        <w:rPr>
          <w:color w:val="000000" w:themeColor="text1"/>
        </w:rPr>
        <w:t xml:space="preserve">The following examples demonstrate how the HITS can be applied to </w:t>
      </w:r>
      <w:r w:rsidR="00BB6864" w:rsidRPr="00EC598C">
        <w:rPr>
          <w:color w:val="000000" w:themeColor="text1"/>
        </w:rPr>
        <w:t>support literacy learning</w:t>
      </w:r>
      <w:r w:rsidR="0031732A" w:rsidRPr="00EC598C">
        <w:rPr>
          <w:color w:val="000000" w:themeColor="text1"/>
        </w:rPr>
        <w:t>.</w:t>
      </w:r>
    </w:p>
    <w:p w14:paraId="5FDC0A05" w14:textId="591567B8" w:rsidR="00C504C5" w:rsidRPr="00EC598C" w:rsidRDefault="007A2658" w:rsidP="00C504C5">
      <w:pPr>
        <w:pStyle w:val="Heading1"/>
        <w:jc w:val="both"/>
      </w:pPr>
      <w:r w:rsidRPr="00EC598C">
        <w:t>EXAMPLES IN PRACTICE</w:t>
      </w:r>
    </w:p>
    <w:p w14:paraId="3EDE813B" w14:textId="6ED75CC6" w:rsidR="00C0546C" w:rsidRPr="00EC598C" w:rsidRDefault="007A2658" w:rsidP="00673764">
      <w:pPr>
        <w:rPr>
          <w:b/>
          <w:color w:val="000000" w:themeColor="text1"/>
        </w:rPr>
      </w:pPr>
      <w:r w:rsidRPr="00EC598C">
        <w:rPr>
          <w:b/>
          <w:color w:val="000000" w:themeColor="text1"/>
        </w:rPr>
        <w:t xml:space="preserve">Example 1: </w:t>
      </w:r>
      <w:r w:rsidR="00C219F4" w:rsidRPr="00EC598C">
        <w:rPr>
          <w:b/>
          <w:color w:val="000000" w:themeColor="text1"/>
        </w:rPr>
        <w:t xml:space="preserve">Setting goals </w:t>
      </w:r>
      <w:r w:rsidR="00941DF4" w:rsidRPr="00EC598C">
        <w:rPr>
          <w:b/>
          <w:color w:val="000000" w:themeColor="text1"/>
        </w:rPr>
        <w:t>(0.56 effect size)</w:t>
      </w:r>
      <w:bookmarkStart w:id="0" w:name="_Ref514250429"/>
      <w:r w:rsidR="0007304F" w:rsidRPr="00EC598C">
        <w:rPr>
          <w:rStyle w:val="FootnoteReference"/>
          <w:color w:val="000000" w:themeColor="text1"/>
        </w:rPr>
        <w:footnoteReference w:id="3"/>
      </w:r>
      <w:bookmarkEnd w:id="0"/>
    </w:p>
    <w:p w14:paraId="2B038025" w14:textId="2C422BEB" w:rsidR="00C219F4" w:rsidRPr="00EC598C" w:rsidRDefault="002210EB" w:rsidP="00BD24A8">
      <w:pPr>
        <w:jc w:val="both"/>
        <w:rPr>
          <w:color w:val="000000" w:themeColor="text1"/>
        </w:rPr>
      </w:pPr>
      <w:r w:rsidRPr="00EC598C">
        <w:rPr>
          <w:color w:val="000000" w:themeColor="text1"/>
        </w:rPr>
        <w:t>The English t</w:t>
      </w:r>
      <w:r w:rsidR="00BB6864" w:rsidRPr="00EC598C">
        <w:rPr>
          <w:color w:val="000000" w:themeColor="text1"/>
        </w:rPr>
        <w:t xml:space="preserve">eam at a Melbourne secondary college </w:t>
      </w:r>
      <w:r w:rsidR="00514550" w:rsidRPr="00EC598C">
        <w:rPr>
          <w:color w:val="000000" w:themeColor="text1"/>
        </w:rPr>
        <w:t>invited the Professional</w:t>
      </w:r>
      <w:r w:rsidRPr="00EC598C">
        <w:rPr>
          <w:color w:val="000000" w:themeColor="text1"/>
        </w:rPr>
        <w:t xml:space="preserve"> Learning Coordinator to their t</w:t>
      </w:r>
      <w:r w:rsidR="00514550" w:rsidRPr="00EC598C">
        <w:rPr>
          <w:color w:val="000000" w:themeColor="text1"/>
        </w:rPr>
        <w:t xml:space="preserve">eam meeting to </w:t>
      </w:r>
      <w:r w:rsidR="00941DF4" w:rsidRPr="00EC598C">
        <w:rPr>
          <w:color w:val="000000" w:themeColor="text1"/>
        </w:rPr>
        <w:t>discuss using goal sett</w:t>
      </w:r>
      <w:r w:rsidRPr="00EC598C">
        <w:rPr>
          <w:color w:val="000000" w:themeColor="text1"/>
        </w:rPr>
        <w:t>ing and success criteria for an</w:t>
      </w:r>
      <w:r w:rsidR="00941DF4" w:rsidRPr="00EC598C">
        <w:rPr>
          <w:color w:val="000000" w:themeColor="text1"/>
        </w:rPr>
        <w:t xml:space="preserve"> upcoming Year 8 English Unit. Their discussions underlined the importance of providing students with </w:t>
      </w:r>
      <w:r w:rsidR="005B75AC" w:rsidRPr="00EC598C">
        <w:rPr>
          <w:b/>
          <w:i/>
          <w:color w:val="000000" w:themeColor="text1"/>
        </w:rPr>
        <w:t>clear learning intent</w:t>
      </w:r>
      <w:r w:rsidR="00941DF4" w:rsidRPr="00EC598C">
        <w:rPr>
          <w:b/>
          <w:i/>
          <w:color w:val="000000" w:themeColor="text1"/>
        </w:rPr>
        <w:t>ions, with goals that clarify what success looks like</w:t>
      </w:r>
      <w:r w:rsidR="005B75AC" w:rsidRPr="00EC598C">
        <w:rPr>
          <w:b/>
          <w:i/>
          <w:color w:val="000000" w:themeColor="text1"/>
        </w:rPr>
        <w:t xml:space="preserve"> </w:t>
      </w:r>
      <w:r w:rsidR="005B75AC" w:rsidRPr="00EC598C">
        <w:rPr>
          <w:b/>
          <w:color w:val="000000" w:themeColor="text1"/>
        </w:rPr>
        <w:t>(HITS #1)</w:t>
      </w:r>
      <w:r w:rsidR="005B75AC" w:rsidRPr="00EC598C">
        <w:rPr>
          <w:color w:val="000000" w:themeColor="text1"/>
        </w:rPr>
        <w:t>.</w:t>
      </w:r>
      <w:r w:rsidR="00941DF4" w:rsidRPr="00EC598C">
        <w:rPr>
          <w:color w:val="000000" w:themeColor="text1"/>
        </w:rPr>
        <w:t xml:space="preserve">  </w:t>
      </w:r>
      <w:r w:rsidR="00BB6864" w:rsidRPr="00EC598C">
        <w:rPr>
          <w:color w:val="000000" w:themeColor="text1"/>
        </w:rPr>
        <w:t xml:space="preserve"> </w:t>
      </w:r>
    </w:p>
    <w:p w14:paraId="1C5EBF23" w14:textId="08C4BEA1" w:rsidR="00B609AF" w:rsidRPr="00EC598C" w:rsidRDefault="00941DF4" w:rsidP="00BD24A8">
      <w:pPr>
        <w:jc w:val="both"/>
        <w:rPr>
          <w:color w:val="000000" w:themeColor="text1"/>
        </w:rPr>
      </w:pPr>
      <w:r w:rsidRPr="00EC598C">
        <w:rPr>
          <w:color w:val="000000" w:themeColor="text1"/>
        </w:rPr>
        <w:t>At the start of the Unit</w:t>
      </w:r>
      <w:r w:rsidR="00135EFA" w:rsidRPr="00EC598C">
        <w:rPr>
          <w:color w:val="000000" w:themeColor="text1"/>
        </w:rPr>
        <w:t>, the English teachers present</w:t>
      </w:r>
      <w:r w:rsidRPr="00EC598C">
        <w:rPr>
          <w:color w:val="000000" w:themeColor="text1"/>
        </w:rPr>
        <w:t xml:space="preserve"> their students with a </w:t>
      </w:r>
      <w:r w:rsidR="001574C5" w:rsidRPr="00EC598C">
        <w:rPr>
          <w:color w:val="000000" w:themeColor="text1"/>
        </w:rPr>
        <w:t>U</w:t>
      </w:r>
      <w:r w:rsidR="00B10E44" w:rsidRPr="00EC598C">
        <w:rPr>
          <w:color w:val="000000" w:themeColor="text1"/>
        </w:rPr>
        <w:t>nit overview, and provide</w:t>
      </w:r>
      <w:r w:rsidRPr="00EC598C">
        <w:rPr>
          <w:color w:val="000000" w:themeColor="text1"/>
        </w:rPr>
        <w:t xml:space="preserve"> them with opportunities to demonstrate their current knowledge and skills on a proficiency scale. Students </w:t>
      </w:r>
      <w:r w:rsidR="00B10E44" w:rsidRPr="00EC598C">
        <w:rPr>
          <w:color w:val="000000" w:themeColor="text1"/>
        </w:rPr>
        <w:t>are</w:t>
      </w:r>
      <w:r w:rsidRPr="00EC598C">
        <w:rPr>
          <w:color w:val="000000" w:themeColor="text1"/>
        </w:rPr>
        <w:t xml:space="preserve"> also introduced to the Unit’s learning intentions and success criteria so </w:t>
      </w:r>
      <w:r w:rsidR="0000282D" w:rsidRPr="00EC598C">
        <w:rPr>
          <w:color w:val="000000" w:themeColor="text1"/>
        </w:rPr>
        <w:t xml:space="preserve">that </w:t>
      </w:r>
      <w:r w:rsidRPr="00EC598C">
        <w:rPr>
          <w:color w:val="000000" w:themeColor="text1"/>
        </w:rPr>
        <w:t xml:space="preserve">they </w:t>
      </w:r>
      <w:r w:rsidR="00B10E44" w:rsidRPr="00EC598C">
        <w:rPr>
          <w:color w:val="000000" w:themeColor="text1"/>
        </w:rPr>
        <w:t>can</w:t>
      </w:r>
      <w:r w:rsidRPr="00EC598C">
        <w:rPr>
          <w:color w:val="000000" w:themeColor="text1"/>
        </w:rPr>
        <w:t xml:space="preserve"> self-monitor their progress during and at the end of the Unit. </w:t>
      </w:r>
    </w:p>
    <w:p w14:paraId="4C3AF57A" w14:textId="4B65690C" w:rsidR="00941DF4" w:rsidRPr="00EC598C" w:rsidRDefault="00B609AF" w:rsidP="00BD24A8">
      <w:pPr>
        <w:jc w:val="both"/>
        <w:rPr>
          <w:color w:val="000000" w:themeColor="text1"/>
        </w:rPr>
      </w:pPr>
      <w:r w:rsidRPr="00EC598C">
        <w:rPr>
          <w:color w:val="000000" w:themeColor="text1"/>
        </w:rPr>
        <w:t xml:space="preserve">The use of proficiency scales enabled students and teachers to </w:t>
      </w:r>
      <w:proofErr w:type="spellStart"/>
      <w:r w:rsidRPr="00EC598C">
        <w:rPr>
          <w:color w:val="000000" w:themeColor="text1"/>
        </w:rPr>
        <w:t>recognise</w:t>
      </w:r>
      <w:proofErr w:type="spellEnd"/>
      <w:r w:rsidRPr="00EC598C">
        <w:rPr>
          <w:color w:val="000000" w:themeColor="text1"/>
        </w:rPr>
        <w:t xml:space="preserve"> prior learning levels and reflect on student growth. The use of learning intentions enabled teachers to set challenges that fostered student commitment and confidence in their learning.</w:t>
      </w:r>
    </w:p>
    <w:p w14:paraId="61E2CC70" w14:textId="10CC617B" w:rsidR="000D13F4" w:rsidRPr="00EC598C" w:rsidRDefault="00C32A78" w:rsidP="00941DF4">
      <w:pPr>
        <w:jc w:val="both"/>
        <w:rPr>
          <w:color w:val="000000" w:themeColor="text1"/>
        </w:rPr>
      </w:pPr>
      <w:r w:rsidRPr="00EC598C">
        <w:rPr>
          <w:color w:val="000000" w:themeColor="text1"/>
        </w:rPr>
        <w:t xml:space="preserve">To access examples of learning intentions, see the </w:t>
      </w:r>
      <w:r w:rsidRPr="00EC598C">
        <w:rPr>
          <w:i/>
          <w:color w:val="000000" w:themeColor="text1"/>
        </w:rPr>
        <w:t xml:space="preserve">in practice examples </w:t>
      </w:r>
      <w:r w:rsidR="003833C2" w:rsidRPr="00EC598C">
        <w:rPr>
          <w:color w:val="000000" w:themeColor="text1"/>
        </w:rPr>
        <w:t>of the Literacy Teaching T</w:t>
      </w:r>
      <w:r w:rsidRPr="00EC598C">
        <w:rPr>
          <w:color w:val="000000" w:themeColor="text1"/>
        </w:rPr>
        <w:t xml:space="preserve">oolkit, including </w:t>
      </w:r>
      <w:hyperlink r:id="rId11" w:history="1">
        <w:r w:rsidRPr="00EC598C">
          <w:rPr>
            <w:rStyle w:val="Hyperlink"/>
          </w:rPr>
          <w:t>reading and viewing</w:t>
        </w:r>
      </w:hyperlink>
      <w:r w:rsidRPr="00EC598C">
        <w:rPr>
          <w:color w:val="000000" w:themeColor="text1"/>
        </w:rPr>
        <w:t xml:space="preserve">, </w:t>
      </w:r>
      <w:hyperlink r:id="rId12" w:history="1">
        <w:r w:rsidRPr="00EC598C">
          <w:rPr>
            <w:rStyle w:val="Hyperlink"/>
          </w:rPr>
          <w:t>writing</w:t>
        </w:r>
      </w:hyperlink>
      <w:r w:rsidRPr="00EC598C">
        <w:rPr>
          <w:color w:val="000000" w:themeColor="text1"/>
        </w:rPr>
        <w:t xml:space="preserve">, </w:t>
      </w:r>
      <w:hyperlink r:id="rId13" w:history="1">
        <w:r w:rsidRPr="00EC598C">
          <w:rPr>
            <w:rStyle w:val="Hyperlink"/>
          </w:rPr>
          <w:t>speaking and listening</w:t>
        </w:r>
      </w:hyperlink>
      <w:r w:rsidRPr="00EC598C">
        <w:rPr>
          <w:color w:val="000000" w:themeColor="text1"/>
        </w:rPr>
        <w:t>.</w:t>
      </w:r>
    </w:p>
    <w:p w14:paraId="7CEF8940" w14:textId="055103F6" w:rsidR="00941DF4" w:rsidRPr="00EC598C" w:rsidRDefault="00941DF4" w:rsidP="00941DF4">
      <w:pPr>
        <w:jc w:val="both"/>
        <w:rPr>
          <w:b/>
          <w:color w:val="000000" w:themeColor="text1"/>
        </w:rPr>
      </w:pPr>
      <w:r w:rsidRPr="00EC598C">
        <w:rPr>
          <w:b/>
          <w:color w:val="000000" w:themeColor="text1"/>
        </w:rPr>
        <w:t>Example 2: Explicit teaching (0.59 effect size)</w:t>
      </w:r>
      <w:r w:rsidR="00135EFA" w:rsidRPr="00EC598C">
        <w:rPr>
          <w:rStyle w:val="FootnoteReference"/>
          <w:color w:val="000000" w:themeColor="text1"/>
        </w:rPr>
        <w:t xml:space="preserve"> </w:t>
      </w:r>
      <w:r w:rsidR="00135EFA" w:rsidRPr="00EC598C">
        <w:rPr>
          <w:rStyle w:val="FootnoteReference"/>
          <w:color w:val="000000" w:themeColor="text1"/>
        </w:rPr>
        <w:footnoteReference w:id="4"/>
      </w:r>
      <w:r w:rsidR="00135EFA" w:rsidRPr="00EC598C">
        <w:rPr>
          <w:color w:val="000000" w:themeColor="text1"/>
        </w:rPr>
        <w:t xml:space="preserve"> </w:t>
      </w:r>
    </w:p>
    <w:p w14:paraId="368FEEC4" w14:textId="684B4967" w:rsidR="000D13F4" w:rsidRPr="00EC598C" w:rsidRDefault="000D13F4" w:rsidP="00BD24A8">
      <w:pPr>
        <w:jc w:val="both"/>
        <w:rPr>
          <w:color w:val="000000" w:themeColor="text1"/>
        </w:rPr>
      </w:pPr>
      <w:r w:rsidRPr="00EC598C">
        <w:rPr>
          <w:color w:val="000000" w:themeColor="text1"/>
        </w:rPr>
        <w:t>A teacher at a</w:t>
      </w:r>
      <w:r w:rsidR="00AF52C7" w:rsidRPr="00EC598C">
        <w:rPr>
          <w:color w:val="000000" w:themeColor="text1"/>
        </w:rPr>
        <w:t xml:space="preserve"> regional primary school</w:t>
      </w:r>
      <w:r w:rsidRPr="00EC598C">
        <w:rPr>
          <w:color w:val="000000" w:themeColor="text1"/>
        </w:rPr>
        <w:t xml:space="preserve"> is interested </w:t>
      </w:r>
      <w:r w:rsidR="00AF52C7" w:rsidRPr="00EC598C">
        <w:rPr>
          <w:color w:val="000000" w:themeColor="text1"/>
        </w:rPr>
        <w:t xml:space="preserve">in how they can support students </w:t>
      </w:r>
      <w:r w:rsidR="001574C5" w:rsidRPr="00EC598C">
        <w:rPr>
          <w:color w:val="000000" w:themeColor="text1"/>
        </w:rPr>
        <w:t>to move</w:t>
      </w:r>
      <w:r w:rsidR="0007304F" w:rsidRPr="00EC598C">
        <w:rPr>
          <w:color w:val="000000" w:themeColor="text1"/>
        </w:rPr>
        <w:t xml:space="preserve"> </w:t>
      </w:r>
      <w:r w:rsidR="00AF52C7" w:rsidRPr="00EC598C">
        <w:rPr>
          <w:color w:val="000000" w:themeColor="text1"/>
        </w:rPr>
        <w:t xml:space="preserve">beyond making bare assertions and </w:t>
      </w:r>
      <w:r w:rsidR="001574C5" w:rsidRPr="00EC598C">
        <w:rPr>
          <w:color w:val="000000" w:themeColor="text1"/>
        </w:rPr>
        <w:t xml:space="preserve">to take </w:t>
      </w:r>
      <w:r w:rsidR="00AF52C7" w:rsidRPr="00EC598C">
        <w:rPr>
          <w:color w:val="000000" w:themeColor="text1"/>
        </w:rPr>
        <w:t>account of differing perspectives and points of view (</w:t>
      </w:r>
      <w:r w:rsidR="008557D6" w:rsidRPr="00EC598C">
        <w:rPr>
          <w:color w:val="000000" w:themeColor="text1"/>
        </w:rPr>
        <w:t xml:space="preserve">for further information, see </w:t>
      </w:r>
      <w:hyperlink r:id="rId14" w:history="1">
        <w:r w:rsidR="00C12589" w:rsidRPr="00EC598C">
          <w:rPr>
            <w:rStyle w:val="Hyperlink"/>
          </w:rPr>
          <w:t>English level 5 achievement standards</w:t>
        </w:r>
      </w:hyperlink>
      <w:r w:rsidR="00C12589" w:rsidRPr="00EC598C">
        <w:rPr>
          <w:color w:val="000000" w:themeColor="text1"/>
        </w:rPr>
        <w:t xml:space="preserve"> and </w:t>
      </w:r>
      <w:hyperlink r:id="rId15" w:history="1">
        <w:r w:rsidR="00AF52C7" w:rsidRPr="00EC598C">
          <w:rPr>
            <w:rStyle w:val="Hyperlink"/>
          </w:rPr>
          <w:t>language for interaction sub-strand</w:t>
        </w:r>
      </w:hyperlink>
      <w:r w:rsidR="00AF52C7" w:rsidRPr="00EC598C">
        <w:rPr>
          <w:color w:val="000000" w:themeColor="text1"/>
        </w:rPr>
        <w:t>).</w:t>
      </w:r>
      <w:r w:rsidRPr="00EC598C">
        <w:rPr>
          <w:color w:val="000000" w:themeColor="text1"/>
        </w:rPr>
        <w:t xml:space="preserve"> </w:t>
      </w:r>
    </w:p>
    <w:p w14:paraId="54FCB477" w14:textId="2855C2D9" w:rsidR="00AF52C7" w:rsidRPr="00EC598C" w:rsidRDefault="00AF52C7" w:rsidP="00BD24A8">
      <w:pPr>
        <w:jc w:val="both"/>
        <w:rPr>
          <w:color w:val="000000" w:themeColor="text1"/>
        </w:rPr>
      </w:pPr>
      <w:r w:rsidRPr="00EC598C">
        <w:rPr>
          <w:color w:val="000000" w:themeColor="text1"/>
        </w:rPr>
        <w:t>After consulting with peers and the school’s learning specialist</w:t>
      </w:r>
      <w:r w:rsidR="00EB1616" w:rsidRPr="00EC598C">
        <w:rPr>
          <w:color w:val="000000" w:themeColor="text1"/>
        </w:rPr>
        <w:t>, the teacher identifie</w:t>
      </w:r>
      <w:r w:rsidR="00B10E44" w:rsidRPr="00EC598C">
        <w:rPr>
          <w:color w:val="000000" w:themeColor="text1"/>
        </w:rPr>
        <w:t>s</w:t>
      </w:r>
      <w:r w:rsidRPr="00EC598C">
        <w:rPr>
          <w:color w:val="000000" w:themeColor="text1"/>
        </w:rPr>
        <w:t xml:space="preserve"> that explicit teaching may </w:t>
      </w:r>
      <w:r w:rsidR="001574C5" w:rsidRPr="00EC598C">
        <w:rPr>
          <w:color w:val="000000" w:themeColor="text1"/>
        </w:rPr>
        <w:lastRenderedPageBreak/>
        <w:t xml:space="preserve">improve </w:t>
      </w:r>
      <w:r w:rsidRPr="00EC598C">
        <w:rPr>
          <w:color w:val="000000" w:themeColor="text1"/>
        </w:rPr>
        <w:t xml:space="preserve">learning in this area. In </w:t>
      </w:r>
      <w:r w:rsidRPr="00EC598C">
        <w:rPr>
          <w:b/>
          <w:color w:val="000000" w:themeColor="text1"/>
        </w:rPr>
        <w:t>explicit teaching</w:t>
      </w:r>
      <w:r w:rsidRPr="00EC598C">
        <w:rPr>
          <w:color w:val="000000" w:themeColor="text1"/>
        </w:rPr>
        <w:t xml:space="preserve"> </w:t>
      </w:r>
      <w:r w:rsidR="005B75AC" w:rsidRPr="00EC598C">
        <w:rPr>
          <w:b/>
          <w:color w:val="000000" w:themeColor="text1"/>
        </w:rPr>
        <w:t xml:space="preserve">(HITS #3) </w:t>
      </w:r>
      <w:r w:rsidRPr="00EC598C">
        <w:rPr>
          <w:color w:val="000000" w:themeColor="text1"/>
        </w:rPr>
        <w:t>practice, teachers show students what to do and how to do it, and create opportunities in lessons for students to demonstrate understanding and apply learning.</w:t>
      </w:r>
    </w:p>
    <w:p w14:paraId="7779CBAA" w14:textId="01B7B943" w:rsidR="00AF52C7" w:rsidRPr="00EC598C" w:rsidRDefault="00EB1616" w:rsidP="00BD24A8">
      <w:pPr>
        <w:jc w:val="both"/>
        <w:rPr>
          <w:color w:val="000000" w:themeColor="text1"/>
        </w:rPr>
      </w:pPr>
      <w:r w:rsidRPr="00EC598C">
        <w:rPr>
          <w:color w:val="000000" w:themeColor="text1"/>
        </w:rPr>
        <w:t>The teacher introduce</w:t>
      </w:r>
      <w:r w:rsidR="00135EFA" w:rsidRPr="00EC598C">
        <w:rPr>
          <w:color w:val="000000" w:themeColor="text1"/>
        </w:rPr>
        <w:t>s</w:t>
      </w:r>
      <w:r w:rsidR="00AF52C7" w:rsidRPr="00EC598C">
        <w:rPr>
          <w:color w:val="000000" w:themeColor="text1"/>
        </w:rPr>
        <w:t xml:space="preserve"> </w:t>
      </w:r>
      <w:r w:rsidR="00AF52C7" w:rsidRPr="00EC598C">
        <w:rPr>
          <w:i/>
          <w:color w:val="000000" w:themeColor="text1"/>
        </w:rPr>
        <w:t>accountable talk</w:t>
      </w:r>
      <w:r w:rsidR="00AF52C7" w:rsidRPr="00EC598C">
        <w:rPr>
          <w:color w:val="000000" w:themeColor="text1"/>
        </w:rPr>
        <w:t xml:space="preserve">, where students are accountable to </w:t>
      </w:r>
      <w:r w:rsidR="00C12589" w:rsidRPr="00EC598C">
        <w:rPr>
          <w:color w:val="000000" w:themeColor="text1"/>
        </w:rPr>
        <w:t>the learning community</w:t>
      </w:r>
      <w:r w:rsidR="00AF52C7" w:rsidRPr="00EC598C">
        <w:rPr>
          <w:color w:val="000000" w:themeColor="text1"/>
        </w:rPr>
        <w:t xml:space="preserve">, to </w:t>
      </w:r>
      <w:r w:rsidR="001574C5" w:rsidRPr="00EC598C">
        <w:rPr>
          <w:color w:val="000000" w:themeColor="text1"/>
        </w:rPr>
        <w:t xml:space="preserve">pursue </w:t>
      </w:r>
      <w:r w:rsidR="00AF52C7" w:rsidRPr="00EC598C">
        <w:rPr>
          <w:color w:val="000000" w:themeColor="text1"/>
        </w:rPr>
        <w:t xml:space="preserve">accurate knowledge and </w:t>
      </w:r>
      <w:r w:rsidR="001574C5" w:rsidRPr="00EC598C">
        <w:rPr>
          <w:color w:val="000000" w:themeColor="text1"/>
        </w:rPr>
        <w:t xml:space="preserve">apply </w:t>
      </w:r>
      <w:r w:rsidR="00AF52C7" w:rsidRPr="00EC598C">
        <w:rPr>
          <w:color w:val="000000" w:themeColor="text1"/>
        </w:rPr>
        <w:t>rigorous thinking.</w:t>
      </w:r>
      <w:r w:rsidR="00AF52C7" w:rsidRPr="00EC598C">
        <w:rPr>
          <w:rStyle w:val="FootnoteReference"/>
          <w:color w:val="000000" w:themeColor="text1"/>
        </w:rPr>
        <w:footnoteReference w:id="5"/>
      </w:r>
      <w:r w:rsidR="00135EFA" w:rsidRPr="00EC598C">
        <w:rPr>
          <w:color w:val="000000" w:themeColor="text1"/>
        </w:rPr>
        <w:t xml:space="preserve"> The teacher begins</w:t>
      </w:r>
      <w:r w:rsidR="00AF52C7" w:rsidRPr="00EC598C">
        <w:rPr>
          <w:color w:val="000000" w:themeColor="text1"/>
        </w:rPr>
        <w:t xml:space="preserve"> the lesson by being explicit about the learning goals and success criteria, before demonstrating a range of interaction strategies, such as initiating the topic, affirming to somebody who has contributed, politely disagreeing and asking for clarification. </w:t>
      </w:r>
      <w:r w:rsidR="00951B61" w:rsidRPr="00EC598C">
        <w:rPr>
          <w:color w:val="000000" w:themeColor="text1"/>
        </w:rPr>
        <w:t xml:space="preserve">At the end of </w:t>
      </w:r>
      <w:r w:rsidRPr="00EC598C">
        <w:rPr>
          <w:color w:val="000000" w:themeColor="text1"/>
        </w:rPr>
        <w:t>t</w:t>
      </w:r>
      <w:r w:rsidR="00135EFA" w:rsidRPr="00EC598C">
        <w:rPr>
          <w:color w:val="000000" w:themeColor="text1"/>
        </w:rPr>
        <w:t>he lesson, the teacher revisits</w:t>
      </w:r>
      <w:r w:rsidR="00951B61" w:rsidRPr="00EC598C">
        <w:rPr>
          <w:color w:val="000000" w:themeColor="text1"/>
        </w:rPr>
        <w:t xml:space="preserve"> the reasons and protocols for accountable talk, to ensure that students </w:t>
      </w:r>
      <w:proofErr w:type="spellStart"/>
      <w:r w:rsidR="00951B61" w:rsidRPr="00EC598C">
        <w:rPr>
          <w:color w:val="000000" w:themeColor="text1"/>
        </w:rPr>
        <w:t>recognise</w:t>
      </w:r>
      <w:proofErr w:type="spellEnd"/>
      <w:r w:rsidR="00951B61" w:rsidRPr="00EC598C">
        <w:rPr>
          <w:color w:val="000000" w:themeColor="text1"/>
        </w:rPr>
        <w:t xml:space="preserve"> these interaction strategies as tools for learning.</w:t>
      </w:r>
    </w:p>
    <w:p w14:paraId="71EDECA5" w14:textId="5297CF2B" w:rsidR="00167DC6" w:rsidRPr="00EC598C" w:rsidRDefault="00951B61" w:rsidP="00BD24A8">
      <w:pPr>
        <w:jc w:val="both"/>
        <w:rPr>
          <w:color w:val="000000" w:themeColor="text1"/>
        </w:rPr>
      </w:pPr>
      <w:r w:rsidRPr="00EC598C">
        <w:rPr>
          <w:color w:val="000000" w:themeColor="text1"/>
        </w:rPr>
        <w:t xml:space="preserve">For further information, see: </w:t>
      </w:r>
      <w:hyperlink r:id="rId16" w:history="1">
        <w:r w:rsidRPr="00EC598C">
          <w:rPr>
            <w:rStyle w:val="Hyperlink"/>
          </w:rPr>
          <w:t>Accountable talk</w:t>
        </w:r>
      </w:hyperlink>
      <w:r w:rsidR="00167DC6" w:rsidRPr="00EC598C">
        <w:rPr>
          <w:color w:val="000000" w:themeColor="text1"/>
        </w:rPr>
        <w:t xml:space="preserve"> and the </w:t>
      </w:r>
      <w:hyperlink r:id="rId17" w:history="1">
        <w:r w:rsidR="00167DC6" w:rsidRPr="00EC598C">
          <w:rPr>
            <w:rStyle w:val="Hyperlink"/>
          </w:rPr>
          <w:t>Literacy Masterclass on High Impact Teaching Strategies</w:t>
        </w:r>
      </w:hyperlink>
      <w:r w:rsidR="00167DC6" w:rsidRPr="00EC598C">
        <w:rPr>
          <w:color w:val="000000" w:themeColor="text1"/>
        </w:rPr>
        <w:t xml:space="preserve"> (at 26 minutes).</w:t>
      </w:r>
    </w:p>
    <w:p w14:paraId="47FE8496" w14:textId="48C96269" w:rsidR="00AF52C7" w:rsidRPr="00EC598C" w:rsidRDefault="00AF52C7" w:rsidP="00AF52C7">
      <w:pPr>
        <w:jc w:val="both"/>
        <w:rPr>
          <w:b/>
          <w:color w:val="000000" w:themeColor="text1"/>
        </w:rPr>
      </w:pPr>
      <w:r w:rsidRPr="00EC598C">
        <w:rPr>
          <w:b/>
          <w:color w:val="000000" w:themeColor="text1"/>
        </w:rPr>
        <w:t xml:space="preserve">Example 3: </w:t>
      </w:r>
      <w:r w:rsidR="00951B61" w:rsidRPr="00EC598C">
        <w:rPr>
          <w:b/>
          <w:color w:val="000000" w:themeColor="text1"/>
        </w:rPr>
        <w:t>Multiple exposures (0.71</w:t>
      </w:r>
      <w:r w:rsidRPr="00EC598C">
        <w:rPr>
          <w:b/>
          <w:color w:val="000000" w:themeColor="text1"/>
        </w:rPr>
        <w:t xml:space="preserve"> effect size)</w:t>
      </w:r>
      <w:r w:rsidR="00135EFA" w:rsidRPr="00EC598C">
        <w:rPr>
          <w:rStyle w:val="FootnoteReference"/>
          <w:color w:val="000000" w:themeColor="text1"/>
        </w:rPr>
        <w:t xml:space="preserve"> </w:t>
      </w:r>
      <w:r w:rsidR="00135EFA" w:rsidRPr="00EC598C">
        <w:rPr>
          <w:rStyle w:val="FootnoteReference"/>
          <w:color w:val="000000" w:themeColor="text1"/>
        </w:rPr>
        <w:footnoteReference w:id="6"/>
      </w:r>
    </w:p>
    <w:p w14:paraId="679F7745" w14:textId="69DBD05D" w:rsidR="00AF52C7" w:rsidRPr="00EC598C" w:rsidRDefault="00951B61" w:rsidP="00BD24A8">
      <w:pPr>
        <w:jc w:val="both"/>
        <w:rPr>
          <w:color w:val="000000" w:themeColor="text1"/>
        </w:rPr>
      </w:pPr>
      <w:r w:rsidRPr="00EC598C">
        <w:rPr>
          <w:color w:val="000000" w:themeColor="text1"/>
        </w:rPr>
        <w:t xml:space="preserve">A teacher at an inner city primary school </w:t>
      </w:r>
      <w:proofErr w:type="spellStart"/>
      <w:r w:rsidR="00B10E44" w:rsidRPr="00EC598C">
        <w:rPr>
          <w:color w:val="000000" w:themeColor="text1"/>
        </w:rPr>
        <w:t>recognises</w:t>
      </w:r>
      <w:proofErr w:type="spellEnd"/>
      <w:r w:rsidRPr="00EC598C">
        <w:rPr>
          <w:color w:val="000000" w:themeColor="text1"/>
        </w:rPr>
        <w:t xml:space="preserve"> that some students require support in phonics sequences. This includes </w:t>
      </w:r>
      <w:r w:rsidR="001574C5" w:rsidRPr="00EC598C">
        <w:rPr>
          <w:color w:val="000000" w:themeColor="text1"/>
        </w:rPr>
        <w:t xml:space="preserve">support to </w:t>
      </w:r>
      <w:proofErr w:type="spellStart"/>
      <w:r w:rsidR="001574C5" w:rsidRPr="00EC598C">
        <w:rPr>
          <w:color w:val="000000" w:themeColor="text1"/>
        </w:rPr>
        <w:t>recognise</w:t>
      </w:r>
      <w:proofErr w:type="spellEnd"/>
      <w:r w:rsidRPr="00EC598C">
        <w:rPr>
          <w:color w:val="000000" w:themeColor="text1"/>
        </w:rPr>
        <w:t xml:space="preserve"> most letter-sound matches and </w:t>
      </w:r>
      <w:proofErr w:type="spellStart"/>
      <w:r w:rsidRPr="00EC598C">
        <w:rPr>
          <w:color w:val="000000" w:themeColor="text1"/>
        </w:rPr>
        <w:t>generalisations</w:t>
      </w:r>
      <w:proofErr w:type="spellEnd"/>
      <w:r w:rsidRPr="00EC598C">
        <w:rPr>
          <w:color w:val="000000" w:themeColor="text1"/>
        </w:rPr>
        <w:t xml:space="preserve"> for adding suffixes to words (</w:t>
      </w:r>
      <w:r w:rsidR="00C12589" w:rsidRPr="00EC598C">
        <w:rPr>
          <w:color w:val="000000" w:themeColor="text1"/>
        </w:rPr>
        <w:t xml:space="preserve">see </w:t>
      </w:r>
      <w:hyperlink r:id="rId18" w:history="1">
        <w:r w:rsidRPr="00EC598C">
          <w:rPr>
            <w:rStyle w:val="Hyperlink"/>
          </w:rPr>
          <w:t>phonics and word knowledge sub-strand, level 2</w:t>
        </w:r>
      </w:hyperlink>
      <w:r w:rsidRPr="00EC598C">
        <w:rPr>
          <w:color w:val="000000" w:themeColor="text1"/>
        </w:rPr>
        <w:t>).</w:t>
      </w:r>
    </w:p>
    <w:p w14:paraId="22D542B3" w14:textId="6605D88D" w:rsidR="00E664F9" w:rsidRPr="00EC598C" w:rsidRDefault="00951B61" w:rsidP="00BD24A8">
      <w:pPr>
        <w:jc w:val="both"/>
        <w:rPr>
          <w:color w:val="000000" w:themeColor="text1"/>
        </w:rPr>
      </w:pPr>
      <w:r w:rsidRPr="00EC598C">
        <w:rPr>
          <w:color w:val="000000" w:themeColor="text1"/>
        </w:rPr>
        <w:t>After consulting with peers</w:t>
      </w:r>
      <w:r w:rsidR="00E62CB8" w:rsidRPr="00EC598C">
        <w:rPr>
          <w:color w:val="000000" w:themeColor="text1"/>
        </w:rPr>
        <w:t>, the teacher identifie</w:t>
      </w:r>
      <w:r w:rsidR="00135EFA" w:rsidRPr="00EC598C">
        <w:rPr>
          <w:color w:val="000000" w:themeColor="text1"/>
        </w:rPr>
        <w:t>s</w:t>
      </w:r>
      <w:r w:rsidRPr="00EC598C">
        <w:rPr>
          <w:color w:val="000000" w:themeColor="text1"/>
        </w:rPr>
        <w:t xml:space="preserve"> that multiple exposures may </w:t>
      </w:r>
      <w:r w:rsidR="00135EFA" w:rsidRPr="00EC598C">
        <w:rPr>
          <w:color w:val="000000" w:themeColor="text1"/>
        </w:rPr>
        <w:t xml:space="preserve">improve </w:t>
      </w:r>
      <w:r w:rsidRPr="00EC598C">
        <w:rPr>
          <w:color w:val="000000" w:themeColor="text1"/>
        </w:rPr>
        <w:t xml:space="preserve">learning in this area. </w:t>
      </w:r>
      <w:r w:rsidRPr="00EC598C">
        <w:rPr>
          <w:b/>
          <w:color w:val="000000" w:themeColor="text1"/>
        </w:rPr>
        <w:t>Multiple exposures</w:t>
      </w:r>
      <w:r w:rsidR="005B75AC" w:rsidRPr="00EC598C">
        <w:rPr>
          <w:b/>
          <w:color w:val="000000" w:themeColor="text1"/>
        </w:rPr>
        <w:t xml:space="preserve"> (HITS #6)</w:t>
      </w:r>
      <w:r w:rsidRPr="00EC598C">
        <w:rPr>
          <w:color w:val="000000" w:themeColor="text1"/>
        </w:rPr>
        <w:t xml:space="preserve"> involve providing students with multiple opportunities to </w:t>
      </w:r>
      <w:r w:rsidR="00E664F9" w:rsidRPr="00EC598C">
        <w:rPr>
          <w:color w:val="000000" w:themeColor="text1"/>
        </w:rPr>
        <w:t>encounter, engage with, and elaborate on new knowledge and skills. This involves spaced interactions with new knowledge and concepts.</w:t>
      </w:r>
    </w:p>
    <w:p w14:paraId="5DD2D60E" w14:textId="0A02CD57" w:rsidR="00E664F9" w:rsidRPr="00EC598C" w:rsidRDefault="00E664F9" w:rsidP="00BD24A8">
      <w:pPr>
        <w:jc w:val="both"/>
        <w:rPr>
          <w:color w:val="000000" w:themeColor="text1"/>
        </w:rPr>
      </w:pPr>
      <w:r w:rsidRPr="00EC598C">
        <w:rPr>
          <w:color w:val="000000" w:themeColor="text1"/>
        </w:rPr>
        <w:t xml:space="preserve">The teacher </w:t>
      </w:r>
      <w:r w:rsidR="00B10E44" w:rsidRPr="00EC598C">
        <w:rPr>
          <w:color w:val="000000" w:themeColor="text1"/>
        </w:rPr>
        <w:t>works together with other teachers to</w:t>
      </w:r>
      <w:r w:rsidRPr="00EC598C">
        <w:rPr>
          <w:color w:val="000000" w:themeColor="text1"/>
        </w:rPr>
        <w:t xml:space="preserve"> trial an intervention over a number of months, designed to expose students to carefully selected ‘target words’ linked with the learning area content. Strategies used to </w:t>
      </w:r>
      <w:r w:rsidR="005B75AC" w:rsidRPr="00EC598C">
        <w:rPr>
          <w:color w:val="000000" w:themeColor="text1"/>
        </w:rPr>
        <w:t>reinforce this learning include</w:t>
      </w:r>
      <w:r w:rsidRPr="00EC598C">
        <w:rPr>
          <w:color w:val="000000" w:themeColor="text1"/>
        </w:rPr>
        <w:t xml:space="preserve"> peer discussion on how to read target words, as well as a vocabulary wall that students contribute to over time.</w:t>
      </w:r>
    </w:p>
    <w:p w14:paraId="39FC5C5E" w14:textId="4F6A780A" w:rsidR="00B35988" w:rsidRPr="00EC598C" w:rsidRDefault="00E664F9" w:rsidP="00E664F9">
      <w:pPr>
        <w:jc w:val="both"/>
        <w:rPr>
          <w:color w:val="000000" w:themeColor="text1"/>
        </w:rPr>
      </w:pPr>
      <w:r w:rsidRPr="00EC598C">
        <w:rPr>
          <w:color w:val="000000" w:themeColor="text1"/>
        </w:rPr>
        <w:t xml:space="preserve">For further information, see </w:t>
      </w:r>
      <w:hyperlink r:id="rId19" w:history="1">
        <w:r w:rsidRPr="00EC598C">
          <w:rPr>
            <w:rStyle w:val="Hyperlink"/>
          </w:rPr>
          <w:t>Phonics</w:t>
        </w:r>
      </w:hyperlink>
      <w:r w:rsidRPr="00EC598C">
        <w:rPr>
          <w:color w:val="000000" w:themeColor="text1"/>
        </w:rPr>
        <w:t xml:space="preserve">.  </w:t>
      </w:r>
    </w:p>
    <w:p w14:paraId="06936F01" w14:textId="77777777" w:rsidR="000844D0" w:rsidRPr="00EC598C" w:rsidRDefault="000844D0" w:rsidP="00E664F9">
      <w:pPr>
        <w:jc w:val="both"/>
        <w:rPr>
          <w:b/>
          <w:color w:val="000000" w:themeColor="text1"/>
        </w:rPr>
      </w:pPr>
    </w:p>
    <w:p w14:paraId="428BFA63" w14:textId="328DD790" w:rsidR="00775457" w:rsidRPr="00EC598C" w:rsidRDefault="00775457" w:rsidP="00E664F9">
      <w:pPr>
        <w:jc w:val="both"/>
        <w:rPr>
          <w:b/>
          <w:color w:val="000000" w:themeColor="text1"/>
        </w:rPr>
      </w:pPr>
      <w:r w:rsidRPr="00EC598C">
        <w:rPr>
          <w:b/>
          <w:color w:val="000000" w:themeColor="text1"/>
        </w:rPr>
        <w:t xml:space="preserve">Example 4: </w:t>
      </w:r>
      <w:r w:rsidR="004E7672" w:rsidRPr="00EC598C">
        <w:rPr>
          <w:b/>
          <w:color w:val="000000" w:themeColor="text1"/>
        </w:rPr>
        <w:t>Collaborative learning (0.59 effect size when compared to individual work)</w:t>
      </w:r>
      <w:r w:rsidR="00135EFA" w:rsidRPr="00EC598C">
        <w:rPr>
          <w:rStyle w:val="FootnoteReference"/>
          <w:color w:val="000000" w:themeColor="text1"/>
        </w:rPr>
        <w:t xml:space="preserve"> </w:t>
      </w:r>
      <w:r w:rsidR="00135EFA" w:rsidRPr="00EC598C">
        <w:rPr>
          <w:rStyle w:val="FootnoteReference"/>
          <w:color w:val="000000" w:themeColor="text1"/>
        </w:rPr>
        <w:footnoteReference w:id="7"/>
      </w:r>
      <w:r w:rsidR="00135EFA" w:rsidRPr="00EC598C">
        <w:rPr>
          <w:b/>
          <w:color w:val="000000" w:themeColor="text1"/>
        </w:rPr>
        <w:t xml:space="preserve"> </w:t>
      </w:r>
    </w:p>
    <w:p w14:paraId="7F320B5B" w14:textId="4F25FF2A" w:rsidR="004E7672" w:rsidRPr="00EC598C" w:rsidRDefault="004E7672" w:rsidP="00E664F9">
      <w:pPr>
        <w:jc w:val="both"/>
        <w:rPr>
          <w:color w:val="000000" w:themeColor="text1"/>
        </w:rPr>
      </w:pPr>
      <w:r w:rsidRPr="00EC598C">
        <w:rPr>
          <w:color w:val="000000" w:themeColor="text1"/>
        </w:rPr>
        <w:t>A regional secondary college has recently welcomed a new literacy</w:t>
      </w:r>
      <w:r w:rsidR="00E62CB8" w:rsidRPr="00EC598C">
        <w:rPr>
          <w:color w:val="000000" w:themeColor="text1"/>
        </w:rPr>
        <w:t xml:space="preserve"> </w:t>
      </w:r>
      <w:r w:rsidR="00B10E44" w:rsidRPr="00EC598C">
        <w:rPr>
          <w:color w:val="000000" w:themeColor="text1"/>
        </w:rPr>
        <w:t>coach</w:t>
      </w:r>
      <w:r w:rsidRPr="00EC598C">
        <w:rPr>
          <w:color w:val="000000" w:themeColor="text1"/>
        </w:rPr>
        <w:t xml:space="preserve">. This literacy </w:t>
      </w:r>
      <w:r w:rsidR="00B10E44" w:rsidRPr="00EC598C">
        <w:rPr>
          <w:color w:val="000000" w:themeColor="text1"/>
        </w:rPr>
        <w:t>coach</w:t>
      </w:r>
      <w:r w:rsidRPr="00EC598C">
        <w:rPr>
          <w:color w:val="000000" w:themeColor="text1"/>
        </w:rPr>
        <w:t xml:space="preserve"> is supporting the refresh of a literacy program </w:t>
      </w:r>
      <w:r w:rsidR="00E149A1" w:rsidRPr="00EC598C">
        <w:rPr>
          <w:color w:val="000000" w:themeColor="text1"/>
        </w:rPr>
        <w:t>in</w:t>
      </w:r>
      <w:r w:rsidRPr="00EC598C">
        <w:rPr>
          <w:color w:val="000000" w:themeColor="text1"/>
        </w:rPr>
        <w:t xml:space="preserve"> </w:t>
      </w:r>
      <w:r w:rsidR="00E149A1" w:rsidRPr="00EC598C">
        <w:rPr>
          <w:color w:val="000000" w:themeColor="text1"/>
        </w:rPr>
        <w:t>year 7</w:t>
      </w:r>
      <w:r w:rsidRPr="00EC598C">
        <w:rPr>
          <w:color w:val="000000" w:themeColor="text1"/>
        </w:rPr>
        <w:t xml:space="preserve">. As a means of engaging both students and teachers in the program, the </w:t>
      </w:r>
      <w:r w:rsidR="00C32A78" w:rsidRPr="00EC598C">
        <w:rPr>
          <w:color w:val="000000" w:themeColor="text1"/>
        </w:rPr>
        <w:t xml:space="preserve">literacy </w:t>
      </w:r>
      <w:r w:rsidR="00B10E44" w:rsidRPr="00EC598C">
        <w:rPr>
          <w:color w:val="000000" w:themeColor="text1"/>
        </w:rPr>
        <w:t>coach</w:t>
      </w:r>
      <w:r w:rsidR="00E62CB8" w:rsidRPr="00EC598C">
        <w:rPr>
          <w:color w:val="000000" w:themeColor="text1"/>
        </w:rPr>
        <w:t xml:space="preserve"> </w:t>
      </w:r>
      <w:r w:rsidR="008B4318" w:rsidRPr="00EC598C">
        <w:rPr>
          <w:color w:val="000000" w:themeColor="text1"/>
        </w:rPr>
        <w:t>suggested</w:t>
      </w:r>
      <w:r w:rsidR="00C32A78" w:rsidRPr="00EC598C">
        <w:rPr>
          <w:color w:val="000000" w:themeColor="text1"/>
        </w:rPr>
        <w:t xml:space="preserve"> adopting a </w:t>
      </w:r>
      <w:r w:rsidR="00C32A78" w:rsidRPr="00EC598C">
        <w:rPr>
          <w:b/>
          <w:color w:val="000000" w:themeColor="text1"/>
        </w:rPr>
        <w:t xml:space="preserve">collaborative learning </w:t>
      </w:r>
      <w:r w:rsidR="00C32A78" w:rsidRPr="00EC598C">
        <w:rPr>
          <w:color w:val="000000" w:themeColor="text1"/>
        </w:rPr>
        <w:t>approach</w:t>
      </w:r>
      <w:r w:rsidR="00C32A78" w:rsidRPr="00EC598C">
        <w:rPr>
          <w:b/>
          <w:color w:val="000000" w:themeColor="text1"/>
        </w:rPr>
        <w:t xml:space="preserve"> (HITS #5)</w:t>
      </w:r>
      <w:r w:rsidR="00C32A78" w:rsidRPr="00EC598C">
        <w:rPr>
          <w:color w:val="000000" w:themeColor="text1"/>
        </w:rPr>
        <w:t>.</w:t>
      </w:r>
      <w:r w:rsidR="00C32A78" w:rsidRPr="00EC598C">
        <w:rPr>
          <w:b/>
          <w:color w:val="000000" w:themeColor="text1"/>
        </w:rPr>
        <w:t xml:space="preserve"> </w:t>
      </w:r>
      <w:r w:rsidR="00C32A78" w:rsidRPr="00EC598C">
        <w:rPr>
          <w:color w:val="000000" w:themeColor="text1"/>
        </w:rPr>
        <w:t>Collaborative learning occurs when students work together in small groups and everyone participates in a learning task.</w:t>
      </w:r>
    </w:p>
    <w:p w14:paraId="0ADB659A" w14:textId="03640A00" w:rsidR="00C32A78" w:rsidRPr="00EC598C" w:rsidRDefault="003833C2" w:rsidP="00E664F9">
      <w:pPr>
        <w:jc w:val="both"/>
        <w:rPr>
          <w:color w:val="000000" w:themeColor="text1"/>
        </w:rPr>
      </w:pPr>
      <w:r w:rsidRPr="00EC598C">
        <w:rPr>
          <w:color w:val="000000" w:themeColor="text1"/>
        </w:rPr>
        <w:t>Using the Literacy Teaching T</w:t>
      </w:r>
      <w:r w:rsidR="00C32A78" w:rsidRPr="00EC598C">
        <w:rPr>
          <w:color w:val="000000" w:themeColor="text1"/>
        </w:rPr>
        <w:t xml:space="preserve">oolkit, teachers work together to establish literature circles as part of their current English </w:t>
      </w:r>
      <w:r w:rsidR="00B018AE" w:rsidRPr="00EC598C">
        <w:rPr>
          <w:color w:val="000000" w:themeColor="text1"/>
        </w:rPr>
        <w:t>U</w:t>
      </w:r>
      <w:r w:rsidR="00B10E44" w:rsidRPr="00EC598C">
        <w:rPr>
          <w:color w:val="000000" w:themeColor="text1"/>
        </w:rPr>
        <w:t xml:space="preserve">nit. This involves a student </w:t>
      </w:r>
      <w:r w:rsidR="00C32A78" w:rsidRPr="00EC598C">
        <w:rPr>
          <w:color w:val="000000" w:themeColor="text1"/>
        </w:rPr>
        <w:t xml:space="preserve">selected text and small group discussions focusing on higher level thinking skills such as the author’s intent, writing style and </w:t>
      </w:r>
      <w:proofErr w:type="spellStart"/>
      <w:r w:rsidR="00C32A78" w:rsidRPr="00EC598C">
        <w:rPr>
          <w:color w:val="000000" w:themeColor="text1"/>
        </w:rPr>
        <w:t>ch</w:t>
      </w:r>
      <w:r w:rsidR="00E149A1" w:rsidRPr="00EC598C">
        <w:rPr>
          <w:color w:val="000000" w:themeColor="text1"/>
        </w:rPr>
        <w:t>aracteris</w:t>
      </w:r>
      <w:r w:rsidR="00C32A78" w:rsidRPr="00EC598C">
        <w:rPr>
          <w:color w:val="000000" w:themeColor="text1"/>
        </w:rPr>
        <w:t>ation</w:t>
      </w:r>
      <w:proofErr w:type="spellEnd"/>
      <w:r w:rsidR="00C32A78" w:rsidRPr="00EC598C">
        <w:rPr>
          <w:color w:val="000000" w:themeColor="text1"/>
        </w:rPr>
        <w:t>.</w:t>
      </w:r>
    </w:p>
    <w:p w14:paraId="0C996EB7" w14:textId="62FEEDF8" w:rsidR="00C32A78" w:rsidRPr="00EC598C" w:rsidRDefault="00C32A78" w:rsidP="00E664F9">
      <w:pPr>
        <w:jc w:val="both"/>
        <w:rPr>
          <w:color w:val="000000" w:themeColor="text1"/>
        </w:rPr>
      </w:pPr>
      <w:r w:rsidRPr="00EC598C">
        <w:rPr>
          <w:color w:val="000000" w:themeColor="text1"/>
        </w:rPr>
        <w:t xml:space="preserve">The teachers support the </w:t>
      </w:r>
      <w:r w:rsidR="00E149A1" w:rsidRPr="00EC598C">
        <w:rPr>
          <w:color w:val="000000" w:themeColor="text1"/>
        </w:rPr>
        <w:t>literature</w:t>
      </w:r>
      <w:r w:rsidRPr="00EC598C">
        <w:rPr>
          <w:color w:val="000000" w:themeColor="text1"/>
        </w:rPr>
        <w:t xml:space="preserve"> circles by explicitly demonstrating and modelling strategies to sustain a rich conversation about the text, including conversation stems such as “I noticed…”, “I wondered</w:t>
      </w:r>
      <w:r w:rsidR="00B018AE" w:rsidRPr="00EC598C">
        <w:rPr>
          <w:color w:val="000000" w:themeColor="text1"/>
        </w:rPr>
        <w:t>...”</w:t>
      </w:r>
      <w:r w:rsidRPr="00EC598C">
        <w:rPr>
          <w:color w:val="000000" w:themeColor="text1"/>
        </w:rPr>
        <w:t xml:space="preserve"> and “I was surprised by…”</w:t>
      </w:r>
      <w:r w:rsidRPr="00EC598C">
        <w:rPr>
          <w:rStyle w:val="FootnoteReference"/>
          <w:color w:val="000000" w:themeColor="text1"/>
        </w:rPr>
        <w:footnoteReference w:id="8"/>
      </w:r>
    </w:p>
    <w:p w14:paraId="309F096C" w14:textId="01C852F2" w:rsidR="00E149A1" w:rsidRPr="00EC598C" w:rsidRDefault="00E149A1" w:rsidP="00E664F9">
      <w:pPr>
        <w:jc w:val="both"/>
        <w:rPr>
          <w:color w:val="000000" w:themeColor="text1"/>
        </w:rPr>
      </w:pPr>
      <w:r w:rsidRPr="00EC598C">
        <w:rPr>
          <w:color w:val="000000" w:themeColor="text1"/>
        </w:rPr>
        <w:t xml:space="preserve">As a result of the scaffolding and guidance, the students </w:t>
      </w:r>
      <w:proofErr w:type="spellStart"/>
      <w:r w:rsidRPr="00EC598C">
        <w:rPr>
          <w:color w:val="000000" w:themeColor="text1"/>
        </w:rPr>
        <w:t>organise</w:t>
      </w:r>
      <w:proofErr w:type="spellEnd"/>
      <w:r w:rsidRPr="00EC598C">
        <w:rPr>
          <w:color w:val="000000" w:themeColor="text1"/>
        </w:rPr>
        <w:t xml:space="preserve"> themselves i</w:t>
      </w:r>
      <w:r w:rsidR="00135EFA" w:rsidRPr="00EC598C">
        <w:rPr>
          <w:color w:val="000000" w:themeColor="text1"/>
        </w:rPr>
        <w:t>nto small groups that function</w:t>
      </w:r>
      <w:r w:rsidRPr="00EC598C">
        <w:rPr>
          <w:color w:val="000000" w:themeColor="text1"/>
        </w:rPr>
        <w:t xml:space="preserve"> effectively, and experience sharing roles, responsibilities and project owners</w:t>
      </w:r>
      <w:r w:rsidR="0000282D" w:rsidRPr="00EC598C">
        <w:rPr>
          <w:color w:val="000000" w:themeColor="text1"/>
        </w:rPr>
        <w:t xml:space="preserve">hip. Collectively, the teachers </w:t>
      </w:r>
      <w:r w:rsidR="00B018AE" w:rsidRPr="00EC598C">
        <w:rPr>
          <w:color w:val="000000" w:themeColor="text1"/>
        </w:rPr>
        <w:t>have</w:t>
      </w:r>
      <w:r w:rsidR="0000282D" w:rsidRPr="00EC598C">
        <w:rPr>
          <w:color w:val="000000" w:themeColor="text1"/>
        </w:rPr>
        <w:t xml:space="preserve"> </w:t>
      </w:r>
      <w:r w:rsidRPr="00EC598C">
        <w:rPr>
          <w:color w:val="000000" w:themeColor="text1"/>
        </w:rPr>
        <w:t>a significant impact on the literacy learning outcomes of year 7 students.</w:t>
      </w:r>
    </w:p>
    <w:p w14:paraId="7C0479D2" w14:textId="78CF6D7C" w:rsidR="00775457" w:rsidRPr="00EC598C" w:rsidRDefault="00E149A1" w:rsidP="00E664F9">
      <w:pPr>
        <w:jc w:val="both"/>
        <w:rPr>
          <w:color w:val="000000" w:themeColor="text1"/>
        </w:rPr>
      </w:pPr>
      <w:r w:rsidRPr="00EC598C">
        <w:rPr>
          <w:color w:val="000000" w:themeColor="text1"/>
        </w:rPr>
        <w:t xml:space="preserve">For more information, see the </w:t>
      </w:r>
      <w:hyperlink r:id="rId20" w:history="1">
        <w:r w:rsidR="003833C2" w:rsidRPr="00EC598C">
          <w:rPr>
            <w:rStyle w:val="Hyperlink"/>
          </w:rPr>
          <w:t>Literacy Teaching Toolkit</w:t>
        </w:r>
      </w:hyperlink>
      <w:r w:rsidRPr="00EC598C">
        <w:rPr>
          <w:color w:val="000000" w:themeColor="text1"/>
        </w:rPr>
        <w:t xml:space="preserve"> and </w:t>
      </w:r>
      <w:hyperlink r:id="rId21" w:history="1">
        <w:r w:rsidRPr="00EC598C">
          <w:rPr>
            <w:rStyle w:val="Hyperlink"/>
          </w:rPr>
          <w:t>literature circles</w:t>
        </w:r>
      </w:hyperlink>
      <w:r w:rsidRPr="00EC598C">
        <w:rPr>
          <w:color w:val="000000" w:themeColor="text1"/>
        </w:rPr>
        <w:t>.</w:t>
      </w:r>
    </w:p>
    <w:p w14:paraId="2D07ABA8" w14:textId="77777777" w:rsidR="000844D0" w:rsidRPr="00EC598C" w:rsidRDefault="000844D0">
      <w:pPr>
        <w:spacing w:after="0" w:line="240" w:lineRule="auto"/>
        <w:rPr>
          <w:rFonts w:eastAsiaTheme="majorEastAsia" w:cstheme="majorBidi"/>
          <w:b/>
          <w:bCs/>
          <w:caps/>
          <w:color w:val="AF272F" w:themeColor="accent1"/>
          <w:sz w:val="20"/>
          <w:szCs w:val="20"/>
        </w:rPr>
      </w:pPr>
      <w:r w:rsidRPr="00EC598C">
        <w:br w:type="page"/>
      </w:r>
    </w:p>
    <w:p w14:paraId="41A354FB" w14:textId="61163BF9" w:rsidR="00294983" w:rsidRPr="00EC598C" w:rsidRDefault="00294983" w:rsidP="00BD24A8">
      <w:pPr>
        <w:pStyle w:val="Heading1"/>
        <w:jc w:val="both"/>
      </w:pPr>
      <w:r w:rsidRPr="00EC598C">
        <w:lastRenderedPageBreak/>
        <w:t>Advice for school leaders</w:t>
      </w:r>
    </w:p>
    <w:p w14:paraId="1A366D28" w14:textId="436E0E7C" w:rsidR="009E57E9" w:rsidRPr="00EC598C" w:rsidRDefault="009E57E9" w:rsidP="009F7A09">
      <w:pPr>
        <w:pStyle w:val="ListParagraph"/>
      </w:pPr>
      <w:r w:rsidRPr="00EC598C">
        <w:t xml:space="preserve">The Literacy and Numeracy Strategy </w:t>
      </w:r>
      <w:r w:rsidR="00776168" w:rsidRPr="00EC598C">
        <w:t xml:space="preserve">provides a platform for </w:t>
      </w:r>
      <w:r w:rsidR="00932463" w:rsidRPr="00EC598C">
        <w:t>leading the improvement of</w:t>
      </w:r>
      <w:r w:rsidR="00776168" w:rsidRPr="00EC598C">
        <w:t xml:space="preserve"> literacy learning in your school. The Strategy outlines principles and expectations for students, teachers, school leaders, network leaders and regional leaders to lift literacy achievement for all children and young people in Victoria. For more information, see </w:t>
      </w:r>
      <w:hyperlink r:id="rId22" w:history="1">
        <w:r w:rsidR="00776168" w:rsidRPr="00EC598C">
          <w:rPr>
            <w:rStyle w:val="Hyperlink"/>
          </w:rPr>
          <w:t>Literacy and Numeracy Strategy</w:t>
        </w:r>
      </w:hyperlink>
      <w:r w:rsidR="00776168" w:rsidRPr="00EC598C">
        <w:t>.</w:t>
      </w:r>
    </w:p>
    <w:p w14:paraId="04FD9E20" w14:textId="6D2E40AC" w:rsidR="001D5721" w:rsidRPr="00EC598C" w:rsidRDefault="00776168" w:rsidP="009F7A09">
      <w:pPr>
        <w:pStyle w:val="ListParagraph"/>
      </w:pPr>
      <w:r w:rsidRPr="00EC598C">
        <w:t xml:space="preserve">The </w:t>
      </w:r>
      <w:r w:rsidRPr="00EC598C">
        <w:rPr>
          <w:i/>
        </w:rPr>
        <w:t xml:space="preserve">evidence-based, high impact teaching strategies </w:t>
      </w:r>
      <w:r w:rsidRPr="00EC598C">
        <w:t xml:space="preserve">dimension is part of the Excellence in Teaching and Learning Priority </w:t>
      </w:r>
      <w:r w:rsidR="00E07A61" w:rsidRPr="00EC598C">
        <w:t xml:space="preserve">in </w:t>
      </w:r>
      <w:r w:rsidRPr="00EC598C">
        <w:t xml:space="preserve">FISO. Consider how you can use the </w:t>
      </w:r>
      <w:r w:rsidR="00B018AE" w:rsidRPr="00EC598C">
        <w:t>FISO C</w:t>
      </w:r>
      <w:r w:rsidRPr="00EC598C">
        <w:t xml:space="preserve">ontinuum </w:t>
      </w:r>
      <w:r w:rsidR="00B018AE" w:rsidRPr="00EC598C">
        <w:t xml:space="preserve">of Practice </w:t>
      </w:r>
      <w:r w:rsidRPr="00EC598C">
        <w:t>as a tool to engage</w:t>
      </w:r>
      <w:r w:rsidR="00B018AE" w:rsidRPr="00EC598C">
        <w:t xml:space="preserve"> members of</w:t>
      </w:r>
      <w:r w:rsidRPr="00EC598C">
        <w:t xml:space="preserve"> </w:t>
      </w:r>
      <w:r w:rsidR="00932463" w:rsidRPr="00EC598C">
        <w:t>your</w:t>
      </w:r>
      <w:r w:rsidRPr="00EC598C">
        <w:t xml:space="preserve"> school in an aspirational conversation about embedding and excelling in the delivery of high quality teaching for literacy learning. For more information on FISO, see </w:t>
      </w:r>
      <w:hyperlink r:id="rId23" w:history="1">
        <w:r w:rsidRPr="00EC598C">
          <w:rPr>
            <w:rStyle w:val="Hyperlink"/>
          </w:rPr>
          <w:t>Framework for Improving Student Outcomes</w:t>
        </w:r>
      </w:hyperlink>
      <w:r w:rsidR="001D5721" w:rsidRPr="00EC598C">
        <w:t xml:space="preserve"> and the </w:t>
      </w:r>
      <w:hyperlink r:id="rId24" w:history="1">
        <w:r w:rsidR="001D5721" w:rsidRPr="00EC598C">
          <w:rPr>
            <w:rStyle w:val="Hyperlink"/>
          </w:rPr>
          <w:t>Excellence in Teaching and Learning continuum</w:t>
        </w:r>
      </w:hyperlink>
      <w:r w:rsidR="001D5721" w:rsidRPr="00EC598C">
        <w:t>.</w:t>
      </w:r>
    </w:p>
    <w:p w14:paraId="279C320E" w14:textId="01113A80" w:rsidR="009E57E9" w:rsidRPr="00EC598C" w:rsidRDefault="001D5721" w:rsidP="009F7A09">
      <w:pPr>
        <w:pStyle w:val="ListParagraph"/>
      </w:pPr>
      <w:r w:rsidRPr="00EC598C">
        <w:t>As a professional learning team or community, e</w:t>
      </w:r>
      <w:r w:rsidR="00D93030" w:rsidRPr="00EC598C">
        <w:t xml:space="preserve">xamine the range of teaching strategies currently used to support literacy learning in your school, using the HITS resource and </w:t>
      </w:r>
      <w:r w:rsidR="009E57E9" w:rsidRPr="00EC598C">
        <w:t>relevant continua</w:t>
      </w:r>
      <w:r w:rsidR="00D93030" w:rsidRPr="00EC598C">
        <w:t xml:space="preserve"> of practice as a guide</w:t>
      </w:r>
      <w:r w:rsidR="009E57E9" w:rsidRPr="00EC598C">
        <w:t>. Identify literacy learning areas that might benefit from new or additional teaching strategies.</w:t>
      </w:r>
      <w:r w:rsidRPr="00EC598C">
        <w:t xml:space="preserve"> For more information, see: </w:t>
      </w:r>
      <w:hyperlink r:id="rId25" w:history="1">
        <w:r w:rsidRPr="00EC598C">
          <w:rPr>
            <w:rStyle w:val="Hyperlink"/>
          </w:rPr>
          <w:t>HITS</w:t>
        </w:r>
      </w:hyperlink>
      <w:r w:rsidR="00C12589" w:rsidRPr="00EC598C">
        <w:t xml:space="preserve"> and the </w:t>
      </w:r>
      <w:hyperlink r:id="rId26" w:history="1">
        <w:r w:rsidR="00C12589" w:rsidRPr="00EC598C">
          <w:rPr>
            <w:rStyle w:val="Hyperlink"/>
          </w:rPr>
          <w:t>Literacy Teaching Toolkit</w:t>
        </w:r>
      </w:hyperlink>
      <w:r w:rsidR="00C12589" w:rsidRPr="00EC598C">
        <w:t>.</w:t>
      </w:r>
    </w:p>
    <w:p w14:paraId="5D5FBFD3" w14:textId="7DF7F0CF" w:rsidR="00440AEA" w:rsidRPr="00EC598C" w:rsidRDefault="009E57E9" w:rsidP="009F7A09">
      <w:pPr>
        <w:pStyle w:val="ListParagraph"/>
      </w:pPr>
      <w:r w:rsidRPr="00EC598C">
        <w:t xml:space="preserve">The Department’s </w:t>
      </w:r>
      <w:r w:rsidR="009F7A09" w:rsidRPr="00EC598C">
        <w:t>Peer Observation G</w:t>
      </w:r>
      <w:r w:rsidRPr="00EC598C">
        <w:t xml:space="preserve">uide for </w:t>
      </w:r>
      <w:r w:rsidR="009F7A09" w:rsidRPr="00EC598C">
        <w:t>P</w:t>
      </w:r>
      <w:r w:rsidRPr="00EC598C">
        <w:t>rincipals</w:t>
      </w:r>
      <w:r w:rsidR="009F7A09" w:rsidRPr="00EC598C">
        <w:t xml:space="preserve"> and School L</w:t>
      </w:r>
      <w:r w:rsidRPr="00EC598C">
        <w:t xml:space="preserve">eaders provides guidance on the key phases for successful peer observation, which can be used to coach, model, observe, provide feedback and reflect on teaching strategies and </w:t>
      </w:r>
      <w:r w:rsidR="000474AE" w:rsidRPr="00EC598C">
        <w:t>improvements to progress literacy</w:t>
      </w:r>
      <w:r w:rsidRPr="00EC598C">
        <w:t xml:space="preserve"> learning. </w:t>
      </w:r>
      <w:r w:rsidRPr="00EC598C">
        <w:rPr>
          <w:color w:val="000000" w:themeColor="text1"/>
        </w:rPr>
        <w:t xml:space="preserve">For more information on the Department’s peer observation materials, see: </w:t>
      </w:r>
      <w:hyperlink r:id="rId27" w:history="1">
        <w:r w:rsidR="000474AE" w:rsidRPr="00EC598C">
          <w:rPr>
            <w:rStyle w:val="Hyperlink"/>
          </w:rPr>
          <w:t>p</w:t>
        </w:r>
        <w:r w:rsidRPr="00EC598C">
          <w:rPr>
            <w:rStyle w:val="Hyperlink"/>
          </w:rPr>
          <w:t>eer observation, feedback and reflection</w:t>
        </w:r>
      </w:hyperlink>
      <w:r w:rsidRPr="00EC598C">
        <w:rPr>
          <w:color w:val="000000" w:themeColor="text1"/>
        </w:rPr>
        <w:t>.</w:t>
      </w:r>
    </w:p>
    <w:p w14:paraId="52FF644C" w14:textId="2FDDA466" w:rsidR="009E57E9" w:rsidRPr="00EC598C" w:rsidRDefault="009E57E9" w:rsidP="009F7A09">
      <w:pPr>
        <w:pStyle w:val="ListParagraph"/>
      </w:pPr>
      <w:r w:rsidRPr="00EC598C">
        <w:t xml:space="preserve">Consider how the school can continue to improve </w:t>
      </w:r>
      <w:r w:rsidR="00932463" w:rsidRPr="00EC598C">
        <w:t xml:space="preserve">its literacy program </w:t>
      </w:r>
      <w:r w:rsidRPr="00EC598C">
        <w:t xml:space="preserve">through continuously evaluating the impact of teaching on student learning. For more information, see: </w:t>
      </w:r>
      <w:hyperlink r:id="rId28" w:history="1">
        <w:r w:rsidR="000474AE" w:rsidRPr="00EC598C">
          <w:rPr>
            <w:rStyle w:val="Hyperlink"/>
          </w:rPr>
          <w:t>evaluate the impact of your teaching</w:t>
        </w:r>
      </w:hyperlink>
      <w:r w:rsidR="000474AE" w:rsidRPr="00EC598C">
        <w:t>.</w:t>
      </w:r>
    </w:p>
    <w:p w14:paraId="508F55DC" w14:textId="61274F30" w:rsidR="001D5721" w:rsidRPr="00EC598C" w:rsidRDefault="001D5721" w:rsidP="001D5721">
      <w:pPr>
        <w:pStyle w:val="Heading1"/>
        <w:jc w:val="both"/>
      </w:pPr>
      <w:r w:rsidRPr="00EC598C">
        <w:t>advice for teachers</w:t>
      </w:r>
    </w:p>
    <w:p w14:paraId="15B12E17" w14:textId="1DB166C0" w:rsidR="00E44344" w:rsidRPr="00EC598C" w:rsidRDefault="001D5721" w:rsidP="009F7A09">
      <w:pPr>
        <w:pStyle w:val="ListParagraph"/>
      </w:pPr>
      <w:r w:rsidRPr="00EC598C">
        <w:t>The first step to implementi</w:t>
      </w:r>
      <w:r w:rsidR="009F7A09" w:rsidRPr="00EC598C">
        <w:t>ng HITS in your classroom</w:t>
      </w:r>
      <w:r w:rsidRPr="00EC598C">
        <w:t xml:space="preserve"> is to understand</w:t>
      </w:r>
      <w:r w:rsidR="005B75AC" w:rsidRPr="00EC598C">
        <w:t xml:space="preserve"> your current impact on student learning</w:t>
      </w:r>
      <w:r w:rsidRPr="00EC598C">
        <w:t xml:space="preserve"> and how to best support </w:t>
      </w:r>
      <w:r w:rsidR="00B018AE" w:rsidRPr="00EC598C">
        <w:t xml:space="preserve">students </w:t>
      </w:r>
      <w:r w:rsidRPr="00EC598C">
        <w:t xml:space="preserve">in their learning journey. </w:t>
      </w:r>
    </w:p>
    <w:p w14:paraId="63E53E34" w14:textId="0A7ED95F" w:rsidR="00951B61" w:rsidRPr="00EC598C" w:rsidRDefault="001D5721" w:rsidP="00B018AE">
      <w:pPr>
        <w:pStyle w:val="ListParagraph"/>
      </w:pPr>
      <w:r w:rsidRPr="00EC598C">
        <w:t>Consider undertaking a self-reflection of your</w:t>
      </w:r>
      <w:r w:rsidR="00E44344" w:rsidRPr="00EC598C">
        <w:t xml:space="preserve"> current</w:t>
      </w:r>
      <w:r w:rsidRPr="00EC598C">
        <w:t xml:space="preserve"> practice, using the Practice Principles for Excellence in Teaching and Learning reflection tools. The Peer Observation Guide for Teachers also provides useful information on self-reflection. For more information, see: </w:t>
      </w:r>
      <w:hyperlink r:id="rId29" w:history="1">
        <w:r w:rsidRPr="00EC598C">
          <w:rPr>
            <w:rStyle w:val="Hyperlink"/>
          </w:rPr>
          <w:t xml:space="preserve">Practice Principles for </w:t>
        </w:r>
        <w:r w:rsidRPr="00EC598C">
          <w:rPr>
            <w:rStyle w:val="Hyperlink"/>
          </w:rPr>
          <w:t>Excellence in Teaching and Learning reflection tools</w:t>
        </w:r>
      </w:hyperlink>
      <w:r w:rsidRPr="00EC598C">
        <w:rPr>
          <w:rStyle w:val="Hyperlink"/>
          <w:i/>
          <w:color w:val="auto"/>
          <w:u w:val="none"/>
        </w:rPr>
        <w:t xml:space="preserve"> </w:t>
      </w:r>
      <w:r w:rsidRPr="00EC598C">
        <w:rPr>
          <w:rStyle w:val="Hyperlink"/>
          <w:color w:val="auto"/>
          <w:u w:val="none"/>
        </w:rPr>
        <w:t xml:space="preserve">and </w:t>
      </w:r>
      <w:hyperlink r:id="rId30" w:history="1">
        <w:r w:rsidRPr="00EC598C">
          <w:rPr>
            <w:rStyle w:val="Hyperlink"/>
          </w:rPr>
          <w:t>Peer observation guide for teachers.</w:t>
        </w:r>
      </w:hyperlink>
      <w:r w:rsidRPr="00EC598C">
        <w:t xml:space="preserve"> </w:t>
      </w:r>
      <w:r w:rsidR="009F7A09" w:rsidRPr="00EC598C">
        <w:t xml:space="preserve">Use the HITS resource and relevant continua of practice as a guide to identify strategies to improve the delivery of high quality teaching and literacy learning. </w:t>
      </w:r>
      <w:r w:rsidR="00951B61" w:rsidRPr="00EC598C">
        <w:t xml:space="preserve">For more information, see: </w:t>
      </w:r>
      <w:hyperlink r:id="rId31" w:history="1">
        <w:r w:rsidR="00951B61" w:rsidRPr="00EC598C">
          <w:rPr>
            <w:rStyle w:val="Hyperlink"/>
          </w:rPr>
          <w:t>HITS</w:t>
        </w:r>
      </w:hyperlink>
      <w:r w:rsidR="00951B61" w:rsidRPr="00EC598C">
        <w:t>.</w:t>
      </w:r>
    </w:p>
    <w:p w14:paraId="061A8E29" w14:textId="5F871B65" w:rsidR="00951B61" w:rsidRPr="00EC598C" w:rsidRDefault="00135EFA" w:rsidP="00951B61">
      <w:pPr>
        <w:pStyle w:val="ListParagraph"/>
      </w:pPr>
      <w:r w:rsidRPr="00EC598C">
        <w:t>If you are already using HITS, c</w:t>
      </w:r>
      <w:r w:rsidR="00951B61" w:rsidRPr="00EC598C">
        <w:t xml:space="preserve">onsider how you can continue to evaluate the impact of your practice on students’ literacy learning. For more information, see: </w:t>
      </w:r>
      <w:hyperlink r:id="rId32" w:history="1">
        <w:r w:rsidR="00951B61" w:rsidRPr="00EC598C">
          <w:rPr>
            <w:rStyle w:val="Hyperlink"/>
          </w:rPr>
          <w:t>evaluate the impact of your teaching</w:t>
        </w:r>
      </w:hyperlink>
      <w:r w:rsidR="00951B61" w:rsidRPr="00EC598C">
        <w:t>.</w:t>
      </w:r>
    </w:p>
    <w:p w14:paraId="24D165CB" w14:textId="32619030" w:rsidR="009F7A09" w:rsidRPr="00EC598C" w:rsidRDefault="009F7A09" w:rsidP="00951B61">
      <w:pPr>
        <w:pStyle w:val="Heading1"/>
        <w:jc w:val="both"/>
      </w:pPr>
      <w:r w:rsidRPr="00EC598C">
        <w:t>RELEVANT TOOLS AND RESOURCES</w:t>
      </w:r>
    </w:p>
    <w:p w14:paraId="23CD8BC5" w14:textId="66B3B77F" w:rsidR="009F7A09" w:rsidRPr="00EC598C" w:rsidRDefault="009F7A09" w:rsidP="009F7A09">
      <w:r w:rsidRPr="00EC598C">
        <w:t xml:space="preserve">This note is part of a series of professional practice notes to support school based staff to continue improving their practice. See </w:t>
      </w:r>
      <w:hyperlink r:id="rId33" w:history="1">
        <w:r w:rsidRPr="00EC598C">
          <w:rPr>
            <w:rStyle w:val="Hyperlink"/>
            <w:i/>
            <w:lang w:val="en-AU"/>
          </w:rPr>
          <w:t>Professional Practice Elements</w:t>
        </w:r>
      </w:hyperlink>
      <w:r w:rsidRPr="00EC598C">
        <w:rPr>
          <w:color w:val="004EA9"/>
        </w:rPr>
        <w:t xml:space="preserve"> </w:t>
      </w:r>
      <w:r w:rsidRPr="00EC598C">
        <w:t>for more information.</w:t>
      </w:r>
    </w:p>
    <w:p w14:paraId="331B4633" w14:textId="461C5BB6" w:rsidR="009F7A09" w:rsidRPr="00EC598C" w:rsidRDefault="009F7A09" w:rsidP="009F7A09">
      <w:r w:rsidRPr="00EC598C">
        <w:t xml:space="preserve">Relevant tools and resources include: </w:t>
      </w:r>
    </w:p>
    <w:p w14:paraId="72C3F017" w14:textId="5DD3FBC9" w:rsidR="00F718C7" w:rsidRPr="00EC598C" w:rsidRDefault="00603BD0" w:rsidP="00F718C7">
      <w:pPr>
        <w:pStyle w:val="ListParagraph"/>
      </w:pPr>
      <w:hyperlink r:id="rId34" w:history="1">
        <w:r w:rsidR="00F718C7" w:rsidRPr="00EC598C">
          <w:rPr>
            <w:rStyle w:val="Hyperlink"/>
          </w:rPr>
          <w:t>Evaluating the impact of your teaching</w:t>
        </w:r>
      </w:hyperlink>
    </w:p>
    <w:p w14:paraId="1E68AA11" w14:textId="139C737C" w:rsidR="00F718C7" w:rsidRPr="00EC598C" w:rsidRDefault="00603BD0" w:rsidP="00F718C7">
      <w:pPr>
        <w:pStyle w:val="ListParagraph"/>
        <w:rPr>
          <w:rStyle w:val="Hyperlink"/>
          <w:color w:val="auto"/>
          <w:u w:val="none"/>
        </w:rPr>
      </w:pPr>
      <w:hyperlink r:id="rId35" w:history="1">
        <w:r w:rsidR="00F718C7" w:rsidRPr="00EC598C">
          <w:rPr>
            <w:rStyle w:val="Hyperlink"/>
          </w:rPr>
          <w:t>Expert literacy videos</w:t>
        </w:r>
      </w:hyperlink>
    </w:p>
    <w:p w14:paraId="74071BA8" w14:textId="5E9CCF1B" w:rsidR="00F718C7" w:rsidRPr="00EC598C" w:rsidRDefault="00603BD0" w:rsidP="00F718C7">
      <w:pPr>
        <w:pStyle w:val="ListParagraph"/>
        <w:rPr>
          <w:rStyle w:val="Hyperlink"/>
          <w:color w:val="auto"/>
          <w:u w:val="none"/>
        </w:rPr>
      </w:pPr>
      <w:hyperlink r:id="rId36" w:history="1">
        <w:r w:rsidR="00F718C7" w:rsidRPr="00EC598C">
          <w:rPr>
            <w:rStyle w:val="Hyperlink"/>
          </w:rPr>
          <w:t>Framework for Improving Student Outcomes</w:t>
        </w:r>
      </w:hyperlink>
    </w:p>
    <w:p w14:paraId="0E50C844" w14:textId="716C9369" w:rsidR="00F718C7" w:rsidRPr="00EC598C" w:rsidRDefault="00603BD0" w:rsidP="00F718C7">
      <w:pPr>
        <w:pStyle w:val="ListParagraph"/>
        <w:rPr>
          <w:rStyle w:val="Hyperlink"/>
          <w:i/>
          <w:color w:val="auto"/>
          <w:szCs w:val="18"/>
          <w:u w:val="none"/>
        </w:rPr>
      </w:pPr>
      <w:hyperlink r:id="rId37" w:history="1">
        <w:r w:rsidR="00F718C7" w:rsidRPr="00EC598C">
          <w:rPr>
            <w:rStyle w:val="Hyperlink"/>
            <w:szCs w:val="18"/>
          </w:rPr>
          <w:t>High Impact Teaching Strategies</w:t>
        </w:r>
      </w:hyperlink>
      <w:r w:rsidR="00F718C7" w:rsidRPr="00EC598C">
        <w:rPr>
          <w:szCs w:val="18"/>
        </w:rPr>
        <w:t xml:space="preserve"> </w:t>
      </w:r>
    </w:p>
    <w:p w14:paraId="5228B291" w14:textId="14FC22A2" w:rsidR="00F718C7" w:rsidRPr="00EC598C" w:rsidRDefault="00603BD0" w:rsidP="00F718C7">
      <w:pPr>
        <w:pStyle w:val="ListParagraph"/>
      </w:pPr>
      <w:hyperlink r:id="rId38" w:history="1">
        <w:r w:rsidR="00F718C7" w:rsidRPr="00EC598C">
          <w:rPr>
            <w:rStyle w:val="Hyperlink"/>
          </w:rPr>
          <w:t>Peer observation, including feedback and reflection</w:t>
        </w:r>
      </w:hyperlink>
    </w:p>
    <w:p w14:paraId="3EA2E63A" w14:textId="0007C1F1" w:rsidR="009F7A09" w:rsidRPr="00EC598C" w:rsidRDefault="00603BD0" w:rsidP="009F7A09">
      <w:pPr>
        <w:pStyle w:val="ListParagraph"/>
        <w:rPr>
          <w:i/>
          <w:szCs w:val="18"/>
        </w:rPr>
      </w:pPr>
      <w:hyperlink r:id="rId39" w:history="1">
        <w:r w:rsidR="009F7A09" w:rsidRPr="00EC598C">
          <w:rPr>
            <w:rStyle w:val="Hyperlink"/>
            <w:szCs w:val="18"/>
          </w:rPr>
          <w:t xml:space="preserve">Practice Principles for Excellence in </w:t>
        </w:r>
        <w:r w:rsidR="009A335C">
          <w:rPr>
            <w:rStyle w:val="Hyperlink"/>
            <w:szCs w:val="18"/>
          </w:rPr>
          <w:t>Teaching and Learnin</w:t>
        </w:r>
        <w:r w:rsidR="009F7A09" w:rsidRPr="00EC598C">
          <w:rPr>
            <w:rStyle w:val="Hyperlink"/>
            <w:szCs w:val="18"/>
          </w:rPr>
          <w:t>g</w:t>
        </w:r>
      </w:hyperlink>
      <w:r w:rsidR="009F7A09" w:rsidRPr="00EC598C">
        <w:rPr>
          <w:szCs w:val="18"/>
        </w:rPr>
        <w:t xml:space="preserve"> </w:t>
      </w:r>
    </w:p>
    <w:p w14:paraId="0A672461" w14:textId="5A028F4D" w:rsidR="009F7A09" w:rsidRPr="00EC598C" w:rsidRDefault="00603BD0" w:rsidP="009F7A09">
      <w:pPr>
        <w:pStyle w:val="ListParagraph"/>
        <w:rPr>
          <w:i/>
          <w:sz w:val="20"/>
          <w:szCs w:val="18"/>
        </w:rPr>
      </w:pPr>
      <w:hyperlink r:id="rId40" w:history="1">
        <w:r w:rsidR="009F7A09" w:rsidRPr="00EC598C">
          <w:rPr>
            <w:rStyle w:val="Hyperlink"/>
          </w:rPr>
          <w:t>Practice Principles for Excellence in Teaching and Learning reflection tools</w:t>
        </w:r>
      </w:hyperlink>
    </w:p>
    <w:p w14:paraId="2F405A56" w14:textId="524440A3" w:rsidR="000D13F4" w:rsidRPr="00EC598C" w:rsidRDefault="00603BD0" w:rsidP="009F7A09">
      <w:pPr>
        <w:pStyle w:val="ListParagraph"/>
        <w:rPr>
          <w:i/>
          <w:sz w:val="20"/>
          <w:szCs w:val="18"/>
        </w:rPr>
      </w:pPr>
      <w:hyperlink r:id="rId41" w:history="1">
        <w:r w:rsidR="000D13F4" w:rsidRPr="00EC598C">
          <w:rPr>
            <w:rStyle w:val="Hyperlink"/>
          </w:rPr>
          <w:t>Literacy Masterclass on High Impact Teaching Strategies</w:t>
        </w:r>
      </w:hyperlink>
    </w:p>
    <w:p w14:paraId="29176A17" w14:textId="60BABDD6" w:rsidR="009F7A09" w:rsidRPr="00EC598C" w:rsidRDefault="00603BD0" w:rsidP="009F7A09">
      <w:pPr>
        <w:pStyle w:val="ListParagraph"/>
        <w:rPr>
          <w:rStyle w:val="Hyperlink"/>
          <w:i/>
          <w:color w:val="auto"/>
          <w:szCs w:val="18"/>
          <w:u w:val="none"/>
        </w:rPr>
      </w:pPr>
      <w:hyperlink r:id="rId42" w:history="1">
        <w:r w:rsidR="00F718C7" w:rsidRPr="00EC598C">
          <w:rPr>
            <w:rStyle w:val="Hyperlink"/>
            <w:szCs w:val="18"/>
          </w:rPr>
          <w:t>Literacy and Numeracy S</w:t>
        </w:r>
        <w:r w:rsidR="009F7A09" w:rsidRPr="00EC598C">
          <w:rPr>
            <w:rStyle w:val="Hyperlink"/>
            <w:szCs w:val="18"/>
          </w:rPr>
          <w:t>trategy</w:t>
        </w:r>
      </w:hyperlink>
    </w:p>
    <w:p w14:paraId="749E2B4B" w14:textId="5F2E55CE" w:rsidR="00F718C7" w:rsidRPr="00EC598C" w:rsidRDefault="00603BD0" w:rsidP="00F718C7">
      <w:pPr>
        <w:pStyle w:val="ListParagraph"/>
        <w:rPr>
          <w:rStyle w:val="Hyperlink"/>
          <w:color w:val="auto"/>
          <w:u w:val="none"/>
        </w:rPr>
      </w:pPr>
      <w:hyperlink r:id="rId43" w:history="1">
        <w:r w:rsidR="00F718C7" w:rsidRPr="00EC598C">
          <w:rPr>
            <w:rStyle w:val="Hyperlink"/>
          </w:rPr>
          <w:t>Literacy Teaching Toolkit</w:t>
        </w:r>
      </w:hyperlink>
    </w:p>
    <w:p w14:paraId="135EF13D" w14:textId="7F83DC96" w:rsidR="00167DC6" w:rsidRPr="00EC598C" w:rsidRDefault="00603BD0" w:rsidP="009F7A09">
      <w:pPr>
        <w:pStyle w:val="ListParagraph"/>
        <w:rPr>
          <w:i/>
          <w:szCs w:val="18"/>
        </w:rPr>
      </w:pPr>
      <w:hyperlink r:id="rId44" w:history="1">
        <w:r w:rsidR="00F718C7" w:rsidRPr="00EC598C">
          <w:rPr>
            <w:rStyle w:val="Hyperlink"/>
            <w:szCs w:val="18"/>
          </w:rPr>
          <w:t>Victorian Literacy P</w:t>
        </w:r>
        <w:r w:rsidR="009F7A09" w:rsidRPr="00EC598C">
          <w:rPr>
            <w:rStyle w:val="Hyperlink"/>
            <w:szCs w:val="18"/>
          </w:rPr>
          <w:t>ortal</w:t>
        </w:r>
      </w:hyperlink>
      <w:r w:rsidR="009F7A09" w:rsidRPr="00EC598C">
        <w:rPr>
          <w:szCs w:val="18"/>
        </w:rPr>
        <w:t xml:space="preserve"> </w:t>
      </w:r>
    </w:p>
    <w:p w14:paraId="2095B5A3" w14:textId="10010D11" w:rsidR="009F7A09" w:rsidRPr="00EC598C" w:rsidRDefault="009F7A09" w:rsidP="009F7A09">
      <w:pPr>
        <w:pStyle w:val="Heading1"/>
        <w:jc w:val="both"/>
      </w:pPr>
      <w:r w:rsidRPr="00EC598C">
        <w:t>CONTACT US</w:t>
      </w:r>
    </w:p>
    <w:p w14:paraId="0A3325AD" w14:textId="7DE4396E" w:rsidR="009F7A09" w:rsidRDefault="009F7A09" w:rsidP="009F7A09">
      <w:pPr>
        <w:rPr>
          <w:color w:val="004EA9"/>
          <w:lang w:val="en-AU"/>
        </w:rPr>
      </w:pPr>
      <w:r w:rsidRPr="00EC598C">
        <w:rPr>
          <w:color w:val="000000"/>
          <w:lang w:val="en-AU"/>
        </w:rPr>
        <w:t xml:space="preserve">For more information, or to share your feedback on this resource, please email: </w:t>
      </w:r>
      <w:hyperlink r:id="rId45" w:history="1">
        <w:r w:rsidRPr="00EC598C">
          <w:rPr>
            <w:rStyle w:val="Hyperlink"/>
            <w:lang w:val="en-AU"/>
          </w:rPr>
          <w:t>professional.practice@edumail.vic.gov.au</w:t>
        </w:r>
      </w:hyperlink>
      <w:r w:rsidRPr="00EC598C">
        <w:rPr>
          <w:color w:val="004EA9"/>
          <w:lang w:val="en-AU"/>
        </w:rPr>
        <w:t>.</w:t>
      </w:r>
    </w:p>
    <w:p w14:paraId="377C25A0" w14:textId="30BC3DEC" w:rsidR="009F7A09" w:rsidRDefault="009F7A09" w:rsidP="009F7A09">
      <w:pPr>
        <w:rPr>
          <w:color w:val="004EA9"/>
          <w:lang w:val="en-AU"/>
        </w:rPr>
      </w:pPr>
    </w:p>
    <w:p w14:paraId="745D3B24" w14:textId="7A77FF42" w:rsidR="00920F15" w:rsidRPr="00B9293B" w:rsidRDefault="00920F15" w:rsidP="008C1801">
      <w:pPr>
        <w:autoSpaceDE w:val="0"/>
        <w:autoSpaceDN w:val="0"/>
        <w:adjustRightInd w:val="0"/>
        <w:spacing w:line="240" w:lineRule="auto"/>
        <w:rPr>
          <w:color w:val="004EA9"/>
          <w:lang w:val="en-AU"/>
        </w:rPr>
      </w:pPr>
      <w:bookmarkStart w:id="1" w:name="_GoBack"/>
      <w:bookmarkEnd w:id="1"/>
    </w:p>
    <w:sectPr w:rsidR="00920F15" w:rsidRPr="00B9293B" w:rsidSect="00825E66">
      <w:headerReference w:type="default" r:id="rId46"/>
      <w:footerReference w:type="default" r:id="rId47"/>
      <w:pgSz w:w="11900" w:h="16840"/>
      <w:pgMar w:top="3289" w:right="1134" w:bottom="1560" w:left="737" w:header="624" w:footer="1134" w:gutter="0"/>
      <w:cols w:num="2" w:space="39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C4CDD" w16cid:durableId="1E9C85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57324" w14:textId="77777777" w:rsidR="00603BD0" w:rsidRDefault="00603BD0" w:rsidP="008766A4">
      <w:r>
        <w:separator/>
      </w:r>
    </w:p>
  </w:endnote>
  <w:endnote w:type="continuationSeparator" w:id="0">
    <w:p w14:paraId="1CBAF2E0" w14:textId="77777777" w:rsidR="00603BD0" w:rsidRDefault="00603BD0"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2040503050306020203"/>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Light">
    <w:altName w:val="VIC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1D4DA8FF" w:rsidR="001540D5" w:rsidRPr="003E29B5" w:rsidRDefault="001540D5"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F2F04" w14:textId="77777777" w:rsidR="00603BD0" w:rsidRDefault="00603BD0" w:rsidP="008766A4">
      <w:r>
        <w:separator/>
      </w:r>
    </w:p>
  </w:footnote>
  <w:footnote w:type="continuationSeparator" w:id="0">
    <w:p w14:paraId="6098140D" w14:textId="77777777" w:rsidR="00603BD0" w:rsidRDefault="00603BD0" w:rsidP="008766A4">
      <w:r>
        <w:continuationSeparator/>
      </w:r>
    </w:p>
  </w:footnote>
  <w:footnote w:id="1">
    <w:p w14:paraId="76A28AB7" w14:textId="30E4EAB7" w:rsidR="002D574E" w:rsidRPr="00AF52C7" w:rsidRDefault="002D574E">
      <w:pPr>
        <w:pStyle w:val="FootnoteText"/>
        <w:rPr>
          <w:sz w:val="12"/>
          <w:szCs w:val="12"/>
          <w:lang w:val="en-AU"/>
        </w:rPr>
      </w:pPr>
      <w:r w:rsidRPr="00AF52C7">
        <w:rPr>
          <w:rStyle w:val="FootnoteReference"/>
          <w:sz w:val="12"/>
          <w:szCs w:val="12"/>
        </w:rPr>
        <w:footnoteRef/>
      </w:r>
      <w:r w:rsidRPr="00AF52C7">
        <w:rPr>
          <w:sz w:val="12"/>
          <w:szCs w:val="12"/>
        </w:rPr>
        <w:t xml:space="preserve"> </w:t>
      </w:r>
      <w:r w:rsidRPr="00AF52C7">
        <w:rPr>
          <w:sz w:val="12"/>
          <w:szCs w:val="12"/>
          <w:lang w:val="en-AU"/>
        </w:rPr>
        <w:t xml:space="preserve">Hattie, J. (2014). </w:t>
      </w:r>
      <w:r w:rsidRPr="00AF52C7">
        <w:rPr>
          <w:i/>
          <w:sz w:val="12"/>
          <w:szCs w:val="12"/>
          <w:lang w:val="en-AU"/>
        </w:rPr>
        <w:t xml:space="preserve">Visible learning for teachers: maximizing impact on learning. </w:t>
      </w:r>
      <w:r w:rsidRPr="00AF52C7">
        <w:rPr>
          <w:sz w:val="12"/>
          <w:szCs w:val="12"/>
          <w:lang w:val="en-AU"/>
        </w:rPr>
        <w:t>London; New York: Routledge, 2012.</w:t>
      </w:r>
    </w:p>
  </w:footnote>
  <w:footnote w:id="2">
    <w:p w14:paraId="310BD25E" w14:textId="1A5F59D4" w:rsidR="001D6D16" w:rsidRDefault="00C0546C">
      <w:pPr>
        <w:pStyle w:val="FootnoteText"/>
        <w:rPr>
          <w:sz w:val="12"/>
          <w:szCs w:val="12"/>
          <w:lang w:val="en-AU"/>
        </w:rPr>
      </w:pPr>
      <w:r w:rsidRPr="00AF52C7">
        <w:rPr>
          <w:rStyle w:val="FootnoteReference"/>
          <w:sz w:val="12"/>
          <w:szCs w:val="12"/>
        </w:rPr>
        <w:footnoteRef/>
      </w:r>
      <w:r w:rsidRPr="00AF52C7">
        <w:rPr>
          <w:sz w:val="12"/>
          <w:szCs w:val="12"/>
        </w:rPr>
        <w:t xml:space="preserve"> </w:t>
      </w:r>
      <w:r w:rsidR="001D6D16">
        <w:rPr>
          <w:sz w:val="12"/>
          <w:szCs w:val="12"/>
          <w:lang w:val="en-AU"/>
        </w:rPr>
        <w:t xml:space="preserve">Victorian Curriculum Assessment Authority. (2017). </w:t>
      </w:r>
      <w:r w:rsidR="001D6D16" w:rsidRPr="001D6D16">
        <w:rPr>
          <w:i/>
          <w:sz w:val="12"/>
          <w:szCs w:val="12"/>
          <w:lang w:val="en-AU"/>
        </w:rPr>
        <w:t>English structure</w:t>
      </w:r>
      <w:r w:rsidR="001D6D16">
        <w:rPr>
          <w:sz w:val="12"/>
          <w:szCs w:val="12"/>
          <w:lang w:val="en-AU"/>
        </w:rPr>
        <w:t xml:space="preserve">. Retrieved from </w:t>
      </w:r>
      <w:hyperlink r:id="rId1" w:history="1">
        <w:r w:rsidR="001D6D16" w:rsidRPr="00915AFA">
          <w:rPr>
            <w:rStyle w:val="Hyperlink"/>
            <w:sz w:val="12"/>
            <w:szCs w:val="12"/>
            <w:lang w:val="en-AU"/>
          </w:rPr>
          <w:t>http://victoriancurriculum.vcaa.vic.edu.au/english/introduction/structure</w:t>
        </w:r>
      </w:hyperlink>
    </w:p>
    <w:p w14:paraId="4808D9D8" w14:textId="77777777" w:rsidR="001D6D16" w:rsidRPr="001D6D16" w:rsidRDefault="001D6D16">
      <w:pPr>
        <w:pStyle w:val="FootnoteText"/>
        <w:rPr>
          <w:sz w:val="12"/>
          <w:szCs w:val="12"/>
          <w:lang w:val="en-AU"/>
        </w:rPr>
      </w:pPr>
    </w:p>
  </w:footnote>
  <w:footnote w:id="3">
    <w:p w14:paraId="6F4B40EC" w14:textId="4F304EEF" w:rsidR="0007304F" w:rsidRPr="00673764" w:rsidRDefault="0007304F" w:rsidP="00673764">
      <w:pPr>
        <w:spacing w:after="0" w:line="240" w:lineRule="auto"/>
        <w:rPr>
          <w:rFonts w:ascii="Calibri" w:hAnsi="Calibri" w:cs="Calibri"/>
          <w:sz w:val="12"/>
          <w:szCs w:val="12"/>
        </w:rPr>
      </w:pPr>
      <w:r w:rsidRPr="00673764">
        <w:rPr>
          <w:rStyle w:val="FootnoteReference"/>
          <w:sz w:val="12"/>
          <w:szCs w:val="12"/>
        </w:rPr>
        <w:footnoteRef/>
      </w:r>
      <w:r w:rsidRPr="00673764">
        <w:rPr>
          <w:sz w:val="12"/>
          <w:szCs w:val="12"/>
        </w:rPr>
        <w:t xml:space="preserve"> </w:t>
      </w:r>
      <w:r w:rsidRPr="00673764">
        <w:rPr>
          <w:sz w:val="12"/>
          <w:szCs w:val="12"/>
          <w:lang w:val="en-AU"/>
        </w:rPr>
        <w:t>As reported in: Hattie, J. (2009). Visible Learning: A synthesis of over 800 meta-analyses relating to achievement. Milton Park, UK: Routledge.</w:t>
      </w:r>
    </w:p>
  </w:footnote>
  <w:footnote w:id="4">
    <w:p w14:paraId="3A69BBA9" w14:textId="51B62371" w:rsidR="00135EFA" w:rsidRPr="00673764" w:rsidRDefault="00135EFA" w:rsidP="00135EFA">
      <w:pPr>
        <w:spacing w:after="0" w:line="240" w:lineRule="auto"/>
        <w:rPr>
          <w:rFonts w:ascii="Calibri" w:hAnsi="Calibri" w:cs="Calibri"/>
          <w:sz w:val="12"/>
          <w:szCs w:val="12"/>
        </w:rPr>
      </w:pPr>
      <w:r w:rsidRPr="00673764">
        <w:rPr>
          <w:rStyle w:val="FootnoteReference"/>
          <w:sz w:val="12"/>
          <w:szCs w:val="12"/>
        </w:rPr>
        <w:footnoteRef/>
      </w:r>
      <w:r w:rsidRPr="00673764">
        <w:rPr>
          <w:sz w:val="12"/>
          <w:szCs w:val="12"/>
        </w:rPr>
        <w:t xml:space="preserve"> </w:t>
      </w:r>
      <w:r>
        <w:rPr>
          <w:sz w:val="12"/>
          <w:szCs w:val="12"/>
          <w:lang w:val="en-AU"/>
        </w:rPr>
        <w:t>Ibid.</w:t>
      </w:r>
    </w:p>
  </w:footnote>
  <w:footnote w:id="5">
    <w:p w14:paraId="5D58A323" w14:textId="2267E513" w:rsidR="00AF52C7" w:rsidRPr="0000282D" w:rsidRDefault="00AF52C7">
      <w:pPr>
        <w:pStyle w:val="FootnoteText"/>
        <w:rPr>
          <w:color w:val="0B0C0C"/>
          <w:sz w:val="12"/>
          <w:szCs w:val="12"/>
          <w:lang w:val="en"/>
        </w:rPr>
      </w:pPr>
      <w:r w:rsidRPr="00AF52C7">
        <w:rPr>
          <w:rStyle w:val="FootnoteReference"/>
          <w:sz w:val="12"/>
          <w:szCs w:val="12"/>
        </w:rPr>
        <w:footnoteRef/>
      </w:r>
      <w:r w:rsidRPr="00AF52C7">
        <w:rPr>
          <w:sz w:val="12"/>
          <w:szCs w:val="12"/>
        </w:rPr>
        <w:t xml:space="preserve"> </w:t>
      </w:r>
      <w:r w:rsidRPr="00AF52C7">
        <w:rPr>
          <w:color w:val="0B0C0C"/>
          <w:sz w:val="12"/>
          <w:szCs w:val="12"/>
          <w:lang w:val="en"/>
        </w:rPr>
        <w:t xml:space="preserve">Wolf, M.K., </w:t>
      </w:r>
      <w:proofErr w:type="spellStart"/>
      <w:r w:rsidRPr="00AF52C7">
        <w:rPr>
          <w:color w:val="0B0C0C"/>
          <w:sz w:val="12"/>
          <w:szCs w:val="12"/>
          <w:lang w:val="en"/>
        </w:rPr>
        <w:t>Crossen</w:t>
      </w:r>
      <w:proofErr w:type="spellEnd"/>
      <w:r w:rsidRPr="00AF52C7">
        <w:rPr>
          <w:color w:val="0B0C0C"/>
          <w:sz w:val="12"/>
          <w:szCs w:val="12"/>
          <w:lang w:val="en"/>
        </w:rPr>
        <w:t xml:space="preserve">, A. C. and Resnick, L.B. (2006) Accountable talk in reading comprehension discussion. CSE Technical Report, 670. Los Angeles. Learning and </w:t>
      </w:r>
      <w:r w:rsidRPr="0000282D">
        <w:rPr>
          <w:color w:val="0B0C0C"/>
          <w:sz w:val="12"/>
          <w:szCs w:val="12"/>
          <w:lang w:val="en"/>
        </w:rPr>
        <w:t>Research Development Centre, University of Pittsburgh.</w:t>
      </w:r>
    </w:p>
  </w:footnote>
  <w:footnote w:id="6">
    <w:p w14:paraId="49A1370A" w14:textId="77777777" w:rsidR="00135EFA" w:rsidRPr="00673764" w:rsidRDefault="00135EFA" w:rsidP="00135EFA">
      <w:pPr>
        <w:spacing w:after="0" w:line="240" w:lineRule="auto"/>
        <w:rPr>
          <w:rFonts w:ascii="Calibri" w:hAnsi="Calibri" w:cs="Calibri"/>
          <w:sz w:val="12"/>
          <w:szCs w:val="12"/>
        </w:rPr>
      </w:pPr>
      <w:r w:rsidRPr="00673764">
        <w:rPr>
          <w:rStyle w:val="FootnoteReference"/>
          <w:sz w:val="12"/>
          <w:szCs w:val="12"/>
        </w:rPr>
        <w:footnoteRef/>
      </w:r>
      <w:r w:rsidRPr="00673764">
        <w:rPr>
          <w:sz w:val="12"/>
          <w:szCs w:val="12"/>
        </w:rPr>
        <w:t xml:space="preserve"> </w:t>
      </w:r>
      <w:r w:rsidRPr="00673764">
        <w:rPr>
          <w:sz w:val="12"/>
          <w:szCs w:val="12"/>
          <w:lang w:val="en-AU"/>
        </w:rPr>
        <w:t>As reported in: Hattie, J. (2009). Visible Learning: A synthesis of over 800 meta-analyses relating to achievement. Milton Park, UK: Routledge.</w:t>
      </w:r>
    </w:p>
  </w:footnote>
  <w:footnote w:id="7">
    <w:p w14:paraId="06E99299" w14:textId="77777777" w:rsidR="00135EFA" w:rsidRPr="00673764" w:rsidRDefault="00135EFA" w:rsidP="00135EFA">
      <w:pPr>
        <w:spacing w:after="0" w:line="240" w:lineRule="auto"/>
        <w:rPr>
          <w:rFonts w:ascii="Calibri" w:hAnsi="Calibri" w:cs="Calibri"/>
          <w:sz w:val="12"/>
          <w:szCs w:val="12"/>
        </w:rPr>
      </w:pPr>
      <w:r w:rsidRPr="00673764">
        <w:rPr>
          <w:rStyle w:val="FootnoteReference"/>
          <w:sz w:val="12"/>
          <w:szCs w:val="12"/>
        </w:rPr>
        <w:footnoteRef/>
      </w:r>
      <w:r w:rsidRPr="00673764">
        <w:rPr>
          <w:sz w:val="12"/>
          <w:szCs w:val="12"/>
        </w:rPr>
        <w:t xml:space="preserve"> </w:t>
      </w:r>
      <w:r w:rsidRPr="00673764">
        <w:rPr>
          <w:sz w:val="12"/>
          <w:szCs w:val="12"/>
          <w:lang w:val="en-AU"/>
        </w:rPr>
        <w:t>As reported in: Hattie, J. (2009). Visible Learning: A synthesis of over 800 meta-analyses relating to achievement. Milton Park, UK: Routledge.</w:t>
      </w:r>
    </w:p>
  </w:footnote>
  <w:footnote w:id="8">
    <w:p w14:paraId="21CFCA39" w14:textId="32EB5FE7" w:rsidR="00C32A78" w:rsidRPr="00C32A78" w:rsidRDefault="00C32A78">
      <w:pPr>
        <w:pStyle w:val="FootnoteText"/>
        <w:rPr>
          <w:lang w:val="en-AU"/>
        </w:rPr>
      </w:pPr>
      <w:r w:rsidRPr="0000282D">
        <w:rPr>
          <w:color w:val="0B0C0C"/>
          <w:sz w:val="12"/>
          <w:szCs w:val="12"/>
          <w:lang w:val="en"/>
        </w:rPr>
        <w:footnoteRef/>
      </w:r>
      <w:r w:rsidRPr="0000282D">
        <w:rPr>
          <w:color w:val="0B0C0C"/>
          <w:sz w:val="12"/>
          <w:szCs w:val="12"/>
          <w:lang w:val="en"/>
        </w:rPr>
        <w:t xml:space="preserve"> Mills, H. &amp; Jennings, L. (2011). Talking about talk: Reclaiming the value and power of literature circles. The Reading Teacher, 64 (8), 590-598.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4268E6E3" w:rsidR="001540D5" w:rsidRPr="003E29B5" w:rsidRDefault="001540D5" w:rsidP="008766A4">
    <w:r>
      <w:rPr>
        <w:noProof/>
        <w:lang w:val="en-AU" w:eastAsia="en-AU"/>
      </w:rPr>
      <mc:AlternateContent>
        <mc:Choice Requires="wps">
          <w:drawing>
            <wp:anchor distT="45720" distB="45720" distL="114300" distR="114300" simplePos="0" relativeHeight="251657728" behindDoc="0" locked="0" layoutInCell="1" allowOverlap="1" wp14:anchorId="7F6177EA" wp14:editId="6921D500">
              <wp:simplePos x="0" y="0"/>
              <wp:positionH relativeFrom="column">
                <wp:posOffset>5266055</wp:posOffset>
              </wp:positionH>
              <wp:positionV relativeFrom="paragraph">
                <wp:posOffset>346710</wp:posOffset>
              </wp:positionV>
              <wp:extent cx="1647825" cy="5854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85470"/>
                      </a:xfrm>
                      <a:prstGeom prst="rect">
                        <a:avLst/>
                      </a:prstGeom>
                      <a:noFill/>
                      <a:ln w="9525">
                        <a:noFill/>
                        <a:miter lim="800000"/>
                        <a:headEnd/>
                        <a:tailEnd/>
                      </a:ln>
                    </wps:spPr>
                    <wps:txbx>
                      <w:txbxContent>
                        <w:p w14:paraId="36EA4A95" w14:textId="541AB863" w:rsidR="001540D5" w:rsidRPr="00B24ECE" w:rsidRDefault="001540D5" w:rsidP="000E2670">
                          <w:pPr>
                            <w:rPr>
                              <w:b/>
                              <w:color w:val="FFFFFF" w:themeColor="background1"/>
                              <w:sz w:val="28"/>
                              <w:szCs w:val="28"/>
                            </w:rPr>
                          </w:pPr>
                          <w:r>
                            <w:rPr>
                              <w:b/>
                              <w:color w:val="FFFFFF" w:themeColor="background1"/>
                              <w:sz w:val="28"/>
                              <w:szCs w:val="28"/>
                            </w:rPr>
                            <w:t>Professional Practice Note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177EA" id="_x0000_t202" coordsize="21600,21600" o:spt="202" path="m,l,21600r21600,l21600,xe">
              <v:stroke joinstyle="miter"/>
              <v:path gradientshapeok="t" o:connecttype="rect"/>
            </v:shapetype>
            <v:shape id="Text Box 2" o:spid="_x0000_s1026" type="#_x0000_t202" style="position:absolute;margin-left:414.65pt;margin-top:27.3pt;width:129.75pt;height:46.1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" filled="f" stroked="f">
              <v:textbox style="mso-fit-shape-to-text:t">
                <w:txbxContent>
                  <w:p w14:paraId="36EA4A95" w14:textId="541AB863" w:rsidR="001540D5" w:rsidRPr="00B24ECE" w:rsidRDefault="001540D5" w:rsidP="000E2670">
                    <w:pPr>
                      <w:rPr>
                        <w:b/>
                        <w:color w:val="FFFFFF" w:themeColor="background1"/>
                        <w:sz w:val="28"/>
                        <w:szCs w:val="28"/>
                      </w:rPr>
                    </w:pPr>
                    <w:r>
                      <w:rPr>
                        <w:b/>
                        <w:color w:val="FFFFFF" w:themeColor="background1"/>
                        <w:sz w:val="28"/>
                        <w:szCs w:val="28"/>
                      </w:rPr>
                      <w:t>Professional Practice Note 9</w:t>
                    </w:r>
                  </w:p>
                </w:txbxContent>
              </v:textbox>
              <w10:wrap type="square"/>
            </v:shape>
          </w:pict>
        </mc:Fallback>
      </mc:AlternateContent>
    </w:r>
    <w:r>
      <w:rPr>
        <w:noProof/>
        <w:lang w:val="en-AU" w:eastAsia="en-AU"/>
      </w:rPr>
      <w:drawing>
        <wp:anchor distT="0" distB="0" distL="114300" distR="114300" simplePos="0" relativeHeight="251656704" behindDoc="1" locked="0" layoutInCell="1" allowOverlap="1" wp14:anchorId="6BB7B5ED" wp14:editId="1C3F2107">
          <wp:simplePos x="0" y="0"/>
          <wp:positionH relativeFrom="page">
            <wp:align>left</wp:align>
          </wp:positionH>
          <wp:positionV relativeFrom="page">
            <wp:align>top</wp:align>
          </wp:positionV>
          <wp:extent cx="7560000" cy="10692000"/>
          <wp:effectExtent l="0" t="0" r="952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E6EC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3C92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91E90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B063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B638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C3741F"/>
    <w:multiLevelType w:val="hybridMultilevel"/>
    <w:tmpl w:val="8AA42DDA"/>
    <w:lvl w:ilvl="0" w:tplc="66AEA88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DD4389"/>
    <w:multiLevelType w:val="hybridMultilevel"/>
    <w:tmpl w:val="582C2A86"/>
    <w:lvl w:ilvl="0" w:tplc="BE9E472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DA77F1"/>
    <w:multiLevelType w:val="hybridMultilevel"/>
    <w:tmpl w:val="B70850A0"/>
    <w:lvl w:ilvl="0" w:tplc="780611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CC6C8F"/>
    <w:multiLevelType w:val="hybridMultilevel"/>
    <w:tmpl w:val="0DB2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217D4"/>
    <w:multiLevelType w:val="hybridMultilevel"/>
    <w:tmpl w:val="45DC661E"/>
    <w:lvl w:ilvl="0" w:tplc="F5C6669A">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40D49AB"/>
    <w:multiLevelType w:val="hybridMultilevel"/>
    <w:tmpl w:val="7A9C2FDA"/>
    <w:lvl w:ilvl="0" w:tplc="256CF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56DC4"/>
    <w:multiLevelType w:val="hybridMultilevel"/>
    <w:tmpl w:val="884A1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B96132"/>
    <w:multiLevelType w:val="hybridMultilevel"/>
    <w:tmpl w:val="ED406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7F6F6B"/>
    <w:multiLevelType w:val="hybridMultilevel"/>
    <w:tmpl w:val="FA4275F8"/>
    <w:lvl w:ilvl="0" w:tplc="1062F7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7"/>
  </w:num>
  <w:num w:numId="15">
    <w:abstractNumId w:val="14"/>
  </w:num>
  <w:num w:numId="16">
    <w:abstractNumId w:val="13"/>
  </w:num>
  <w:num w:numId="17">
    <w:abstractNumId w:val="13"/>
  </w:num>
  <w:num w:numId="18">
    <w:abstractNumId w:val="13"/>
  </w:num>
  <w:num w:numId="19">
    <w:abstractNumId w:val="19"/>
  </w:num>
  <w:num w:numId="20">
    <w:abstractNumId w:val="18"/>
  </w:num>
  <w:num w:numId="21">
    <w:abstractNumId w:val="13"/>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282D"/>
    <w:rsid w:val="00037C5E"/>
    <w:rsid w:val="000415BA"/>
    <w:rsid w:val="000474AE"/>
    <w:rsid w:val="00060D61"/>
    <w:rsid w:val="00071F38"/>
    <w:rsid w:val="0007304F"/>
    <w:rsid w:val="00073762"/>
    <w:rsid w:val="000844D0"/>
    <w:rsid w:val="000C3706"/>
    <w:rsid w:val="000D13F4"/>
    <w:rsid w:val="000D6C7A"/>
    <w:rsid w:val="000E2670"/>
    <w:rsid w:val="000F111B"/>
    <w:rsid w:val="00125107"/>
    <w:rsid w:val="00125579"/>
    <w:rsid w:val="00134BA9"/>
    <w:rsid w:val="00135EFA"/>
    <w:rsid w:val="0014310A"/>
    <w:rsid w:val="00152020"/>
    <w:rsid w:val="001540D5"/>
    <w:rsid w:val="001574C5"/>
    <w:rsid w:val="00167CDB"/>
    <w:rsid w:val="00167DC6"/>
    <w:rsid w:val="001C43DD"/>
    <w:rsid w:val="001D5721"/>
    <w:rsid w:val="001D6D16"/>
    <w:rsid w:val="001E3B75"/>
    <w:rsid w:val="001E3DC1"/>
    <w:rsid w:val="001F6F1F"/>
    <w:rsid w:val="002210EB"/>
    <w:rsid w:val="002603ED"/>
    <w:rsid w:val="00283D10"/>
    <w:rsid w:val="00294983"/>
    <w:rsid w:val="00295759"/>
    <w:rsid w:val="002D574E"/>
    <w:rsid w:val="002F176F"/>
    <w:rsid w:val="0031732A"/>
    <w:rsid w:val="0032677E"/>
    <w:rsid w:val="00326F48"/>
    <w:rsid w:val="00327A2D"/>
    <w:rsid w:val="003468FB"/>
    <w:rsid w:val="00351147"/>
    <w:rsid w:val="00380BF9"/>
    <w:rsid w:val="0038286A"/>
    <w:rsid w:val="003833C2"/>
    <w:rsid w:val="00386233"/>
    <w:rsid w:val="003901BF"/>
    <w:rsid w:val="00395BE9"/>
    <w:rsid w:val="00397DAC"/>
    <w:rsid w:val="003A538B"/>
    <w:rsid w:val="003B01B0"/>
    <w:rsid w:val="003B02CF"/>
    <w:rsid w:val="003B3991"/>
    <w:rsid w:val="003D3041"/>
    <w:rsid w:val="003E29B5"/>
    <w:rsid w:val="00406ED8"/>
    <w:rsid w:val="004070D9"/>
    <w:rsid w:val="00420A8A"/>
    <w:rsid w:val="0043346D"/>
    <w:rsid w:val="00440AEA"/>
    <w:rsid w:val="00472469"/>
    <w:rsid w:val="00486966"/>
    <w:rsid w:val="00493182"/>
    <w:rsid w:val="00493951"/>
    <w:rsid w:val="004A06B3"/>
    <w:rsid w:val="004A07BF"/>
    <w:rsid w:val="004C30EC"/>
    <w:rsid w:val="004E7672"/>
    <w:rsid w:val="004F65DB"/>
    <w:rsid w:val="004F6FED"/>
    <w:rsid w:val="005055CB"/>
    <w:rsid w:val="00514550"/>
    <w:rsid w:val="00525CAB"/>
    <w:rsid w:val="00526064"/>
    <w:rsid w:val="00530190"/>
    <w:rsid w:val="005849E0"/>
    <w:rsid w:val="0059273C"/>
    <w:rsid w:val="00594884"/>
    <w:rsid w:val="00596923"/>
    <w:rsid w:val="005A2BD5"/>
    <w:rsid w:val="005A6AD4"/>
    <w:rsid w:val="005B75AC"/>
    <w:rsid w:val="005E1B87"/>
    <w:rsid w:val="00602CEC"/>
    <w:rsid w:val="00603BD0"/>
    <w:rsid w:val="006148B0"/>
    <w:rsid w:val="00622A57"/>
    <w:rsid w:val="00623981"/>
    <w:rsid w:val="006424AB"/>
    <w:rsid w:val="00650E68"/>
    <w:rsid w:val="00665047"/>
    <w:rsid w:val="00673764"/>
    <w:rsid w:val="006D51E7"/>
    <w:rsid w:val="006E5ED4"/>
    <w:rsid w:val="006E707D"/>
    <w:rsid w:val="00702558"/>
    <w:rsid w:val="007057A9"/>
    <w:rsid w:val="0071515E"/>
    <w:rsid w:val="0073724D"/>
    <w:rsid w:val="00742929"/>
    <w:rsid w:val="00744BCA"/>
    <w:rsid w:val="00763A49"/>
    <w:rsid w:val="00775457"/>
    <w:rsid w:val="00776168"/>
    <w:rsid w:val="007913D7"/>
    <w:rsid w:val="007A2658"/>
    <w:rsid w:val="007A6528"/>
    <w:rsid w:val="007C1289"/>
    <w:rsid w:val="007C67F0"/>
    <w:rsid w:val="00816ED5"/>
    <w:rsid w:val="00825E66"/>
    <w:rsid w:val="0083229E"/>
    <w:rsid w:val="008557D6"/>
    <w:rsid w:val="00860993"/>
    <w:rsid w:val="00873BA5"/>
    <w:rsid w:val="008766A4"/>
    <w:rsid w:val="00887092"/>
    <w:rsid w:val="008B2141"/>
    <w:rsid w:val="008B4318"/>
    <w:rsid w:val="008C1801"/>
    <w:rsid w:val="008E3B4D"/>
    <w:rsid w:val="0090294A"/>
    <w:rsid w:val="009029B3"/>
    <w:rsid w:val="00905802"/>
    <w:rsid w:val="00920F15"/>
    <w:rsid w:val="00932463"/>
    <w:rsid w:val="00934B90"/>
    <w:rsid w:val="009415BA"/>
    <w:rsid w:val="00941DF4"/>
    <w:rsid w:val="00951B61"/>
    <w:rsid w:val="0096017E"/>
    <w:rsid w:val="00975A58"/>
    <w:rsid w:val="00980015"/>
    <w:rsid w:val="009805FE"/>
    <w:rsid w:val="00987ADA"/>
    <w:rsid w:val="00997E01"/>
    <w:rsid w:val="009A335C"/>
    <w:rsid w:val="009B5AB5"/>
    <w:rsid w:val="009D17A8"/>
    <w:rsid w:val="009E57E9"/>
    <w:rsid w:val="009F2302"/>
    <w:rsid w:val="009F7A09"/>
    <w:rsid w:val="00A134E2"/>
    <w:rsid w:val="00A157EF"/>
    <w:rsid w:val="00A3503A"/>
    <w:rsid w:val="00A4077E"/>
    <w:rsid w:val="00A5108B"/>
    <w:rsid w:val="00A65A46"/>
    <w:rsid w:val="00A66B93"/>
    <w:rsid w:val="00AA3D46"/>
    <w:rsid w:val="00AA5D70"/>
    <w:rsid w:val="00AC6B96"/>
    <w:rsid w:val="00AF52C7"/>
    <w:rsid w:val="00AF671E"/>
    <w:rsid w:val="00B018AE"/>
    <w:rsid w:val="00B04BD0"/>
    <w:rsid w:val="00B10E44"/>
    <w:rsid w:val="00B35988"/>
    <w:rsid w:val="00B36B8F"/>
    <w:rsid w:val="00B41D6D"/>
    <w:rsid w:val="00B60218"/>
    <w:rsid w:val="00B609AF"/>
    <w:rsid w:val="00B9293B"/>
    <w:rsid w:val="00B93173"/>
    <w:rsid w:val="00BB6864"/>
    <w:rsid w:val="00BC7296"/>
    <w:rsid w:val="00BD24A8"/>
    <w:rsid w:val="00BD355C"/>
    <w:rsid w:val="00C04C87"/>
    <w:rsid w:val="00C0546C"/>
    <w:rsid w:val="00C10418"/>
    <w:rsid w:val="00C12589"/>
    <w:rsid w:val="00C219F4"/>
    <w:rsid w:val="00C22D70"/>
    <w:rsid w:val="00C32A78"/>
    <w:rsid w:val="00C44994"/>
    <w:rsid w:val="00C47F42"/>
    <w:rsid w:val="00C504C5"/>
    <w:rsid w:val="00C53C1E"/>
    <w:rsid w:val="00C543AF"/>
    <w:rsid w:val="00C55920"/>
    <w:rsid w:val="00C57C16"/>
    <w:rsid w:val="00C57DB4"/>
    <w:rsid w:val="00C91CDA"/>
    <w:rsid w:val="00CB56FD"/>
    <w:rsid w:val="00CD65BB"/>
    <w:rsid w:val="00CE7636"/>
    <w:rsid w:val="00D055A1"/>
    <w:rsid w:val="00D26AED"/>
    <w:rsid w:val="00D31299"/>
    <w:rsid w:val="00D32F96"/>
    <w:rsid w:val="00D516CB"/>
    <w:rsid w:val="00D55EEF"/>
    <w:rsid w:val="00D563EB"/>
    <w:rsid w:val="00D7165F"/>
    <w:rsid w:val="00D8262A"/>
    <w:rsid w:val="00D82E6B"/>
    <w:rsid w:val="00D93030"/>
    <w:rsid w:val="00DA5477"/>
    <w:rsid w:val="00DC71A7"/>
    <w:rsid w:val="00DC74AC"/>
    <w:rsid w:val="00DE2858"/>
    <w:rsid w:val="00DF1010"/>
    <w:rsid w:val="00E07A61"/>
    <w:rsid w:val="00E149A1"/>
    <w:rsid w:val="00E32BEC"/>
    <w:rsid w:val="00E44344"/>
    <w:rsid w:val="00E461C7"/>
    <w:rsid w:val="00E52BD2"/>
    <w:rsid w:val="00E62CB8"/>
    <w:rsid w:val="00E664F9"/>
    <w:rsid w:val="00E9652E"/>
    <w:rsid w:val="00EB1616"/>
    <w:rsid w:val="00EB6C8C"/>
    <w:rsid w:val="00EC598C"/>
    <w:rsid w:val="00ED323F"/>
    <w:rsid w:val="00F2552F"/>
    <w:rsid w:val="00F5661B"/>
    <w:rsid w:val="00F67AA6"/>
    <w:rsid w:val="00F718C7"/>
    <w:rsid w:val="00F74C9D"/>
    <w:rsid w:val="00F8680C"/>
    <w:rsid w:val="00F86A05"/>
    <w:rsid w:val="00FA3309"/>
    <w:rsid w:val="00FC6581"/>
    <w:rsid w:val="00FD027B"/>
    <w:rsid w:val="00FE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5E1B87"/>
    <w:pPr>
      <w:keepNext/>
      <w:keepLines/>
      <w:spacing w:after="40"/>
      <w:outlineLvl w:val="0"/>
    </w:pPr>
    <w:rPr>
      <w:rFonts w:eastAsiaTheme="majorEastAsia" w:cstheme="majorBidi"/>
      <w:b/>
      <w:bCs/>
      <w:caps/>
      <w:color w:val="AF272F" w:themeColor="accent1"/>
      <w:sz w:val="20"/>
      <w:szCs w:val="20"/>
    </w:rPr>
  </w:style>
  <w:style w:type="paragraph" w:styleId="Heading2">
    <w:name w:val="heading 2"/>
    <w:basedOn w:val="Heading1"/>
    <w:next w:val="Normal"/>
    <w:link w:val="Heading2Char"/>
    <w:uiPriority w:val="9"/>
    <w:unhideWhenUsed/>
    <w:qFormat/>
    <w:rsid w:val="00B41D6D"/>
    <w:pPr>
      <w:pBdr>
        <w:top w:val="single" w:sz="8" w:space="3" w:color="000000" w:themeColor="text1"/>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EB6C8C"/>
    <w:pPr>
      <w:numPr>
        <w:ilvl w:val="1"/>
      </w:numPr>
      <w:spacing w:after="48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EB6C8C"/>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AF272F"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5E1B87"/>
    <w:rPr>
      <w:rFonts w:ascii="Arial" w:eastAsiaTheme="majorEastAsia" w:hAnsi="Arial" w:cstheme="majorBidi"/>
      <w:b/>
      <w:bCs/>
      <w:caps/>
      <w:color w:val="AF272F" w:themeColor="accent1"/>
      <w:sz w:val="20"/>
      <w:szCs w:val="20"/>
    </w:rPr>
  </w:style>
  <w:style w:type="paragraph" w:styleId="Title">
    <w:name w:val="Title"/>
    <w:next w:val="Subtitle"/>
    <w:link w:val="TitleChar"/>
    <w:uiPriority w:val="10"/>
    <w:qFormat/>
    <w:rsid w:val="005E1B87"/>
    <w:pPr>
      <w:spacing w:after="120" w:line="340" w:lineRule="atLeast"/>
      <w:outlineLvl w:val="0"/>
    </w:pPr>
    <w:rPr>
      <w:rFonts w:ascii="Arial" w:eastAsiaTheme="majorEastAsia" w:hAnsi="Arial" w:cstheme="majorBidi"/>
      <w:b/>
      <w:color w:val="AF272F" w:themeColor="accent1"/>
      <w:spacing w:val="5"/>
      <w:kern w:val="28"/>
      <w:sz w:val="44"/>
      <w:szCs w:val="52"/>
    </w:rPr>
  </w:style>
  <w:style w:type="character" w:customStyle="1" w:styleId="TitleChar">
    <w:name w:val="Title Char"/>
    <w:basedOn w:val="DefaultParagraphFont"/>
    <w:link w:val="Title"/>
    <w:uiPriority w:val="10"/>
    <w:rsid w:val="005E1B87"/>
    <w:rPr>
      <w:rFonts w:ascii="Arial" w:eastAsiaTheme="majorEastAsia" w:hAnsi="Arial" w:cstheme="majorBidi"/>
      <w:b/>
      <w:color w:val="AF272F" w:themeColor="accent1"/>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B41D6D"/>
    <w:rPr>
      <w:rFonts w:ascii="Arial" w:eastAsiaTheme="majorEastAsia" w:hAnsi="Arial" w:cstheme="majorBidi"/>
      <w:b/>
      <w:caps/>
      <w:color w:val="000000" w:themeColor="text1"/>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94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BA"/>
    <w:rPr>
      <w:rFonts w:ascii="Arial" w:hAnsi="Arial" w:cs="Arial"/>
      <w:sz w:val="18"/>
      <w:szCs w:val="18"/>
    </w:rPr>
  </w:style>
  <w:style w:type="character" w:styleId="Hyperlink">
    <w:name w:val="Hyperlink"/>
    <w:basedOn w:val="DefaultParagraphFont"/>
    <w:uiPriority w:val="99"/>
    <w:unhideWhenUsed/>
    <w:rsid w:val="00B93173"/>
    <w:rPr>
      <w:color w:val="004EA8"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autoRedefine/>
    <w:uiPriority w:val="34"/>
    <w:qFormat/>
    <w:rsid w:val="009F7A09"/>
    <w:pPr>
      <w:numPr>
        <w:numId w:val="23"/>
      </w:numPr>
      <w:spacing w:line="240" w:lineRule="auto"/>
      <w:jc w:val="both"/>
    </w:pPr>
    <w:rPr>
      <w:szCs w:val="16"/>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9F7A09"/>
    <w:rPr>
      <w:rFonts w:ascii="Arial" w:hAnsi="Arial" w:cs="Arial"/>
      <w:sz w:val="18"/>
      <w:szCs w:val="16"/>
      <w:lang w:val="en-AU"/>
    </w:rPr>
  </w:style>
  <w:style w:type="character" w:styleId="CommentReference">
    <w:name w:val="annotation reference"/>
    <w:basedOn w:val="DefaultParagraphFont"/>
    <w:uiPriority w:val="99"/>
    <w:semiHidden/>
    <w:unhideWhenUsed/>
    <w:rsid w:val="00071F38"/>
    <w:rPr>
      <w:sz w:val="16"/>
      <w:szCs w:val="16"/>
    </w:rPr>
  </w:style>
  <w:style w:type="paragraph" w:styleId="CommentText">
    <w:name w:val="annotation text"/>
    <w:basedOn w:val="Normal"/>
    <w:link w:val="CommentTextChar"/>
    <w:uiPriority w:val="99"/>
    <w:semiHidden/>
    <w:unhideWhenUsed/>
    <w:rsid w:val="00071F38"/>
    <w:pPr>
      <w:spacing w:line="240" w:lineRule="auto"/>
    </w:pPr>
    <w:rPr>
      <w:sz w:val="20"/>
      <w:szCs w:val="20"/>
    </w:rPr>
  </w:style>
  <w:style w:type="character" w:customStyle="1" w:styleId="CommentTextChar">
    <w:name w:val="Comment Text Char"/>
    <w:basedOn w:val="DefaultParagraphFont"/>
    <w:link w:val="CommentText"/>
    <w:uiPriority w:val="99"/>
    <w:semiHidden/>
    <w:rsid w:val="00071F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71F38"/>
    <w:rPr>
      <w:b/>
      <w:bCs/>
    </w:rPr>
  </w:style>
  <w:style w:type="character" w:customStyle="1" w:styleId="CommentSubjectChar">
    <w:name w:val="Comment Subject Char"/>
    <w:basedOn w:val="CommentTextChar"/>
    <w:link w:val="CommentSubject"/>
    <w:uiPriority w:val="99"/>
    <w:semiHidden/>
    <w:rsid w:val="00071F38"/>
    <w:rPr>
      <w:rFonts w:ascii="Arial" w:hAnsi="Arial" w:cs="Arial"/>
      <w:b/>
      <w:bCs/>
      <w:sz w:val="20"/>
      <w:szCs w:val="20"/>
    </w:rPr>
  </w:style>
  <w:style w:type="paragraph" w:styleId="FootnoteText">
    <w:name w:val="footnote text"/>
    <w:basedOn w:val="Normal"/>
    <w:link w:val="FootnoteTextChar"/>
    <w:uiPriority w:val="99"/>
    <w:semiHidden/>
    <w:unhideWhenUsed/>
    <w:rsid w:val="00E52B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BD2"/>
    <w:rPr>
      <w:rFonts w:ascii="Arial" w:hAnsi="Arial" w:cs="Arial"/>
      <w:sz w:val="20"/>
      <w:szCs w:val="20"/>
    </w:rPr>
  </w:style>
  <w:style w:type="character" w:styleId="FootnoteReference">
    <w:name w:val="footnote reference"/>
    <w:basedOn w:val="DefaultParagraphFont"/>
    <w:uiPriority w:val="99"/>
    <w:unhideWhenUsed/>
    <w:rsid w:val="00E52BD2"/>
    <w:rPr>
      <w:vertAlign w:val="superscript"/>
    </w:rPr>
  </w:style>
  <w:style w:type="paragraph" w:styleId="NormalWeb">
    <w:name w:val="Normal (Web)"/>
    <w:basedOn w:val="Normal"/>
    <w:uiPriority w:val="99"/>
    <w:semiHidden/>
    <w:unhideWhenUsed/>
    <w:rsid w:val="00C55920"/>
    <w:pPr>
      <w:spacing w:before="100" w:beforeAutospacing="1" w:after="100" w:afterAutospacing="1" w:line="240" w:lineRule="auto"/>
    </w:pPr>
    <w:rPr>
      <w:rFonts w:ascii="Times New Roman" w:hAnsi="Times New Roman" w:cs="Times New Roman"/>
      <w:sz w:val="24"/>
      <w:szCs w:val="24"/>
      <w:lang w:val="en-AU"/>
    </w:rPr>
  </w:style>
  <w:style w:type="character" w:customStyle="1" w:styleId="UnresolvedMention">
    <w:name w:val="Unresolved Mention"/>
    <w:basedOn w:val="DefaultParagraphFont"/>
    <w:uiPriority w:val="99"/>
    <w:semiHidden/>
    <w:unhideWhenUsed/>
    <w:rsid w:val="00C0546C"/>
    <w:rPr>
      <w:color w:val="808080"/>
      <w:shd w:val="clear" w:color="auto" w:fill="E6E6E6"/>
    </w:rPr>
  </w:style>
  <w:style w:type="character" w:styleId="FollowedHyperlink">
    <w:name w:val="FollowedHyperlink"/>
    <w:basedOn w:val="DefaultParagraphFont"/>
    <w:uiPriority w:val="99"/>
    <w:semiHidden/>
    <w:unhideWhenUsed/>
    <w:rsid w:val="00C0546C"/>
    <w:rPr>
      <w:color w:val="87189D" w:themeColor="followedHyperlink"/>
      <w:u w:val="single"/>
    </w:rPr>
  </w:style>
  <w:style w:type="character" w:customStyle="1" w:styleId="A3">
    <w:name w:val="A3"/>
    <w:basedOn w:val="DefaultParagraphFont"/>
    <w:uiPriority w:val="99"/>
    <w:rsid w:val="0007304F"/>
    <w:rPr>
      <w:rFonts w:ascii="VIC Light" w:hAnsi="VIC Light" w:hint="default"/>
      <w:color w:val="000000"/>
    </w:rPr>
  </w:style>
  <w:style w:type="character" w:styleId="EndnoteReference">
    <w:name w:val="endnote reference"/>
    <w:basedOn w:val="DefaultParagraphFont"/>
    <w:uiPriority w:val="99"/>
    <w:semiHidden/>
    <w:unhideWhenUsed/>
    <w:rsid w:val="00073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93398">
      <w:bodyDiv w:val="1"/>
      <w:marLeft w:val="0"/>
      <w:marRight w:val="0"/>
      <w:marTop w:val="0"/>
      <w:marBottom w:val="0"/>
      <w:divBdr>
        <w:top w:val="none" w:sz="0" w:space="0" w:color="auto"/>
        <w:left w:val="none" w:sz="0" w:space="0" w:color="auto"/>
        <w:bottom w:val="none" w:sz="0" w:space="0" w:color="auto"/>
        <w:right w:val="none" w:sz="0" w:space="0" w:color="auto"/>
      </w:divBdr>
    </w:div>
    <w:div w:id="1223373321">
      <w:bodyDiv w:val="1"/>
      <w:marLeft w:val="0"/>
      <w:marRight w:val="0"/>
      <w:marTop w:val="0"/>
      <w:marBottom w:val="0"/>
      <w:divBdr>
        <w:top w:val="none" w:sz="0" w:space="0" w:color="auto"/>
        <w:left w:val="none" w:sz="0" w:space="0" w:color="auto"/>
        <w:bottom w:val="none" w:sz="0" w:space="0" w:color="auto"/>
        <w:right w:val="none" w:sz="0" w:space="0" w:color="auto"/>
      </w:divBdr>
    </w:div>
    <w:div w:id="1953825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vic.gov.au/school/teachers/teachingresources/discipline/english/literacy/speakinglistening/Pages/example.aspx" TargetMode="External"/><Relationship Id="rId18" Type="http://schemas.openxmlformats.org/officeDocument/2006/relationships/hyperlink" Target="http://victoriancurriculum.vcaa.vic.edu.au/LearningArea/LoadFile?learningArea=english&amp;subject=english&amp;name=07%20English%20Level%202.pdf&amp;storage=ScopeAndSequence" TargetMode="External"/><Relationship Id="rId26" Type="http://schemas.openxmlformats.org/officeDocument/2006/relationships/hyperlink" Target="http://www.education.vic.gov.au/school/teachers/teachingresources/discipline/english/literacy/Pages/default.aspx" TargetMode="External"/><Relationship Id="rId39" Type="http://schemas.openxmlformats.org/officeDocument/2006/relationships/hyperlink" Target="https://www.education.vic.gov.au/Documents/school/teachers/support/practiceprinciples.pdf" TargetMode="External"/><Relationship Id="rId3" Type="http://schemas.openxmlformats.org/officeDocument/2006/relationships/customXml" Target="../customXml/item3.xml"/><Relationship Id="rId21" Type="http://schemas.openxmlformats.org/officeDocument/2006/relationships/hyperlink" Target="http://www.education.vic.gov.au/school/teachers/teachingresources/discipline/english/literacy/readingviewing/Pages/teachingpraccircles.aspx" TargetMode="External"/><Relationship Id="rId34" Type="http://schemas.openxmlformats.org/officeDocument/2006/relationships/hyperlink" Target="http://www.education.vic.gov.au/school/teachers/management/improvement/Pages/EvaluatetheImpactofYourTeaching.aspx" TargetMode="External"/><Relationship Id="rId42" Type="http://schemas.openxmlformats.org/officeDocument/2006/relationships/hyperlink" Target="https://www.education.vic.gov.au/Documents/school/teachers/teachingresources/literacynumeracy/Literacy_and_Numeracy_Strategy_Phase_2.pdf" TargetMode="External"/><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ducation.vic.gov.au/school/teachers/teachingresources/discipline/english/literacy/writing/Pages/example.aspx" TargetMode="External"/><Relationship Id="rId17" Type="http://schemas.openxmlformats.org/officeDocument/2006/relationships/hyperlink" Target="https://www.youtube.com/watch?v=IO9YI7zGM1I" TargetMode="External"/><Relationship Id="rId25" Type="http://schemas.openxmlformats.org/officeDocument/2006/relationships/hyperlink" Target="http://www.education.vic.gov.au/documents/school/teachers/support/highimpactteachstrat.pdf" TargetMode="External"/><Relationship Id="rId33" Type="http://schemas.openxmlformats.org/officeDocument/2006/relationships/hyperlink" Target="https://www.education.vic.gov.au/school/teachers/teachingresources/practice/improve/Pages/ppe-elements.aspx" TargetMode="External"/><Relationship Id="rId38" Type="http://schemas.openxmlformats.org/officeDocument/2006/relationships/hyperlink" Target="https://www.education.vic.gov.au/school/teachers/teachingresources/practice/improve/Pages/peerobservation.asp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school/teachers/teachingresources/discipline/english/literacy/speakinglistening/Pages/teachingpracaccountable.aspx" TargetMode="External"/><Relationship Id="rId20" Type="http://schemas.openxmlformats.org/officeDocument/2006/relationships/hyperlink" Target="http://www.education.vic.gov.au/school/teachers/teachingresources/discipline/english/literacy/Pages/default.aspx" TargetMode="External"/><Relationship Id="rId29" Type="http://schemas.openxmlformats.org/officeDocument/2006/relationships/hyperlink" Target="http://www.education.vic.gov.au/Documents/school/teachers/support/practiceprinreflection.pdf" TargetMode="External"/><Relationship Id="rId41" Type="http://schemas.openxmlformats.org/officeDocument/2006/relationships/hyperlink" Target="https://www.youtube.com/watch?v=IO9YI7zGM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school/teachers/teachingresources/discipline/english/literacy/readingviewing/Pages/example.aspx" TargetMode="External"/><Relationship Id="rId24" Type="http://schemas.openxmlformats.org/officeDocument/2006/relationships/hyperlink" Target="http://www.education.vic.gov.au/Documents/school/teachers/management/dimension1evidencecont.pdf" TargetMode="External"/><Relationship Id="rId32" Type="http://schemas.openxmlformats.org/officeDocument/2006/relationships/hyperlink" Target="https://www.education.vic.gov.au/school/teachers/teachingresources/practice/improve/Pages/evaluateimpactteaching.aspx" TargetMode="External"/><Relationship Id="rId37" Type="http://schemas.openxmlformats.org/officeDocument/2006/relationships/hyperlink" Target="http://www.education.vic.gov.au/Documents/school/teachers/support/highimpactteachstrat.pdf" TargetMode="External"/><Relationship Id="rId40" Type="http://schemas.openxmlformats.org/officeDocument/2006/relationships/hyperlink" Target="http://www.education.vic.gov.au/Documents/school/teachers/support/practiceprinreflection.pdf" TargetMode="External"/><Relationship Id="rId45" Type="http://schemas.openxmlformats.org/officeDocument/2006/relationships/hyperlink" Target="mailto:professional.practice@edumail.vic.gov.au" TargetMode="Externa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victoriancurriculum.vcaa.vic.edu.au/english/introduction/structure" TargetMode="External"/><Relationship Id="rId23" Type="http://schemas.openxmlformats.org/officeDocument/2006/relationships/hyperlink" Target="http://www.education.vic.gov.au/school/teachers/management/improvement/Pages/FISO.aspx" TargetMode="External"/><Relationship Id="rId28" Type="http://schemas.openxmlformats.org/officeDocument/2006/relationships/hyperlink" Target="https://www.education.vic.gov.au/school/teachers/teachingresources/practice/improve/Pages/evaluateimpactteaching.aspx" TargetMode="External"/><Relationship Id="rId36" Type="http://schemas.openxmlformats.org/officeDocument/2006/relationships/hyperlink" Target="http://www.education.vic.gov.au/school/teachers/management/improvement/Pages/FISO.asp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cation.vic.gov.au/school/teachers/teachingresources/discipline/english/literacy/readingviewing/Pages/litfocusphonics.aspx" TargetMode="External"/><Relationship Id="rId31" Type="http://schemas.openxmlformats.org/officeDocument/2006/relationships/hyperlink" Target="http://www.education.vic.gov.au/documents/school/teachers/support/highimpactteachstrat.pdf" TargetMode="External"/><Relationship Id="rId44" Type="http://schemas.openxmlformats.org/officeDocument/2006/relationships/hyperlink" Target="https://www.education.vic.gov.au/school/teachers/teachingresources/discipline/english/Pages/literacyport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ictoriancurriculum.vcaa.vic.edu.au/LearningArea/LoadFile?learningArea=english&amp;subject=english&amp;name=10%20English%20Level%205.pdf&amp;storage=ScopeAndSequence" TargetMode="External"/><Relationship Id="rId22" Type="http://schemas.openxmlformats.org/officeDocument/2006/relationships/hyperlink" Target="https://www.education.vic.gov.au/Documents/school/teachers/teachingresources/literacynumeracy/Literacy_and_Numeracy_Strategy_Phase_2.pdf" TargetMode="External"/><Relationship Id="rId27" Type="http://schemas.openxmlformats.org/officeDocument/2006/relationships/hyperlink" Target="https://www.education.vic.gov.au/school/teachers/teachingresources/practice/improve/Pages/peerobservation.aspx" TargetMode="External"/><Relationship Id="rId30" Type="http://schemas.openxmlformats.org/officeDocument/2006/relationships/hyperlink" Target="http://www.education.vic.gov.au/Documents/school/teachers/teachingresources/practice/Peer_observation_feedback_and_reflection_practical_guide_for_teachers.pdf" TargetMode="External"/><Relationship Id="rId35" Type="http://schemas.openxmlformats.org/officeDocument/2006/relationships/hyperlink" Target="http://www.education.vic.gov.au/school/teachers/teachingresources/discipline/english/literacy/Pages/expertvideos.aspx" TargetMode="External"/><Relationship Id="rId43" Type="http://schemas.openxmlformats.org/officeDocument/2006/relationships/hyperlink" Target="http://www.education.vic.gov.au/school/teachers/teachingresources/discipline/english/literacy/Pages/default.aspx"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victoriancurriculum.vcaa.vic.edu.au/english/introduction/struct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Professional_Practice_Note_9_HITS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77D1A0C9-AA42-4867-ABD9-4B55F601AA68}"/>
</file>

<file path=customXml/itemProps4.xml><?xml version="1.0" encoding="utf-8"?>
<ds:datastoreItem xmlns:ds="http://schemas.openxmlformats.org/officeDocument/2006/customXml" ds:itemID="{D9AC41ED-6657-4E01-A279-1F2641AE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Daniel, Henry R</cp:lastModifiedBy>
  <cp:revision>6</cp:revision>
  <cp:lastPrinted>2018-05-16T06:18:00Z</cp:lastPrinted>
  <dcterms:created xsi:type="dcterms:W3CDTF">2018-05-18T07:12:00Z</dcterms:created>
  <dcterms:modified xsi:type="dcterms:W3CDTF">2019-07-03T03:18:00Z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SecClassTaxHTField0">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{f5368c2d-903c-42e4-9422-50d6891e545d}</vt:lpwstr>
  </property>
  <property fmtid="{D5CDD505-2E9C-101B-9397-08002B2CF9AE}" pid="8" name="RecordPoint_ActiveItemUniqueId">
    <vt:lpwstr>{237b5e99-feae-469e-99f5-c30939b5f72f}</vt:lpwstr>
  </property>
  <property fmtid="{D5CDD505-2E9C-101B-9397-08002B2CF9AE}" pid="9" name="RecordPoint_ActiveItemWebId">
    <vt:lpwstr>{69c6d17e-4966-4cea-b47f-eb6dea2170e9}</vt:lpwstr>
  </property>
  <property fmtid="{D5CDD505-2E9C-101B-9397-08002B2CF9AE}" pid="10" name="RecordPoint_ActiveItemSiteId">
    <vt:lpwstr>{03dc8113-b288-4f44-a289-6e7ea0196235}</vt:lpwstr>
  </property>
  <property fmtid="{D5CDD505-2E9C-101B-9397-08002B2CF9AE}" pid="11" name="RecordPoint_RecordNumberSubmitted">
    <vt:lpwstr>R0001003790</vt:lpwstr>
  </property>
  <property fmtid="{D5CDD505-2E9C-101B-9397-08002B2CF9AE}" pid="12" name="RecordPoint_SubmissionCompleted">
    <vt:lpwstr>2017-09-05T12:51:41.8552186+10:00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