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C2BF" w14:textId="01F1B110" w:rsidR="00EB6C8C" w:rsidRDefault="00C97F13" w:rsidP="00EB6C8C">
      <w:pPr>
        <w:pStyle w:val="Title"/>
        <w:rPr>
          <w:rStyle w:val="SubtleEmphasis"/>
          <w:i w:val="0"/>
          <w:iCs w:val="0"/>
          <w:color w:val="AF272F" w:themeColor="accent1"/>
        </w:rPr>
      </w:pPr>
      <w:r>
        <w:rPr>
          <w:rStyle w:val="SubtleEmphasis"/>
          <w:i w:val="0"/>
          <w:iCs w:val="0"/>
          <w:color w:val="AF272F" w:themeColor="accent1"/>
        </w:rPr>
        <w:t>PRE OBSERVATION CONVERSATION TEMPLATE</w:t>
      </w:r>
    </w:p>
    <w:p w14:paraId="30225B93" w14:textId="142DAB16" w:rsidR="00672B72" w:rsidRDefault="00672B72" w:rsidP="00672B72">
      <w:pPr>
        <w:pStyle w:val="Subtitle"/>
      </w:pPr>
      <w:r>
        <w:t>Working through the template</w:t>
      </w:r>
    </w:p>
    <w:p w14:paraId="37091C39" w14:textId="53A50F9D" w:rsidR="00672B72" w:rsidRPr="00672B72" w:rsidRDefault="00672B72" w:rsidP="00672B72">
      <w:pPr>
        <w:rPr>
          <w:rFonts w:asciiTheme="minorHAnsi" w:hAnsiTheme="minorHAnsi" w:cstheme="minorHAnsi"/>
          <w:b/>
          <w:i/>
          <w:sz w:val="20"/>
          <w:szCs w:val="20"/>
        </w:rPr>
      </w:pPr>
      <w:r w:rsidRPr="00672B72">
        <w:rPr>
          <w:rFonts w:asciiTheme="minorHAnsi" w:hAnsiTheme="minorHAnsi" w:cstheme="minorHAnsi"/>
          <w:b/>
          <w:i/>
          <w:color w:val="000000"/>
          <w:sz w:val="20"/>
          <w:szCs w:val="20"/>
          <w:lang w:val="en-AU"/>
        </w:rPr>
        <w:t>The pre observation conversation template has been designed to support teachers and their observers in engaging in meaningful pre observation conversations. The use of this template is optional.</w:t>
      </w:r>
    </w:p>
    <w:p w14:paraId="43D7235D" w14:textId="45898BFF" w:rsidR="0043435D" w:rsidRPr="0043435D" w:rsidRDefault="0043435D" w:rsidP="0043435D">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10019"/>
      </w:tblGrid>
      <w:tr w:rsidR="00D20449" w14:paraId="4FA8B436" w14:textId="77777777" w:rsidTr="00D20449">
        <w:trPr>
          <w:trHeight w:val="208"/>
        </w:trPr>
        <w:tc>
          <w:tcPr>
            <w:tcW w:w="10019" w:type="dxa"/>
            <w:shd w:val="clear" w:color="auto" w:fill="C00000"/>
          </w:tcPr>
          <w:p w14:paraId="66C28657" w14:textId="255B199A" w:rsidR="00D20449" w:rsidRPr="00D20449" w:rsidRDefault="00C97F13" w:rsidP="00C97F13">
            <w:pPr>
              <w:pStyle w:val="Subtitle"/>
              <w:numPr>
                <w:ilvl w:val="0"/>
                <w:numId w:val="17"/>
              </w:numPr>
              <w:rPr>
                <w:color w:val="FFFFFF" w:themeColor="background1"/>
                <w:sz w:val="22"/>
                <w:szCs w:val="20"/>
              </w:rPr>
            </w:pPr>
            <w:r>
              <w:rPr>
                <w:color w:val="FFFFFF" w:themeColor="background1"/>
                <w:sz w:val="22"/>
                <w:szCs w:val="20"/>
              </w:rPr>
              <w:t>a)</w:t>
            </w:r>
            <w:r>
              <w:t xml:space="preserve"> </w:t>
            </w:r>
            <w:r w:rsidRPr="00C97F13">
              <w:rPr>
                <w:color w:val="FFFFFF" w:themeColor="background1"/>
                <w:sz w:val="22"/>
                <w:szCs w:val="20"/>
              </w:rPr>
              <w:t>The agreed peer observation focus is…</w:t>
            </w:r>
          </w:p>
        </w:tc>
      </w:tr>
      <w:tr w:rsidR="00C97F13" w14:paraId="6E0F9821" w14:textId="77777777" w:rsidTr="00A2071C">
        <w:tc>
          <w:tcPr>
            <w:tcW w:w="10019" w:type="dxa"/>
          </w:tcPr>
          <w:p w14:paraId="7D178B8A" w14:textId="77777777" w:rsidR="00672B72" w:rsidRPr="00672B72" w:rsidRDefault="00672B72" w:rsidP="00672B72">
            <w:pPr>
              <w:autoSpaceDE w:val="0"/>
              <w:autoSpaceDN w:val="0"/>
              <w:adjustRightInd w:val="0"/>
              <w:spacing w:after="0" w:line="240" w:lineRule="auto"/>
              <w:rPr>
                <w:rFonts w:ascii="VIC SemiBold" w:hAnsi="VIC SemiBold" w:cs="VIC SemiBold"/>
                <w:color w:val="000000"/>
                <w:sz w:val="24"/>
                <w:szCs w:val="24"/>
                <w:lang w:val="en-AU"/>
              </w:rPr>
            </w:pPr>
          </w:p>
          <w:tbl>
            <w:tblPr>
              <w:tblW w:w="0" w:type="auto"/>
              <w:tblBorders>
                <w:top w:val="nil"/>
                <w:left w:val="nil"/>
                <w:bottom w:val="nil"/>
                <w:right w:val="nil"/>
              </w:tblBorders>
              <w:tblLook w:val="0000" w:firstRow="0" w:lastRow="0" w:firstColumn="0" w:lastColumn="0" w:noHBand="0" w:noVBand="0"/>
            </w:tblPr>
            <w:tblGrid>
              <w:gridCol w:w="9803"/>
            </w:tblGrid>
            <w:tr w:rsidR="00672B72" w:rsidRPr="00672B72" w14:paraId="60DA319E" w14:textId="77777777" w:rsidTr="00672B72">
              <w:trPr>
                <w:trHeight w:val="2603"/>
              </w:trPr>
              <w:tc>
                <w:tcPr>
                  <w:tcW w:w="0" w:type="auto"/>
                </w:tcPr>
                <w:p w14:paraId="0B51325C" w14:textId="3BE781DA" w:rsidR="00672B72" w:rsidRPr="00672B72" w:rsidRDefault="00672B72" w:rsidP="00672B72">
                  <w:pPr>
                    <w:autoSpaceDE w:val="0"/>
                    <w:autoSpaceDN w:val="0"/>
                    <w:adjustRightInd w:val="0"/>
                    <w:spacing w:after="40" w:line="161" w:lineRule="atLeast"/>
                    <w:rPr>
                      <w:rFonts w:ascii="VIC SemiBold" w:hAnsi="VIC SemiBold" w:cs="VIC SemiBold"/>
                      <w:color w:val="000000"/>
                      <w:sz w:val="20"/>
                      <w:szCs w:val="20"/>
                      <w:lang w:val="en-AU"/>
                    </w:rPr>
                  </w:pPr>
                  <w:r w:rsidRPr="00672B72">
                    <w:rPr>
                      <w:rFonts w:ascii="VIC SemiBold" w:hAnsi="VIC SemiBold" w:cs="VIC SemiBold"/>
                      <w:b/>
                      <w:bCs/>
                      <w:color w:val="000000"/>
                      <w:sz w:val="20"/>
                      <w:szCs w:val="20"/>
                      <w:lang w:val="en-AU"/>
                    </w:rPr>
                    <w:t>Step 1. Identifying and agreeing the focus of the peer observation</w:t>
                  </w:r>
                </w:p>
                <w:p w14:paraId="4505A566" w14:textId="77777777" w:rsidR="00672B72" w:rsidRPr="00672B72" w:rsidRDefault="00672B72" w:rsidP="00672B72">
                  <w:pPr>
                    <w:numPr>
                      <w:ilvl w:val="0"/>
                      <w:numId w:val="18"/>
                    </w:numPr>
                    <w:rPr>
                      <w:color w:val="000000"/>
                      <w:sz w:val="20"/>
                      <w:szCs w:val="20"/>
                      <w:lang w:val="en-AU"/>
                    </w:rPr>
                  </w:pPr>
                  <w:r w:rsidRPr="00672B72">
                    <w:rPr>
                      <w:color w:val="000000"/>
                      <w:sz w:val="20"/>
                      <w:szCs w:val="20"/>
                      <w:lang w:val="en-AU"/>
                    </w:rPr>
                    <w:t>The teacher being observed, in discussion with the teacher undertaking the observation, will identify and agree on the focus of the observation. The High Impact Teaching Strategies are a suggested starting point for reflection. The following examples of focus areas can be related to an area of High Impact Teaching Strategies (HITS):</w:t>
                  </w:r>
                </w:p>
                <w:p w14:paraId="04A719D1" w14:textId="77777777" w:rsidR="00672B72" w:rsidRPr="00672B72" w:rsidRDefault="00672B72" w:rsidP="00672B72">
                  <w:pPr>
                    <w:pStyle w:val="ListParagraph"/>
                    <w:numPr>
                      <w:ilvl w:val="0"/>
                      <w:numId w:val="22"/>
                    </w:numPr>
                    <w:rPr>
                      <w:color w:val="000000"/>
                      <w:sz w:val="20"/>
                      <w:szCs w:val="20"/>
                      <w:lang w:val="en-AU"/>
                    </w:rPr>
                  </w:pPr>
                  <w:r w:rsidRPr="00672B72">
                    <w:rPr>
                      <w:color w:val="000000"/>
                      <w:sz w:val="20"/>
                      <w:szCs w:val="20"/>
                      <w:lang w:val="en-AU"/>
                    </w:rPr>
                    <w:t>the clarity of learning intentions (setting goals)</w:t>
                  </w:r>
                </w:p>
                <w:p w14:paraId="19961FA6" w14:textId="77777777" w:rsidR="00672B72" w:rsidRPr="00672B72" w:rsidRDefault="00672B72" w:rsidP="00672B72">
                  <w:pPr>
                    <w:pStyle w:val="ListParagraph"/>
                    <w:numPr>
                      <w:ilvl w:val="0"/>
                      <w:numId w:val="22"/>
                    </w:numPr>
                    <w:rPr>
                      <w:color w:val="000000"/>
                      <w:sz w:val="20"/>
                      <w:szCs w:val="20"/>
                      <w:lang w:val="en-AU"/>
                    </w:rPr>
                  </w:pPr>
                  <w:proofErr w:type="gramStart"/>
                  <w:r w:rsidRPr="00672B72">
                    <w:rPr>
                      <w:color w:val="000000"/>
                      <w:sz w:val="20"/>
                      <w:szCs w:val="20"/>
                      <w:lang w:val="en-AU"/>
                    </w:rPr>
                    <w:t>how</w:t>
                  </w:r>
                  <w:proofErr w:type="gramEnd"/>
                  <w:r w:rsidRPr="00672B72">
                    <w:rPr>
                      <w:color w:val="000000"/>
                      <w:sz w:val="20"/>
                      <w:szCs w:val="20"/>
                      <w:lang w:val="en-AU"/>
                    </w:rPr>
                    <w:t xml:space="preserve"> effectively are student learning needs met when engaged in collaborative learning tasks? (collaborative learning)</w:t>
                  </w:r>
                </w:p>
                <w:p w14:paraId="2F48EA0A" w14:textId="77777777" w:rsidR="00672B72" w:rsidRPr="00672B72" w:rsidRDefault="00672B72" w:rsidP="00672B72">
                  <w:pPr>
                    <w:pStyle w:val="ListParagraph"/>
                    <w:numPr>
                      <w:ilvl w:val="0"/>
                      <w:numId w:val="22"/>
                    </w:numPr>
                    <w:rPr>
                      <w:color w:val="000000"/>
                      <w:sz w:val="20"/>
                      <w:szCs w:val="20"/>
                      <w:lang w:val="en-AU"/>
                    </w:rPr>
                  </w:pPr>
                  <w:r w:rsidRPr="00672B72">
                    <w:rPr>
                      <w:color w:val="000000"/>
                      <w:sz w:val="20"/>
                      <w:szCs w:val="20"/>
                      <w:lang w:val="en-AU"/>
                    </w:rPr>
                    <w:t>effectiveness of transition from warm-up into main learning activity (structuring lessons)</w:t>
                  </w:r>
                </w:p>
                <w:p w14:paraId="187F25CF" w14:textId="016C1D05" w:rsidR="00672B72" w:rsidRPr="00672B72" w:rsidRDefault="00672B72" w:rsidP="00672B72">
                  <w:pPr>
                    <w:pStyle w:val="ListParagraph"/>
                    <w:numPr>
                      <w:ilvl w:val="0"/>
                      <w:numId w:val="22"/>
                    </w:numPr>
                    <w:rPr>
                      <w:color w:val="000000"/>
                      <w:sz w:val="20"/>
                      <w:szCs w:val="20"/>
                      <w:lang w:val="en-AU"/>
                    </w:rPr>
                  </w:pPr>
                  <w:proofErr w:type="gramStart"/>
                  <w:r w:rsidRPr="00672B72">
                    <w:rPr>
                      <w:color w:val="000000"/>
                      <w:sz w:val="20"/>
                      <w:szCs w:val="20"/>
                      <w:lang w:val="en-AU"/>
                    </w:rPr>
                    <w:t>is</w:t>
                  </w:r>
                  <w:proofErr w:type="gramEnd"/>
                  <w:r w:rsidRPr="00672B72">
                    <w:rPr>
                      <w:color w:val="000000"/>
                      <w:sz w:val="20"/>
                      <w:szCs w:val="20"/>
                      <w:lang w:val="en-AU"/>
                    </w:rPr>
                    <w:t xml:space="preserve"> feedback timely? (feedback)</w:t>
                  </w:r>
                </w:p>
              </w:tc>
            </w:tr>
          </w:tbl>
          <w:p w14:paraId="163E45FC" w14:textId="11B39F50" w:rsidR="00C97F13" w:rsidRPr="00D20449" w:rsidRDefault="00C97F13" w:rsidP="00EB6C8C">
            <w:pPr>
              <w:pStyle w:val="Subtitle"/>
              <w:rPr>
                <w:color w:val="auto"/>
                <w:sz w:val="22"/>
                <w:szCs w:val="20"/>
              </w:rPr>
            </w:pPr>
          </w:p>
        </w:tc>
      </w:tr>
    </w:tbl>
    <w:p w14:paraId="2862F764" w14:textId="076E5440" w:rsidR="00980015" w:rsidRDefault="00980015">
      <w:pPr>
        <w:rPr>
          <w:rFonts w:asciiTheme="minorHAnsi" w:hAnsiTheme="minorHAnsi" w:cstheme="minorBidi"/>
          <w:color w:val="000000" w:themeColor="text1"/>
          <w:sz w:val="24"/>
          <w:szCs w:val="24"/>
        </w:rPr>
      </w:pPr>
    </w:p>
    <w:tbl>
      <w:tblPr>
        <w:tblStyle w:val="TableGrid"/>
        <w:tblW w:w="5000" w:type="pct"/>
        <w:tblLook w:val="04A0" w:firstRow="1" w:lastRow="0" w:firstColumn="1" w:lastColumn="0" w:noHBand="0" w:noVBand="1"/>
      </w:tblPr>
      <w:tblGrid>
        <w:gridCol w:w="10019"/>
      </w:tblGrid>
      <w:tr w:rsidR="00D20449" w:rsidRPr="00D20449" w14:paraId="4826D42E" w14:textId="77777777" w:rsidTr="00D20449">
        <w:trPr>
          <w:trHeight w:val="297"/>
        </w:trPr>
        <w:tc>
          <w:tcPr>
            <w:tcW w:w="5000" w:type="pct"/>
            <w:shd w:val="clear" w:color="auto" w:fill="C00000"/>
          </w:tcPr>
          <w:p w14:paraId="4F5D44D7" w14:textId="187B1D7D" w:rsidR="00D20449" w:rsidRPr="00D20449" w:rsidRDefault="00C97F13">
            <w:pPr>
              <w:rPr>
                <w:rFonts w:asciiTheme="minorHAnsi" w:hAnsiTheme="minorHAnsi" w:cstheme="minorBidi"/>
                <w:color w:val="FFFFFF" w:themeColor="background1"/>
                <w:sz w:val="22"/>
                <w:szCs w:val="24"/>
              </w:rPr>
            </w:pPr>
            <w:r w:rsidRPr="00C97F13">
              <w:rPr>
                <w:rFonts w:asciiTheme="minorHAnsi" w:hAnsiTheme="minorHAnsi" w:cstheme="minorBidi"/>
                <w:color w:val="FFFFFF" w:themeColor="background1"/>
                <w:sz w:val="22"/>
                <w:szCs w:val="24"/>
              </w:rPr>
              <w:t>b) Links to whole-school initiatives and key improvement strategies</w:t>
            </w:r>
          </w:p>
        </w:tc>
      </w:tr>
      <w:tr w:rsidR="00D20449" w:rsidRPr="00D20449" w14:paraId="5E3A391B" w14:textId="77777777" w:rsidTr="00D20449">
        <w:trPr>
          <w:trHeight w:val="1025"/>
        </w:trPr>
        <w:tc>
          <w:tcPr>
            <w:tcW w:w="5000" w:type="pct"/>
          </w:tcPr>
          <w:p w14:paraId="22FBDEED" w14:textId="77777777" w:rsidR="00672B72" w:rsidRPr="00672B72" w:rsidRDefault="00672B72" w:rsidP="00672B72">
            <w:pPr>
              <w:autoSpaceDE w:val="0"/>
              <w:autoSpaceDN w:val="0"/>
              <w:adjustRightInd w:val="0"/>
              <w:spacing w:after="0" w:line="240" w:lineRule="auto"/>
              <w:rPr>
                <w:rFonts w:ascii="VIC" w:hAnsi="VIC" w:cs="VIC"/>
                <w:color w:val="000000"/>
                <w:sz w:val="24"/>
                <w:szCs w:val="24"/>
                <w:lang w:val="en-AU"/>
              </w:rPr>
            </w:pPr>
          </w:p>
          <w:tbl>
            <w:tblPr>
              <w:tblW w:w="0" w:type="auto"/>
              <w:tblBorders>
                <w:top w:val="nil"/>
                <w:left w:val="nil"/>
                <w:bottom w:val="nil"/>
                <w:right w:val="nil"/>
              </w:tblBorders>
              <w:tblLook w:val="0000" w:firstRow="0" w:lastRow="0" w:firstColumn="0" w:lastColumn="0" w:noHBand="0" w:noVBand="0"/>
            </w:tblPr>
            <w:tblGrid>
              <w:gridCol w:w="9803"/>
            </w:tblGrid>
            <w:tr w:rsidR="00672B72" w:rsidRPr="00672B72" w14:paraId="157B6C65" w14:textId="77777777">
              <w:trPr>
                <w:trHeight w:val="920"/>
              </w:trPr>
              <w:tc>
                <w:tcPr>
                  <w:tcW w:w="0" w:type="auto"/>
                </w:tcPr>
                <w:p w14:paraId="33A3E66A" w14:textId="1F557C65" w:rsidR="00672B72" w:rsidRPr="00672B72" w:rsidRDefault="00672B72" w:rsidP="00672B72">
                  <w:pPr>
                    <w:numPr>
                      <w:ilvl w:val="0"/>
                      <w:numId w:val="18"/>
                    </w:numPr>
                    <w:rPr>
                      <w:color w:val="000000"/>
                      <w:sz w:val="20"/>
                      <w:szCs w:val="20"/>
                      <w:lang w:val="en-AU"/>
                    </w:rPr>
                  </w:pPr>
                  <w:r w:rsidRPr="00672B72">
                    <w:rPr>
                      <w:color w:val="000000"/>
                      <w:sz w:val="20"/>
                      <w:szCs w:val="20"/>
                      <w:lang w:val="en-AU"/>
                    </w:rPr>
                    <w:t>Note any links to one or more of the following:</w:t>
                  </w:r>
                </w:p>
                <w:p w14:paraId="31CB52D1" w14:textId="77777777" w:rsidR="00672B72" w:rsidRPr="00672B72" w:rsidRDefault="00672B72" w:rsidP="00672B72">
                  <w:pPr>
                    <w:pStyle w:val="ListParagraph"/>
                    <w:numPr>
                      <w:ilvl w:val="0"/>
                      <w:numId w:val="24"/>
                    </w:numPr>
                    <w:rPr>
                      <w:color w:val="000000"/>
                      <w:sz w:val="20"/>
                      <w:szCs w:val="20"/>
                      <w:lang w:val="en-AU"/>
                    </w:rPr>
                  </w:pPr>
                  <w:r w:rsidRPr="00672B72">
                    <w:rPr>
                      <w:color w:val="000000"/>
                      <w:sz w:val="20"/>
                      <w:szCs w:val="20"/>
                      <w:lang w:val="en-AU"/>
                    </w:rPr>
                    <w:t>Framework for Improving Student Outcomes</w:t>
                  </w:r>
                </w:p>
                <w:p w14:paraId="6034DB63" w14:textId="77777777" w:rsidR="00672B72" w:rsidRPr="00672B72" w:rsidRDefault="00672B72" w:rsidP="00672B72">
                  <w:pPr>
                    <w:pStyle w:val="ListParagraph"/>
                    <w:numPr>
                      <w:ilvl w:val="0"/>
                      <w:numId w:val="24"/>
                    </w:numPr>
                    <w:rPr>
                      <w:color w:val="000000"/>
                      <w:sz w:val="20"/>
                      <w:szCs w:val="20"/>
                      <w:lang w:val="en-AU"/>
                    </w:rPr>
                  </w:pPr>
                  <w:r w:rsidRPr="00672B72">
                    <w:rPr>
                      <w:color w:val="000000"/>
                      <w:sz w:val="20"/>
                      <w:szCs w:val="20"/>
                      <w:lang w:val="en-AU"/>
                    </w:rPr>
                    <w:t>Practice Principles for Excellence in Teaching and Learning</w:t>
                  </w:r>
                </w:p>
                <w:p w14:paraId="66D15F65" w14:textId="77777777" w:rsidR="00672B72" w:rsidRPr="00672B72" w:rsidRDefault="00672B72" w:rsidP="00672B72">
                  <w:pPr>
                    <w:pStyle w:val="ListParagraph"/>
                    <w:numPr>
                      <w:ilvl w:val="0"/>
                      <w:numId w:val="24"/>
                    </w:numPr>
                    <w:rPr>
                      <w:color w:val="000000"/>
                      <w:sz w:val="20"/>
                      <w:szCs w:val="20"/>
                      <w:lang w:val="en-AU"/>
                    </w:rPr>
                  </w:pPr>
                  <w:r w:rsidRPr="00672B72">
                    <w:rPr>
                      <w:color w:val="000000"/>
                      <w:sz w:val="20"/>
                      <w:szCs w:val="20"/>
                      <w:lang w:val="en-AU"/>
                    </w:rPr>
                    <w:t>the school’s pedagogical model</w:t>
                  </w:r>
                </w:p>
                <w:p w14:paraId="09459E41" w14:textId="77777777" w:rsidR="00672B72" w:rsidRPr="00672B72" w:rsidRDefault="00672B72" w:rsidP="00672B72">
                  <w:pPr>
                    <w:pStyle w:val="ListParagraph"/>
                    <w:numPr>
                      <w:ilvl w:val="0"/>
                      <w:numId w:val="24"/>
                    </w:numPr>
                    <w:rPr>
                      <w:color w:val="000000"/>
                      <w:sz w:val="20"/>
                      <w:szCs w:val="20"/>
                      <w:lang w:val="en-AU"/>
                    </w:rPr>
                  </w:pPr>
                  <w:r w:rsidRPr="00672B72">
                    <w:rPr>
                      <w:color w:val="000000"/>
                      <w:sz w:val="20"/>
                      <w:szCs w:val="20"/>
                      <w:lang w:val="en-AU"/>
                    </w:rPr>
                    <w:t>the HITS</w:t>
                  </w:r>
                </w:p>
                <w:p w14:paraId="57CAADD3" w14:textId="664E02E5" w:rsidR="00672B72" w:rsidRPr="00672B72" w:rsidRDefault="00672B72" w:rsidP="00672B72">
                  <w:pPr>
                    <w:pStyle w:val="ListParagraph"/>
                    <w:numPr>
                      <w:ilvl w:val="0"/>
                      <w:numId w:val="24"/>
                    </w:numPr>
                    <w:rPr>
                      <w:color w:val="000000"/>
                      <w:sz w:val="20"/>
                      <w:szCs w:val="20"/>
                      <w:lang w:val="en-AU"/>
                    </w:rPr>
                  </w:pPr>
                  <w:r w:rsidRPr="00672B72">
                    <w:rPr>
                      <w:color w:val="000000"/>
                      <w:sz w:val="20"/>
                      <w:szCs w:val="20"/>
                      <w:lang w:val="en-AU"/>
                    </w:rPr>
                    <w:t>the strategic intentions/areas of focus of the school’s collegiate groups, professional learning communities, year level groups or faculties</w:t>
                  </w:r>
                </w:p>
              </w:tc>
            </w:tr>
          </w:tbl>
          <w:p w14:paraId="14A6CE04" w14:textId="77777777" w:rsidR="00D20449" w:rsidRPr="00D20449" w:rsidRDefault="00D20449">
            <w:pPr>
              <w:rPr>
                <w:rFonts w:asciiTheme="minorHAnsi" w:hAnsiTheme="minorHAnsi" w:cstheme="minorBidi"/>
                <w:color w:val="000000" w:themeColor="text1"/>
                <w:sz w:val="22"/>
                <w:szCs w:val="24"/>
              </w:rPr>
            </w:pPr>
          </w:p>
        </w:tc>
      </w:tr>
    </w:tbl>
    <w:p w14:paraId="2EA2D9BE" w14:textId="55CB65C7" w:rsidR="00D20449" w:rsidRPr="00D20449" w:rsidRDefault="00D20449">
      <w:pPr>
        <w:rPr>
          <w:rFonts w:asciiTheme="minorHAnsi" w:hAnsiTheme="minorHAnsi" w:cstheme="minorBidi"/>
          <w:color w:val="000000" w:themeColor="text1"/>
          <w:sz w:val="22"/>
          <w:szCs w:val="24"/>
        </w:rPr>
      </w:pPr>
    </w:p>
    <w:p w14:paraId="236808AF" w14:textId="77777777" w:rsidR="00672B72" w:rsidRDefault="00672B72">
      <w:r>
        <w:br w:type="page"/>
      </w:r>
    </w:p>
    <w:tbl>
      <w:tblPr>
        <w:tblStyle w:val="TableGrid"/>
        <w:tblW w:w="5000" w:type="pct"/>
        <w:tblLook w:val="04A0" w:firstRow="1" w:lastRow="0" w:firstColumn="1" w:lastColumn="0" w:noHBand="0" w:noVBand="1"/>
      </w:tblPr>
      <w:tblGrid>
        <w:gridCol w:w="10019"/>
      </w:tblGrid>
      <w:tr w:rsidR="00D20449" w:rsidRPr="00D20449" w14:paraId="428C6B0A" w14:textId="77777777" w:rsidTr="00D20449">
        <w:trPr>
          <w:trHeight w:val="297"/>
        </w:trPr>
        <w:tc>
          <w:tcPr>
            <w:tcW w:w="5000" w:type="pct"/>
            <w:shd w:val="clear" w:color="auto" w:fill="C00000"/>
          </w:tcPr>
          <w:p w14:paraId="3FA54672" w14:textId="2A01D57E" w:rsidR="00D20449" w:rsidRPr="00C97F13" w:rsidRDefault="00D20449" w:rsidP="00C97F13">
            <w:pPr>
              <w:pStyle w:val="ListParagraph"/>
              <w:numPr>
                <w:ilvl w:val="0"/>
                <w:numId w:val="17"/>
              </w:numPr>
              <w:rPr>
                <w:rFonts w:asciiTheme="minorHAnsi" w:hAnsiTheme="minorHAnsi" w:cstheme="minorBidi"/>
                <w:color w:val="FFFFFF" w:themeColor="background1"/>
                <w:sz w:val="22"/>
                <w:szCs w:val="24"/>
              </w:rPr>
            </w:pPr>
            <w:r w:rsidRPr="00C97F13">
              <w:rPr>
                <w:rFonts w:asciiTheme="minorHAnsi" w:hAnsiTheme="minorHAnsi" w:cstheme="minorBidi"/>
                <w:color w:val="FFFFFF" w:themeColor="background1"/>
                <w:sz w:val="22"/>
                <w:szCs w:val="24"/>
              </w:rPr>
              <w:lastRenderedPageBreak/>
              <w:t xml:space="preserve"> </w:t>
            </w:r>
            <w:r w:rsidR="00C97F13" w:rsidRPr="00C97F13">
              <w:rPr>
                <w:rFonts w:asciiTheme="minorHAnsi" w:hAnsiTheme="minorHAnsi" w:cstheme="minorBidi"/>
                <w:color w:val="FFFFFF" w:themeColor="background1"/>
                <w:sz w:val="22"/>
                <w:szCs w:val="24"/>
              </w:rPr>
              <w:t>The types of evidence to be collected will be…</w:t>
            </w:r>
          </w:p>
        </w:tc>
      </w:tr>
      <w:tr w:rsidR="00D20449" w14:paraId="51FDDDCA" w14:textId="77777777" w:rsidTr="00D20449">
        <w:trPr>
          <w:trHeight w:val="1025"/>
        </w:trPr>
        <w:tc>
          <w:tcPr>
            <w:tcW w:w="5000" w:type="pct"/>
          </w:tcPr>
          <w:p w14:paraId="10555A53" w14:textId="77777777" w:rsidR="00CA0FDF" w:rsidRDefault="00CA0FDF"/>
          <w:tbl>
            <w:tblPr>
              <w:tblW w:w="0" w:type="auto"/>
              <w:tblBorders>
                <w:top w:val="nil"/>
                <w:left w:val="nil"/>
                <w:bottom w:val="nil"/>
                <w:right w:val="nil"/>
              </w:tblBorders>
              <w:tblLook w:val="0000" w:firstRow="0" w:lastRow="0" w:firstColumn="0" w:lastColumn="0" w:noHBand="0" w:noVBand="0"/>
            </w:tblPr>
            <w:tblGrid>
              <w:gridCol w:w="9803"/>
            </w:tblGrid>
            <w:tr w:rsidR="00672B72" w:rsidRPr="00672B72" w14:paraId="6A6C98E7" w14:textId="77777777">
              <w:trPr>
                <w:trHeight w:val="1720"/>
              </w:trPr>
              <w:tc>
                <w:tcPr>
                  <w:tcW w:w="0" w:type="auto"/>
                </w:tcPr>
                <w:p w14:paraId="2494DD77" w14:textId="6C984E54" w:rsidR="00672B72" w:rsidRPr="00672B72" w:rsidRDefault="00672B72" w:rsidP="00672B72">
                  <w:pPr>
                    <w:autoSpaceDE w:val="0"/>
                    <w:autoSpaceDN w:val="0"/>
                    <w:adjustRightInd w:val="0"/>
                    <w:spacing w:after="40" w:line="161" w:lineRule="atLeast"/>
                    <w:rPr>
                      <w:rFonts w:ascii="VIC SemiBold" w:hAnsi="VIC SemiBold" w:cs="VIC SemiBold"/>
                      <w:color w:val="000000"/>
                      <w:sz w:val="20"/>
                      <w:szCs w:val="20"/>
                      <w:lang w:val="en-AU"/>
                    </w:rPr>
                  </w:pPr>
                  <w:r w:rsidRPr="00672B72">
                    <w:rPr>
                      <w:rFonts w:ascii="VIC SemiBold" w:hAnsi="VIC SemiBold" w:cs="VIC SemiBold"/>
                      <w:b/>
                      <w:bCs/>
                      <w:color w:val="000000"/>
                      <w:sz w:val="20"/>
                      <w:szCs w:val="20"/>
                      <w:lang w:val="en-AU"/>
                    </w:rPr>
                    <w:t>Step 2. Establishing what evidence will be gathered</w:t>
                  </w:r>
                </w:p>
                <w:p w14:paraId="7E00D1ED" w14:textId="77777777" w:rsidR="00672B72" w:rsidRPr="00672B72" w:rsidRDefault="00672B72" w:rsidP="00672B72">
                  <w:pPr>
                    <w:autoSpaceDE w:val="0"/>
                    <w:autoSpaceDN w:val="0"/>
                    <w:adjustRightInd w:val="0"/>
                    <w:spacing w:after="100" w:line="161" w:lineRule="atLeast"/>
                    <w:rPr>
                      <w:rFonts w:ascii="VIC" w:hAnsi="VIC" w:cs="VIC"/>
                      <w:color w:val="000000"/>
                      <w:lang w:val="en-AU"/>
                    </w:rPr>
                  </w:pPr>
                  <w:r w:rsidRPr="00672B72">
                    <w:rPr>
                      <w:rFonts w:ascii="VIC" w:hAnsi="VIC" w:cs="VIC"/>
                      <w:color w:val="000000"/>
                      <w:lang w:val="en-AU"/>
                    </w:rPr>
                    <w:t xml:space="preserve">When the focus for the observation has been identified, it is then possible to consider what evidence can be collected during the observation on which the observer can reflect, and will inform the provision of feedback. If evidence can be quantified, feedback can be enhanced. </w:t>
                  </w:r>
                </w:p>
                <w:p w14:paraId="00827E0B" w14:textId="77777777" w:rsidR="00672B72" w:rsidRPr="00672B72" w:rsidRDefault="00672B72" w:rsidP="00672B72">
                  <w:pPr>
                    <w:autoSpaceDE w:val="0"/>
                    <w:autoSpaceDN w:val="0"/>
                    <w:adjustRightInd w:val="0"/>
                    <w:spacing w:after="100" w:line="161" w:lineRule="atLeast"/>
                    <w:rPr>
                      <w:rFonts w:ascii="VIC" w:hAnsi="VIC" w:cs="VIC"/>
                      <w:color w:val="000000"/>
                      <w:lang w:val="en-AU"/>
                    </w:rPr>
                  </w:pPr>
                  <w:r w:rsidRPr="00672B72">
                    <w:rPr>
                      <w:rFonts w:ascii="VIC" w:hAnsi="VIC" w:cs="VIC"/>
                      <w:color w:val="000000"/>
                      <w:lang w:val="en-AU"/>
                    </w:rPr>
                    <w:t>Observation evidence can include:</w:t>
                  </w:r>
                </w:p>
                <w:p w14:paraId="292A12BC" w14:textId="159A8249" w:rsidR="00672B72" w:rsidRPr="00672B72" w:rsidRDefault="00672B72" w:rsidP="00672B72">
                  <w:pPr>
                    <w:pStyle w:val="ListParagraph"/>
                    <w:numPr>
                      <w:ilvl w:val="0"/>
                      <w:numId w:val="26"/>
                    </w:numPr>
                    <w:autoSpaceDE w:val="0"/>
                    <w:autoSpaceDN w:val="0"/>
                    <w:adjustRightInd w:val="0"/>
                    <w:spacing w:after="100" w:line="161" w:lineRule="atLeast"/>
                    <w:rPr>
                      <w:rFonts w:ascii="VIC" w:hAnsi="VIC" w:cs="VIC"/>
                      <w:color w:val="000000"/>
                      <w:lang w:val="en-AU"/>
                    </w:rPr>
                  </w:pPr>
                  <w:r w:rsidRPr="00672B72">
                    <w:rPr>
                      <w:rFonts w:ascii="VIC" w:hAnsi="VIC" w:cs="VIC"/>
                      <w:color w:val="000000"/>
                      <w:lang w:val="en-AU"/>
                    </w:rPr>
                    <w:t>Observers recording the interactions between the teacher and students</w:t>
                  </w:r>
                  <w:r>
                    <w:rPr>
                      <w:rFonts w:ascii="VIC" w:hAnsi="VIC" w:cs="VIC"/>
                      <w:color w:val="000000"/>
                      <w:lang w:val="en-AU"/>
                    </w:rPr>
                    <w:t>.</w:t>
                  </w:r>
                  <w:r w:rsidRPr="00672B72">
                    <w:rPr>
                      <w:rFonts w:ascii="VIC" w:hAnsi="VIC" w:cs="VIC"/>
                      <w:color w:val="000000"/>
                      <w:lang w:val="en-AU"/>
                    </w:rPr>
                    <w:t xml:space="preserve"> E.g. the types of questions and clarifications sought, explicit instruction, use of examples or modelling.</w:t>
                  </w:r>
                </w:p>
                <w:p w14:paraId="4E1D8C9D" w14:textId="5E69A2E1" w:rsidR="00672B72" w:rsidRPr="00672B72" w:rsidRDefault="00672B72" w:rsidP="00672B72">
                  <w:pPr>
                    <w:pStyle w:val="ListParagraph"/>
                    <w:numPr>
                      <w:ilvl w:val="0"/>
                      <w:numId w:val="26"/>
                    </w:numPr>
                    <w:autoSpaceDE w:val="0"/>
                    <w:autoSpaceDN w:val="0"/>
                    <w:adjustRightInd w:val="0"/>
                    <w:spacing w:after="100" w:line="161" w:lineRule="atLeast"/>
                    <w:rPr>
                      <w:rFonts w:ascii="VIC" w:hAnsi="VIC" w:cs="VIC"/>
                      <w:color w:val="000000"/>
                      <w:lang w:val="en-AU"/>
                    </w:rPr>
                  </w:pPr>
                  <w:r w:rsidRPr="00672B72">
                    <w:rPr>
                      <w:rFonts w:ascii="VIC" w:hAnsi="VIC" w:cs="VIC"/>
                      <w:color w:val="000000"/>
                      <w:lang w:val="en-AU"/>
                    </w:rPr>
                    <w:t>Observers counting instances of specific actions or occurrences</w:t>
                  </w:r>
                  <w:r>
                    <w:rPr>
                      <w:rFonts w:ascii="VIC" w:hAnsi="VIC" w:cs="VIC"/>
                      <w:color w:val="000000"/>
                      <w:lang w:val="en-AU"/>
                    </w:rPr>
                    <w:t xml:space="preserve">. </w:t>
                  </w:r>
                  <w:r w:rsidRPr="00672B72">
                    <w:rPr>
                      <w:rFonts w:ascii="VIC" w:hAnsi="VIC" w:cs="VIC"/>
                      <w:color w:val="000000"/>
                      <w:lang w:val="en-AU"/>
                    </w:rPr>
                    <w:t>E.g. how class time is distributed; the number, frequency and type of questioning; frequency of student responses; the number of students engaged (or disengaged) in learning tasks.</w:t>
                  </w:r>
                </w:p>
                <w:p w14:paraId="5EA851F7" w14:textId="6384D740" w:rsidR="00672B72" w:rsidRPr="00672B72" w:rsidRDefault="00672B72" w:rsidP="00672B72">
                  <w:pPr>
                    <w:pStyle w:val="ListParagraph"/>
                    <w:numPr>
                      <w:ilvl w:val="0"/>
                      <w:numId w:val="26"/>
                    </w:numPr>
                    <w:autoSpaceDE w:val="0"/>
                    <w:autoSpaceDN w:val="0"/>
                    <w:adjustRightInd w:val="0"/>
                    <w:spacing w:after="100" w:line="161" w:lineRule="atLeast"/>
                    <w:rPr>
                      <w:rFonts w:ascii="VIC" w:hAnsi="VIC" w:cs="VIC"/>
                      <w:color w:val="000000"/>
                      <w:lang w:val="en-AU"/>
                    </w:rPr>
                  </w:pPr>
                  <w:r w:rsidRPr="00672B72">
                    <w:rPr>
                      <w:rFonts w:ascii="VIC" w:hAnsi="VIC" w:cs="VIC"/>
                      <w:color w:val="000000"/>
                      <w:lang w:val="en-AU"/>
                    </w:rPr>
                    <w:t>Tracking of teacher and student movements during the lesson and/or transition periods</w:t>
                  </w:r>
                  <w:r>
                    <w:rPr>
                      <w:rFonts w:ascii="VIC" w:hAnsi="VIC" w:cs="VIC"/>
                      <w:color w:val="000000"/>
                      <w:lang w:val="en-AU"/>
                    </w:rPr>
                    <w:t xml:space="preserve">. </w:t>
                  </w:r>
                  <w:r w:rsidRPr="00672B72">
                    <w:rPr>
                      <w:rFonts w:ascii="VIC" w:hAnsi="VIC" w:cs="VIC"/>
                      <w:color w:val="000000"/>
                      <w:lang w:val="en-AU"/>
                    </w:rPr>
                    <w:t>E.g. where the teacher is located at different points during the lesson, student movement during stages of transition within the lesson.</w:t>
                  </w:r>
                </w:p>
                <w:p w14:paraId="7A5D5AAD" w14:textId="77777777" w:rsidR="00672B72" w:rsidRPr="00672B72" w:rsidRDefault="00672B72" w:rsidP="00672B72">
                  <w:pPr>
                    <w:autoSpaceDE w:val="0"/>
                    <w:autoSpaceDN w:val="0"/>
                    <w:adjustRightInd w:val="0"/>
                    <w:spacing w:after="0" w:line="240" w:lineRule="auto"/>
                    <w:rPr>
                      <w:rFonts w:ascii="VIC" w:hAnsi="VIC" w:cs="VIC"/>
                      <w:color w:val="000000"/>
                      <w:lang w:val="en-AU"/>
                    </w:rPr>
                  </w:pPr>
                </w:p>
              </w:tc>
            </w:tr>
          </w:tbl>
          <w:p w14:paraId="1FF3407E" w14:textId="77777777" w:rsidR="00D20449" w:rsidRDefault="00D20449" w:rsidP="00561308">
            <w:pPr>
              <w:rPr>
                <w:rFonts w:asciiTheme="minorHAnsi" w:hAnsiTheme="minorHAnsi" w:cstheme="minorBidi"/>
                <w:color w:val="000000" w:themeColor="text1"/>
                <w:sz w:val="24"/>
                <w:szCs w:val="24"/>
              </w:rPr>
            </w:pPr>
          </w:p>
        </w:tc>
      </w:tr>
    </w:tbl>
    <w:p w14:paraId="159C166D" w14:textId="7A429CF2" w:rsidR="0043435D" w:rsidRDefault="0043435D">
      <w:pPr>
        <w:spacing w:after="0" w:line="240" w:lineRule="auto"/>
        <w:rPr>
          <w:rStyle w:val="A3"/>
        </w:rPr>
      </w:pPr>
    </w:p>
    <w:p w14:paraId="3AE7B742" w14:textId="77777777" w:rsidR="00672B72" w:rsidRDefault="00672B72" w:rsidP="00672B72">
      <w:pPr>
        <w:pStyle w:val="Pa9"/>
        <w:spacing w:after="40"/>
        <w:rPr>
          <w:rFonts w:cs="VIC SemiBold"/>
          <w:color w:val="000000"/>
          <w:sz w:val="20"/>
          <w:szCs w:val="20"/>
        </w:rPr>
      </w:pPr>
      <w:r>
        <w:rPr>
          <w:rStyle w:val="A3"/>
        </w:rPr>
        <w:t xml:space="preserve">Step 3. The process for the peer observation </w:t>
      </w:r>
    </w:p>
    <w:p w14:paraId="12E8C5EB" w14:textId="2C7B0151" w:rsidR="00D20449" w:rsidRPr="00CA0FDF" w:rsidRDefault="00672B72" w:rsidP="00CA0FDF">
      <w:pPr>
        <w:numPr>
          <w:ilvl w:val="0"/>
          <w:numId w:val="18"/>
        </w:numPr>
        <w:rPr>
          <w:bCs/>
          <w:lang w:val="en-AU"/>
        </w:rPr>
      </w:pPr>
      <w:r w:rsidRPr="00CA0FDF">
        <w:rPr>
          <w:bCs/>
          <w:sz w:val="20"/>
          <w:szCs w:val="20"/>
          <w:lang w:val="en-AU"/>
        </w:rPr>
        <w:t>This is provided as a prompt to support the teacher being observed and the observer in the pre observation conversation.</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3687"/>
        <w:gridCol w:w="3171"/>
        <w:gridCol w:w="3171"/>
      </w:tblGrid>
      <w:tr w:rsidR="00C97F13" w:rsidRPr="00D20449" w14:paraId="25ADD2CC" w14:textId="07F5C41F" w:rsidTr="00C97F13">
        <w:tc>
          <w:tcPr>
            <w:tcW w:w="5000" w:type="pct"/>
            <w:gridSpan w:val="3"/>
            <w:shd w:val="clear" w:color="auto" w:fill="C00000"/>
          </w:tcPr>
          <w:p w14:paraId="7A7186BD" w14:textId="4E56593F" w:rsidR="00C97F13" w:rsidRPr="00C97F13" w:rsidRDefault="00C97F13" w:rsidP="00C97F13">
            <w:pPr>
              <w:pStyle w:val="ListParagraph"/>
              <w:numPr>
                <w:ilvl w:val="0"/>
                <w:numId w:val="17"/>
              </w:numPr>
              <w:rPr>
                <w:rFonts w:asciiTheme="minorHAnsi" w:hAnsiTheme="minorHAnsi" w:cstheme="minorHAnsi"/>
                <w:color w:val="FFFFFF" w:themeColor="background1"/>
                <w:sz w:val="22"/>
                <w:szCs w:val="22"/>
              </w:rPr>
            </w:pPr>
            <w:r w:rsidRPr="00C97F13">
              <w:rPr>
                <w:rFonts w:asciiTheme="minorHAnsi" w:hAnsiTheme="minorHAnsi" w:cstheme="minorHAnsi"/>
                <w:color w:val="FFFFFF" w:themeColor="background1"/>
                <w:sz w:val="22"/>
                <w:szCs w:val="22"/>
              </w:rPr>
              <w:t xml:space="preserve"> Peer observation process – discussion points</w:t>
            </w:r>
          </w:p>
        </w:tc>
      </w:tr>
      <w:tr w:rsidR="00C97F13" w:rsidRPr="00D20449" w14:paraId="405C67B1" w14:textId="77777777" w:rsidTr="00C97F13">
        <w:tc>
          <w:tcPr>
            <w:tcW w:w="1838" w:type="pct"/>
          </w:tcPr>
          <w:p w14:paraId="42D1585F" w14:textId="76D12FA4" w:rsidR="00C97F13" w:rsidRPr="00C97F13" w:rsidRDefault="00C97F13" w:rsidP="00C97F13">
            <w:pPr>
              <w:pStyle w:val="Pa14"/>
              <w:spacing w:after="100"/>
              <w:rPr>
                <w:rStyle w:val="A4"/>
                <w:rFonts w:asciiTheme="minorHAnsi" w:hAnsiTheme="minorHAnsi" w:cstheme="minorHAnsi"/>
                <w:b w:val="0"/>
                <w:bCs w:val="0"/>
                <w:sz w:val="20"/>
                <w:szCs w:val="20"/>
              </w:rPr>
            </w:pPr>
            <w:r w:rsidRPr="00C97F13">
              <w:rPr>
                <w:rStyle w:val="A4"/>
                <w:rFonts w:asciiTheme="minorHAnsi" w:hAnsiTheme="minorHAnsi" w:cstheme="minorHAnsi"/>
                <w:sz w:val="20"/>
                <w:szCs w:val="20"/>
              </w:rPr>
              <w:t>Peer observation process – discussion points</w:t>
            </w:r>
          </w:p>
        </w:tc>
        <w:tc>
          <w:tcPr>
            <w:tcW w:w="1581" w:type="pct"/>
          </w:tcPr>
          <w:p w14:paraId="74380CED" w14:textId="15A36A3F" w:rsidR="00C97F13" w:rsidRPr="00C97F13" w:rsidRDefault="00C97F13" w:rsidP="00C97F13">
            <w:pPr>
              <w:pStyle w:val="Pa14"/>
              <w:spacing w:after="100"/>
              <w:rPr>
                <w:rFonts w:cs="VIC SemiBold"/>
                <w:color w:val="000000"/>
              </w:rPr>
            </w:pPr>
            <w:r>
              <w:rPr>
                <w:rStyle w:val="A4"/>
              </w:rPr>
              <w:t>Summary of discussion</w:t>
            </w:r>
          </w:p>
        </w:tc>
        <w:tc>
          <w:tcPr>
            <w:tcW w:w="1581" w:type="pct"/>
          </w:tcPr>
          <w:p w14:paraId="2554C6D4" w14:textId="1E55DFA3" w:rsidR="00C97F13" w:rsidRPr="00C97F13" w:rsidRDefault="00C97F13" w:rsidP="00C97F13">
            <w:pPr>
              <w:pStyle w:val="Pa14"/>
              <w:spacing w:after="100"/>
              <w:rPr>
                <w:rFonts w:cs="VIC SemiBold"/>
                <w:color w:val="000000"/>
              </w:rPr>
            </w:pPr>
            <w:r>
              <w:rPr>
                <w:rStyle w:val="A4"/>
              </w:rPr>
              <w:t>Items for action</w:t>
            </w:r>
          </w:p>
        </w:tc>
      </w:tr>
      <w:tr w:rsidR="00C97F13" w:rsidRPr="00D20449" w14:paraId="62180EF9" w14:textId="704B0AAD" w:rsidTr="00C97F13">
        <w:tc>
          <w:tcPr>
            <w:tcW w:w="1838" w:type="pct"/>
          </w:tcPr>
          <w:p w14:paraId="2D2216F0"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Previous participation in peer observations</w:t>
            </w:r>
          </w:p>
          <w:p w14:paraId="187CAD09" w14:textId="3C10D0E6"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Consideration of previous participation in peer observation and implications for the planned peer observation.</w:t>
            </w:r>
          </w:p>
        </w:tc>
        <w:tc>
          <w:tcPr>
            <w:tcW w:w="1581" w:type="pct"/>
          </w:tcPr>
          <w:p w14:paraId="02070359" w14:textId="77777777" w:rsidR="00C97F13" w:rsidRPr="00D20449" w:rsidRDefault="00C97F13">
            <w:pPr>
              <w:rPr>
                <w:rFonts w:asciiTheme="minorHAnsi" w:hAnsiTheme="minorHAnsi" w:cstheme="minorBidi"/>
                <w:color w:val="000000" w:themeColor="text1"/>
                <w:sz w:val="22"/>
                <w:szCs w:val="22"/>
              </w:rPr>
            </w:pPr>
          </w:p>
        </w:tc>
        <w:tc>
          <w:tcPr>
            <w:tcW w:w="1581" w:type="pct"/>
          </w:tcPr>
          <w:p w14:paraId="09E57F2B" w14:textId="77777777" w:rsidR="00C97F13" w:rsidRPr="00D20449" w:rsidRDefault="00C97F13">
            <w:pPr>
              <w:rPr>
                <w:rFonts w:asciiTheme="minorHAnsi" w:hAnsiTheme="minorHAnsi" w:cstheme="minorBidi"/>
                <w:color w:val="000000" w:themeColor="text1"/>
                <w:sz w:val="22"/>
                <w:szCs w:val="22"/>
              </w:rPr>
            </w:pPr>
          </w:p>
        </w:tc>
      </w:tr>
      <w:tr w:rsidR="00C97F13" w:rsidRPr="00D20449" w14:paraId="4B647FAE" w14:textId="444C52E3" w:rsidTr="00C97F13">
        <w:tc>
          <w:tcPr>
            <w:tcW w:w="1838" w:type="pct"/>
          </w:tcPr>
          <w:p w14:paraId="500355A7" w14:textId="483BC242" w:rsidR="00C97F13" w:rsidRPr="00584684" w:rsidRDefault="00C97F13" w:rsidP="00584684">
            <w:pPr>
              <w:pStyle w:val="Pa10"/>
              <w:spacing w:after="100"/>
              <w:rPr>
                <w:rFonts w:asciiTheme="minorHAnsi" w:hAnsiTheme="minorHAnsi" w:cstheme="minorHAnsi"/>
                <w:color w:val="000000"/>
                <w:sz w:val="20"/>
                <w:szCs w:val="20"/>
              </w:rPr>
            </w:pPr>
            <w:r w:rsidRPr="00C97F13">
              <w:rPr>
                <w:rFonts w:asciiTheme="minorHAnsi" w:hAnsiTheme="minorHAnsi" w:cstheme="minorHAnsi"/>
                <w:color w:val="000000"/>
                <w:sz w:val="20"/>
                <w:szCs w:val="20"/>
              </w:rPr>
              <w:t>Consideration of outcomes, concerns or hesitations for the peer observation and implications for the planned peer observation.</w:t>
            </w:r>
          </w:p>
        </w:tc>
        <w:tc>
          <w:tcPr>
            <w:tcW w:w="1581" w:type="pct"/>
          </w:tcPr>
          <w:p w14:paraId="2AF9C76E" w14:textId="77777777" w:rsidR="00C97F13" w:rsidRPr="00D20449" w:rsidRDefault="00C97F13">
            <w:pPr>
              <w:rPr>
                <w:rFonts w:asciiTheme="minorHAnsi" w:hAnsiTheme="minorHAnsi" w:cstheme="minorBidi"/>
                <w:color w:val="000000" w:themeColor="text1"/>
                <w:sz w:val="22"/>
                <w:szCs w:val="22"/>
              </w:rPr>
            </w:pPr>
          </w:p>
        </w:tc>
        <w:tc>
          <w:tcPr>
            <w:tcW w:w="1581" w:type="pct"/>
          </w:tcPr>
          <w:p w14:paraId="3F14A622" w14:textId="77777777" w:rsidR="00C97F13" w:rsidRPr="00D20449" w:rsidRDefault="00C97F13">
            <w:pPr>
              <w:rPr>
                <w:rFonts w:asciiTheme="minorHAnsi" w:hAnsiTheme="minorHAnsi" w:cstheme="minorBidi"/>
                <w:color w:val="000000" w:themeColor="text1"/>
                <w:sz w:val="22"/>
                <w:szCs w:val="22"/>
              </w:rPr>
            </w:pPr>
          </w:p>
        </w:tc>
      </w:tr>
      <w:tr w:rsidR="00C97F13" w:rsidRPr="00D20449" w14:paraId="5FF90DFB" w14:textId="16362DC3" w:rsidTr="00C97F13">
        <w:tc>
          <w:tcPr>
            <w:tcW w:w="1838" w:type="pct"/>
          </w:tcPr>
          <w:p w14:paraId="4919A29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Observation data</w:t>
            </w:r>
          </w:p>
          <w:p w14:paraId="6983234E" w14:textId="106D51E0" w:rsidR="00C97F13" w:rsidRPr="00C97F13" w:rsidRDefault="00C97F13" w:rsidP="00C97F13">
            <w:pPr>
              <w:pStyle w:val="Default"/>
              <w:numPr>
                <w:ilvl w:val="0"/>
                <w:numId w:val="13"/>
              </w:numPr>
              <w:rPr>
                <w:rFonts w:asciiTheme="minorHAnsi" w:hAnsiTheme="minorHAnsi" w:cstheme="minorHAnsi"/>
                <w:sz w:val="20"/>
                <w:szCs w:val="20"/>
              </w:rPr>
            </w:pPr>
            <w:r w:rsidRPr="00C97F13">
              <w:rPr>
                <w:rFonts w:asciiTheme="minorHAnsi" w:hAnsiTheme="minorHAnsi" w:cstheme="minorHAnsi"/>
                <w:sz w:val="20"/>
                <w:szCs w:val="20"/>
              </w:rPr>
              <w:t>How the observer will organise, collect, interpret and store their observation data, using the observation template</w:t>
            </w:r>
          </w:p>
        </w:tc>
        <w:tc>
          <w:tcPr>
            <w:tcW w:w="1581" w:type="pct"/>
          </w:tcPr>
          <w:p w14:paraId="66EE5328" w14:textId="77777777" w:rsidR="00C97F13" w:rsidRPr="00D20449" w:rsidRDefault="00C97F13">
            <w:pPr>
              <w:rPr>
                <w:rFonts w:asciiTheme="minorHAnsi" w:hAnsiTheme="minorHAnsi" w:cstheme="minorBidi"/>
                <w:color w:val="000000" w:themeColor="text1"/>
                <w:sz w:val="22"/>
                <w:szCs w:val="22"/>
              </w:rPr>
            </w:pPr>
          </w:p>
        </w:tc>
        <w:tc>
          <w:tcPr>
            <w:tcW w:w="1581" w:type="pct"/>
          </w:tcPr>
          <w:p w14:paraId="3786494A" w14:textId="1F7D83BE" w:rsidR="00C97F13" w:rsidRPr="00407873" w:rsidRDefault="00C97F13" w:rsidP="00407873">
            <w:pPr>
              <w:pStyle w:val="Pa10"/>
              <w:spacing w:after="100"/>
              <w:rPr>
                <w:rFonts w:asciiTheme="minorHAnsi" w:hAnsiTheme="minorHAnsi" w:cstheme="minorHAnsi"/>
                <w:color w:val="000000"/>
                <w:sz w:val="20"/>
                <w:szCs w:val="20"/>
              </w:rPr>
            </w:pPr>
            <w:r w:rsidRPr="00407873">
              <w:rPr>
                <w:rFonts w:asciiTheme="minorHAnsi" w:hAnsiTheme="minorHAnsi" w:cstheme="minorHAnsi"/>
                <w:color w:val="000000"/>
                <w:sz w:val="20"/>
                <w:szCs w:val="20"/>
              </w:rPr>
              <w:t>e.g. tailoring the peer observation template to include specific evidence</w:t>
            </w:r>
            <w:bookmarkStart w:id="0" w:name="_GoBack"/>
            <w:bookmarkEnd w:id="0"/>
          </w:p>
        </w:tc>
      </w:tr>
      <w:tr w:rsidR="00C97F13" w:rsidRPr="00D20449" w14:paraId="2FFA87FF" w14:textId="35B65F3F" w:rsidTr="00C97F13">
        <w:tc>
          <w:tcPr>
            <w:tcW w:w="1838" w:type="pct"/>
          </w:tcPr>
          <w:p w14:paraId="4963CB21"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Protocols</w:t>
            </w:r>
          </w:p>
          <w:p w14:paraId="709A37F6" w14:textId="545DEB70"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 xml:space="preserve">Discussion about and agreement with the school’s peer observations protocols and consideration of any additional classroom based protocols that the observation experience may require. For example, individual student needs, the observer’s role as it relates to the focus of the observation, introduction to students. </w:t>
            </w:r>
          </w:p>
        </w:tc>
        <w:tc>
          <w:tcPr>
            <w:tcW w:w="1581" w:type="pct"/>
          </w:tcPr>
          <w:p w14:paraId="6761DA24" w14:textId="77777777" w:rsidR="00C97F13" w:rsidRPr="00D20449" w:rsidRDefault="00C97F13">
            <w:pPr>
              <w:rPr>
                <w:rFonts w:asciiTheme="minorHAnsi" w:hAnsiTheme="minorHAnsi" w:cstheme="minorBidi"/>
                <w:color w:val="000000" w:themeColor="text1"/>
                <w:sz w:val="22"/>
                <w:szCs w:val="22"/>
              </w:rPr>
            </w:pPr>
          </w:p>
        </w:tc>
        <w:tc>
          <w:tcPr>
            <w:tcW w:w="1581" w:type="pct"/>
          </w:tcPr>
          <w:p w14:paraId="3070B2AE" w14:textId="77777777" w:rsidR="00C97F13" w:rsidRPr="00D20449" w:rsidRDefault="00C97F13">
            <w:pPr>
              <w:rPr>
                <w:rFonts w:asciiTheme="minorHAnsi" w:hAnsiTheme="minorHAnsi" w:cstheme="minorBidi"/>
                <w:color w:val="000000" w:themeColor="text1"/>
                <w:sz w:val="22"/>
                <w:szCs w:val="22"/>
              </w:rPr>
            </w:pPr>
          </w:p>
        </w:tc>
      </w:tr>
      <w:tr w:rsidR="00C97F13" w:rsidRPr="00D20449" w14:paraId="7BCA86A4" w14:textId="6E8378ED" w:rsidTr="00C97F13">
        <w:tc>
          <w:tcPr>
            <w:tcW w:w="1838" w:type="pct"/>
          </w:tcPr>
          <w:p w14:paraId="71F6505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Date and time</w:t>
            </w:r>
          </w:p>
          <w:p w14:paraId="39401136" w14:textId="74FC0BD3"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lastRenderedPageBreak/>
              <w:t xml:space="preserve">Confirmation of the class, date and time for the observation to occur, including a timely post observation conversation. </w:t>
            </w:r>
          </w:p>
        </w:tc>
        <w:tc>
          <w:tcPr>
            <w:tcW w:w="1581" w:type="pct"/>
          </w:tcPr>
          <w:p w14:paraId="69E11AB5" w14:textId="77777777" w:rsidR="00C97F13" w:rsidRPr="00D20449" w:rsidRDefault="00C97F13">
            <w:pPr>
              <w:rPr>
                <w:rFonts w:asciiTheme="minorHAnsi" w:hAnsiTheme="minorHAnsi" w:cstheme="minorBidi"/>
                <w:color w:val="000000" w:themeColor="text1"/>
                <w:sz w:val="22"/>
                <w:szCs w:val="22"/>
              </w:rPr>
            </w:pPr>
          </w:p>
        </w:tc>
        <w:tc>
          <w:tcPr>
            <w:tcW w:w="1581" w:type="pct"/>
          </w:tcPr>
          <w:p w14:paraId="44C31362" w14:textId="77777777" w:rsidR="00C97F13" w:rsidRPr="00D20449" w:rsidRDefault="00C97F13">
            <w:pPr>
              <w:rPr>
                <w:rFonts w:asciiTheme="minorHAnsi" w:hAnsiTheme="minorHAnsi" w:cstheme="minorBidi"/>
                <w:color w:val="000000" w:themeColor="text1"/>
                <w:sz w:val="22"/>
                <w:szCs w:val="22"/>
              </w:rPr>
            </w:pPr>
          </w:p>
        </w:tc>
      </w:tr>
      <w:tr w:rsidR="00C97F13" w:rsidRPr="00D20449" w14:paraId="5A180EA3" w14:textId="0ACB770A" w:rsidTr="00C97F13">
        <w:tc>
          <w:tcPr>
            <w:tcW w:w="1838" w:type="pct"/>
          </w:tcPr>
          <w:p w14:paraId="149F5E61"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Further actions</w:t>
            </w:r>
          </w:p>
          <w:p w14:paraId="239C2935" w14:textId="7B30F000" w:rsidR="00C97F13" w:rsidRPr="00C97F13" w:rsidRDefault="00C97F13" w:rsidP="00C97F13">
            <w:pPr>
              <w:pStyle w:val="Default"/>
              <w:rPr>
                <w:rFonts w:asciiTheme="minorHAnsi" w:hAnsiTheme="minorHAnsi" w:cstheme="minorHAnsi"/>
                <w:sz w:val="20"/>
                <w:szCs w:val="20"/>
              </w:rPr>
            </w:pPr>
            <w:r w:rsidRPr="00C97F13">
              <w:rPr>
                <w:rFonts w:asciiTheme="minorHAnsi" w:hAnsiTheme="minorHAnsi" w:cstheme="minorHAnsi"/>
                <w:sz w:val="20"/>
                <w:szCs w:val="20"/>
              </w:rPr>
              <w:t>Agreement of any further actions required prior to the peer observation</w:t>
            </w:r>
          </w:p>
        </w:tc>
        <w:tc>
          <w:tcPr>
            <w:tcW w:w="1581" w:type="pct"/>
          </w:tcPr>
          <w:p w14:paraId="38E591D3" w14:textId="77777777" w:rsidR="00C97F13" w:rsidRPr="00D20449" w:rsidRDefault="00C97F13">
            <w:pPr>
              <w:rPr>
                <w:rFonts w:asciiTheme="minorHAnsi" w:hAnsiTheme="minorHAnsi" w:cstheme="minorBidi"/>
                <w:color w:val="000000" w:themeColor="text1"/>
                <w:sz w:val="22"/>
                <w:szCs w:val="22"/>
              </w:rPr>
            </w:pPr>
          </w:p>
        </w:tc>
        <w:tc>
          <w:tcPr>
            <w:tcW w:w="1581" w:type="pct"/>
          </w:tcPr>
          <w:p w14:paraId="3AA26558" w14:textId="77777777" w:rsidR="00C97F13" w:rsidRPr="00D20449" w:rsidRDefault="00C97F13">
            <w:pPr>
              <w:rPr>
                <w:rFonts w:asciiTheme="minorHAnsi" w:hAnsiTheme="minorHAnsi" w:cstheme="minorBidi"/>
                <w:color w:val="000000" w:themeColor="text1"/>
                <w:sz w:val="22"/>
                <w:szCs w:val="22"/>
              </w:rPr>
            </w:pPr>
          </w:p>
        </w:tc>
      </w:tr>
      <w:tr w:rsidR="00C97F13" w:rsidRPr="00D20449" w14:paraId="0CC913C7" w14:textId="77777777" w:rsidTr="00C97F13">
        <w:tc>
          <w:tcPr>
            <w:tcW w:w="1838" w:type="pct"/>
          </w:tcPr>
          <w:p w14:paraId="71010CAD" w14:textId="77777777" w:rsidR="00C97F13" w:rsidRPr="00C97F13" w:rsidRDefault="00C97F13" w:rsidP="00C97F13">
            <w:pPr>
              <w:pStyle w:val="Pa10"/>
              <w:spacing w:after="100"/>
              <w:rPr>
                <w:rFonts w:asciiTheme="minorHAnsi" w:hAnsiTheme="minorHAnsi" w:cstheme="minorHAnsi"/>
                <w:color w:val="000000"/>
                <w:sz w:val="20"/>
                <w:szCs w:val="20"/>
              </w:rPr>
            </w:pPr>
            <w:r w:rsidRPr="00C97F13">
              <w:rPr>
                <w:rStyle w:val="A4"/>
                <w:rFonts w:asciiTheme="minorHAnsi" w:hAnsiTheme="minorHAnsi" w:cstheme="minorHAnsi"/>
                <w:sz w:val="20"/>
                <w:szCs w:val="20"/>
              </w:rPr>
              <w:t>Impact</w:t>
            </w:r>
          </w:p>
          <w:p w14:paraId="20AB7604" w14:textId="32BECD17" w:rsidR="00C97F13" w:rsidRPr="00C97F13" w:rsidRDefault="00C97F13" w:rsidP="00C97F13">
            <w:pPr>
              <w:pStyle w:val="Pa10"/>
              <w:spacing w:after="100"/>
              <w:rPr>
                <w:rStyle w:val="A4"/>
                <w:rFonts w:asciiTheme="minorHAnsi" w:hAnsiTheme="minorHAnsi" w:cstheme="minorHAnsi"/>
                <w:sz w:val="20"/>
                <w:szCs w:val="20"/>
              </w:rPr>
            </w:pPr>
            <w:r w:rsidRPr="00C97F13">
              <w:rPr>
                <w:rFonts w:asciiTheme="minorHAnsi" w:hAnsiTheme="minorHAnsi" w:cstheme="minorHAnsi"/>
                <w:color w:val="000000"/>
                <w:sz w:val="20"/>
                <w:szCs w:val="20"/>
              </w:rPr>
              <w:t xml:space="preserve">The conduit and process for enabling the learning to inform whole school practices (for example professional learning communities, whole school instructional practice, curriculum planning). </w:t>
            </w:r>
          </w:p>
        </w:tc>
        <w:tc>
          <w:tcPr>
            <w:tcW w:w="1581" w:type="pct"/>
          </w:tcPr>
          <w:p w14:paraId="6CDB38B7" w14:textId="77777777" w:rsidR="00C97F13" w:rsidRPr="00D20449" w:rsidRDefault="00C97F13">
            <w:pPr>
              <w:rPr>
                <w:rFonts w:asciiTheme="minorHAnsi" w:hAnsiTheme="minorHAnsi" w:cstheme="minorBidi"/>
                <w:color w:val="000000" w:themeColor="text1"/>
                <w:sz w:val="22"/>
                <w:szCs w:val="22"/>
              </w:rPr>
            </w:pPr>
          </w:p>
        </w:tc>
        <w:tc>
          <w:tcPr>
            <w:tcW w:w="1581" w:type="pct"/>
          </w:tcPr>
          <w:p w14:paraId="311BA657" w14:textId="77777777" w:rsidR="00C97F13" w:rsidRPr="00D20449" w:rsidRDefault="00C97F13">
            <w:pPr>
              <w:rPr>
                <w:rFonts w:asciiTheme="minorHAnsi" w:hAnsiTheme="minorHAnsi" w:cstheme="minorBidi"/>
                <w:color w:val="000000" w:themeColor="text1"/>
                <w:sz w:val="22"/>
                <w:szCs w:val="22"/>
              </w:rPr>
            </w:pPr>
          </w:p>
        </w:tc>
      </w:tr>
    </w:tbl>
    <w:p w14:paraId="77861615" w14:textId="77777777" w:rsidR="00D20449" w:rsidRPr="004F6FED" w:rsidRDefault="00D20449">
      <w:pPr>
        <w:rPr>
          <w:rFonts w:asciiTheme="minorHAnsi" w:hAnsiTheme="minorHAnsi" w:cstheme="minorBidi"/>
          <w:color w:val="000000" w:themeColor="text1"/>
          <w:sz w:val="24"/>
          <w:szCs w:val="24"/>
        </w:rPr>
      </w:pPr>
    </w:p>
    <w:sectPr w:rsidR="00D20449" w:rsidRPr="004F6FED" w:rsidSect="00D20449">
      <w:headerReference w:type="default" r:id="rId12"/>
      <w:footerReference w:type="default" r:id="rId13"/>
      <w:pgSz w:w="11900" w:h="16840"/>
      <w:pgMar w:top="3289" w:right="1134" w:bottom="1304" w:left="737"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3726" w14:textId="77777777" w:rsidR="00FF21CD" w:rsidRDefault="00FF21CD" w:rsidP="008766A4">
      <w:r>
        <w:separator/>
      </w:r>
    </w:p>
  </w:endnote>
  <w:endnote w:type="continuationSeparator" w:id="0">
    <w:p w14:paraId="2EF54931" w14:textId="77777777" w:rsidR="00FF21CD" w:rsidRDefault="00FF21C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Lucida Grande">
    <w:charset w:val="00"/>
    <w:family w:val="swiss"/>
    <w:pitch w:val="variable"/>
    <w:sig w:usb0="E1000AEF" w:usb1="5000A1FF" w:usb2="00000000" w:usb3="00000000" w:csb0="000001BF" w:csb1="00000000"/>
  </w:font>
  <w:font w:name="VIC">
    <w:altName w:val="VIC"/>
    <w:panose1 w:val="00000000000000000000"/>
    <w:charset w:val="00"/>
    <w:family w:val="swiss"/>
    <w:notTrueType/>
    <w:pitch w:val="default"/>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1D4DA8FF" w:rsidR="003E29B5" w:rsidRPr="003E29B5" w:rsidRDefault="003E29B5"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E67C" w14:textId="77777777" w:rsidR="00FF21CD" w:rsidRDefault="00FF21CD" w:rsidP="008766A4">
      <w:r>
        <w:separator/>
      </w:r>
    </w:p>
  </w:footnote>
  <w:footnote w:type="continuationSeparator" w:id="0">
    <w:p w14:paraId="163FD755" w14:textId="77777777" w:rsidR="00FF21CD" w:rsidRDefault="00FF21CD"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57EB6470" w:rsidR="003E29B5" w:rsidRPr="003E29B5" w:rsidRDefault="005849E0" w:rsidP="008766A4">
    <w:r>
      <w:rPr>
        <w:noProof/>
        <w:lang w:val="en-AU" w:eastAsia="en-AU"/>
      </w:rPr>
      <w:drawing>
        <wp:anchor distT="0" distB="0" distL="114300" distR="114300" simplePos="0" relativeHeight="251658240" behindDoc="1" locked="0" layoutInCell="1" allowOverlap="1" wp14:anchorId="6BB7B5ED" wp14:editId="1C3F2107">
          <wp:simplePos x="0" y="0"/>
          <wp:positionH relativeFrom="page">
            <wp:align>left</wp:align>
          </wp:positionH>
          <wp:positionV relativeFrom="page">
            <wp:align>top</wp:align>
          </wp:positionV>
          <wp:extent cx="7560000" cy="10692000"/>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F8E093"/>
    <w:multiLevelType w:val="hybridMultilevel"/>
    <w:tmpl w:val="222646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834142"/>
    <w:multiLevelType w:val="hybridMultilevel"/>
    <w:tmpl w:val="E3C80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CB5DCC"/>
    <w:multiLevelType w:val="hybridMultilevel"/>
    <w:tmpl w:val="BC3694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9579CE"/>
    <w:multiLevelType w:val="hybridMultilevel"/>
    <w:tmpl w:val="2D4E70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17BC13B"/>
    <w:multiLevelType w:val="hybridMultilevel"/>
    <w:tmpl w:val="B857A4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2E80C14"/>
    <w:multiLevelType w:val="hybridMultilevel"/>
    <w:tmpl w:val="374A6A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B537FE2"/>
    <w:multiLevelType w:val="hybridMultilevel"/>
    <w:tmpl w:val="C09A7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70D55"/>
    <w:multiLevelType w:val="hybridMultilevel"/>
    <w:tmpl w:val="34B23F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790985"/>
    <w:multiLevelType w:val="hybridMultilevel"/>
    <w:tmpl w:val="A85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92392F"/>
    <w:multiLevelType w:val="hybridMultilevel"/>
    <w:tmpl w:val="514673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91550D"/>
    <w:multiLevelType w:val="hybridMultilevel"/>
    <w:tmpl w:val="1A266DD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2F1071F"/>
    <w:multiLevelType w:val="hybridMultilevel"/>
    <w:tmpl w:val="F0BAA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C5E554"/>
    <w:multiLevelType w:val="hybridMultilevel"/>
    <w:tmpl w:val="53185A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3FA6736"/>
    <w:multiLevelType w:val="hybridMultilevel"/>
    <w:tmpl w:val="A44EE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8F3948"/>
    <w:multiLevelType w:val="hybridMultilevel"/>
    <w:tmpl w:val="5C768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3"/>
  </w:num>
  <w:num w:numId="12">
    <w:abstractNumId w:val="14"/>
  </w:num>
  <w:num w:numId="13">
    <w:abstractNumId w:val="15"/>
  </w:num>
  <w:num w:numId="14">
    <w:abstractNumId w:val="1"/>
  </w:num>
  <w:num w:numId="15">
    <w:abstractNumId w:val="20"/>
  </w:num>
  <w:num w:numId="16">
    <w:abstractNumId w:val="0"/>
  </w:num>
  <w:num w:numId="17">
    <w:abstractNumId w:val="22"/>
  </w:num>
  <w:num w:numId="18">
    <w:abstractNumId w:val="18"/>
  </w:num>
  <w:num w:numId="19">
    <w:abstractNumId w:val="23"/>
  </w:num>
  <w:num w:numId="20">
    <w:abstractNumId w:val="2"/>
  </w:num>
  <w:num w:numId="21">
    <w:abstractNumId w:val="16"/>
  </w:num>
  <w:num w:numId="22">
    <w:abstractNumId w:val="17"/>
  </w:num>
  <w:num w:numId="23">
    <w:abstractNumId w:val="21"/>
  </w:num>
  <w:num w:numId="24">
    <w:abstractNumId w:val="19"/>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7C5E"/>
    <w:rsid w:val="00073762"/>
    <w:rsid w:val="00136C22"/>
    <w:rsid w:val="0014310A"/>
    <w:rsid w:val="001F067E"/>
    <w:rsid w:val="00283D10"/>
    <w:rsid w:val="00290C14"/>
    <w:rsid w:val="00326F48"/>
    <w:rsid w:val="00351147"/>
    <w:rsid w:val="003A538B"/>
    <w:rsid w:val="003B01B0"/>
    <w:rsid w:val="003D5DF8"/>
    <w:rsid w:val="003E29B5"/>
    <w:rsid w:val="00407873"/>
    <w:rsid w:val="0043435D"/>
    <w:rsid w:val="004A06B3"/>
    <w:rsid w:val="004F6FED"/>
    <w:rsid w:val="00530190"/>
    <w:rsid w:val="00584684"/>
    <w:rsid w:val="005849E0"/>
    <w:rsid w:val="00596923"/>
    <w:rsid w:val="005E1B87"/>
    <w:rsid w:val="00623981"/>
    <w:rsid w:val="00665047"/>
    <w:rsid w:val="00672B72"/>
    <w:rsid w:val="00717C6C"/>
    <w:rsid w:val="0073724D"/>
    <w:rsid w:val="00763A49"/>
    <w:rsid w:val="00816ED5"/>
    <w:rsid w:val="00860993"/>
    <w:rsid w:val="00865B2F"/>
    <w:rsid w:val="008766A4"/>
    <w:rsid w:val="009415BA"/>
    <w:rsid w:val="00980015"/>
    <w:rsid w:val="009F2302"/>
    <w:rsid w:val="00AF671E"/>
    <w:rsid w:val="00B36B8F"/>
    <w:rsid w:val="00B41D6D"/>
    <w:rsid w:val="00B60218"/>
    <w:rsid w:val="00BC7296"/>
    <w:rsid w:val="00BD355C"/>
    <w:rsid w:val="00C20F65"/>
    <w:rsid w:val="00C24EBB"/>
    <w:rsid w:val="00C97F13"/>
    <w:rsid w:val="00CA0FDF"/>
    <w:rsid w:val="00D20449"/>
    <w:rsid w:val="00D31299"/>
    <w:rsid w:val="00D82E6B"/>
    <w:rsid w:val="00D97011"/>
    <w:rsid w:val="00DA5477"/>
    <w:rsid w:val="00E32BEC"/>
    <w:rsid w:val="00EB6C8C"/>
    <w:rsid w:val="00ED323F"/>
    <w:rsid w:val="00F67AA6"/>
    <w:rsid w:val="00FF2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table" w:styleId="TableGrid">
    <w:name w:val="Table Grid"/>
    <w:basedOn w:val="TableNormal"/>
    <w:uiPriority w:val="59"/>
    <w:rsid w:val="00D2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0449"/>
    <w:pPr>
      <w:autoSpaceDE w:val="0"/>
      <w:autoSpaceDN w:val="0"/>
      <w:adjustRightInd w:val="0"/>
    </w:pPr>
    <w:rPr>
      <w:rFonts w:ascii="VIC" w:hAnsi="VIC" w:cs="VIC"/>
      <w:color w:val="000000"/>
      <w:lang w:val="en-AU"/>
    </w:rPr>
  </w:style>
  <w:style w:type="character" w:customStyle="1" w:styleId="A4">
    <w:name w:val="A4"/>
    <w:uiPriority w:val="99"/>
    <w:rsid w:val="00D20449"/>
    <w:rPr>
      <w:rFonts w:cs="VIC"/>
      <w:b/>
      <w:bCs/>
      <w:color w:val="000000"/>
      <w:sz w:val="18"/>
      <w:szCs w:val="18"/>
    </w:rPr>
  </w:style>
  <w:style w:type="character" w:customStyle="1" w:styleId="A2">
    <w:name w:val="A2"/>
    <w:uiPriority w:val="99"/>
    <w:rsid w:val="00D20449"/>
    <w:rPr>
      <w:rFonts w:ascii="VIC SemiBold" w:hAnsi="VIC SemiBold" w:cs="VIC SemiBold"/>
      <w:b/>
      <w:bCs/>
      <w:color w:val="000000"/>
      <w:sz w:val="16"/>
      <w:szCs w:val="16"/>
    </w:rPr>
  </w:style>
  <w:style w:type="paragraph" w:customStyle="1" w:styleId="Pa10">
    <w:name w:val="Pa10"/>
    <w:basedOn w:val="Default"/>
    <w:next w:val="Default"/>
    <w:uiPriority w:val="99"/>
    <w:rsid w:val="0043435D"/>
    <w:pPr>
      <w:spacing w:line="161" w:lineRule="atLeast"/>
    </w:pPr>
    <w:rPr>
      <w:rFonts w:cstheme="minorBidi"/>
      <w:color w:val="auto"/>
    </w:rPr>
  </w:style>
  <w:style w:type="paragraph" w:customStyle="1" w:styleId="Pa9">
    <w:name w:val="Pa9"/>
    <w:basedOn w:val="Default"/>
    <w:next w:val="Default"/>
    <w:uiPriority w:val="99"/>
    <w:rsid w:val="0043435D"/>
    <w:pPr>
      <w:spacing w:line="161" w:lineRule="atLeast"/>
    </w:pPr>
    <w:rPr>
      <w:rFonts w:cstheme="minorBidi"/>
      <w:color w:val="auto"/>
    </w:rPr>
  </w:style>
  <w:style w:type="character" w:customStyle="1" w:styleId="A3">
    <w:name w:val="A3"/>
    <w:uiPriority w:val="99"/>
    <w:rsid w:val="0043435D"/>
    <w:rPr>
      <w:rFonts w:ascii="VIC SemiBold" w:hAnsi="VIC SemiBold" w:cs="VIC SemiBold"/>
      <w:b/>
      <w:bCs/>
      <w:color w:val="000000"/>
      <w:sz w:val="20"/>
      <w:szCs w:val="20"/>
    </w:rPr>
  </w:style>
  <w:style w:type="paragraph" w:styleId="ListParagraph">
    <w:name w:val="List Paragraph"/>
    <w:basedOn w:val="Normal"/>
    <w:uiPriority w:val="34"/>
    <w:qFormat/>
    <w:rsid w:val="00C97F13"/>
    <w:pPr>
      <w:ind w:left="720"/>
      <w:contextualSpacing/>
    </w:pPr>
  </w:style>
  <w:style w:type="paragraph" w:customStyle="1" w:styleId="Pa14">
    <w:name w:val="Pa14"/>
    <w:basedOn w:val="Default"/>
    <w:next w:val="Default"/>
    <w:uiPriority w:val="99"/>
    <w:rsid w:val="00C97F13"/>
    <w:pPr>
      <w:spacing w:line="161" w:lineRule="atLeast"/>
    </w:pPr>
    <w:rPr>
      <w:rFonts w:ascii="VIC SemiBold" w:hAnsi="VIC Semi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0_type xmlns="f5368c2d-903c-42e4-9422-50d6891e545d">Template</Doc_x0020_type>
    <Project xmlns="f5368c2d-903c-42e4-9422-50d6891e545d">EBA_Project_Management_Evaluation</Project>
    <TaxCatchAll xmlns="1966e606-8b69-4075-9ef8-a409e80aaa70">
      <Value>20</Value>
    </TaxCatchAll>
    <PublishingContactName xmlns="http://schemas.microsoft.com/sharepoint/v3" xsi:nil="true"/>
    <Document_x0020_function xmlns="69c6d17e-4966-4cea-b47f-eb6dea2170e9">Other</Document_x0020_func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F0079BA6-512F-4F4D-9D45-D2AFCA190D22}"/>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f5368c2d-903c-42e4-9422-50d6891e545d"/>
    <ds:schemaRef ds:uri="1966e606-8b69-4075-9ef8-a409e80aaa70"/>
    <ds:schemaRef ds:uri="http://schemas.microsoft.com/sharepoint/v3"/>
    <ds:schemaRef ds:uri="69c6d17e-4966-4cea-b47f-eb6dea2170e9"/>
    <ds:schemaRef ds:uri="http://schemas.microsoft.com/Sharepoint/v3"/>
  </ds:schemaRefs>
</ds:datastoreItem>
</file>

<file path=customXml/itemProps5.xml><?xml version="1.0" encoding="utf-8"?>
<ds:datastoreItem xmlns:ds="http://schemas.openxmlformats.org/officeDocument/2006/customXml" ds:itemID="{6E8A398E-24CE-4258-81C6-2A832CB79220}"/>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De Fazio, Adria A</cp:lastModifiedBy>
  <cp:revision>6</cp:revision>
  <dcterms:created xsi:type="dcterms:W3CDTF">2018-02-21T01:34:00Z</dcterms:created>
  <dcterms:modified xsi:type="dcterms:W3CDTF">2018-02-21T05:07:00Z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{f5368c2d-903c-42e4-9422-50d6891e545d}</vt:lpwstr>
  </property>
  <property fmtid="{D5CDD505-2E9C-101B-9397-08002B2CF9AE}" pid="8" name="RecordPoint_ActiveItemUniqueId">
    <vt:lpwstr>{237b5e99-feae-469e-99f5-c30939b5f72f}</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R0001003790</vt:lpwstr>
  </property>
  <property fmtid="{D5CDD505-2E9C-101B-9397-08002B2CF9AE}" pid="12" name="RecordPoint_SubmissionCompleted">
    <vt:lpwstr>2017-09-05T12:51:41.8552186+10:00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