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A42F" w14:textId="48525E7F" w:rsidR="00F9071A" w:rsidRDefault="00D60439" w:rsidP="00F9071A">
      <w:pPr>
        <w:pStyle w:val="Subtitle"/>
        <w:spacing w:after="120"/>
        <w:rPr>
          <w:rStyle w:val="SubtleEmphasis"/>
          <w:b/>
          <w:i w:val="0"/>
          <w:iCs w:val="0"/>
          <w:color w:val="AF272F" w:themeColor="accent1"/>
          <w:spacing w:val="5"/>
          <w:kern w:val="28"/>
          <w:sz w:val="44"/>
          <w:szCs w:val="52"/>
        </w:rPr>
      </w:pPr>
      <w:r>
        <w:rPr>
          <w:rStyle w:val="SubtleEmphasis"/>
          <w:b/>
          <w:i w:val="0"/>
          <w:iCs w:val="0"/>
          <w:color w:val="AF272F" w:themeColor="accent1"/>
          <w:spacing w:val="5"/>
          <w:kern w:val="28"/>
          <w:sz w:val="44"/>
          <w:szCs w:val="52"/>
        </w:rPr>
        <w:t>P</w:t>
      </w:r>
      <w:r w:rsidR="00F9071A" w:rsidRPr="00F9071A">
        <w:rPr>
          <w:rStyle w:val="SubtleEmphasis"/>
          <w:b/>
          <w:i w:val="0"/>
          <w:iCs w:val="0"/>
          <w:color w:val="AF272F" w:themeColor="accent1"/>
          <w:spacing w:val="5"/>
          <w:kern w:val="28"/>
          <w:sz w:val="44"/>
          <w:szCs w:val="52"/>
        </w:rPr>
        <w:t xml:space="preserve">rofessional practice days </w:t>
      </w:r>
    </w:p>
    <w:p w14:paraId="4419EFE6" w14:textId="19A608ED" w:rsidR="00F9071A" w:rsidRPr="00F3286E" w:rsidRDefault="00222289" w:rsidP="0028286F">
      <w:pPr>
        <w:spacing w:before="120" w:after="40"/>
        <w:rPr>
          <w:rFonts w:eastAsiaTheme="majorEastAsia" w:cstheme="majorBidi"/>
          <w:b/>
          <w:bCs/>
          <w:caps/>
          <w:sz w:val="20"/>
          <w:szCs w:val="20"/>
        </w:rPr>
      </w:pPr>
      <w:r w:rsidRPr="00F3286E">
        <w:rPr>
          <w:rFonts w:eastAsiaTheme="majorEastAsia" w:cstheme="majorBidi"/>
          <w:b/>
          <w:bCs/>
          <w:caps/>
          <w:sz w:val="20"/>
          <w:szCs w:val="20"/>
        </w:rPr>
        <w:t>overview</w:t>
      </w:r>
    </w:p>
    <w:p w14:paraId="7C53562F" w14:textId="77777777" w:rsidR="008B5811" w:rsidRPr="00B7784B" w:rsidRDefault="008B5811" w:rsidP="008B5811">
      <w:pPr>
        <w:pStyle w:val="ListParagraph"/>
        <w:numPr>
          <w:ilvl w:val="0"/>
          <w:numId w:val="12"/>
        </w:numPr>
        <w:spacing w:before="60" w:after="60"/>
        <w:ind w:left="357" w:hanging="357"/>
        <w:contextualSpacing w:val="0"/>
      </w:pPr>
      <w:r>
        <w:t xml:space="preserve">From the commencement of the 2018 school year, each teacher has been entitled to be released from their scheduled duties, including teaching, to focus on the improved delivery of </w:t>
      </w:r>
      <w:proofErr w:type="gramStart"/>
      <w:r>
        <w:t>high quality</w:t>
      </w:r>
      <w:proofErr w:type="gramEnd"/>
      <w:r>
        <w:t xml:space="preserve"> teaching and learning</w:t>
      </w:r>
      <w:r>
        <w:rPr>
          <w:rStyle w:val="FootnoteReference"/>
        </w:rPr>
        <w:footnoteReference w:id="2"/>
      </w:r>
      <w:r>
        <w:t>.</w:t>
      </w:r>
    </w:p>
    <w:p w14:paraId="3C118B79" w14:textId="77777777" w:rsidR="008B5811" w:rsidRDefault="008B5811" w:rsidP="008B5811">
      <w:pPr>
        <w:pStyle w:val="ListParagraph"/>
        <w:numPr>
          <w:ilvl w:val="0"/>
          <w:numId w:val="12"/>
        </w:numPr>
        <w:spacing w:before="60" w:after="60"/>
        <w:ind w:left="357" w:hanging="357"/>
        <w:contextualSpacing w:val="0"/>
      </w:pPr>
      <w:r>
        <w:t xml:space="preserve">The work undertaken on these professional practice days (PPDs) must be consistent with departmental and school priorities and selected from the following areas: </w:t>
      </w:r>
      <w:r w:rsidRPr="006A6C76">
        <w:t>planning, preparation, assessment of student learning, collaboration, curriculum development, relevant professional development and peer observation including feedback and reflection</w:t>
      </w:r>
      <w:r>
        <w:rPr>
          <w:rStyle w:val="FootnoteReference"/>
        </w:rPr>
        <w:footnoteReference w:id="3"/>
      </w:r>
      <w:r>
        <w:t>.</w:t>
      </w:r>
    </w:p>
    <w:p w14:paraId="08206CF0" w14:textId="77777777" w:rsidR="008B5811" w:rsidRDefault="008B5811" w:rsidP="008B5811">
      <w:pPr>
        <w:pStyle w:val="ListParagraph"/>
        <w:numPr>
          <w:ilvl w:val="0"/>
          <w:numId w:val="12"/>
        </w:numPr>
        <w:spacing w:before="60" w:after="60"/>
        <w:ind w:left="357" w:hanging="357"/>
        <w:contextualSpacing w:val="0"/>
      </w:pPr>
      <w:r>
        <w:t>The timing and focus of each day for each teacher will be nominated by the teacher and be agreed to in consultation with the principal</w:t>
      </w:r>
      <w:r>
        <w:rPr>
          <w:rStyle w:val="FootnoteReference"/>
        </w:rPr>
        <w:footnoteReference w:id="4"/>
      </w:r>
      <w:r>
        <w:t>.</w:t>
      </w:r>
    </w:p>
    <w:p w14:paraId="3B1424D1" w14:textId="77777777" w:rsidR="00F9071A" w:rsidRPr="00F3286E" w:rsidRDefault="00F9071A" w:rsidP="0028286F">
      <w:pPr>
        <w:spacing w:before="120" w:after="40"/>
        <w:rPr>
          <w:rFonts w:eastAsiaTheme="majorEastAsia" w:cstheme="majorBidi"/>
          <w:b/>
          <w:bCs/>
          <w:caps/>
          <w:sz w:val="20"/>
          <w:szCs w:val="20"/>
        </w:rPr>
      </w:pPr>
      <w:r w:rsidRPr="00F3286E">
        <w:rPr>
          <w:rFonts w:eastAsiaTheme="majorEastAsia" w:cstheme="majorBidi"/>
          <w:b/>
          <w:bCs/>
          <w:caps/>
          <w:sz w:val="20"/>
          <w:szCs w:val="20"/>
        </w:rPr>
        <w:t>A focus on teaching practice</w:t>
      </w:r>
    </w:p>
    <w:p w14:paraId="45B68A6D" w14:textId="77777777" w:rsidR="00265B23" w:rsidRPr="005628FB" w:rsidRDefault="00265B23" w:rsidP="00265B23">
      <w:pPr>
        <w:rPr>
          <w:lang w:val="en-AU"/>
        </w:rPr>
      </w:pPr>
      <w:r>
        <w:rPr>
          <w:lang w:val="en-AU"/>
        </w:rPr>
        <w:t xml:space="preserve">Professional practice </w:t>
      </w:r>
      <w:r w:rsidRPr="005628FB">
        <w:rPr>
          <w:lang w:val="en-AU"/>
        </w:rPr>
        <w:t xml:space="preserve">days </w:t>
      </w:r>
      <w:r>
        <w:rPr>
          <w:lang w:val="en-AU"/>
        </w:rPr>
        <w:t xml:space="preserve">for teachers </w:t>
      </w:r>
      <w:r w:rsidRPr="005628FB">
        <w:rPr>
          <w:lang w:val="en-AU"/>
        </w:rPr>
        <w:t>(</w:t>
      </w:r>
      <w:r>
        <w:rPr>
          <w:lang w:val="en-AU"/>
        </w:rPr>
        <w:t xml:space="preserve">pro rata for a teacher employed part-time) </w:t>
      </w:r>
      <w:r w:rsidRPr="005628FB">
        <w:rPr>
          <w:lang w:val="en-AU"/>
        </w:rPr>
        <w:t xml:space="preserve">are </w:t>
      </w:r>
      <w:r>
        <w:rPr>
          <w:lang w:val="en-AU"/>
        </w:rPr>
        <w:t xml:space="preserve">provided to release teachers from their scheduled duties to </w:t>
      </w:r>
      <w:r w:rsidRPr="00654D80">
        <w:rPr>
          <w:lang w:val="en-AU"/>
        </w:rPr>
        <w:t xml:space="preserve">focus on the improved delivery of </w:t>
      </w:r>
      <w:proofErr w:type="gramStart"/>
      <w:r w:rsidRPr="00654D80">
        <w:rPr>
          <w:lang w:val="en-AU"/>
        </w:rPr>
        <w:t>high quality</w:t>
      </w:r>
      <w:proofErr w:type="gramEnd"/>
      <w:r w:rsidRPr="00654D80">
        <w:rPr>
          <w:lang w:val="en-AU"/>
        </w:rPr>
        <w:t xml:space="preserve"> teaching and learning</w:t>
      </w:r>
      <w:r>
        <w:rPr>
          <w:lang w:val="en-AU"/>
        </w:rPr>
        <w:t>.</w:t>
      </w:r>
    </w:p>
    <w:p w14:paraId="06E9490C" w14:textId="77777777" w:rsidR="00265B23" w:rsidRDefault="00265B23" w:rsidP="00265B23">
      <w:r w:rsidRPr="005628FB">
        <w:rPr>
          <w:lang w:val="en-AU"/>
        </w:rPr>
        <w:t>These days are in addition to</w:t>
      </w:r>
      <w:r>
        <w:rPr>
          <w:lang w:val="en-AU"/>
        </w:rPr>
        <w:t xml:space="preserve"> the existing</w:t>
      </w:r>
      <w:r w:rsidRPr="005628FB">
        <w:rPr>
          <w:lang w:val="en-AU"/>
        </w:rPr>
        <w:t xml:space="preserve"> </w:t>
      </w:r>
      <w:r>
        <w:rPr>
          <w:lang w:val="en-AU"/>
        </w:rPr>
        <w:t>pupil</w:t>
      </w:r>
      <w:r w:rsidRPr="005628FB">
        <w:rPr>
          <w:lang w:val="en-AU"/>
        </w:rPr>
        <w:t>-free days.</w:t>
      </w:r>
    </w:p>
    <w:p w14:paraId="3EA415D8" w14:textId="77777777" w:rsidR="00265B23" w:rsidRDefault="00265B23" w:rsidP="00265B23">
      <w:r>
        <w:t xml:space="preserve">Professional practice days create opportunities for individual teachers by increasing time available to focus, reflect on and improve their individual practice, and to have the opportunity to engage in purposeful collaboration </w:t>
      </w:r>
      <w:proofErr w:type="gramStart"/>
      <w:r>
        <w:t>so as to</w:t>
      </w:r>
      <w:proofErr w:type="gramEnd"/>
      <w:r>
        <w:t xml:space="preserve"> improve student learning.</w:t>
      </w:r>
    </w:p>
    <w:p w14:paraId="37E6DA0F" w14:textId="77777777" w:rsidR="00265B23" w:rsidRDefault="00265B23" w:rsidP="00265B23">
      <w:r w:rsidRPr="006A6C76">
        <w:t xml:space="preserve">The </w:t>
      </w:r>
      <w:r w:rsidRPr="000F23B1">
        <w:rPr>
          <w:i/>
        </w:rPr>
        <w:t>Victorian Government Schools Agreement 2017</w:t>
      </w:r>
      <w:r>
        <w:t xml:space="preserve"> (VGSA 2017) states that the </w:t>
      </w:r>
      <w:r w:rsidRPr="006A6C76">
        <w:t xml:space="preserve">work undertaken on these days </w:t>
      </w:r>
      <w:r w:rsidRPr="007A17BD">
        <w:t xml:space="preserve">will be consistent with </w:t>
      </w:r>
      <w:r>
        <w:t>d</w:t>
      </w:r>
      <w:r w:rsidRPr="007A17BD">
        <w:t>epartmental and school priorities</w:t>
      </w:r>
      <w:r>
        <w:t xml:space="preserve"> and selected from the following areas: </w:t>
      </w:r>
      <w:r w:rsidRPr="006A6C76">
        <w:t xml:space="preserve">planning, preparation, assessment of student learning, collaboration, curriculum development, relevant professional development and peer observation including feedback and reflection. </w:t>
      </w:r>
    </w:p>
    <w:p w14:paraId="4390F41E" w14:textId="70F2047C" w:rsidR="00F9071A" w:rsidRPr="00F3286E" w:rsidRDefault="00741744" w:rsidP="0028286F">
      <w:pPr>
        <w:spacing w:before="120" w:after="40"/>
        <w:rPr>
          <w:rFonts w:eastAsiaTheme="majorEastAsia" w:cstheme="majorBidi"/>
          <w:b/>
          <w:bCs/>
          <w:caps/>
          <w:sz w:val="20"/>
          <w:szCs w:val="20"/>
        </w:rPr>
      </w:pPr>
      <w:r>
        <w:rPr>
          <w:rFonts w:eastAsiaTheme="majorEastAsia" w:cstheme="majorBidi"/>
          <w:b/>
          <w:bCs/>
          <w:caps/>
          <w:color w:val="AF272F" w:themeColor="accent1"/>
          <w:sz w:val="20"/>
          <w:szCs w:val="20"/>
        </w:rPr>
        <w:br w:type="column"/>
      </w:r>
      <w:r w:rsidR="00F9071A" w:rsidRPr="00F3286E">
        <w:rPr>
          <w:rFonts w:eastAsiaTheme="majorEastAsia" w:cstheme="majorBidi"/>
          <w:b/>
          <w:bCs/>
          <w:caps/>
          <w:sz w:val="20"/>
          <w:szCs w:val="20"/>
        </w:rPr>
        <w:t>ENSURING ALIGNMENT with SCHOOL prioriTIES</w:t>
      </w:r>
    </w:p>
    <w:p w14:paraId="2C315DAE" w14:textId="77777777" w:rsidR="00265B23" w:rsidRPr="003E29B5" w:rsidRDefault="00265B23" w:rsidP="00265B23">
      <w:r>
        <w:t>Schools will articulate their priorities in the School</w:t>
      </w:r>
      <w:r w:rsidRPr="00795917">
        <w:t xml:space="preserve"> Strategic Plan </w:t>
      </w:r>
      <w:r>
        <w:t xml:space="preserve">(SSP) </w:t>
      </w:r>
      <w:r w:rsidRPr="00795917">
        <w:t>and Annual Implementation Plan</w:t>
      </w:r>
      <w:r>
        <w:t xml:space="preserve"> (AIP). Teachers will be able to reflect on their individual goals in their Performance and Development Plans (PDP) to determine the focus of their professional practice days, which will be consistent with school and departmental priorities. Activities might include working with other teachers, including a learning specialist, to develop their practice, or any of the activities previously mentioned.</w:t>
      </w:r>
    </w:p>
    <w:p w14:paraId="7CE39C6C" w14:textId="77777777" w:rsidR="00265B23" w:rsidRPr="007136C9" w:rsidRDefault="00265B23" w:rsidP="00265B23">
      <w:r>
        <w:t>The image below is a representation of the professional practice elements in the VGSA 2017 within broader school activities.</w:t>
      </w:r>
    </w:p>
    <w:p w14:paraId="3DBF1B92" w14:textId="4A073DE5" w:rsidR="00D31299" w:rsidRPr="004F6FED" w:rsidRDefault="009B7AF1" w:rsidP="00F431BE">
      <w:pPr>
        <w:pStyle w:val="Quote"/>
        <w:jc w:val="center"/>
        <w:rPr>
          <w:color w:val="000000" w:themeColor="text1"/>
        </w:rPr>
      </w:pPr>
      <w:r>
        <w:rPr>
          <w:noProof/>
          <w:color w:val="000000" w:themeColor="text1"/>
          <w:lang w:val="en-AU" w:eastAsia="en-AU"/>
        </w:rPr>
        <w:drawing>
          <wp:inline distT="0" distB="0" distL="0" distR="0" wp14:anchorId="0780A2AA" wp14:editId="62C40523">
            <wp:extent cx="2939965" cy="2623930"/>
            <wp:effectExtent l="0" t="0" r="0" b="5080"/>
            <wp:docPr id="2" name="Picture 2" descr="School strategic plan&#10;Annual implementation plan&#10;Principal performance and development plan&#10;Teacher performance and development plan&#10;Education support staff performance and development plan&#10;&#10;Four professional practice days&#10;30+8 work allocation model&#10;Learning specialists&#10;Framework for improving student outcomes&#10;Victoria curriculum&#10;Literacy and numeracy strategy&#10;High impact teaching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8226" cy="2649153"/>
                    </a:xfrm>
                    <a:prstGeom prst="rect">
                      <a:avLst/>
                    </a:prstGeom>
                    <a:noFill/>
                  </pic:spPr>
                </pic:pic>
              </a:graphicData>
            </a:graphic>
          </wp:inline>
        </w:drawing>
      </w:r>
    </w:p>
    <w:p w14:paraId="0A55EB8E" w14:textId="77777777" w:rsidR="00F9071A" w:rsidRPr="00F3286E" w:rsidRDefault="00F9071A" w:rsidP="00974469">
      <w:pPr>
        <w:spacing w:before="200" w:after="40"/>
        <w:rPr>
          <w:rFonts w:eastAsiaTheme="majorEastAsia" w:cstheme="majorBidi"/>
          <w:b/>
          <w:bCs/>
          <w:caps/>
          <w:sz w:val="20"/>
          <w:szCs w:val="20"/>
        </w:rPr>
      </w:pPr>
      <w:r w:rsidRPr="00F3286E">
        <w:rPr>
          <w:rFonts w:eastAsiaTheme="majorEastAsia" w:cstheme="majorBidi"/>
          <w:b/>
          <w:bCs/>
          <w:caps/>
          <w:sz w:val="20"/>
          <w:szCs w:val="20"/>
        </w:rPr>
        <w:t>effective implementation</w:t>
      </w:r>
    </w:p>
    <w:p w14:paraId="4EF1A0E7" w14:textId="77777777" w:rsidR="00265B23" w:rsidRPr="00114FF0" w:rsidRDefault="00265B23" w:rsidP="00265B23">
      <w:r>
        <w:t xml:space="preserve">Improving teacher effectiveness is </w:t>
      </w:r>
      <w:r w:rsidRPr="009944A9">
        <w:rPr>
          <w:lang w:val="en-AU"/>
        </w:rPr>
        <w:t>fundamental to</w:t>
      </w:r>
      <w:r>
        <w:rPr>
          <w:lang w:val="en-AU"/>
        </w:rPr>
        <w:t xml:space="preserve"> improving </w:t>
      </w:r>
      <w:r w:rsidRPr="009944A9">
        <w:rPr>
          <w:lang w:val="en-AU"/>
        </w:rPr>
        <w:t>student learning</w:t>
      </w:r>
      <w:r>
        <w:rPr>
          <w:lang w:val="en-AU"/>
        </w:rPr>
        <w:t>.</w:t>
      </w:r>
      <w:r>
        <w:rPr>
          <w:rStyle w:val="FootnoteReference"/>
          <w:lang w:val="en-AU"/>
        </w:rPr>
        <w:footnoteReference w:id="5"/>
      </w:r>
      <w:r>
        <w:rPr>
          <w:lang w:val="en-AU"/>
        </w:rPr>
        <w:t xml:space="preserve"> </w:t>
      </w:r>
      <w:r>
        <w:t>Professional practice days provide teachers with more time to focus on improving their effectiveness, including through engaging in relevant professional learning, should they choose to do so.</w:t>
      </w:r>
    </w:p>
    <w:p w14:paraId="26B69177" w14:textId="77777777" w:rsidR="00265B23" w:rsidRDefault="00265B23" w:rsidP="00265B23">
      <w:pPr>
        <w:spacing w:after="0"/>
        <w:rPr>
          <w:lang w:val="en-AU"/>
        </w:rPr>
      </w:pPr>
      <w:r>
        <w:rPr>
          <w:lang w:val="en-AU"/>
        </w:rPr>
        <w:t>Teacher learning is considered effective when:</w:t>
      </w:r>
    </w:p>
    <w:p w14:paraId="44F74A03" w14:textId="77777777" w:rsidR="00265B23" w:rsidRPr="009944A9" w:rsidRDefault="00265B23" w:rsidP="00265B23">
      <w:pPr>
        <w:pStyle w:val="ListParagraph"/>
        <w:numPr>
          <w:ilvl w:val="0"/>
          <w:numId w:val="13"/>
        </w:numPr>
        <w:spacing w:before="120"/>
        <w:ind w:left="357" w:hanging="357"/>
        <w:contextualSpacing w:val="0"/>
      </w:pPr>
      <w:r>
        <w:t xml:space="preserve">it is </w:t>
      </w:r>
      <w:r w:rsidRPr="009944A9">
        <w:t xml:space="preserve">driven by student needs and focused on the implementation and mastery of new strategies (implementation as learning) </w:t>
      </w:r>
    </w:p>
    <w:p w14:paraId="02A0E21B" w14:textId="77777777" w:rsidR="00265B23" w:rsidRPr="009944A9" w:rsidRDefault="00265B23" w:rsidP="00265B23">
      <w:pPr>
        <w:pStyle w:val="ListParagraph"/>
        <w:numPr>
          <w:ilvl w:val="0"/>
          <w:numId w:val="13"/>
        </w:numPr>
        <w:spacing w:before="120"/>
        <w:ind w:left="357" w:hanging="357"/>
        <w:contextualSpacing w:val="0"/>
      </w:pPr>
      <w:r>
        <w:lastRenderedPageBreak/>
        <w:t>it</w:t>
      </w:r>
      <w:r w:rsidRPr="009944A9">
        <w:t xml:space="preserve"> is a routine practice within the school</w:t>
      </w:r>
      <w:r>
        <w:t>,</w:t>
      </w:r>
      <w:r w:rsidRPr="009944A9">
        <w:t xml:space="preserve"> delivered through teachers using a disciplined inquiry process </w:t>
      </w:r>
    </w:p>
    <w:p w14:paraId="710EDAC8" w14:textId="77777777" w:rsidR="00265B23" w:rsidRPr="009944A9" w:rsidRDefault="00265B23" w:rsidP="00265B23">
      <w:pPr>
        <w:pStyle w:val="ListParagraph"/>
        <w:numPr>
          <w:ilvl w:val="0"/>
          <w:numId w:val="13"/>
        </w:numPr>
        <w:spacing w:before="120"/>
        <w:ind w:left="357" w:hanging="357"/>
        <w:contextualSpacing w:val="0"/>
      </w:pPr>
      <w:r w:rsidRPr="009944A9">
        <w:t xml:space="preserve">teacher experts work in classrooms with teachers learning from each other </w:t>
      </w:r>
    </w:p>
    <w:p w14:paraId="61EC149B" w14:textId="77777777" w:rsidR="00265B23" w:rsidRDefault="00265B23" w:rsidP="00265B23">
      <w:pPr>
        <w:pStyle w:val="ListParagraph"/>
        <w:numPr>
          <w:ilvl w:val="0"/>
          <w:numId w:val="13"/>
        </w:numPr>
        <w:spacing w:before="120"/>
        <w:ind w:left="357" w:hanging="357"/>
        <w:contextualSpacing w:val="0"/>
      </w:pPr>
      <w:r>
        <w:t>PDPs</w:t>
      </w:r>
      <w:r w:rsidRPr="009944A9">
        <w:t xml:space="preserve"> connect teachers with common goals or learning needs to enable peer learning</w:t>
      </w:r>
      <w:r>
        <w:t>.</w:t>
      </w:r>
      <w:r>
        <w:rPr>
          <w:rStyle w:val="FootnoteReference"/>
        </w:rPr>
        <w:footnoteReference w:id="6"/>
      </w:r>
    </w:p>
    <w:p w14:paraId="05751E9F" w14:textId="77777777" w:rsidR="00265B23" w:rsidRPr="00265B23" w:rsidRDefault="00265B23" w:rsidP="00265B23">
      <w:pPr>
        <w:rPr>
          <w:color w:val="000000" w:themeColor="text1"/>
        </w:rPr>
      </w:pPr>
      <w:r w:rsidRPr="00265B23">
        <w:rPr>
          <w:color w:val="000000" w:themeColor="text1"/>
        </w:rPr>
        <w:t xml:space="preserve">Teachers learn from and with colleagues when they work together to focus on the evidence-based practices known to impact on student outcomes. Teachers also learn when they have the time to plan and prepare their pedagogical activities and support each other to reflect on and inform their individual teaching practice. </w:t>
      </w:r>
    </w:p>
    <w:p w14:paraId="11B6797E" w14:textId="77777777" w:rsidR="00265B23" w:rsidRDefault="00265B23" w:rsidP="00265B23">
      <w:pPr>
        <w:rPr>
          <w:color w:val="000000" w:themeColor="text1"/>
        </w:rPr>
      </w:pPr>
      <w:r w:rsidRPr="005B0B6D">
        <w:rPr>
          <w:color w:val="000000" w:themeColor="text1"/>
        </w:rPr>
        <w:t>Many schools already privilege collaborative professional practice to increase student learning. They have the structures in place to enable targeted professional learning. Some schools are already participating in a more formal approach to collaborative professional practice through the Victorian P</w:t>
      </w:r>
      <w:r>
        <w:rPr>
          <w:color w:val="000000" w:themeColor="text1"/>
        </w:rPr>
        <w:t xml:space="preserve">rofessional </w:t>
      </w:r>
      <w:r w:rsidRPr="005B0B6D">
        <w:rPr>
          <w:color w:val="000000" w:themeColor="text1"/>
        </w:rPr>
        <w:t>L</w:t>
      </w:r>
      <w:r>
        <w:rPr>
          <w:color w:val="000000" w:themeColor="text1"/>
        </w:rPr>
        <w:t xml:space="preserve">earning </w:t>
      </w:r>
      <w:r w:rsidRPr="005B0B6D">
        <w:rPr>
          <w:color w:val="000000" w:themeColor="text1"/>
        </w:rPr>
        <w:t>C</w:t>
      </w:r>
      <w:r>
        <w:rPr>
          <w:color w:val="000000" w:themeColor="text1"/>
        </w:rPr>
        <w:t>ommunities</w:t>
      </w:r>
      <w:r w:rsidRPr="005B0B6D">
        <w:rPr>
          <w:color w:val="000000" w:themeColor="text1"/>
        </w:rPr>
        <w:t xml:space="preserve"> </w:t>
      </w:r>
      <w:r>
        <w:rPr>
          <w:color w:val="000000" w:themeColor="text1"/>
        </w:rPr>
        <w:t xml:space="preserve">(PLC) </w:t>
      </w:r>
      <w:r w:rsidRPr="005B0B6D">
        <w:rPr>
          <w:color w:val="000000" w:themeColor="text1"/>
        </w:rPr>
        <w:t>initiative</w:t>
      </w:r>
      <w:r>
        <w:rPr>
          <w:color w:val="000000" w:themeColor="text1"/>
        </w:rPr>
        <w:t>. Professional practice days provide an opportunity to build on and further support this work.</w:t>
      </w:r>
    </w:p>
    <w:p w14:paraId="205F8EBF" w14:textId="77777777" w:rsidR="00265B23" w:rsidRPr="00F9071A" w:rsidRDefault="00265B23" w:rsidP="00265B23">
      <w:pPr>
        <w:rPr>
          <w:color w:val="000000" w:themeColor="text1"/>
        </w:rPr>
      </w:pPr>
      <w:r>
        <w:rPr>
          <w:color w:val="000000" w:themeColor="text1"/>
        </w:rPr>
        <w:t>All schools will need to make planning decisions to effectively manage and schedule teachers’ professional practice days.</w:t>
      </w:r>
    </w:p>
    <w:p w14:paraId="392C2ACF" w14:textId="3F330DD2" w:rsidR="00F9071A" w:rsidRPr="00F3286E" w:rsidRDefault="00F9071A" w:rsidP="00F9071A">
      <w:pPr>
        <w:spacing w:before="200" w:after="40"/>
        <w:rPr>
          <w:rFonts w:eastAsiaTheme="majorEastAsia" w:cstheme="majorBidi"/>
          <w:b/>
          <w:bCs/>
          <w:caps/>
          <w:sz w:val="20"/>
          <w:szCs w:val="20"/>
        </w:rPr>
      </w:pPr>
      <w:r w:rsidRPr="00F3286E">
        <w:rPr>
          <w:rFonts w:eastAsiaTheme="majorEastAsia" w:cstheme="majorBidi"/>
          <w:b/>
          <w:bCs/>
          <w:caps/>
          <w:sz w:val="20"/>
          <w:szCs w:val="20"/>
        </w:rPr>
        <w:t xml:space="preserve">Ideas for </w:t>
      </w:r>
      <w:r w:rsidR="00E109EE" w:rsidRPr="00F3286E">
        <w:rPr>
          <w:rFonts w:eastAsiaTheme="majorEastAsia" w:cstheme="majorBidi"/>
          <w:b/>
          <w:bCs/>
          <w:caps/>
          <w:sz w:val="20"/>
          <w:szCs w:val="20"/>
        </w:rPr>
        <w:t>the</w:t>
      </w:r>
      <w:r w:rsidRPr="00F3286E">
        <w:rPr>
          <w:rFonts w:eastAsiaTheme="majorEastAsia" w:cstheme="majorBidi"/>
          <w:b/>
          <w:bCs/>
          <w:caps/>
          <w:sz w:val="20"/>
          <w:szCs w:val="20"/>
        </w:rPr>
        <w:t xml:space="preserve"> professional practice days</w:t>
      </w:r>
    </w:p>
    <w:p w14:paraId="50716916" w14:textId="77777777" w:rsidR="00265B23" w:rsidRDefault="00265B23" w:rsidP="00265B23">
      <w:r>
        <w:t xml:space="preserve">Professional practice days help teachers focus on the improved delivery of </w:t>
      </w:r>
      <w:proofErr w:type="gramStart"/>
      <w:r>
        <w:t>high quality</w:t>
      </w:r>
      <w:proofErr w:type="gramEnd"/>
      <w:r>
        <w:t xml:space="preserve"> teaching and learning. The aspiration is, following nomination by teachers, for teachers and their principals to agree on the timing and focus of these days.  </w:t>
      </w:r>
    </w:p>
    <w:p w14:paraId="1791B06A" w14:textId="77777777" w:rsidR="00265B23" w:rsidRDefault="00265B23" w:rsidP="00265B23">
      <w:r>
        <w:t>When planning the focus of their professional practice days, teachers may consider the following ideas:</w:t>
      </w:r>
    </w:p>
    <w:p w14:paraId="4B298216" w14:textId="77777777" w:rsidR="00265B23" w:rsidRDefault="00265B23" w:rsidP="00265B23">
      <w:pPr>
        <w:pStyle w:val="ListParagraph"/>
        <w:numPr>
          <w:ilvl w:val="0"/>
          <w:numId w:val="14"/>
        </w:numPr>
        <w:ind w:left="714" w:hanging="357"/>
        <w:contextualSpacing w:val="0"/>
      </w:pPr>
      <w:r>
        <w:t xml:space="preserve">undertaking individual work across the core areas of curriculum, </w:t>
      </w:r>
      <w:proofErr w:type="gramStart"/>
      <w:r>
        <w:t>pedagogy</w:t>
      </w:r>
      <w:proofErr w:type="gramEnd"/>
      <w:r>
        <w:t xml:space="preserve"> and assessment of student learning, and reflecting on and refining their practice</w:t>
      </w:r>
    </w:p>
    <w:p w14:paraId="5128F657" w14:textId="7583BF80" w:rsidR="00596923" w:rsidRPr="00F3286E" w:rsidRDefault="00265B23" w:rsidP="00265B23">
      <w:pPr>
        <w:pStyle w:val="ListParagraph"/>
        <w:numPr>
          <w:ilvl w:val="0"/>
          <w:numId w:val="14"/>
        </w:numPr>
      </w:pPr>
      <w:r>
        <w:t>dedicating time to purposeful collaboration with other teachers to jointly</w:t>
      </w:r>
      <w:r w:rsidRPr="00924A2E">
        <w:t xml:space="preserve"> create a unit of work</w:t>
      </w:r>
      <w:r>
        <w:t xml:space="preserve"> </w:t>
      </w:r>
      <w:r w:rsidRPr="00924A2E">
        <w:t xml:space="preserve">to develop deep learning experiences, common </w:t>
      </w:r>
      <w:r>
        <w:t xml:space="preserve">engaging in a professional learning team to reflect </w:t>
      </w:r>
      <w:r>
        <w:t xml:space="preserve">(both collectively and individually) on current practice; identify strengths and areas for </w:t>
      </w:r>
      <w:proofErr w:type="gramStart"/>
      <w:r>
        <w:t>improvement, and</w:t>
      </w:r>
      <w:proofErr w:type="gramEnd"/>
      <w:r>
        <w:t xml:space="preserve"> draw on resources such as the </w:t>
      </w:r>
      <w:r w:rsidRPr="00A07E7A">
        <w:rPr>
          <w:i/>
        </w:rPr>
        <w:t>Literacy and Numeracy Strategy</w:t>
      </w:r>
      <w:r>
        <w:t xml:space="preserve"> and </w:t>
      </w:r>
      <w:r w:rsidRPr="00A07E7A">
        <w:rPr>
          <w:i/>
        </w:rPr>
        <w:t>High Impact Teaching Strategies</w:t>
      </w:r>
      <w:r>
        <w:rPr>
          <w:i/>
        </w:rPr>
        <w:t>,</w:t>
      </w:r>
      <w:r>
        <w:t xml:space="preserve"> which offer grounded support for effective teaching of foundational literacy and numeracy skills. </w:t>
      </w:r>
    </w:p>
    <w:p w14:paraId="1C747E93" w14:textId="77777777" w:rsidR="00265B23" w:rsidRPr="00F3286E" w:rsidRDefault="00265B23" w:rsidP="00265B23">
      <w:pPr>
        <w:pStyle w:val="Heading2"/>
        <w:rPr>
          <w:color w:val="auto"/>
        </w:rPr>
      </w:pPr>
      <w:r w:rsidRPr="00F3286E">
        <w:rPr>
          <w:color w:val="auto"/>
        </w:rPr>
        <w:t>OTHER SUPPORT</w:t>
      </w:r>
    </w:p>
    <w:p w14:paraId="3C2882FA" w14:textId="77777777" w:rsidR="00265B23" w:rsidRPr="0070227D" w:rsidRDefault="00265B23" w:rsidP="00265B23">
      <w:pPr>
        <w:rPr>
          <w:lang w:val="en-AU"/>
        </w:rPr>
      </w:pPr>
      <w:r w:rsidRPr="0070227D">
        <w:rPr>
          <w:lang w:val="en-AU"/>
        </w:rPr>
        <w:t>Frequently Asked Questions and other informa</w:t>
      </w:r>
      <w:r>
        <w:rPr>
          <w:lang w:val="en-AU"/>
        </w:rPr>
        <w:t>tion can be found on the school</w:t>
      </w:r>
      <w:r w:rsidRPr="0070227D">
        <w:rPr>
          <w:lang w:val="en-AU"/>
        </w:rPr>
        <w:t>s intranet, see: </w:t>
      </w:r>
      <w:hyperlink r:id="rId12" w:anchor="/app/content/2945/support_and_service_(schools)%252Flearning_and_teaching%252Fprofessional_practice%252Fprofessional_practice_frequently_asked_questions" w:history="1">
        <w:r w:rsidRPr="0070227D">
          <w:rPr>
            <w:rStyle w:val="Hyperlink"/>
            <w:lang w:val="en-AU"/>
          </w:rPr>
          <w:t xml:space="preserve">Professional practice </w:t>
        </w:r>
        <w:r>
          <w:rPr>
            <w:rStyle w:val="Hyperlink"/>
            <w:lang w:val="en-AU"/>
          </w:rPr>
          <w:t>—</w:t>
        </w:r>
        <w:r w:rsidRPr="0070227D">
          <w:rPr>
            <w:rStyle w:val="Hyperlink"/>
            <w:lang w:val="en-AU"/>
          </w:rPr>
          <w:t xml:space="preserve"> Victorian Government Schools Agreement 2017</w:t>
        </w:r>
      </w:hyperlink>
      <w:r w:rsidRPr="0070227D">
        <w:rPr>
          <w:lang w:val="en-AU"/>
        </w:rPr>
        <w:t xml:space="preserve">. </w:t>
      </w:r>
    </w:p>
    <w:p w14:paraId="793585C9" w14:textId="77777777" w:rsidR="00265B23" w:rsidRPr="00DA2F60" w:rsidRDefault="00265B23" w:rsidP="00265B23">
      <w:pPr>
        <w:rPr>
          <w:lang w:val="en-AU"/>
        </w:rPr>
      </w:pPr>
      <w:r w:rsidRPr="0070227D">
        <w:rPr>
          <w:lang w:val="en-AU"/>
        </w:rPr>
        <w:t>Please email </w:t>
      </w:r>
      <w:hyperlink r:id="rId13" w:history="1">
        <w:r w:rsidRPr="00C8313C">
          <w:rPr>
            <w:rStyle w:val="Hyperlink"/>
            <w:lang w:val="en-AU"/>
          </w:rPr>
          <w:t>professional.practice@education.vic.gov.au</w:t>
        </w:r>
      </w:hyperlink>
      <w:r w:rsidRPr="0070227D">
        <w:rPr>
          <w:lang w:val="en-AU"/>
        </w:rPr>
        <w:t xml:space="preserve"> for more information on </w:t>
      </w:r>
      <w:r>
        <w:rPr>
          <w:lang w:val="en-AU"/>
        </w:rPr>
        <w:t>the professional practice days</w:t>
      </w:r>
      <w:r w:rsidRPr="0070227D">
        <w:rPr>
          <w:lang w:val="en-AU"/>
        </w:rPr>
        <w:t xml:space="preserve">. </w:t>
      </w:r>
    </w:p>
    <w:p w14:paraId="2862F764" w14:textId="0C3305DC" w:rsidR="00980015" w:rsidRPr="00DA2F60" w:rsidRDefault="00980015" w:rsidP="00265B23">
      <w:pPr>
        <w:rPr>
          <w:lang w:val="en-AU"/>
        </w:rPr>
      </w:pPr>
    </w:p>
    <w:sectPr w:rsidR="00980015" w:rsidRPr="00DA2F60" w:rsidSect="0028286F">
      <w:headerReference w:type="default" r:id="rId14"/>
      <w:footerReference w:type="default" r:id="rId15"/>
      <w:pgSz w:w="11900" w:h="16840"/>
      <w:pgMar w:top="3345" w:right="1077" w:bottom="1701" w:left="851"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F7A3" w14:textId="77777777" w:rsidR="00725E16" w:rsidRDefault="00725E16" w:rsidP="008766A4">
      <w:r>
        <w:separator/>
      </w:r>
    </w:p>
  </w:endnote>
  <w:endnote w:type="continuationSeparator" w:id="0">
    <w:p w14:paraId="5F918484" w14:textId="77777777" w:rsidR="00725E16" w:rsidRDefault="00725E16" w:rsidP="008766A4">
      <w:r>
        <w:continuationSeparator/>
      </w:r>
    </w:p>
  </w:endnote>
  <w:endnote w:type="continuationNotice" w:id="1">
    <w:p w14:paraId="4155A1C8" w14:textId="77777777" w:rsidR="00725E16" w:rsidRDefault="00725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IC ExtraLight">
    <w:panose1 w:val="00000300000000000000"/>
    <w:charset w:val="00"/>
    <w:family w:val="auto"/>
    <w:pitch w:val="variable"/>
    <w:sig w:usb0="00000007" w:usb1="00000000" w:usb2="00000000" w:usb3="00000000" w:csb0="00000093" w:csb1="00000000"/>
  </w:font>
  <w:font w:name="VIC ExtraLight Italic">
    <w:panose1 w:val="000003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871E" w14:textId="1D4DA8FF" w:rsidR="00276E70" w:rsidRPr="003E29B5" w:rsidRDefault="00276E70" w:rsidP="008766A4">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277E" w14:textId="77777777" w:rsidR="00725E16" w:rsidRDefault="00725E16" w:rsidP="008766A4">
      <w:r>
        <w:separator/>
      </w:r>
    </w:p>
  </w:footnote>
  <w:footnote w:type="continuationSeparator" w:id="0">
    <w:p w14:paraId="309E4719" w14:textId="77777777" w:rsidR="00725E16" w:rsidRDefault="00725E16" w:rsidP="008766A4">
      <w:r>
        <w:continuationSeparator/>
      </w:r>
    </w:p>
  </w:footnote>
  <w:footnote w:type="continuationNotice" w:id="1">
    <w:p w14:paraId="6281740E" w14:textId="77777777" w:rsidR="00725E16" w:rsidRDefault="00725E16">
      <w:pPr>
        <w:spacing w:after="0" w:line="240" w:lineRule="auto"/>
      </w:pPr>
    </w:p>
  </w:footnote>
  <w:footnote w:id="2">
    <w:p w14:paraId="241E4010" w14:textId="77777777" w:rsidR="008B5811" w:rsidRPr="00CF75A1" w:rsidRDefault="008B5811" w:rsidP="008B5811">
      <w:pPr>
        <w:pStyle w:val="FootnoteText"/>
        <w:rPr>
          <w:lang w:val="en-AU"/>
        </w:rPr>
      </w:pPr>
      <w:r>
        <w:rPr>
          <w:rStyle w:val="FootnoteReference"/>
        </w:rPr>
        <w:footnoteRef/>
      </w:r>
      <w:r>
        <w:t xml:space="preserve"> </w:t>
      </w:r>
      <w:r w:rsidRPr="00CF75A1">
        <w:rPr>
          <w:sz w:val="13"/>
          <w:szCs w:val="13"/>
        </w:rPr>
        <w:t xml:space="preserve">Clause </w:t>
      </w:r>
      <w:r>
        <w:rPr>
          <w:sz w:val="13"/>
          <w:szCs w:val="13"/>
        </w:rPr>
        <w:t>22 Sub Clause 12 (a) of the VGSA 2017</w:t>
      </w:r>
    </w:p>
  </w:footnote>
  <w:footnote w:id="3">
    <w:p w14:paraId="5EFFEDB4" w14:textId="77777777" w:rsidR="008B5811" w:rsidRPr="00CF75A1" w:rsidRDefault="008B5811" w:rsidP="008B5811">
      <w:pPr>
        <w:pStyle w:val="FootnoteText"/>
        <w:rPr>
          <w:lang w:val="en-AU"/>
        </w:rPr>
      </w:pPr>
      <w:r>
        <w:rPr>
          <w:rStyle w:val="FootnoteReference"/>
        </w:rPr>
        <w:footnoteRef/>
      </w:r>
      <w:r>
        <w:t xml:space="preserve"> </w:t>
      </w:r>
      <w:r w:rsidRPr="00CF75A1">
        <w:rPr>
          <w:sz w:val="13"/>
          <w:szCs w:val="13"/>
        </w:rPr>
        <w:t xml:space="preserve">Clause </w:t>
      </w:r>
      <w:r>
        <w:rPr>
          <w:sz w:val="13"/>
          <w:szCs w:val="13"/>
        </w:rPr>
        <w:t>22 Sub Clause 12 (b) of the VGSA 2017</w:t>
      </w:r>
    </w:p>
  </w:footnote>
  <w:footnote w:id="4">
    <w:p w14:paraId="1B4F0D47" w14:textId="77777777" w:rsidR="008B5811" w:rsidRPr="00CF75A1" w:rsidRDefault="008B5811" w:rsidP="008B5811">
      <w:pPr>
        <w:pStyle w:val="FootnoteText"/>
        <w:rPr>
          <w:lang w:val="en-AU"/>
        </w:rPr>
      </w:pPr>
      <w:r>
        <w:rPr>
          <w:rStyle w:val="FootnoteReference"/>
        </w:rPr>
        <w:footnoteRef/>
      </w:r>
      <w:r>
        <w:t xml:space="preserve"> </w:t>
      </w:r>
      <w:r w:rsidRPr="00CF75A1">
        <w:rPr>
          <w:sz w:val="13"/>
          <w:szCs w:val="13"/>
        </w:rPr>
        <w:t xml:space="preserve">Clause </w:t>
      </w:r>
      <w:r>
        <w:rPr>
          <w:sz w:val="13"/>
          <w:szCs w:val="13"/>
        </w:rPr>
        <w:t>22 Sub Clause 12 (c) of the VGSA 2017</w:t>
      </w:r>
    </w:p>
  </w:footnote>
  <w:footnote w:id="5">
    <w:p w14:paraId="5DDF2F60" w14:textId="77777777" w:rsidR="00265B23" w:rsidRPr="00324627" w:rsidRDefault="00265B23" w:rsidP="00265B23">
      <w:pPr>
        <w:pStyle w:val="FootnoteText"/>
        <w:rPr>
          <w:lang w:val="en-AU"/>
        </w:rPr>
      </w:pPr>
      <w:r>
        <w:rPr>
          <w:rStyle w:val="FootnoteReference"/>
        </w:rPr>
        <w:footnoteRef/>
      </w:r>
      <w:r>
        <w:t xml:space="preserve"> </w:t>
      </w:r>
      <w:r>
        <w:rPr>
          <w:rFonts w:cs="VIC ExtraLight"/>
          <w:color w:val="000000"/>
          <w:sz w:val="13"/>
          <w:szCs w:val="13"/>
        </w:rPr>
        <w:t xml:space="preserve">Adapted from the Learning Forward ‘beliefs’ as presented at the International Congress for School Effectiveness and Improvement, Ottawa 2017 </w:t>
      </w:r>
      <w:r>
        <w:t xml:space="preserve"> </w:t>
      </w:r>
    </w:p>
  </w:footnote>
  <w:footnote w:id="6">
    <w:p w14:paraId="38DF6915" w14:textId="77777777" w:rsidR="00265B23" w:rsidRPr="00324627" w:rsidRDefault="00265B23" w:rsidP="00265B23">
      <w:pPr>
        <w:pStyle w:val="FootnoteText"/>
        <w:rPr>
          <w:lang w:val="en-AU"/>
        </w:rPr>
      </w:pPr>
      <w:r>
        <w:rPr>
          <w:rStyle w:val="FootnoteReference"/>
        </w:rPr>
        <w:footnoteRef/>
      </w:r>
      <w:r>
        <w:t xml:space="preserve"> </w:t>
      </w:r>
      <w:r w:rsidRPr="00324627">
        <w:rPr>
          <w:rFonts w:cs="VIC ExtraLight"/>
          <w:color w:val="000000"/>
          <w:sz w:val="13"/>
          <w:szCs w:val="13"/>
        </w:rPr>
        <w:t>Adapted from</w:t>
      </w:r>
      <w:r>
        <w:rPr>
          <w:rFonts w:cs="VIC ExtraLight"/>
          <w:color w:val="000000"/>
          <w:sz w:val="13"/>
          <w:szCs w:val="13"/>
        </w:rPr>
        <w:t xml:space="preserve"> Cole, P. 2012, </w:t>
      </w:r>
      <w:r>
        <w:rPr>
          <w:rFonts w:ascii="VIC ExtraLight Italic" w:hAnsi="VIC ExtraLight Italic" w:cs="VIC ExtraLight Italic"/>
          <w:i/>
          <w:iCs/>
          <w:color w:val="000000"/>
          <w:sz w:val="13"/>
          <w:szCs w:val="13"/>
        </w:rPr>
        <w:t>Linking effective professional learning with effective teaching practice</w:t>
      </w:r>
      <w:r>
        <w:rPr>
          <w:rFonts w:cs="VIC ExtraLight"/>
          <w:color w:val="000000"/>
          <w:sz w:val="13"/>
          <w:szCs w:val="13"/>
        </w:rPr>
        <w:t xml:space="preserve">. Melbourne: AITSL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305E" w14:textId="0FC04629" w:rsidR="00276E70" w:rsidRPr="003E29B5" w:rsidRDefault="006C4215" w:rsidP="008766A4">
    <w:r>
      <w:rPr>
        <w:noProof/>
        <w:lang w:val="en-AU" w:eastAsia="en-AU"/>
      </w:rPr>
      <mc:AlternateContent>
        <mc:Choice Requires="wps">
          <w:drawing>
            <wp:anchor distT="45720" distB="45720" distL="114300" distR="114300" simplePos="0" relativeHeight="251660288" behindDoc="0" locked="0" layoutInCell="1" allowOverlap="1" wp14:anchorId="5E504372" wp14:editId="15327FF9">
              <wp:simplePos x="0" y="0"/>
              <wp:positionH relativeFrom="column">
                <wp:posOffset>5371465</wp:posOffset>
              </wp:positionH>
              <wp:positionV relativeFrom="paragraph">
                <wp:posOffset>651510</wp:posOffset>
              </wp:positionV>
              <wp:extent cx="1647825"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noFill/>
                      <a:ln w="9525">
                        <a:noFill/>
                        <a:miter lim="800000"/>
                        <a:headEnd/>
                        <a:tailEnd/>
                      </a:ln>
                    </wps:spPr>
                    <wps:txbx>
                      <w:txbxContent>
                        <w:p w14:paraId="05A50C9C" w14:textId="5C9C5D6C" w:rsidR="006C4215" w:rsidRPr="00B24ECE" w:rsidRDefault="006C4215">
                          <w:pPr>
                            <w:rPr>
                              <w:b/>
                              <w:color w:val="FFFFFF" w:themeColor="background1"/>
                              <w:sz w:val="28"/>
                              <w:szCs w:val="28"/>
                            </w:rPr>
                          </w:pPr>
                          <w:r w:rsidRPr="00B24ECE">
                            <w:rPr>
                              <w:b/>
                              <w:color w:val="FFFFFF" w:themeColor="background1"/>
                              <w:sz w:val="28"/>
                              <w:szCs w:val="28"/>
                            </w:rPr>
                            <w:t>Professional Practice Note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04372" id="_x0000_t202" coordsize="21600,21600" o:spt="202" path="m,l,21600r21600,l21600,xe">
              <v:stroke joinstyle="miter"/>
              <v:path gradientshapeok="t" o:connecttype="rect"/>
            </v:shapetype>
            <v:shape id="Text Box 2" o:spid="_x0000_s1026" type="#_x0000_t202" style="position:absolute;margin-left:422.95pt;margin-top:51.3pt;width:129.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" filled="f" stroked="f">
              <v:textbox style="mso-fit-shape-to-text:t">
                <w:txbxContent>
                  <w:p w14:paraId="05A50C9C" w14:textId="5C9C5D6C" w:rsidR="006C4215" w:rsidRPr="00B24ECE" w:rsidRDefault="006C4215">
                    <w:pPr>
                      <w:rPr>
                        <w:b/>
                        <w:color w:val="FFFFFF" w:themeColor="background1"/>
                        <w:sz w:val="28"/>
                        <w:szCs w:val="28"/>
                      </w:rPr>
                    </w:pPr>
                    <w:r w:rsidRPr="00B24ECE">
                      <w:rPr>
                        <w:b/>
                        <w:color w:val="FFFFFF" w:themeColor="background1"/>
                        <w:sz w:val="28"/>
                        <w:szCs w:val="28"/>
                      </w:rPr>
                      <w:t>Professional Practice Note 1</w:t>
                    </w:r>
                  </w:p>
                </w:txbxContent>
              </v:textbox>
              <w10:wrap type="square"/>
            </v:shape>
          </w:pict>
        </mc:Fallback>
      </mc:AlternateContent>
    </w:r>
    <w:r w:rsidR="00276E70">
      <w:rPr>
        <w:noProof/>
        <w:lang w:val="en-AU" w:eastAsia="en-AU"/>
      </w:rPr>
      <w:drawing>
        <wp:anchor distT="0" distB="0" distL="114300" distR="114300" simplePos="0" relativeHeight="251658240" behindDoc="1" locked="0" layoutInCell="1" allowOverlap="1" wp14:anchorId="6BB7B5ED" wp14:editId="63FCCD48">
          <wp:simplePos x="0" y="0"/>
          <wp:positionH relativeFrom="page">
            <wp:align>left</wp:align>
          </wp:positionH>
          <wp:positionV relativeFrom="page">
            <wp:align>top</wp:align>
          </wp:positionV>
          <wp:extent cx="7560000" cy="10692000"/>
          <wp:effectExtent l="0" t="0" r="3175" b="0"/>
          <wp:wrapNone/>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32D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E6EC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3C92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91E90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B063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026C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9C2D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88EB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9C95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0B638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B830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A31035"/>
    <w:multiLevelType w:val="hybridMultilevel"/>
    <w:tmpl w:val="F25C7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CA3A9E"/>
    <w:multiLevelType w:val="hybridMultilevel"/>
    <w:tmpl w:val="140A3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D30984"/>
    <w:multiLevelType w:val="hybridMultilevel"/>
    <w:tmpl w:val="AD02CD9C"/>
    <w:lvl w:ilvl="0" w:tplc="0C090001">
      <w:start w:val="1"/>
      <w:numFmt w:val="bullet"/>
      <w:lvlText w:val=""/>
      <w:lvlJc w:val="left"/>
      <w:pPr>
        <w:ind w:left="360" w:hanging="360"/>
      </w:pPr>
      <w:rPr>
        <w:rFonts w:ascii="Symbol" w:hAnsi="Symbol" w:hint="default"/>
      </w:rPr>
    </w:lvl>
    <w:lvl w:ilvl="1" w:tplc="7DF801D2">
      <w:numFmt w:val="bullet"/>
      <w:lvlText w:val="•"/>
      <w:lvlJc w:val="left"/>
      <w:pPr>
        <w:ind w:left="1080" w:hanging="36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47029925">
    <w:abstractNumId w:val="10"/>
  </w:num>
  <w:num w:numId="2" w16cid:durableId="1399476512">
    <w:abstractNumId w:val="8"/>
  </w:num>
  <w:num w:numId="3" w16cid:durableId="816217818">
    <w:abstractNumId w:val="7"/>
  </w:num>
  <w:num w:numId="4" w16cid:durableId="963803490">
    <w:abstractNumId w:val="6"/>
  </w:num>
  <w:num w:numId="5" w16cid:durableId="53548500">
    <w:abstractNumId w:val="5"/>
  </w:num>
  <w:num w:numId="6" w16cid:durableId="775254914">
    <w:abstractNumId w:val="9"/>
  </w:num>
  <w:num w:numId="7" w16cid:durableId="1589659189">
    <w:abstractNumId w:val="4"/>
  </w:num>
  <w:num w:numId="8" w16cid:durableId="1806968100">
    <w:abstractNumId w:val="3"/>
  </w:num>
  <w:num w:numId="9" w16cid:durableId="714350563">
    <w:abstractNumId w:val="2"/>
  </w:num>
  <w:num w:numId="10" w16cid:durableId="1672492186">
    <w:abstractNumId w:val="1"/>
  </w:num>
  <w:num w:numId="11" w16cid:durableId="901407324">
    <w:abstractNumId w:val="0"/>
  </w:num>
  <w:num w:numId="12" w16cid:durableId="1256087060">
    <w:abstractNumId w:val="11"/>
  </w:num>
  <w:num w:numId="13" w16cid:durableId="336928230">
    <w:abstractNumId w:val="13"/>
  </w:num>
  <w:num w:numId="14" w16cid:durableId="12413342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04D27"/>
    <w:rsid w:val="00037C5E"/>
    <w:rsid w:val="000478AA"/>
    <w:rsid w:val="000606E3"/>
    <w:rsid w:val="00073762"/>
    <w:rsid w:val="000B60BC"/>
    <w:rsid w:val="000D3049"/>
    <w:rsid w:val="000E3DFD"/>
    <w:rsid w:val="000F193B"/>
    <w:rsid w:val="000F23B1"/>
    <w:rsid w:val="001036A5"/>
    <w:rsid w:val="00114FF0"/>
    <w:rsid w:val="0014310A"/>
    <w:rsid w:val="001D6433"/>
    <w:rsid w:val="001D6BE5"/>
    <w:rsid w:val="00220835"/>
    <w:rsid w:val="00222289"/>
    <w:rsid w:val="0023606E"/>
    <w:rsid w:val="00242A6D"/>
    <w:rsid w:val="00265B23"/>
    <w:rsid w:val="00276E70"/>
    <w:rsid w:val="00280DDF"/>
    <w:rsid w:val="0028286F"/>
    <w:rsid w:val="00283D10"/>
    <w:rsid w:val="00292C83"/>
    <w:rsid w:val="002E7B7F"/>
    <w:rsid w:val="0032631D"/>
    <w:rsid w:val="00326F48"/>
    <w:rsid w:val="00351147"/>
    <w:rsid w:val="00360D9B"/>
    <w:rsid w:val="00361882"/>
    <w:rsid w:val="003A538B"/>
    <w:rsid w:val="003B01B0"/>
    <w:rsid w:val="003D4602"/>
    <w:rsid w:val="003E29B5"/>
    <w:rsid w:val="00445BED"/>
    <w:rsid w:val="004572BE"/>
    <w:rsid w:val="004A06B3"/>
    <w:rsid w:val="004B700E"/>
    <w:rsid w:val="004F6FED"/>
    <w:rsid w:val="00530190"/>
    <w:rsid w:val="00555651"/>
    <w:rsid w:val="005849E0"/>
    <w:rsid w:val="00596923"/>
    <w:rsid w:val="005A106B"/>
    <w:rsid w:val="005B0B6D"/>
    <w:rsid w:val="005E071D"/>
    <w:rsid w:val="005E1B87"/>
    <w:rsid w:val="006109D3"/>
    <w:rsid w:val="00623981"/>
    <w:rsid w:val="00637DA7"/>
    <w:rsid w:val="00654D80"/>
    <w:rsid w:val="00665047"/>
    <w:rsid w:val="00676E55"/>
    <w:rsid w:val="006775B0"/>
    <w:rsid w:val="006C4215"/>
    <w:rsid w:val="006F16B0"/>
    <w:rsid w:val="00712B6F"/>
    <w:rsid w:val="00716286"/>
    <w:rsid w:val="00720542"/>
    <w:rsid w:val="00725E16"/>
    <w:rsid w:val="0073724D"/>
    <w:rsid w:val="00741744"/>
    <w:rsid w:val="00763A49"/>
    <w:rsid w:val="007A17BD"/>
    <w:rsid w:val="007B325D"/>
    <w:rsid w:val="007F3DCD"/>
    <w:rsid w:val="00816ED5"/>
    <w:rsid w:val="00817260"/>
    <w:rsid w:val="00860993"/>
    <w:rsid w:val="008766A4"/>
    <w:rsid w:val="008B5811"/>
    <w:rsid w:val="008D5440"/>
    <w:rsid w:val="00917EC6"/>
    <w:rsid w:val="009415BA"/>
    <w:rsid w:val="009449CA"/>
    <w:rsid w:val="00950E99"/>
    <w:rsid w:val="00974469"/>
    <w:rsid w:val="00980015"/>
    <w:rsid w:val="009A45BF"/>
    <w:rsid w:val="009B32D6"/>
    <w:rsid w:val="009B7AF1"/>
    <w:rsid w:val="009D2D78"/>
    <w:rsid w:val="009F2302"/>
    <w:rsid w:val="00A07E7A"/>
    <w:rsid w:val="00A2168D"/>
    <w:rsid w:val="00A33FA5"/>
    <w:rsid w:val="00A4207A"/>
    <w:rsid w:val="00AF671E"/>
    <w:rsid w:val="00B24ECE"/>
    <w:rsid w:val="00B36B8F"/>
    <w:rsid w:val="00B41D6D"/>
    <w:rsid w:val="00B447D7"/>
    <w:rsid w:val="00B60218"/>
    <w:rsid w:val="00B8417C"/>
    <w:rsid w:val="00BC7296"/>
    <w:rsid w:val="00BD355C"/>
    <w:rsid w:val="00BE0451"/>
    <w:rsid w:val="00BE0F9A"/>
    <w:rsid w:val="00C37E31"/>
    <w:rsid w:val="00C558E5"/>
    <w:rsid w:val="00C560F3"/>
    <w:rsid w:val="00CB6B48"/>
    <w:rsid w:val="00CE6540"/>
    <w:rsid w:val="00CE744E"/>
    <w:rsid w:val="00CF75A1"/>
    <w:rsid w:val="00D00B81"/>
    <w:rsid w:val="00D31299"/>
    <w:rsid w:val="00D60439"/>
    <w:rsid w:val="00D61987"/>
    <w:rsid w:val="00D81AD7"/>
    <w:rsid w:val="00D82E6B"/>
    <w:rsid w:val="00DA2F60"/>
    <w:rsid w:val="00DA5477"/>
    <w:rsid w:val="00E109EE"/>
    <w:rsid w:val="00E32BEC"/>
    <w:rsid w:val="00E32F62"/>
    <w:rsid w:val="00E33391"/>
    <w:rsid w:val="00E54494"/>
    <w:rsid w:val="00E9154E"/>
    <w:rsid w:val="00EB2305"/>
    <w:rsid w:val="00EB6C8C"/>
    <w:rsid w:val="00ED323F"/>
    <w:rsid w:val="00F3286E"/>
    <w:rsid w:val="00F42F42"/>
    <w:rsid w:val="00F431BE"/>
    <w:rsid w:val="00F579B1"/>
    <w:rsid w:val="00F67AA6"/>
    <w:rsid w:val="00F90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5E1B87"/>
    <w:pPr>
      <w:keepNext/>
      <w:keepLines/>
      <w:spacing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B41D6D"/>
    <w:pPr>
      <w:pBdr>
        <w:top w:val="single" w:sz="8" w:space="3" w:color="000000" w:themeColor="text1"/>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5E1B87"/>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B41D6D"/>
    <w:rPr>
      <w:rFonts w:ascii="Arial" w:eastAsiaTheme="majorEastAsia" w:hAnsi="Arial" w:cstheme="majorBidi"/>
      <w:b/>
      <w:caps/>
      <w:color w:val="000000" w:themeColor="tex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paragraph" w:styleId="ListParagraph">
    <w:name w:val="List Paragraph"/>
    <w:basedOn w:val="Normal"/>
    <w:uiPriority w:val="34"/>
    <w:qFormat/>
    <w:rsid w:val="00F9071A"/>
    <w:pPr>
      <w:ind w:left="720"/>
      <w:contextualSpacing/>
    </w:pPr>
  </w:style>
  <w:style w:type="paragraph" w:styleId="FootnoteText">
    <w:name w:val="footnote text"/>
    <w:basedOn w:val="Normal"/>
    <w:link w:val="FootnoteTextChar"/>
    <w:uiPriority w:val="99"/>
    <w:semiHidden/>
    <w:unhideWhenUsed/>
    <w:rsid w:val="00F90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71A"/>
    <w:rPr>
      <w:rFonts w:ascii="Arial" w:hAnsi="Arial" w:cs="Arial"/>
      <w:sz w:val="20"/>
      <w:szCs w:val="20"/>
    </w:rPr>
  </w:style>
  <w:style w:type="character" w:styleId="FootnoteReference">
    <w:name w:val="footnote reference"/>
    <w:basedOn w:val="DefaultParagraphFont"/>
    <w:uiPriority w:val="99"/>
    <w:semiHidden/>
    <w:unhideWhenUsed/>
    <w:rsid w:val="00F9071A"/>
    <w:rPr>
      <w:vertAlign w:val="superscript"/>
    </w:rPr>
  </w:style>
  <w:style w:type="character" w:styleId="Hyperlink">
    <w:name w:val="Hyperlink"/>
    <w:basedOn w:val="DefaultParagraphFont"/>
    <w:uiPriority w:val="99"/>
    <w:unhideWhenUsed/>
    <w:rsid w:val="00F9071A"/>
    <w:rPr>
      <w:color w:val="004EA8" w:themeColor="hyperlink"/>
      <w:u w:val="single"/>
    </w:rPr>
  </w:style>
  <w:style w:type="character" w:styleId="CommentReference">
    <w:name w:val="annotation reference"/>
    <w:basedOn w:val="DefaultParagraphFont"/>
    <w:uiPriority w:val="99"/>
    <w:semiHidden/>
    <w:unhideWhenUsed/>
    <w:rsid w:val="006F16B0"/>
    <w:rPr>
      <w:sz w:val="16"/>
      <w:szCs w:val="16"/>
    </w:rPr>
  </w:style>
  <w:style w:type="paragraph" w:styleId="CommentText">
    <w:name w:val="annotation text"/>
    <w:basedOn w:val="Normal"/>
    <w:link w:val="CommentTextChar"/>
    <w:uiPriority w:val="99"/>
    <w:semiHidden/>
    <w:unhideWhenUsed/>
    <w:rsid w:val="006F16B0"/>
    <w:pPr>
      <w:spacing w:line="240" w:lineRule="auto"/>
    </w:pPr>
    <w:rPr>
      <w:sz w:val="20"/>
      <w:szCs w:val="20"/>
    </w:rPr>
  </w:style>
  <w:style w:type="character" w:customStyle="1" w:styleId="CommentTextChar">
    <w:name w:val="Comment Text Char"/>
    <w:basedOn w:val="DefaultParagraphFont"/>
    <w:link w:val="CommentText"/>
    <w:uiPriority w:val="99"/>
    <w:semiHidden/>
    <w:rsid w:val="006F16B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F16B0"/>
    <w:rPr>
      <w:b/>
      <w:bCs/>
    </w:rPr>
  </w:style>
  <w:style w:type="character" w:customStyle="1" w:styleId="CommentSubjectChar">
    <w:name w:val="Comment Subject Char"/>
    <w:basedOn w:val="CommentTextChar"/>
    <w:link w:val="CommentSubject"/>
    <w:uiPriority w:val="99"/>
    <w:semiHidden/>
    <w:rsid w:val="006F16B0"/>
    <w:rPr>
      <w:rFonts w:ascii="Arial" w:hAnsi="Arial" w:cs="Arial"/>
      <w:b/>
      <w:bCs/>
      <w:sz w:val="20"/>
      <w:szCs w:val="20"/>
    </w:rPr>
  </w:style>
  <w:style w:type="paragraph" w:styleId="Revision">
    <w:name w:val="Revision"/>
    <w:hidden/>
    <w:uiPriority w:val="99"/>
    <w:semiHidden/>
    <w:rsid w:val="000F193B"/>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fessional.practice@education.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gate.eduweb.vic.gov.au/sites/i/pages/production.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Guidance_for_professional_practice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2A42DE10-3EF8-4AB0-A59B-3EAE2B04BD51}"/>
</file>

<file path=customXml/itemProps3.xml><?xml version="1.0" encoding="utf-8"?>
<ds:datastoreItem xmlns:ds="http://schemas.openxmlformats.org/officeDocument/2006/customXml" ds:itemID="{AA89AB23-2D4F-486B-96B1-ECC01824D038}">
  <ds:schemaRefs>
    <ds:schemaRef ds:uri="http://schemas.openxmlformats.org/officeDocument/2006/bibliography"/>
  </ds:schemaRefs>
</ds:datastoreItem>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Chitran Graham</cp:lastModifiedBy>
  <cp:revision>2</cp:revision>
  <cp:lastPrinted>2017-09-15T05:39:00Z</cp:lastPrinted>
  <dcterms:created xsi:type="dcterms:W3CDTF">2022-07-11T02:16:00Z</dcterms:created>
  <dcterms:modified xsi:type="dcterms:W3CDTF">2022-07-11T02:16:00Z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SecClassTaxHTField0">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{6ef9849d-c3c7-4026-8b61-646835e4ac4e}</vt:lpwstr>
  </property>
  <property fmtid="{D5CDD505-2E9C-101B-9397-08002B2CF9AE}" pid="8" name="RecordPoint_ActiveItemUniqueId">
    <vt:lpwstr>{06a29c8c-730a-41ab-b04f-d6325c73199b}</vt:lpwstr>
  </property>
  <property fmtid="{D5CDD505-2E9C-101B-9397-08002B2CF9AE}" pid="9" name="RecordPoint_ActiveItemWebId">
    <vt:lpwstr>{69c6d17e-4966-4cea-b47f-eb6dea2170e9}</vt:lpwstr>
  </property>
  <property fmtid="{D5CDD505-2E9C-101B-9397-08002B2CF9AE}" pid="10" name="RecordPoint_ActiveItemSiteId">
    <vt:lpwstr>{03dc8113-b288-4f44-a289-6e7ea0196235}</vt:lpwstr>
  </property>
  <property fmtid="{D5CDD505-2E9C-101B-9397-08002B2CF9AE}" pid="11" name="RecordPoint_RecordNumberSubmitted">
    <vt:lpwstr>R0001033856</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2017-09-21T18:23:33.0124301+10:00</vt:lpwstr>
  </property>
  <property fmtid="{D5CDD505-2E9C-101B-9397-08002B2CF9AE}" pid="16" name="DET_EDRMS_BusUnit">
    <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